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15, 2006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85"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85"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235585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00"/>
          </w:cols>
          <w:pgMar w:left="240" w:top="585"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right="52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60" w:firstLine="648"/>
        <w:spacing w:after="0" w:line="264" w:lineRule="auto"/>
        <w:rPr>
          <w:sz w:val="20"/>
          <w:szCs w:val="20"/>
          <w:color w:val="auto"/>
        </w:rPr>
      </w:pPr>
      <w:r>
        <w:rPr>
          <w:rFonts w:ascii="Arial" w:cs="Arial" w:eastAsia="Arial" w:hAnsi="Arial"/>
          <w:sz w:val="18"/>
          <w:szCs w:val="18"/>
          <w:color w:val="auto"/>
        </w:rPr>
        <w:t>On March 16, 2006, Plains All American Pipeline, L.P. (the “Partnership”) entered into a purchase agreement with several institutional investors in connection with the sale by the Partnership of 2,336,448 common units of the Partnership (the “Offering”) at a per unit price of $42.80. The closing of the Partnership’s sale of 2,336,448 common units is expected to occur on March 22, 2006.</w:t>
      </w:r>
    </w:p>
    <w:p>
      <w:pPr>
        <w:spacing w:after="0" w:line="181"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The purchase agreement also provides that the Partnership is committed to sell and the purchasers are committed to buy an additional 1,168,224 common units for the same price per unit upon the closing of the Partnership’s acquisition of Andrews Petroleum, Inc. and related businesses. Additionally, the Partnership has the option to sell these additional units to the purchasers at any time as long as it believes the acquisition is reasonably likely to close. Until the Partnership exercises its option, each purchaser can terminate its obligation to purchase its share of the additional units in certain circumstances after May 1, 2006.</w:t>
      </w:r>
    </w:p>
    <w:p>
      <w:pPr>
        <w:spacing w:after="0" w:line="184"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In accordance with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w:t>
      </w:r>
    </w:p>
    <w:p>
      <w:pPr>
        <w:sectPr>
          <w:pgSz w:w="11900" w:h="16838" w:orient="portrait"/>
          <w:cols w:equalWidth="0" w:num="1">
            <w:col w:w="11400"/>
          </w:cols>
          <w:pgMar w:left="240" w:top="585" w:right="259" w:bottom="0" w:gutter="0" w:footer="0" w:header="0"/>
          <w:type w:val="continuous"/>
        </w:sectPr>
      </w:pPr>
    </w:p>
    <w:bookmarkStart w:id="1" w:name="page2"/>
    <w:bookmarkEnd w:id="1"/>
    <w:p>
      <w:pPr>
        <w:ind w:right="180" w:firstLine="648"/>
        <w:spacing w:after="0" w:line="264" w:lineRule="auto"/>
        <w:rPr>
          <w:sz w:val="20"/>
          <w:szCs w:val="20"/>
          <w:color w:val="auto"/>
        </w:rPr>
      </w:pPr>
      <w:r>
        <w:rPr>
          <w:rFonts w:ascii="Arial" w:cs="Arial" w:eastAsia="Arial" w:hAnsi="Arial"/>
          <w:sz w:val="18"/>
          <w:szCs w:val="18"/>
          <w:color w:val="auto"/>
        </w:rPr>
        <w:t>On March 15, 2006, the Partnership issued a press release announcing the Offering. The common units are being offered pursuant to an effective shelf registration statement that the Partnership previously filed with the U.S. Securities and Exchange Commission. The Partnership is furnishing a copy of such press release as Exhibit 99.1 hereto.</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1280" w:hanging="624"/>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120" w:right="640" w:hanging="809"/>
        <w:spacing w:after="0" w:line="277" w:lineRule="auto"/>
        <w:tabs>
          <w:tab w:leader="none" w:pos="2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Purchase Agreement dated March 16, 2006 by and among Plains All American Pipeline, L.P., and the purchasers named therein.</w:t>
      </w:r>
    </w:p>
    <w:p>
      <w:pPr>
        <w:spacing w:after="0" w:line="17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Legal Opinion of Vinson &amp; Elkins L.L.P.</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Vinson &amp; Elkins L.L.P. as to certain tax matters</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Vinson &amp; Elkins L.L.P. (included in Exhibits 5.1 and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Plains All American Pipeline, L.P. dated March 15,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2006</w:t>
      </w:r>
    </w:p>
    <w:p>
      <w:pPr>
        <w:spacing w:after="0" w:line="9" w:lineRule="exact"/>
        <w:rPr>
          <w:sz w:val="20"/>
          <w:szCs w:val="20"/>
          <w:color w:val="auto"/>
        </w:rPr>
      </w:pPr>
    </w:p>
    <w:tbl>
      <w:tblPr>
        <w:tblLayout w:type="fixed"/>
        <w:tblInd w:w="63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 KRAMER</w:t>
            </w:r>
          </w:p>
        </w:tc>
      </w:tr>
      <w:tr>
        <w:trPr>
          <w:trHeight w:val="195"/>
        </w:trPr>
        <w:tc>
          <w:tcPr>
            <w:tcW w:w="640" w:type="dxa"/>
            <w:vAlign w:val="bottom"/>
          </w:tcPr>
          <w:p>
            <w:pPr>
              <w:spacing w:after="0"/>
              <w:rPr>
                <w:sz w:val="16"/>
                <w:szCs w:val="16"/>
                <w:color w:val="auto"/>
              </w:rPr>
            </w:pPr>
          </w:p>
        </w:tc>
        <w:tc>
          <w:tcPr>
            <w:tcW w:w="4420" w:type="dxa"/>
            <w:vAlign w:val="bottom"/>
          </w:tcPr>
          <w:p>
            <w:pPr>
              <w:spacing w:after="0" w:line="195" w:lineRule="exact"/>
              <w:rPr>
                <w:sz w:val="20"/>
                <w:szCs w:val="20"/>
                <w:color w:val="auto"/>
              </w:rPr>
            </w:pPr>
            <w:r>
              <w:rPr>
                <w:rFonts w:ascii="Arial" w:cs="Arial" w:eastAsia="Arial" w:hAnsi="Arial"/>
                <w:sz w:val="18"/>
                <w:szCs w:val="18"/>
                <w:color w:val="auto"/>
              </w:rPr>
              <w:t>Name: Phil Kramer</w:t>
            </w:r>
          </w:p>
        </w:tc>
      </w:tr>
      <w:tr>
        <w:trPr>
          <w:trHeight w:val="230"/>
        </w:trPr>
        <w:tc>
          <w:tcPr>
            <w:tcW w:w="64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PURCHASERS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UNIT PURCHASE AGREEMENT</w:t>
      </w:r>
    </w:p>
    <w:p>
      <w:pPr>
        <w:spacing w:after="0" w:line="22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COMMON UNIT PURCHASE AGREEMENT, dated as of March 16, 2006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PLAINS ALL AMERICAN PIPELINE, L.P., a Delaware limited partnership (“</w:t>
      </w:r>
      <w:r>
        <w:rPr>
          <w:rFonts w:ascii="Arial" w:cs="Arial" w:eastAsia="Arial" w:hAnsi="Arial"/>
          <w:sz w:val="18"/>
          <w:szCs w:val="18"/>
          <w:u w:val="single" w:color="auto"/>
          <w:color w:val="auto"/>
        </w:rPr>
        <w:t>Seller</w:t>
      </w:r>
      <w:r>
        <w:rPr>
          <w:rFonts w:ascii="Arial" w:cs="Arial" w:eastAsia="Arial" w:hAnsi="Arial"/>
          <w:sz w:val="18"/>
          <w:szCs w:val="18"/>
          <w:color w:val="auto"/>
        </w:rPr>
        <w:t>”), and the Purchasers listed on Schedule 2.01 hereto (each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WHEREAS, Seller desires to sell to Purchasers, and Purchasers desire to purchase from Seller, certain common units representing limited partner interests in Seller, subject to the terms and conditions set forth in this Agreement.</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NOW, THEREFORE, in consideration of the mutual covenants and agreements set forth herein and for good and valuable consideration, the receipt and sufficiency of which are hereby acknowledged, Seller and each of the Purchasers, severally and not jointly, hereby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and unless the context requires a different meaning, the following terms have the meanings indicated:</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against a Person means any lawsuit, action, proceeding, investigation or complaint before any governmental authority, mediator or arbitrator.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Unit Closing</w:t>
      </w:r>
      <w:r>
        <w:rPr>
          <w:rFonts w:ascii="Arial" w:cs="Arial" w:eastAsia="Arial" w:hAnsi="Arial"/>
          <w:sz w:val="18"/>
          <w:szCs w:val="18"/>
          <w:color w:val="auto"/>
        </w:rPr>
        <w:t>” shall have the meaning specified in Section 2.02.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Unit Closing Date</w:t>
      </w:r>
      <w:r>
        <w:rPr>
          <w:rFonts w:ascii="Arial" w:cs="Arial" w:eastAsia="Arial" w:hAnsi="Arial"/>
          <w:sz w:val="18"/>
          <w:szCs w:val="18"/>
          <w:color w:val="auto"/>
        </w:rPr>
        <w:t>” shall have the meaning specified in Section 2.02.</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Unit Notice</w:t>
      </w:r>
      <w:r>
        <w:rPr>
          <w:rFonts w:ascii="Arial" w:cs="Arial" w:eastAsia="Arial" w:hAnsi="Arial"/>
          <w:sz w:val="18"/>
          <w:szCs w:val="18"/>
          <w:color w:val="auto"/>
        </w:rPr>
        <w:t>” means written notice that Seller is exercising its right pursuant to Section 2.01(b) to require each Purchaser to purchase the number of Additional Units set forth opposite such Purchaser’s name on Schedule 2.01 to this Agreement.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Units</w:t>
      </w:r>
      <w:r>
        <w:rPr>
          <w:rFonts w:ascii="Arial" w:cs="Arial" w:eastAsia="Arial" w:hAnsi="Arial"/>
          <w:sz w:val="18"/>
          <w:szCs w:val="18"/>
          <w:color w:val="auto"/>
        </w:rPr>
        <w:t>” means, with respect to a particular Purchaser, the number of Common Units identified as Additional Units and set forth opposite such Purchaser’s name on Schedule 2.01 to this Agreement.</w:t>
      </w:r>
    </w:p>
    <w:p>
      <w:pPr>
        <w:spacing w:after="0" w:line="17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 specified Person, any other Person, whether now in existence or hereafter created, directly or indirectly controlling, controlled by or under direct or indirect common control with such specified Person. For purposes of this definition, “control” (including, with correlative meanings, “controlling,” “controlled by,” and “under common control with”) means the power to direct or cause the direction of the management and policies of such Person, directly or indirectly, whether through the ownership of voting securities, by contract or otherwise.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specified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Unit Closing</w:t>
      </w:r>
      <w:r>
        <w:rPr>
          <w:rFonts w:ascii="Arial" w:cs="Arial" w:eastAsia="Arial" w:hAnsi="Arial"/>
          <w:sz w:val="18"/>
          <w:szCs w:val="18"/>
          <w:color w:val="auto"/>
        </w:rPr>
        <w:t>” shall have the meaning specified in Section 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Unit Closing Date</w:t>
      </w:r>
      <w:r>
        <w:rPr>
          <w:rFonts w:ascii="Arial" w:cs="Arial" w:eastAsia="Arial" w:hAnsi="Arial"/>
          <w:sz w:val="18"/>
          <w:szCs w:val="18"/>
          <w:color w:val="auto"/>
        </w:rPr>
        <w:t>” shall have the meaning specified in Section 2.02.</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Units</w:t>
      </w:r>
      <w:r>
        <w:rPr>
          <w:rFonts w:ascii="Arial" w:cs="Arial" w:eastAsia="Arial" w:hAnsi="Arial"/>
          <w:sz w:val="18"/>
          <w:szCs w:val="18"/>
          <w:color w:val="auto"/>
        </w:rPr>
        <w:t>” means, with respect to a particular Purchaser, the number of Common Units identified as Base Units and set forth opposite such Purchaser’s name on Schedule 2.01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a legal holiday or other date on which the NYSE does not open for trading.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Base Unit Closing or the Additional Unit Closing,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Base Unit Closing Date or the Additional Unit Closing Date,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ectPr>
          <w:pgSz w:w="11900" w:h="16838" w:orient="portrait"/>
          <w:cols w:equalWidth="0" w:num="1">
            <w:col w:w="11420"/>
          </w:cols>
          <w:pgMar w:left="240" w:top="121" w:right="239" w:bottom="59" w:gutter="0" w:footer="0" w:header="0"/>
        </w:sectPr>
      </w:pPr>
    </w:p>
    <w:bookmarkStart w:id="3" w:name="page4"/>
    <w:bookmarkEnd w:id="3"/>
    <w:p>
      <w:pPr>
        <w:spacing w:after="0" w:line="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the commitment of each Purchaser to purchase and the obligation of Seller to sell, as applicable, the Additional Units set forth opposite such Purchaser’s name on Schedule 2.01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Date</w:t>
      </w:r>
      <w:r>
        <w:rPr>
          <w:rFonts w:ascii="Arial" w:cs="Arial" w:eastAsia="Arial" w:hAnsi="Arial"/>
          <w:sz w:val="18"/>
          <w:szCs w:val="18"/>
          <w:color w:val="auto"/>
        </w:rPr>
        <w:t>” means March 14, 2006.</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Fee</w:t>
      </w:r>
      <w:r>
        <w:rPr>
          <w:rFonts w:ascii="Arial" w:cs="Arial" w:eastAsia="Arial" w:hAnsi="Arial"/>
          <w:sz w:val="16"/>
          <w:szCs w:val="16"/>
          <w:color w:val="auto"/>
        </w:rPr>
        <w:t>” means an amount equal to 1% of the Purchase Price payable in respect of the Additional Units to be purchased by each Purchaser, which amount is set forth opposite such Purchaser’s name under the column entitled “Commitment Fee” on Schedule 2.01 to this Agreement.</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xml:space="preserve">” means the period beginning on the Commitment Date and ending the later of (a) May 1, 2006 and (b) the date on which any Purchaser (only with respect to its individual Commitment) provides written notice to Seller or Seller provides written notice to the Purchasers of its intention to terminate the Commitment;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 Purchaser may not provide notice of its intention to terminate after Seller has provided the Additional Unit Notice and (ii) Seller may not provide notice of its intention to terminate the Commitment if it believes in good faith that the Major Acquisition is reasonably likely to close.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Units</w:t>
      </w:r>
      <w:r>
        <w:rPr>
          <w:rFonts w:ascii="Arial" w:cs="Arial" w:eastAsia="Arial" w:hAnsi="Arial"/>
          <w:sz w:val="18"/>
          <w:szCs w:val="18"/>
          <w:color w:val="auto"/>
        </w:rPr>
        <w:t>” means common units representing limited partner interests in Seller.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with respect to each Purchaser, all oral or written information, documents, records and data relating to the Major Acquisition or the Other Acquisitions (including as referenced herein) that Seller or its Representatives furnishes or otherwise discloses to such Purchaser or any of its Representatives, together with all copies, extracts, analyses, compilations, studies, memoranda, notes or other documents, records or data (in whatever form maintained, whether documentary, computer or other electronic storage or otherwise) prepared by any Person that contain or otherwise reflect or are generated from such information, documents, records, or data. The term “Confidential Information” does not include any information that (a) at the time of disclosure or thereafter is generally available to the public (other than as a result of a disclosure by such Purchaser or its Representatives), (b) is developed by such Purchaser or any of its Representatives, independent of, and without reliance in whole or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part on, any Confidential Information or any knowledge of Confidential Information, (c) becomes available to such Purchaser or its Representatives on a non-confidential basis from a source other than Seller or its Representatives who, insofar as is known to the recipient after reasonable inquiry, is not prohibited from transmitting the information to the recipient by a contractual, legal, fiduciary or other obligation to Purchaser or (d) was available to such Purchaser or its Representatives on a non-confidential basis prior to its disclosure to such Purchaser or its Representatives by Seller or its Representatives.</w:t>
      </w:r>
    </w:p>
    <w:p>
      <w:pPr>
        <w:spacing w:after="0" w:line="1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shall have the meaning specified in Section 6.03.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 Acquisition</w:t>
      </w:r>
      <w:r>
        <w:rPr>
          <w:rFonts w:ascii="Arial" w:cs="Arial" w:eastAsia="Arial" w:hAnsi="Arial"/>
          <w:sz w:val="18"/>
          <w:szCs w:val="18"/>
          <w:color w:val="auto"/>
        </w:rPr>
        <w:t>” means the acquisition by Plains LPG Services, L.P. of Andrews Petroleum, Inc. and Lone Star Trucking,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Acquisitions</w:t>
      </w:r>
      <w:r>
        <w:rPr>
          <w:rFonts w:ascii="Arial" w:cs="Arial" w:eastAsia="Arial" w:hAnsi="Arial"/>
          <w:sz w:val="18"/>
          <w:szCs w:val="18"/>
          <w:color w:val="auto"/>
        </w:rPr>
        <w:t>” means one or more acquisitions by Seller or an Affiliate thereof involving an aggregate purchase price equal to or greater than $100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Seller and the Purchasers.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means the Third Amended and Restated Agreement of Limited Partnership of Seller, as the same may be amended from time to time.</w:t>
      </w:r>
    </w:p>
    <w:p>
      <w:pPr>
        <w:spacing w:after="0" w:line="170" w:lineRule="exact"/>
        <w:rPr>
          <w:sz w:val="20"/>
          <w:szCs w:val="20"/>
          <w:color w:val="auto"/>
        </w:rPr>
      </w:pPr>
    </w:p>
    <w:p>
      <w:pPr>
        <w:ind w:right="9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company, voluntary association, partnership, joint venture, trust, limited liability company, unincorporated organization or government or any agency, instrumentality or political subdivision thereof, or any other form of entity.</w:t>
      </w:r>
    </w:p>
    <w:p>
      <w:pPr>
        <w:spacing w:after="0" w:line="12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Prospectus</w:t>
      </w:r>
      <w:r>
        <w:rPr>
          <w:rFonts w:ascii="Arial" w:cs="Arial" w:eastAsia="Arial" w:hAnsi="Arial"/>
          <w:sz w:val="17"/>
          <w:szCs w:val="17"/>
          <w:color w:val="auto"/>
        </w:rPr>
        <w:t>” means any prospectus or prospectuses included in the Registration Statement at the effective time of the Registration Statement, as supplemented by a prospectus supplement relating to the Purchased Units and the offering thereof to be filed pursuant to Rule 424(b) under the Securities Act. Any reference in this Agreement to the Prospectus shall be deemed to refer to and include the documents incorporated by reference therein pursuant to Item 12 of Form S-3 that were filed under the Exchange Act on or before the issue date of the Prospectus; and any reference to the terms “amend,” “amendment” or “supplement” with respect to the Prospectus shall be deemed to refer to and include the filing of any document under the Exchange Act after the issue date of the Prospectus deemed to be incorporated therein by reference.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with respect to a particular Purchaser, the amount set forth opposite such Purchaser’s name under the column entitled “Purchase Price – Base Units” or “Purchase Price – Additional Units,” as applicable, on Schedule 2.01 to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Per Unit</w:t>
      </w:r>
      <w:r>
        <w:rPr>
          <w:rFonts w:ascii="Arial" w:cs="Arial" w:eastAsia="Arial" w:hAnsi="Arial"/>
          <w:sz w:val="18"/>
          <w:szCs w:val="18"/>
          <w:color w:val="auto"/>
        </w:rPr>
        <w:t>” means an amount equal to $42.80 per Purchased Unit.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Units</w:t>
      </w:r>
      <w:r>
        <w:rPr>
          <w:rFonts w:ascii="Arial" w:cs="Arial" w:eastAsia="Arial" w:hAnsi="Arial"/>
          <w:sz w:val="18"/>
          <w:szCs w:val="18"/>
          <w:color w:val="auto"/>
        </w:rPr>
        <w:t>” means the Base Units and the Additional Units,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or “</w:t>
      </w:r>
      <w:r>
        <w:rPr>
          <w:rFonts w:ascii="Arial" w:cs="Arial" w:eastAsia="Arial" w:hAnsi="Arial"/>
          <w:sz w:val="18"/>
          <w:szCs w:val="18"/>
          <w:u w:val="single" w:color="auto"/>
          <w:color w:val="auto"/>
        </w:rPr>
        <w:t>Purchasers</w:t>
      </w:r>
      <w:r>
        <w:rPr>
          <w:rFonts w:ascii="Arial" w:cs="Arial" w:eastAsia="Arial" w:hAnsi="Arial"/>
          <w:sz w:val="18"/>
          <w:szCs w:val="18"/>
          <w:color w:val="auto"/>
        </w:rPr>
        <w:t>” shall have the meaning specified in the Preamble.</w:t>
      </w:r>
    </w:p>
    <w:p>
      <w:pPr>
        <w:sectPr>
          <w:pgSz w:w="11900" w:h="16847" w:orient="portrait"/>
          <w:cols w:equalWidth="0" w:num="1">
            <w:col w:w="11400"/>
          </w:cols>
          <w:pgMar w:left="240" w:top="125" w:right="259" w:bottom="0" w:gutter="0" w:footer="0" w:header="0"/>
        </w:sectPr>
      </w:pPr>
    </w:p>
    <w:bookmarkStart w:id="4" w:name="page5"/>
    <w:bookmarkEnd w:id="4"/>
    <w:p>
      <w:pPr>
        <w:spacing w:after="0" w:line="4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Material Adverse Effect</w:t>
      </w:r>
      <w:r>
        <w:rPr>
          <w:rFonts w:ascii="Arial" w:cs="Arial" w:eastAsia="Arial" w:hAnsi="Arial"/>
          <w:sz w:val="16"/>
          <w:szCs w:val="16"/>
          <w:color w:val="auto"/>
        </w:rPr>
        <w:t>” means, with respect to each Purchaser, any material and adverse effect on (i) the ability of such Purchaser to meet its obligations under this Agreement on a timely basis or (ii) the ability of such Purchaser to consummate the transactions under this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means Seller’s registration statement (File No. 333-126447) on Form S-3 filed with the Commission on July 7, 2005, including a form of prospectus, as supplemented, and including the exhibits and financial statements, as amended at the time of the applicable Closing, and any post-effective amendment thereto that becomes effective prior to the applicable Closing Date. Any reference in this Agreement to the Registration Statement shall be deemed to refer to and include the documents incorporated by reference therein pursuant to Item 12 of Form S-3 that were filed under the Exchange Act on or before the effective date of the Registration Statement; and any reference to the terms “amend,” “amendment” or “supplement” with respect to the Registration Statement shall be deemed to refer to and include the filing of any document under the Exchange Act after the effective date of the Registration Statement deemed to be incorporated therein by reference.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of any Person means the officers, directors, employees, agents, counsel, investment bankers and other representatives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from time to time,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shall have the meaning specified in the Preamble.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Material Adverse Effect</w:t>
      </w:r>
      <w:r>
        <w:rPr>
          <w:rFonts w:ascii="Arial" w:cs="Arial" w:eastAsia="Arial" w:hAnsi="Arial"/>
          <w:sz w:val="18"/>
          <w:szCs w:val="18"/>
          <w:color w:val="auto"/>
        </w:rPr>
        <w:t>” means any material adverse effect on (i) the condition (financial or otherwise), business, prospects, properties, net worth or results of operations of Seller and its subsidiaries, taken as a whole, (ii) the ability of Seller to meet its obligations under this Agreement on a timely basis, or (iii) the ability of Seller to consummate the transactions under this Agreement.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Related Parties</w:t>
      </w:r>
      <w:r>
        <w:rPr>
          <w:rFonts w:ascii="Arial" w:cs="Arial" w:eastAsia="Arial" w:hAnsi="Arial"/>
          <w:sz w:val="18"/>
          <w:szCs w:val="18"/>
          <w:color w:val="auto"/>
        </w:rPr>
        <w:t>” shall have the meaning specified in Section 6.02.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TO SELL AND PURCHASE</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5"/>
          <w:szCs w:val="15"/>
          <w:u w:val="single" w:color="auto"/>
          <w:color w:val="auto"/>
        </w:rPr>
        <w:t>Sale and Purchase</w:t>
      </w:r>
      <w:r>
        <w:rPr>
          <w:rFonts w:ascii="Arial" w:cs="Arial" w:eastAsia="Arial" w:hAnsi="Arial"/>
          <w:sz w:val="15"/>
          <w:szCs w:val="15"/>
          <w:color w:val="auto"/>
        </w:rPr>
        <w:t>.</w:t>
      </w:r>
    </w:p>
    <w:p>
      <w:pPr>
        <w:spacing w:after="0" w:line="225" w:lineRule="exact"/>
        <w:rPr>
          <w:sz w:val="20"/>
          <w:szCs w:val="20"/>
          <w:color w:val="auto"/>
        </w:rPr>
      </w:pPr>
    </w:p>
    <w:p>
      <w:pPr>
        <w:ind w:right="40" w:firstLine="1305"/>
        <w:spacing w:after="0" w:line="273" w:lineRule="auto"/>
        <w:tabs>
          <w:tab w:leader="none" w:pos="199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Base Units</w:t>
      </w:r>
      <w:r>
        <w:rPr>
          <w:rFonts w:ascii="Arial" w:cs="Arial" w:eastAsia="Arial" w:hAnsi="Arial"/>
          <w:sz w:val="17"/>
          <w:szCs w:val="17"/>
          <w:color w:val="auto"/>
        </w:rPr>
        <w:t>. On the basis of the representations and warranties contained herein and subject to the terms and conditions hereof, Seller agrees to sell to each Purchaser, and each Purchaser agrees to purchase from Seller, the number of Base Units set forth opposite such Purchaser’s name on Schedule 2.01 to this Agreement, and each Purchaser agrees to pay Seller the amount of the Purchase Price in respect of such Base Units set forth opposite such Purchaser’s name under the column entitled “Purchase Price – Base Units” on Schedule 2.01 to this Agreement as consideration for such Base Units. At the Base Unit Closing, Seller shall pay to each Purchaser the Commitment Fee set forth opposite such Purchaser’s name under the column entitled “Commitment Fee” on Schedule 2.01 to this Agreement.</w:t>
      </w:r>
    </w:p>
    <w:p>
      <w:pPr>
        <w:spacing w:after="0" w:line="178" w:lineRule="exact"/>
        <w:rPr>
          <w:rFonts w:ascii="Arial" w:cs="Arial" w:eastAsia="Arial" w:hAnsi="Arial"/>
          <w:sz w:val="17"/>
          <w:szCs w:val="17"/>
          <w:color w:val="auto"/>
        </w:rPr>
      </w:pPr>
    </w:p>
    <w:p>
      <w:pPr>
        <w:ind w:right="400" w:firstLine="1305"/>
        <w:spacing w:after="0" w:line="277" w:lineRule="auto"/>
        <w:tabs>
          <w:tab w:leader="none" w:pos="200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Additional Units</w:t>
      </w:r>
      <w:r>
        <w:rPr>
          <w:rFonts w:ascii="Arial" w:cs="Arial" w:eastAsia="Arial" w:hAnsi="Arial"/>
          <w:sz w:val="18"/>
          <w:szCs w:val="18"/>
          <w:color w:val="auto"/>
        </w:rPr>
        <w:t>. On the basis of the representations and warranties contained herein and subject to the terms and conditions hereof, during the Commitment Period:</w:t>
      </w:r>
    </w:p>
    <w:p>
      <w:pPr>
        <w:spacing w:after="0" w:line="170" w:lineRule="exact"/>
        <w:rPr>
          <w:rFonts w:ascii="Arial" w:cs="Arial" w:eastAsia="Arial" w:hAnsi="Arial"/>
          <w:sz w:val="18"/>
          <w:szCs w:val="18"/>
          <w:color w:val="auto"/>
        </w:rPr>
      </w:pPr>
    </w:p>
    <w:p>
      <w:pPr>
        <w:ind w:right="180" w:firstLine="1953"/>
        <w:spacing w:after="0" w:line="342" w:lineRule="auto"/>
        <w:tabs>
          <w:tab w:leader="none" w:pos="2655" w:val="left"/>
        </w:tabs>
        <w:numPr>
          <w:ilvl w:val="1"/>
          <w:numId w:val="3"/>
        </w:numPr>
        <w:rPr>
          <w:rFonts w:ascii="Arial" w:cs="Arial" w:eastAsia="Arial" w:hAnsi="Arial"/>
          <w:sz w:val="16"/>
          <w:szCs w:val="16"/>
          <w:color w:val="auto"/>
        </w:rPr>
      </w:pPr>
      <w:r>
        <w:rPr>
          <w:rFonts w:ascii="Arial" w:cs="Arial" w:eastAsia="Arial" w:hAnsi="Arial"/>
          <w:sz w:val="16"/>
          <w:szCs w:val="16"/>
          <w:color w:val="auto"/>
        </w:rPr>
        <w:t>Seller shall provide the Additional Unit Notice to each Purchaser upon the closing of the Major Acquisition and, at any time Seller believes in good faith that the Major Acquisition is reasonably likely to close, Seller may provide the Additional Unit Notice to each Purchaser.</w:t>
      </w:r>
    </w:p>
    <w:p>
      <w:pPr>
        <w:spacing w:after="0" w:line="123" w:lineRule="exact"/>
        <w:rPr>
          <w:rFonts w:ascii="Arial" w:cs="Arial" w:eastAsia="Arial" w:hAnsi="Arial"/>
          <w:sz w:val="16"/>
          <w:szCs w:val="16"/>
          <w:color w:val="auto"/>
        </w:rPr>
      </w:pPr>
    </w:p>
    <w:p>
      <w:pPr>
        <w:ind w:right="40" w:firstLine="1953"/>
        <w:spacing w:after="0" w:line="257" w:lineRule="auto"/>
        <w:tabs>
          <w:tab w:leader="none" w:pos="2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Upon delivery to each Purchaser of the Additional Unit Notice in either of the circumstances described above in Section 2.01(b)(i), Seller agrees to sell to each Purchaser, and each Purchaser agrees to purchase from Seller, the number of Additional Units set forth opposite such Purchaser’s name on Schedule 2.01 to this Agreement, and such Purchaser agrees to pay Seller the amount of the Purchase Price in respect of such Additional Units set forth opposite such Purchaser’s name under the column entitled “Purchase Price — Additional Units” on Schedule 2.01 to this Agreement as consideration for such Additional Units.</w:t>
      </w:r>
    </w:p>
    <w:p>
      <w:pPr>
        <w:spacing w:after="0" w:line="18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Closing</w:t>
      </w:r>
      <w:r>
        <w:rPr>
          <w:rFonts w:ascii="Arial" w:cs="Arial" w:eastAsia="Arial" w:hAnsi="Arial"/>
          <w:sz w:val="17"/>
          <w:szCs w:val="17"/>
          <w:color w:val="auto"/>
        </w:rPr>
        <w:t>. The closing of the purchase and sale of the Base Units hereunder (the “</w:t>
      </w:r>
      <w:r>
        <w:rPr>
          <w:rFonts w:ascii="Arial" w:cs="Arial" w:eastAsia="Arial" w:hAnsi="Arial"/>
          <w:sz w:val="17"/>
          <w:szCs w:val="17"/>
          <w:u w:val="single" w:color="auto"/>
          <w:color w:val="auto"/>
        </w:rPr>
        <w:t>Base Unit Closing</w:t>
      </w:r>
      <w:r>
        <w:rPr>
          <w:rFonts w:ascii="Arial" w:cs="Arial" w:eastAsia="Arial" w:hAnsi="Arial"/>
          <w:sz w:val="17"/>
          <w:szCs w:val="17"/>
          <w:color w:val="auto"/>
        </w:rPr>
        <w:t>”) shall take place at the offices of Vinson &amp; Elkins L.L.P., Houston, Texas, at 9:00 a.m., local time, on March 22, 2006 (the “</w:t>
      </w:r>
      <w:r>
        <w:rPr>
          <w:rFonts w:ascii="Arial" w:cs="Arial" w:eastAsia="Arial" w:hAnsi="Arial"/>
          <w:sz w:val="17"/>
          <w:szCs w:val="17"/>
          <w:u w:val="single" w:color="auto"/>
          <w:color w:val="auto"/>
        </w:rPr>
        <w:t>Base Unit Closing Date</w:t>
      </w:r>
      <w:r>
        <w:rPr>
          <w:rFonts w:ascii="Arial" w:cs="Arial" w:eastAsia="Arial" w:hAnsi="Arial"/>
          <w:sz w:val="17"/>
          <w:szCs w:val="17"/>
          <w:color w:val="auto"/>
        </w:rPr>
        <w:t>”). Any closing of the purchase and sale of the Additional Units hereunder (the “</w:t>
      </w:r>
      <w:r>
        <w:rPr>
          <w:rFonts w:ascii="Arial" w:cs="Arial" w:eastAsia="Arial" w:hAnsi="Arial"/>
          <w:sz w:val="17"/>
          <w:szCs w:val="17"/>
          <w:u w:val="single" w:color="auto"/>
          <w:color w:val="auto"/>
        </w:rPr>
        <w:t>Additional Unit Closing</w:t>
      </w:r>
      <w:r>
        <w:rPr>
          <w:rFonts w:ascii="Arial" w:cs="Arial" w:eastAsia="Arial" w:hAnsi="Arial"/>
          <w:sz w:val="17"/>
          <w:szCs w:val="17"/>
          <w:color w:val="auto"/>
        </w:rPr>
        <w:t>”) shall take place at the offices of Vinson &amp; Elkins L.L.P., Houston, Texas, at 9:00 a.m., local time, on the fifth Business Day following Seller’s delivery of the Additional Unit Notice (the “</w:t>
      </w:r>
      <w:r>
        <w:rPr>
          <w:rFonts w:ascii="Arial" w:cs="Arial" w:eastAsia="Arial" w:hAnsi="Arial"/>
          <w:sz w:val="17"/>
          <w:szCs w:val="17"/>
          <w:u w:val="single" w:color="auto"/>
          <w:color w:val="auto"/>
        </w:rPr>
        <w:t>Additional Unit Closing Date</w:t>
      </w:r>
      <w:r>
        <w:rPr>
          <w:rFonts w:ascii="Arial" w:cs="Arial" w:eastAsia="Arial" w:hAnsi="Arial"/>
          <w:sz w:val="17"/>
          <w:szCs w:val="17"/>
          <w:color w:val="auto"/>
        </w:rPr>
        <w:t>”).</w:t>
      </w:r>
    </w:p>
    <w:p>
      <w:pPr>
        <w:spacing w:after="0" w:line="1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Independent Obligations</w:t>
      </w:r>
      <w:r>
        <w:rPr>
          <w:rFonts w:ascii="Arial" w:cs="Arial" w:eastAsia="Arial" w:hAnsi="Arial"/>
          <w:sz w:val="16"/>
          <w:szCs w:val="16"/>
          <w:color w:val="auto"/>
        </w:rPr>
        <w:t>. The obligation of each Purchaser hereunder is several and not joint and is independent of the obligation of each other Purchaser, and the failure of, or Seller’s waiver of, performance by any Purchaser does not excuse performance by any other Purchaser or Seller. No Purchaser shall be responsible in any way for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has been represented by its own separate legal counsel in their review and negotiation of this Agreement. Seller has elected to provide all Purchasers with the same material terms and this Agreement for the convenience of Seller and not because it was required or requested to do so by the Purchasers.</w:t>
      </w:r>
    </w:p>
    <w:p>
      <w:pPr>
        <w:sectPr>
          <w:pgSz w:w="11900" w:h="16884" w:orient="portrait"/>
          <w:cols w:equalWidth="0" w:num="1">
            <w:col w:w="11420"/>
          </w:cols>
          <w:pgMar w:left="240" w:top="341" w:right="239" w:bottom="0" w:gutter="0" w:footer="0" w:header="0"/>
        </w:sectPr>
      </w:pPr>
    </w:p>
    <w:bookmarkStart w:id="5" w:name="page6"/>
    <w:bookmarkEnd w:id="5"/>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RELATED TO SELLER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 hereby represents and warrants to Purchasers as follows:</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Corporate Existence of Seller</w:t>
      </w:r>
      <w:r>
        <w:rPr>
          <w:rFonts w:ascii="Arial" w:cs="Arial" w:eastAsia="Arial" w:hAnsi="Arial"/>
          <w:sz w:val="18"/>
          <w:szCs w:val="18"/>
          <w:color w:val="auto"/>
        </w:rPr>
        <w:t>. Seller (a) is a limited partnership duly formed, validly existing and in good standing under the laws of the State of Delaware and (b) has all requisite limited partnership power necessary to own its assets and carry on its business as its business is now being conducted.</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Valid Issuance of Purchased Units</w:t>
      </w:r>
      <w:r>
        <w:rPr>
          <w:rFonts w:ascii="Arial" w:cs="Arial" w:eastAsia="Arial" w:hAnsi="Arial"/>
          <w:sz w:val="16"/>
          <w:szCs w:val="16"/>
          <w:color w:val="auto"/>
        </w:rPr>
        <w:t>. The offer and sale of the Purchased Units and the limited partner interests represented thereby have been duly authorized by Seller and, when issued and delivered to the Purchasers against payment therefor in accordance with the terms of this Agreement, will be validly issued, fully paid (to the extent required under the Partnership Agreement) and nonassessable (except as such nonassessability may be affected by such matters described under the caption “The Partnership Agreement — Limited Liability” in Seller’s Registration Statement on Form S-1 (File No. 333-64107), which is incorporated by reference into Seller’s Registration Statement on Form 8-A/A (File No. 001-14569)).</w:t>
      </w:r>
    </w:p>
    <w:p>
      <w:pPr>
        <w:spacing w:after="0" w:line="1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Form S-3 Eligibility</w:t>
      </w:r>
      <w:r>
        <w:rPr>
          <w:rFonts w:ascii="Arial" w:cs="Arial" w:eastAsia="Arial" w:hAnsi="Arial"/>
          <w:sz w:val="18"/>
          <w:szCs w:val="18"/>
          <w:color w:val="auto"/>
        </w:rPr>
        <w:t>. As of the date hereof, Seller meets the requirements for the use of Form S-3 under the Securities Act, and, as of each Closing Date, Seller will meet the requirements for the use of Form S-3 under the Securities Act.</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at the time it became effective, and the prospectus contained therein, complied, and on the date of this Agreement and each Closing Date and when any post-effective amendment to the Registration Statement becomes effective or any supplement to such prospectus is filed with the Commission, the Registration Statement, the Prospectus and any such amendment or supplement, respectively, will comply, in all material respects with the applicable requirements of the Securities Act; all documents incorporated, or deemed to be incorporated, into the Registration Statement or the Prospectus by reference pursuant to the requirements of Item 12 of Form S-3 under the Securities Act, when they were or are filed with the Commission, conformed or will conform as of their respective dates in all material respects with the applicable requirements of the Exchange Act; and each part of the Registration Statement and any amendment thereto, at the time such part became effective, and the Prospectus and any amendment or supplement thereto, at the time it was or is filed with the Commission pursuant to Rule 424 under the Securities Act and at the time of each Closing, did not and will not contain an untrue statement of a material fact or omit to a state a material fact required to be stated therein or necessary to make the statements therein, in the light of the circumstances under which they were made, not misleading, except that this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representation and warranty does not apply to statements or omissions in the Registration Statement or Prospectus (or in amendments or supplements thereto) made in reliance upon information, if any, furnished in writing to Seller by any Purchaser.</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Seller Commission Documents</w:t>
      </w:r>
      <w:r>
        <w:rPr>
          <w:rFonts w:ascii="Arial" w:cs="Arial" w:eastAsia="Arial" w:hAnsi="Arial"/>
          <w:sz w:val="17"/>
          <w:szCs w:val="17"/>
          <w:color w:val="auto"/>
        </w:rPr>
        <w:t>. Any audited or unaudited financial statements and any notes or schedules included therein incorporated, or deemed to be incorporated, into the Registration Statement or the Prospectus by reference pursuant to the requirements of Item 12 of Form S-3 under the Securities Act, at the time filed, (a) complied as to form in all material respects with applicable accounting requirements and with the published rules and regulations of the Commission with respect thereto, (b) were prepared in accordance with GAAP applied on a consistent basis during the periods involved (except as may be indicated in the notes thereto or, in the case of unaudited statements, as permitted by Form 10-Q of the Commission), and (c) fairly present (subject in the case of unaudited statements to normal, recurring and year-end audit adjustments) in all material respects the consolidated financial position and status of the business of Seller as of the dates thereof and the consolidated results of its operations and cash flows for the periods then ended. PricewaterhouseCoopers LLP is an independent registered public accounting firm with respect to Seller and has not resigned or been dismissed as independent registered public accountants of Seller as a result of or in connection with any disagreement with Seller on any matter of accounting principles or practices, financial statement disclosure or auditing scope or procedures.</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No Breach</w:t>
      </w:r>
      <w:r>
        <w:rPr>
          <w:rFonts w:ascii="Arial" w:cs="Arial" w:eastAsia="Arial" w:hAnsi="Arial"/>
          <w:sz w:val="17"/>
          <w:szCs w:val="17"/>
          <w:color w:val="auto"/>
        </w:rPr>
        <w:t>. The execution, delivery and performance by Seller of this Agreement and all other agreements and instruments to be executed and delivered by Seller pursuant hereto or in connection with the transactions contemplated by this Agreement, and compliance by Seller with the terms and provisions under this Agreement, do not and will not (a) violate any provision of any statute, rule, regulation or order of any court or governmental authority having jurisdiction over Seller or any of its properties or assets, (b) conflict with or result in a violation of Seller’s certificate of limited partnership or the Partnership Agreement, or (c) result in a violation or breach of or constitute a default under any material agreement to which Seller is a party or by which Seller or any of its properties is bound, except, in the case of clauses (a) and (c), where such violation, breach or default would not, individually or in the aggregate, reasonably be expected to have a Seller Material Adverse Effect.</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3.07 </w:t>
      </w:r>
      <w:r>
        <w:rPr>
          <w:rFonts w:ascii="Arial" w:cs="Arial" w:eastAsia="Arial" w:hAnsi="Arial"/>
          <w:sz w:val="17"/>
          <w:szCs w:val="17"/>
          <w:u w:val="single" w:color="auto"/>
          <w:color w:val="auto"/>
        </w:rPr>
        <w:t>Authority</w:t>
      </w:r>
      <w:r>
        <w:rPr>
          <w:rFonts w:ascii="Arial" w:cs="Arial" w:eastAsia="Arial" w:hAnsi="Arial"/>
          <w:sz w:val="17"/>
          <w:szCs w:val="17"/>
          <w:color w:val="auto"/>
        </w:rPr>
        <w:t>. Seller has all necessary limited partnership power and authority to execute, deliver and perform its obligations under this Agreement, and to consummate the transactions contemplated hereby; the execution, delivery and performance by Seller of this Agreement, and the consummation of the transactions contemplated hereby, have been duly authorized by all necessary limited partnership action on its part; and this Agreement constitutes the legal, valid and binding obligation of Seller, enforceable in accordance with its terms, except as such enforceability may be limited by bankruptcy, insolvency, fraudulent transfer and similar laws affecting creditors’ rights generally or by general principles of equity.</w:t>
      </w:r>
    </w:p>
    <w:p>
      <w:pPr>
        <w:spacing w:after="0" w:line="173"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Approvals</w:t>
      </w:r>
      <w:r>
        <w:rPr>
          <w:rFonts w:ascii="Arial" w:cs="Arial" w:eastAsia="Arial" w:hAnsi="Arial"/>
          <w:sz w:val="18"/>
          <w:szCs w:val="18"/>
          <w:color w:val="auto"/>
        </w:rPr>
        <w:t>. No authorization, consent, approval, waiver, license, qualification or written exemption from, nor any filing, declaration, qualification or registration with, any governmental authority or any other Person is required in connection with the execution, delivery or performance by Seller of this Agreement, except where the failure to receive such authorization, consent, approval, waiver, license, qualification or written exemption,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or to make such filing, declaration, qualification or registration, would not, individually or in the aggregate, reasonably be expected to have a Seller Material Adverse Effect.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Seller is not an “investment company” within the meaning of the Investment Company Act of 1940, as amended.</w:t>
      </w:r>
    </w:p>
    <w:p>
      <w:pPr>
        <w:sectPr>
          <w:pgSz w:w="11900" w:h="16902" w:orient="portrait"/>
          <w:cols w:equalWidth="0" w:num="1">
            <w:col w:w="11420"/>
          </w:cols>
          <w:pgMar w:left="240" w:top="337" w:right="239" w:bottom="0" w:gutter="0" w:footer="0" w:header="0"/>
        </w:sectPr>
      </w:pPr>
    </w:p>
    <w:bookmarkStart w:id="6" w:name="page7"/>
    <w:bookmarkEnd w:id="6"/>
    <w:p>
      <w:pPr>
        <w:ind w:right="760" w:firstLine="648"/>
        <w:spacing w:after="0" w:line="342"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Certain Fees</w:t>
      </w:r>
      <w:r>
        <w:rPr>
          <w:rFonts w:ascii="Arial" w:cs="Arial" w:eastAsia="Arial" w:hAnsi="Arial"/>
          <w:sz w:val="16"/>
          <w:szCs w:val="16"/>
          <w:color w:val="auto"/>
        </w:rPr>
        <w:t>. Other than the Commitment Fee, no fees or commissions will be payable by Seller to brokers, finders, or investment bankers with respect to the sale of any of the Purchased Units or the consummation of the transaction contemplated by this Agreement.</w:t>
      </w:r>
    </w:p>
    <w:p>
      <w:pPr>
        <w:spacing w:after="0" w:line="12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No Side Agreements</w:t>
      </w:r>
      <w:r>
        <w:rPr>
          <w:rFonts w:ascii="Arial" w:cs="Arial" w:eastAsia="Arial" w:hAnsi="Arial"/>
          <w:sz w:val="18"/>
          <w:szCs w:val="18"/>
          <w:color w:val="auto"/>
        </w:rPr>
        <w:t>. Other than (a) any existing confidentiality agreements in favor of Seller that have been executed by any Purchaser or to which any Purchaser is otherwise bound and (b) any total return swap letter contemplated by Section 5.04(c), there are no other agreements by, among or between Seller or its Affiliates, on the one hand, and Purchasers or their Affiliates, on the other hand, with respect to the transactions contemplated hereby.</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MLP Status</w:t>
      </w:r>
      <w:r>
        <w:rPr>
          <w:rFonts w:ascii="Arial" w:cs="Arial" w:eastAsia="Arial" w:hAnsi="Arial"/>
          <w:sz w:val="18"/>
          <w:szCs w:val="18"/>
          <w:color w:val="auto"/>
        </w:rPr>
        <w:t>. Seller has, since its formation, met the gross income requirements of Section 7704(c)(2) of the Internal Revenue Code of 1986, as amended.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PURCHASERS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Purchaser, severally and not jointly, hereby represents and warrants to Seller as follows: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Such Purchaser (a) is an entity duly organized, validly existing and in good standing, as applicable, under the laws of its jurisdiction of organization and (b) has all requisite power necessary to own its assets and carry on its business as its business is now being conducted.</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by such Purchaser of this Agreement and all other agreements and instruments to be executed and delivered by such Purchaser pursuant hereto or in connection herewith, compliance by such Purchaser with the terms and provisions hereof and the purchase of the Purchased Units by such Purchaser do not and will not (a) violate any provision of any statute, rule, regulation or order of any court or governmental authority having jurisdiction over such Purchaser or any of its properties or assets, (b) conflict with or result in a violation of any provision of the organizational documents of such Purchaser, or (c) result in a violation or breach of or constitute a default under any material agreement to which such Purchaser is a party or by which such Purchaser or any of its properties is bound, except, in the case of clauses (a) and (c), where such violation, breach or default would not, individually or in the aggregate, reasonably be likely to have a Purchaser Material Adverse Effect.</w:t>
      </w:r>
    </w:p>
    <w:p>
      <w:pPr>
        <w:spacing w:after="0" w:line="16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Ownership of Securities</w:t>
      </w:r>
      <w:r>
        <w:rPr>
          <w:rFonts w:ascii="Arial" w:cs="Arial" w:eastAsia="Arial" w:hAnsi="Arial"/>
          <w:sz w:val="18"/>
          <w:szCs w:val="18"/>
          <w:color w:val="auto"/>
        </w:rPr>
        <w:t>. Such Purchaser and its Affiliates do not, as of the date hereof, and, as of each Closing Date, will not, own ten percent or more of Seller’s issued and outstanding Common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Trading Activities</w:t>
      </w:r>
      <w:r>
        <w:rPr>
          <w:rFonts w:ascii="Arial" w:cs="Arial" w:eastAsia="Arial" w:hAnsi="Arial"/>
          <w:sz w:val="17"/>
          <w:szCs w:val="17"/>
          <w:color w:val="auto"/>
        </w:rPr>
        <w:t>. Such Purchaser’s trading activities, if any, with respect to Seller’s Common Units (including the Purchased Units) will be in compliance with all applicable state and federal securities laws, rules and regulations and the rules and regulations of the NYSE.</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Certain Fees</w:t>
      </w:r>
      <w:r>
        <w:rPr>
          <w:rFonts w:ascii="Arial" w:cs="Arial" w:eastAsia="Arial" w:hAnsi="Arial"/>
          <w:sz w:val="18"/>
          <w:szCs w:val="18"/>
          <w:color w:val="auto"/>
        </w:rPr>
        <w:t>. No fees or commissions will be payable by such Purchaser to brokers, finders, or investment bankers with respect to the sale of any of the Purchased Units or the consummation of the transaction contemplated by this Agreement.</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No Side Agreements</w:t>
      </w:r>
      <w:r>
        <w:rPr>
          <w:rFonts w:ascii="Arial" w:cs="Arial" w:eastAsia="Arial" w:hAnsi="Arial"/>
          <w:sz w:val="18"/>
          <w:szCs w:val="18"/>
          <w:color w:val="auto"/>
        </w:rPr>
        <w:t>. Other than (a) any existing confidentiality agreements in favor of Seller that have been executed by any Purchaser or to which any Purchaser is otherwise bound and (b) any total return swap letter contemplated by Section 5.04(c), there are no other agreements by, among or between such Purchaser and any of its Affiliates, on the one hand, and any of Seller or its Affiliates, on the other hand, with respect to the transactions contemplated hereby.</w:t>
      </w:r>
    </w:p>
    <w:p>
      <w:pPr>
        <w:spacing w:after="0" w:line="187" w:lineRule="exact"/>
        <w:rPr>
          <w:sz w:val="20"/>
          <w:szCs w:val="20"/>
          <w:color w:val="auto"/>
        </w:rPr>
      </w:pPr>
    </w:p>
    <w:p>
      <w:pPr>
        <w:jc w:val="both"/>
        <w:ind w:right="520" w:firstLine="648"/>
        <w:spacing w:after="0" w:line="312"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Seller Information</w:t>
      </w:r>
      <w:r>
        <w:rPr>
          <w:rFonts w:ascii="Arial" w:cs="Arial" w:eastAsia="Arial" w:hAnsi="Arial"/>
          <w:sz w:val="16"/>
          <w:szCs w:val="16"/>
          <w:color w:val="auto"/>
        </w:rPr>
        <w:t>. Each Purchaser acknowledges and agrees that Seller has provided or made available to such Purchaser (through EDGAR or otherwise) the Registration Statement, all documents filed by Seller with the Commission through the date of this Agreement and incorporated by reference into the Registration Statement and all press releases issued by Seller through the date of this 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CONDITIONS</w:t>
      </w:r>
    </w:p>
    <w:p>
      <w:pPr>
        <w:spacing w:after="0" w:line="21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Conditions to the Closing</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4" w:lineRule="auto"/>
        <w:tabs>
          <w:tab w:leader="none" w:pos="134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Mutual Conditions</w:t>
      </w:r>
      <w:r>
        <w:rPr>
          <w:rFonts w:ascii="Arial" w:cs="Arial" w:eastAsia="Arial" w:hAnsi="Arial"/>
          <w:sz w:val="18"/>
          <w:szCs w:val="18"/>
          <w:color w:val="auto"/>
        </w:rPr>
        <w:t>. The respective obligation of each Party to consummate the purchase and issuance and sale of the Purchased Units shall be subject to the satisfaction on or prior to each Closing Date of each of the following conditions (any or all of which may be waived by a particular Party on behalf of itself in writing, in whole or in part, to the extent permitted by applicable law):</w:t>
      </w:r>
    </w:p>
    <w:p>
      <w:pPr>
        <w:spacing w:after="0" w:line="181" w:lineRule="exact"/>
        <w:rPr>
          <w:rFonts w:ascii="Arial" w:cs="Arial" w:eastAsia="Arial" w:hAnsi="Arial"/>
          <w:sz w:val="18"/>
          <w:szCs w:val="18"/>
          <w:color w:val="auto"/>
        </w:rPr>
      </w:pPr>
    </w:p>
    <w:p>
      <w:pPr>
        <w:ind w:left="660" w:firstLine="645"/>
        <w:spacing w:after="0" w:line="312" w:lineRule="auto"/>
        <w:tabs>
          <w:tab w:leader="none" w:pos="2018" w:val="left"/>
        </w:tabs>
        <w:numPr>
          <w:ilvl w:val="1"/>
          <w:numId w:val="4"/>
        </w:numPr>
        <w:rPr>
          <w:rFonts w:ascii="Arial" w:cs="Arial" w:eastAsia="Arial" w:hAnsi="Arial"/>
          <w:sz w:val="16"/>
          <w:szCs w:val="16"/>
          <w:color w:val="auto"/>
        </w:rPr>
      </w:pPr>
      <w:r>
        <w:rPr>
          <w:rFonts w:ascii="Arial" w:cs="Arial" w:eastAsia="Arial" w:hAnsi="Arial"/>
          <w:sz w:val="16"/>
          <w:szCs w:val="16"/>
          <w:color w:val="auto"/>
        </w:rPr>
        <w:t>no statute, rule, regulation or order shall have been enacted or promulgated, and no action shall have been taken, by any governmental authority of competent jurisdiction which temporarily, preliminarily or permanently restrains, precludes, enjoins or otherwise prohibits the consummation of the transactions contemplated by this Agreement or makes the transactions contemplated by this Agreement illegal;</w:t>
      </w:r>
    </w:p>
    <w:p>
      <w:pPr>
        <w:spacing w:after="0" w:line="146" w:lineRule="exact"/>
        <w:rPr>
          <w:rFonts w:ascii="Arial" w:cs="Arial" w:eastAsia="Arial" w:hAnsi="Arial"/>
          <w:sz w:val="16"/>
          <w:szCs w:val="16"/>
          <w:color w:val="auto"/>
        </w:rPr>
      </w:pPr>
    </w:p>
    <w:p>
      <w:pPr>
        <w:ind w:left="660" w:right="280" w:firstLine="645"/>
        <w:spacing w:after="0" w:line="277" w:lineRule="auto"/>
        <w:tabs>
          <w:tab w:leader="none" w:pos="202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there shall not be pending any suit, action or proceeding by any governmental authority seeking to restrain, preclude, enjoin or prohibit the transactions contemplated by this Agreement;</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Purchased Units shall have been approved for listing on the NYSE, subject to notice of issuance;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20" w:firstLine="645"/>
        <w:spacing w:after="0" w:line="277" w:lineRule="auto"/>
        <w:tabs>
          <w:tab w:leader="none" w:pos="201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part thereof shall have been issued and no proceedings for that purpose shall have been instituted or threatened by any governmental authority.</w:t>
      </w:r>
    </w:p>
    <w:p>
      <w:pPr>
        <w:sectPr>
          <w:pgSz w:w="11900" w:h="16838" w:orient="portrait"/>
          <w:cols w:equalWidth="0" w:num="1">
            <w:col w:w="11400"/>
          </w:cols>
          <w:pgMar w:left="240" w:top="341" w:right="259" w:bottom="0" w:gutter="0" w:footer="0" w:header="0"/>
        </w:sectPr>
      </w:pPr>
    </w:p>
    <w:bookmarkStart w:id="7" w:name="page8"/>
    <w:bookmarkEnd w:id="7"/>
    <w:p>
      <w:pPr>
        <w:ind w:right="20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Each Purchaser’s Conditions</w:t>
      </w:r>
      <w:r>
        <w:rPr>
          <w:rFonts w:ascii="Arial" w:cs="Arial" w:eastAsia="Arial" w:hAnsi="Arial"/>
          <w:sz w:val="18"/>
          <w:szCs w:val="18"/>
          <w:color w:val="auto"/>
        </w:rPr>
        <w:t>. The respective obligation of each Purchaser to consummate the purchase of its Purchased Units shall be subject to the satisfaction on or prior to each Closing Date of each of the following conditions (any or all of which may be waived by a particular Purchaser on behalf of itself in writing, in whole or in part, to the extent permitted by applicable law):</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2018" w:val="left"/>
        </w:tabs>
        <w:numPr>
          <w:ilvl w:val="1"/>
          <w:numId w:val="6"/>
        </w:numPr>
        <w:rPr>
          <w:rFonts w:ascii="Arial" w:cs="Arial" w:eastAsia="Arial" w:hAnsi="Arial"/>
          <w:sz w:val="18"/>
          <w:szCs w:val="18"/>
          <w:color w:val="auto"/>
        </w:rPr>
      </w:pPr>
      <w:r>
        <w:rPr>
          <w:rFonts w:ascii="Arial" w:cs="Arial" w:eastAsia="Arial" w:hAnsi="Arial"/>
          <w:sz w:val="18"/>
          <w:szCs w:val="18"/>
          <w:color w:val="auto"/>
        </w:rPr>
        <w:t>Seller shall have performed and complied with the covenants and agreements contained in this Agreement that are required to be performed and complied with by Seller on or prior to the Closing Date;</w:t>
      </w:r>
    </w:p>
    <w:p>
      <w:pPr>
        <w:spacing w:after="0" w:line="170" w:lineRule="exact"/>
        <w:rPr>
          <w:rFonts w:ascii="Arial" w:cs="Arial" w:eastAsia="Arial" w:hAnsi="Arial"/>
          <w:sz w:val="18"/>
          <w:szCs w:val="18"/>
          <w:color w:val="auto"/>
        </w:rPr>
      </w:pPr>
    </w:p>
    <w:p>
      <w:pPr>
        <w:ind w:left="660" w:firstLine="645"/>
        <w:spacing w:after="0" w:line="279" w:lineRule="auto"/>
        <w:tabs>
          <w:tab w:leader="none" w:pos="2023"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representations and warranties of Seller contained in this Agreement that are qualified by materiality or Seller Material Adverse Effect shall be true and correct when made and as of the applicable Closing Date and all other representations and warranties shall be true and correct in all material respects when made and as of the applicable Closing Date, in each case as though made at and as of the applicable Closing Date (except that representations made as of a specific date shall be required to be true and correct as of such date only);</w:t>
      </w:r>
    </w:p>
    <w:p>
      <w:pPr>
        <w:spacing w:after="0" w:line="171" w:lineRule="exact"/>
        <w:rPr>
          <w:rFonts w:ascii="Arial" w:cs="Arial" w:eastAsia="Arial" w:hAnsi="Arial"/>
          <w:sz w:val="17"/>
          <w:szCs w:val="17"/>
          <w:color w:val="auto"/>
        </w:rPr>
      </w:pPr>
    </w:p>
    <w:p>
      <w:pPr>
        <w:ind w:left="2020" w:hanging="715"/>
        <w:spacing w:after="0"/>
        <w:tabs>
          <w:tab w:leader="none" w:pos="2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since December 31, 2005, no Seller Material Adverse Effect shall have occurred and be continuing;</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6"/>
        </w:numPr>
        <w:rPr>
          <w:rFonts w:ascii="Arial" w:cs="Arial" w:eastAsia="Arial" w:hAnsi="Arial"/>
          <w:sz w:val="17"/>
          <w:szCs w:val="17"/>
          <w:color w:val="auto"/>
        </w:rPr>
      </w:pPr>
      <w:r>
        <w:rPr>
          <w:rFonts w:ascii="Arial" w:cs="Arial" w:eastAsia="Arial" w:hAnsi="Arial"/>
          <w:sz w:val="17"/>
          <w:szCs w:val="17"/>
          <w:color w:val="auto"/>
        </w:rPr>
        <w:t>in the case of the Base Unit Closing, Seller shall have concurrently paid the Commitment Fee owing to each Purchaser;</w:t>
      </w:r>
    </w:p>
    <w:p>
      <w:pPr>
        <w:spacing w:after="0" w:line="236" w:lineRule="exact"/>
        <w:rPr>
          <w:rFonts w:ascii="Arial" w:cs="Arial" w:eastAsia="Arial" w:hAnsi="Arial"/>
          <w:sz w:val="17"/>
          <w:szCs w:val="17"/>
          <w:color w:val="auto"/>
        </w:rPr>
      </w:pPr>
    </w:p>
    <w:p>
      <w:pPr>
        <w:ind w:left="660" w:right="360" w:firstLine="645"/>
        <w:spacing w:after="0" w:line="277" w:lineRule="auto"/>
        <w:tabs>
          <w:tab w:leader="none" w:pos="2013"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case of the Additional Unit Closing, Seller shall have delivered to the Purchasers the Additional Unit Notice during the Commitment Period;</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2018" w:val="left"/>
        </w:tabs>
        <w:numPr>
          <w:ilvl w:val="1"/>
          <w:numId w:val="6"/>
        </w:numPr>
        <w:rPr>
          <w:rFonts w:ascii="Arial" w:cs="Arial" w:eastAsia="Arial" w:hAnsi="Arial"/>
          <w:sz w:val="18"/>
          <w:szCs w:val="18"/>
          <w:color w:val="auto"/>
        </w:rPr>
      </w:pPr>
      <w:r>
        <w:rPr>
          <w:rFonts w:ascii="Arial" w:cs="Arial" w:eastAsia="Arial" w:hAnsi="Arial"/>
          <w:sz w:val="18"/>
          <w:szCs w:val="18"/>
          <w:color w:val="auto"/>
        </w:rPr>
        <w:t>Seller shall have delivered, or caused to be delivered, to the Purchasers at the applicable Closing, Seller’s closing deliveries described in Section 5.03 of this Agreement; and</w:t>
      </w:r>
    </w:p>
    <w:p>
      <w:pPr>
        <w:spacing w:after="0" w:line="170" w:lineRule="exact"/>
        <w:rPr>
          <w:rFonts w:ascii="Arial" w:cs="Arial" w:eastAsia="Arial" w:hAnsi="Arial"/>
          <w:sz w:val="18"/>
          <w:szCs w:val="18"/>
          <w:color w:val="auto"/>
        </w:rPr>
      </w:pPr>
    </w:p>
    <w:p>
      <w:pPr>
        <w:ind w:left="660" w:right="640" w:firstLine="645"/>
        <w:spacing w:after="0" w:line="277" w:lineRule="auto"/>
        <w:tabs>
          <w:tab w:leader="none" w:pos="2023" w:val="left"/>
        </w:tabs>
        <w:numPr>
          <w:ilvl w:val="1"/>
          <w:numId w:val="6"/>
        </w:numPr>
        <w:rPr>
          <w:rFonts w:ascii="Arial" w:cs="Arial" w:eastAsia="Arial" w:hAnsi="Arial"/>
          <w:sz w:val="18"/>
          <w:szCs w:val="18"/>
          <w:color w:val="auto"/>
        </w:rPr>
      </w:pPr>
      <w:r>
        <w:rPr>
          <w:rFonts w:ascii="Arial" w:cs="Arial" w:eastAsia="Arial" w:hAnsi="Arial"/>
          <w:sz w:val="18"/>
          <w:szCs w:val="18"/>
          <w:color w:val="auto"/>
        </w:rPr>
        <w:t>Seller shall have filed with the Commission a prospectus supplement to the Prospectus related to the purchase and sale of applicable Purchased Units.</w:t>
      </w:r>
    </w:p>
    <w:p>
      <w:pPr>
        <w:spacing w:after="0" w:line="170" w:lineRule="exact"/>
        <w:rPr>
          <w:rFonts w:ascii="Arial" w:cs="Arial" w:eastAsia="Arial" w:hAnsi="Arial"/>
          <w:sz w:val="18"/>
          <w:szCs w:val="18"/>
          <w:color w:val="auto"/>
        </w:rPr>
      </w:pPr>
    </w:p>
    <w:p>
      <w:pPr>
        <w:ind w:right="40" w:firstLine="656"/>
        <w:spacing w:after="0" w:line="286" w:lineRule="auto"/>
        <w:tabs>
          <w:tab w:leader="none" w:pos="1343"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Seller’s Conditions</w:t>
      </w:r>
      <w:r>
        <w:rPr>
          <w:rFonts w:ascii="Arial" w:cs="Arial" w:eastAsia="Arial" w:hAnsi="Arial"/>
          <w:sz w:val="17"/>
          <w:szCs w:val="17"/>
          <w:color w:val="auto"/>
        </w:rPr>
        <w:t>. The obligation of Seller to consummate the sale of the Purchased Units to each of the Purchasers shall be subject to the satisfaction on or prior to each Closing Date of each of the following conditions with respect to each Purchaser individually and not the Purchasers jointly (any or all of which may be waived by Seller in writing, in whole or in part, to the extent permitted by applicable law):</w:t>
      </w:r>
    </w:p>
    <w:p>
      <w:pPr>
        <w:spacing w:after="0" w:line="165" w:lineRule="exact"/>
        <w:rPr>
          <w:rFonts w:ascii="Arial" w:cs="Arial" w:eastAsia="Arial" w:hAnsi="Arial"/>
          <w:sz w:val="17"/>
          <w:szCs w:val="17"/>
          <w:color w:val="auto"/>
        </w:rPr>
      </w:pPr>
    </w:p>
    <w:p>
      <w:pPr>
        <w:ind w:left="660" w:right="500" w:firstLine="645"/>
        <w:spacing w:after="0" w:line="277" w:lineRule="auto"/>
        <w:tabs>
          <w:tab w:leader="none" w:pos="2018" w:val="left"/>
        </w:tabs>
        <w:numPr>
          <w:ilvl w:val="1"/>
          <w:numId w:val="6"/>
        </w:numPr>
        <w:rPr>
          <w:rFonts w:ascii="Arial" w:cs="Arial" w:eastAsia="Arial" w:hAnsi="Arial"/>
          <w:sz w:val="18"/>
          <w:szCs w:val="18"/>
          <w:color w:val="auto"/>
        </w:rPr>
      </w:pPr>
      <w:r>
        <w:rPr>
          <w:rFonts w:ascii="Arial" w:cs="Arial" w:eastAsia="Arial" w:hAnsi="Arial"/>
          <w:sz w:val="18"/>
          <w:szCs w:val="18"/>
          <w:color w:val="auto"/>
        </w:rPr>
        <w:t>each Purchaser shall have performed and complied with the covenants and agreements contained in this Agreement that are required to be performed and complied with by that Purchaser on or prior to the applicable Closing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right="60" w:firstLine="645"/>
        <w:spacing w:after="0" w:line="302" w:lineRule="auto"/>
        <w:tabs>
          <w:tab w:leader="none" w:pos="202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representations and warranties of each Purchaser contained in this Agreement that are qualified by materiality or Purchaser Material Adverse Effect shall be true and correct when made and as of the applicable Closing Date and all other representations and warranties shall be true and correct in all material respects when made and as of the applicable Closing Date, in each case as though made at and as of the applicable Closing Date (except that representations made as of a specific date shall be required to be true and correct as of such date only);</w:t>
      </w:r>
    </w:p>
    <w:p>
      <w:pPr>
        <w:spacing w:after="0" w:line="154" w:lineRule="exact"/>
        <w:rPr>
          <w:rFonts w:ascii="Arial" w:cs="Arial" w:eastAsia="Arial" w:hAnsi="Arial"/>
          <w:sz w:val="16"/>
          <w:szCs w:val="16"/>
          <w:color w:val="auto"/>
        </w:rPr>
      </w:pPr>
    </w:p>
    <w:p>
      <w:pPr>
        <w:ind w:left="2020" w:hanging="715"/>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the date of this Agreement, no Purchaser Material Adverse Effect shall have occurred and be continuing; and</w:t>
      </w:r>
    </w:p>
    <w:p>
      <w:pPr>
        <w:spacing w:after="0" w:line="225" w:lineRule="exact"/>
        <w:rPr>
          <w:rFonts w:ascii="Arial" w:cs="Arial" w:eastAsia="Arial" w:hAnsi="Arial"/>
          <w:sz w:val="18"/>
          <w:szCs w:val="18"/>
          <w:color w:val="auto"/>
        </w:rPr>
      </w:pPr>
    </w:p>
    <w:p>
      <w:pPr>
        <w:ind w:left="660" w:right="540" w:firstLine="645"/>
        <w:spacing w:after="0" w:line="277" w:lineRule="auto"/>
        <w:tabs>
          <w:tab w:leader="none" w:pos="2018"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Purchaser shall have delivered, or caused to be delivered, to Seller at the applicable Closing, such Purchaser’s closing deliveries described in Section 5.04 of this Agreement.</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In the event that any condition to a Party’s obligation to close specified in Section 5.01 is not satisfied or waived on the Base Unit Closing Date, such Party may terminate this Agreement upon written notice to the other Party. In the event that any condition to a Party’s obligation to close specified in Section 5.01 is not satisfied or waived on the Additional Unit Closing Date, such Party may terminate its obligation to sell or purchase Additional Units, as the case may be, upon written notice to the other Party, and this Agreement shall otherwise remain in full force and effect pursuant to the terms hereof. In the event of any termination of this Agreement, this Agreement shall forthwith become null and void. In the event of such termination, there shall be no liability on the part of any Party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relieve any Party from any liability or obligation with respect to any willful breach of this Agreement. Notwithstanding the foregoing, any termination of this Agreement or an obligation to purchase Additional Units by any Purchaser shall not serve to terminate this Agreement or any obligation to purchase Additional Units as between any Purchaser not so terminating and Seller.</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Seller Deliveries</w:t>
      </w:r>
      <w:r>
        <w:rPr>
          <w:rFonts w:ascii="Arial" w:cs="Arial" w:eastAsia="Arial" w:hAnsi="Arial"/>
          <w:sz w:val="18"/>
          <w:szCs w:val="18"/>
          <w:color w:val="auto"/>
        </w:rPr>
        <w:t>. At the applicable Closing, subject to the terms and conditions of this Agreement, Seller will deliver, or cause to be delivered, to the Purchasers:</w:t>
      </w:r>
    </w:p>
    <w:p>
      <w:pPr>
        <w:spacing w:after="0" w:line="170" w:lineRule="exact"/>
        <w:rPr>
          <w:sz w:val="20"/>
          <w:szCs w:val="20"/>
          <w:color w:val="auto"/>
        </w:rPr>
      </w:pPr>
    </w:p>
    <w:p>
      <w:pPr>
        <w:ind w:right="140" w:firstLine="656"/>
        <w:spacing w:after="0" w:line="312" w:lineRule="auto"/>
        <w:tabs>
          <w:tab w:leader="none" w:pos="1343"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Base Unit Closing, payment to each Purchaser of the Commitment Fee set forth opposite such Purchaser’s name under the column entitled “Commitment Fee” on Schedule 2.01 to this Agreement by wire transfer of immediately available funds to an account designated by such Purchaser in writing at least two (2) Business Days (or such shorter period as shall be agreeable to the applicable Parties) prior to the Base Unit Closing;</w:t>
      </w:r>
    </w:p>
    <w:p>
      <w:pPr>
        <w:spacing w:after="0" w:line="146" w:lineRule="exact"/>
        <w:rPr>
          <w:rFonts w:ascii="Arial" w:cs="Arial" w:eastAsia="Arial" w:hAnsi="Arial"/>
          <w:sz w:val="16"/>
          <w:szCs w:val="16"/>
          <w:color w:val="auto"/>
        </w:rPr>
      </w:pPr>
    </w:p>
    <w:p>
      <w:pPr>
        <w:ind w:right="120" w:firstLine="656"/>
        <w:spacing w:after="0" w:line="264" w:lineRule="auto"/>
        <w:tabs>
          <w:tab w:leader="none" w:pos="1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applicable Purchased Units, which Seller shall cause to be electronically delivered to The Depository Trust Company on each Purchaser’s behalf, registered in such name(s) as such Purchaser shall, with reasonable notice, have designated, all free and clear of any liens, encumbrances or interests of any other Person; and</w:t>
      </w:r>
    </w:p>
    <w:p>
      <w:pPr>
        <w:spacing w:after="0" w:line="181" w:lineRule="exact"/>
        <w:rPr>
          <w:rFonts w:ascii="Arial" w:cs="Arial" w:eastAsia="Arial" w:hAnsi="Arial"/>
          <w:sz w:val="18"/>
          <w:szCs w:val="18"/>
          <w:color w:val="auto"/>
        </w:rPr>
      </w:pPr>
    </w:p>
    <w:p>
      <w:pPr>
        <w:ind w:left="5620" w:right="40" w:hanging="4964"/>
        <w:spacing w:after="0" w:line="528" w:lineRule="auto"/>
        <w:tabs>
          <w:tab w:leader="none" w:pos="13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officer’s certificate in form reasonably satisfactory to the Purchasers attesting to the matters set forth in Sections 5.01(b)(i), (ii) and (iii).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Purchaser Deliveries</w:t>
      </w:r>
      <w:r>
        <w:rPr>
          <w:rFonts w:ascii="Arial" w:cs="Arial" w:eastAsia="Arial" w:hAnsi="Arial"/>
          <w:sz w:val="18"/>
          <w:szCs w:val="18"/>
          <w:color w:val="auto"/>
        </w:rPr>
        <w:t>. At the Closing, subject to the terms and conditions of this Agreement, each Purchaser will deliver, or cause to be delivered, to Seller:</w:t>
      </w:r>
    </w:p>
    <w:p>
      <w:pPr>
        <w:sectPr>
          <w:pgSz w:w="11900" w:h="16838" w:orient="portrait"/>
          <w:cols w:equalWidth="0" w:num="1">
            <w:col w:w="11400"/>
          </w:cols>
          <w:pgMar w:left="240" w:top="125" w:right="259" w:bottom="0" w:gutter="0" w:footer="0" w:header="0"/>
        </w:sectPr>
      </w:pPr>
    </w:p>
    <w:bookmarkStart w:id="8" w:name="page9"/>
    <w:bookmarkEnd w:id="8"/>
    <w:p>
      <w:pPr>
        <w:ind w:right="220" w:firstLine="656"/>
        <w:spacing w:after="0" w:line="286" w:lineRule="auto"/>
        <w:tabs>
          <w:tab w:leader="none" w:pos="1343" w:val="left"/>
        </w:tabs>
        <w:numPr>
          <w:ilvl w:val="0"/>
          <w:numId w:val="9"/>
        </w:numPr>
        <w:rPr>
          <w:rFonts w:ascii="Arial" w:cs="Arial" w:eastAsia="Arial" w:hAnsi="Arial"/>
          <w:sz w:val="17"/>
          <w:szCs w:val="17"/>
          <w:color w:val="auto"/>
        </w:rPr>
      </w:pPr>
      <w:r>
        <w:rPr>
          <w:rFonts w:ascii="Arial" w:cs="Arial" w:eastAsia="Arial" w:hAnsi="Arial"/>
          <w:sz w:val="17"/>
          <w:szCs w:val="17"/>
          <w:color w:val="auto"/>
        </w:rPr>
        <w:t>payment to Seller of the amount of the applicable Purchase Price set forth opposite such Purchaser’s name on Schedule 2.01 to this Agreement for the applicable Purchased Units by wire transfer of immediately available funds to an account designated by Seller in writing at least two (2) Business Days (or such shorter period as shall be agreeable to the applicable Parties) prior to the applicable Closing;</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officer’s certificate in form reasonably acceptable to Seller attesting to the matters set forth in Sections 5.01(c)(i), (ii) and (iii); and</w:t>
      </w:r>
    </w:p>
    <w:p>
      <w:pPr>
        <w:spacing w:after="0" w:line="236" w:lineRule="exact"/>
        <w:rPr>
          <w:rFonts w:ascii="Arial" w:cs="Arial" w:eastAsia="Arial" w:hAnsi="Arial"/>
          <w:sz w:val="17"/>
          <w:szCs w:val="17"/>
          <w:color w:val="auto"/>
        </w:rPr>
      </w:pPr>
    </w:p>
    <w:p>
      <w:pPr>
        <w:ind w:right="340" w:firstLine="656"/>
        <w:spacing w:after="0" w:line="277" w:lineRule="auto"/>
        <w:tabs>
          <w:tab w:leader="none" w:pos="1343"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respect to any Purchaser effecting a total return swap, Seller shall have received a letter from such Purchaser regarding certain tax withholding matters in form reasonably acceptable to Seller.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Indemnification by Seller</w:t>
      </w:r>
      <w:r>
        <w:rPr>
          <w:rFonts w:ascii="Arial" w:cs="Arial" w:eastAsia="Arial" w:hAnsi="Arial"/>
          <w:sz w:val="17"/>
          <w:szCs w:val="17"/>
          <w:color w:val="auto"/>
        </w:rPr>
        <w:t>. Seller agrees to indemnify each Purchaser and its officers, directors, employees and agents (collectively, “</w:t>
      </w:r>
      <w:r>
        <w:rPr>
          <w:rFonts w:ascii="Arial" w:cs="Arial" w:eastAsia="Arial" w:hAnsi="Arial"/>
          <w:sz w:val="17"/>
          <w:szCs w:val="17"/>
          <w:u w:val="single" w:color="auto"/>
          <w:color w:val="auto"/>
        </w:rPr>
        <w:t>Purchaser Related Parties</w:t>
      </w:r>
      <w:r>
        <w:rPr>
          <w:rFonts w:ascii="Arial" w:cs="Arial" w:eastAsia="Arial" w:hAnsi="Arial"/>
          <w:sz w:val="17"/>
          <w:szCs w:val="17"/>
          <w:color w:val="auto"/>
        </w:rPr>
        <w:t>”),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Seller contained herein, provided such claim for indemnification relating to a breach of a representation or warranty is made prior to the expiration of such representation or warranty. Furthermore, Seller agrees that it will indemnify and hold harmless each Purchaser and Purchaser Related Parties from and against any and all claims, demands or liabilities for broker’s, finder’s, placement or other similar fees or commissions incurred by Seller or alleged to have been incurred by Seller in connection with the sale of any of the Purchased Units or the consummation of the transactions contemplated by this Agreement.</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Indemnification by Purchasers</w:t>
      </w:r>
      <w:r>
        <w:rPr>
          <w:rFonts w:ascii="Arial" w:cs="Arial" w:eastAsia="Arial" w:hAnsi="Arial"/>
          <w:sz w:val="16"/>
          <w:szCs w:val="16"/>
          <w:color w:val="auto"/>
        </w:rPr>
        <w:t>. Each Purchaser agrees, severally and not jointly, to indemnify Seller and its officers, directors, employees and agents (collectively, “</w:t>
      </w:r>
      <w:r>
        <w:rPr>
          <w:rFonts w:ascii="Arial" w:cs="Arial" w:eastAsia="Arial" w:hAnsi="Arial"/>
          <w:sz w:val="16"/>
          <w:szCs w:val="16"/>
          <w:u w:val="single" w:color="auto"/>
          <w:color w:val="auto"/>
        </w:rPr>
        <w:t>Seller Related Parties</w:t>
      </w:r>
      <w:r>
        <w:rPr>
          <w:rFonts w:ascii="Arial" w:cs="Arial" w:eastAsia="Arial" w:hAnsi="Arial"/>
          <w:sz w:val="16"/>
          <w:szCs w:val="16"/>
          <w:color w:val="auto"/>
        </w:rPr>
        <w:t>”)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representations, warranties or covenants of Purchaser contained herein, provided such claim for indemnification relating to a breach of the representations and warranties is made prior to the expiration of such representations and warranties. Furthermore, each Purchaser agrees, severally and not jointly, that it will indemnify and hold harmless Seller and Seller Related Parties from and against any and all claims, demands or liabilities for broker’s, finder’s, placement or other similar fees or commissions incurred by such Purchaser or alleged to have been incurred by such Purchaser in connection with the purchase of any of the Purchased Units or the consummation of the transactions contemplated by this Agreement.</w:t>
      </w:r>
    </w:p>
    <w:p>
      <w:pPr>
        <w:spacing w:after="0" w:line="17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Promptly after any Seller Related Party or Purchaser Related Party (hereinafter, the “</w:t>
      </w:r>
      <w:r>
        <w:rPr>
          <w:rFonts w:ascii="Arial" w:cs="Arial" w:eastAsia="Arial" w:hAnsi="Arial"/>
          <w:sz w:val="16"/>
          <w:szCs w:val="16"/>
          <w:u w:val="single" w:color="auto"/>
          <w:color w:val="auto"/>
        </w:rPr>
        <w:t>Indemnified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Party</w:t>
      </w:r>
      <w:r>
        <w:rPr>
          <w:rFonts w:ascii="Arial" w:cs="Arial" w:eastAsia="Arial" w:hAnsi="Arial"/>
          <w:sz w:val="17"/>
          <w:szCs w:val="17"/>
          <w:color w:val="auto"/>
        </w:rPr>
        <w:t>”) has received notice of any indemnifiable claim hereunder, or the commencement of any Action or proceeding by a third person, which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Indemnified Party believes in good faith is an indemnifiable claim under this Agreement, the Indemnified Party shall give the indemnitor hereunder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written notice of such claim or the commencement of such Action or proceeding, but failure to so notify the Indemnifying Party will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 relieve the Indemnifying Party from any liability it may have to such Indemnified Party hereunder except to the extent that the Indemnifying Party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materially prejudiced by such failure. Such notice shall state the nature and the basis of such claim to the extent then known. The Indemnifying Party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the right to defend and settle, at its own expense and by its own counsel, any such matter as long as the Indemnifying Party pursues the same diligently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in good faith. If the Indemnifying Party undertakes to defend or settle, it shall promptly notify the Indemnified Party of its intention to do so,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Indemnified Party shall cooperate with the Indemnifying Party and its counsel in all commercially reasonable respects in the defense thereof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settlement thereof. Such cooperation shall include, but shall not be limited to, furnishing the Indemnifying Party with any books, records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reasonably requested by the Indemnifying Party and in the Indemnified Party’s possession or control. Such cooperation of the Indemnified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at the cost of the Indemnifying Party. After the Indemnifying Party has notified the Indemnified Party of its intention to undertake to defend or settle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such asserted liability, and for so long as the Indemnifying Party diligently pursues such defense, the Indemnifying Party shall not be liable for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legal expenses incurred by the Indemnified Party in connection with any defense or settlement of such asserted liability; provided, however,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Indemnified Party shall be entitled (a) at its expense, to participate in the defense of such asserted liability and the negotiations of the settlement thereof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(b) if (i) the Indemnifying Party has failed to assume the defense and employ counsel or (ii) if the defendants in any such Action include both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Indemnified Party and the Indemnifying Party and counsel to the Indemnified Party shall have concluded that there may be reasonable defenses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Indemnified Party that are different from or in addition to those available to the Indemnifying Party or if the interests of the Indemnified Party reasonably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deemed to conflict with the interests of the Indemnifying Party, then the Indemnified Party shall have the right to select a separate counsel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 such legal defense and otherwise to participate in the defense of such Action, with the expenses and fees of such separate counsel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such participation to be reimbursed by the Indemnifying Party as incurred. Notwithstanding any other provision of this Agreement,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Indemnifying Party shall not settle any indemnified claim without the consent of the Indemnified Party, unless the settlement thereof imposes no liability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obligation on, and includes a complete release from liability of, the Indemnified Party.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Survival</w:t>
      </w:r>
      <w:r>
        <w:rPr>
          <w:rFonts w:ascii="Arial" w:cs="Arial" w:eastAsia="Arial" w:hAnsi="Arial"/>
          <w:sz w:val="18"/>
          <w:szCs w:val="18"/>
          <w:color w:val="auto"/>
        </w:rPr>
        <w:t>. The Parties’ obligations under this Article VI shall only become operative following the Base Unit Closing Date and shall not survive any termination of this Agreement pursuant to Section 5.02.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ectPr>
          <w:pgSz w:w="11900" w:h="16838" w:orient="portrait"/>
          <w:cols w:equalWidth="0" w:num="1">
            <w:col w:w="11400"/>
          </w:cols>
          <w:pgMar w:left="240" w:top="125" w:right="259" w:bottom="45" w:gutter="0" w:footer="0" w:header="0"/>
        </w:sectPr>
      </w:pPr>
    </w:p>
    <w:bookmarkStart w:id="9" w:name="page10"/>
    <w:bookmarkEnd w:id="9"/>
    <w:p>
      <w:pPr>
        <w:ind w:firstLine="648"/>
        <w:spacing w:after="0" w:line="27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Purchaser Lock-Up</w:t>
      </w:r>
      <w:r>
        <w:rPr>
          <w:rFonts w:ascii="Arial" w:cs="Arial" w:eastAsia="Arial" w:hAnsi="Arial"/>
          <w:sz w:val="17"/>
          <w:szCs w:val="17"/>
          <w:color w:val="auto"/>
        </w:rPr>
        <w:t xml:space="preserve">. Except as provided in this Agreement, no Purchaser will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Purchased Units, or publicly announce an intention to effect any such transaction, for a period of 90 days after (a) the Base Unit Closing Date, in the case of the Base Units and (b) the Additional Unit Closing Date, in the case of the Additional Units;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Purchaser may enter into a total return swap or similar transaction with respect to the Purchased Units purchased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so long as the swap counterparty agrees to be bound by the terms of this Section 7.01.</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Interpretation of Provisions</w:t>
      </w:r>
      <w:r>
        <w:rPr>
          <w:rFonts w:ascii="Arial" w:cs="Arial" w:eastAsia="Arial" w:hAnsi="Arial"/>
          <w:sz w:val="17"/>
          <w:szCs w:val="17"/>
          <w:color w:val="auto"/>
        </w:rPr>
        <w:t>. Article, Section and Schedule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 Party has an obligation under this Agreement, the expense of complying with that obligation shall be an expense of such Party unless otherwise specified. Whenever any determination, consent, or approval is to be made or given by a Party, such action shall be in such Party’s sole discretion unless otherwise specified in this Agreement. If any provision in this Agreement is held to be illegal, invalid, not binding, or unenforceable, such provision shall be fully severable and this Agreement shall be construed and enforced as if such illegal, invalid, not binding, or unenforceable provision had never comprised a part of this Agreement, and the remaining provisions shall remain in full force and effect. This Agreement has been reviewed and negotiated by sophisticated parties with access to legal counsel and shall not be construed against the drafter.</w:t>
      </w:r>
    </w:p>
    <w:p>
      <w:pPr>
        <w:spacing w:after="0" w:line="18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set forth in Section 3.02, Section 3.03, Section 3.10, Section 3.11, Section 3.12, Section 4.05 and Section 4.06 hereunder shall survive indefinitely, and the other representations and warranties set forth herein shall survive for a period of twelve (12) months, in each case, following the applicable Closing Date regardless of any investigation made by or on behalf of Seller or the Purchasers. The covenants made in this Agreement shall survive the applicable Closing of the transactions described herein and remain operative and in full force and effect regardless of acceptance of any of the Purchased Units and payment therefor.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No Waiver; Modifications in Writing</w:t>
      </w:r>
      <w:r>
        <w:rPr>
          <w:rFonts w:ascii="Arial" w:cs="Arial" w:eastAsia="Arial" w:hAnsi="Arial"/>
          <w:sz w:val="17"/>
          <w:szCs w:val="17"/>
          <w:color w:val="auto"/>
        </w:rPr>
        <w:t>.</w:t>
      </w:r>
    </w:p>
    <w:p>
      <w:pPr>
        <w:spacing w:after="0" w:line="225" w:lineRule="exact"/>
        <w:rPr>
          <w:sz w:val="20"/>
          <w:szCs w:val="20"/>
          <w:color w:val="auto"/>
        </w:rPr>
      </w:pPr>
    </w:p>
    <w:p>
      <w:pPr>
        <w:ind w:right="80" w:firstLine="656"/>
        <w:spacing w:after="0" w:line="259" w:lineRule="auto"/>
        <w:tabs>
          <w:tab w:leader="none" w:pos="134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Delay</w:t>
      </w:r>
      <w:r>
        <w:rPr>
          <w:rFonts w:ascii="Arial" w:cs="Arial" w:eastAsia="Arial" w:hAnsi="Arial"/>
          <w:sz w:val="18"/>
          <w:szCs w:val="18"/>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right, power or remedy. The remedies provided for herein are cumulative and are not exclusive of any remedies that may be available to a Party at law or in equity or otherwise.</w:t>
      </w:r>
    </w:p>
    <w:p>
      <w:pPr>
        <w:spacing w:after="0" w:line="186" w:lineRule="exact"/>
        <w:rPr>
          <w:rFonts w:ascii="Arial" w:cs="Arial" w:eastAsia="Arial" w:hAnsi="Arial"/>
          <w:sz w:val="18"/>
          <w:szCs w:val="18"/>
          <w:color w:val="auto"/>
        </w:rPr>
      </w:pPr>
    </w:p>
    <w:p>
      <w:pPr>
        <w:ind w:firstLine="656"/>
        <w:spacing w:after="0" w:line="255"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Specific Waiver</w:t>
      </w:r>
      <w:r>
        <w:rPr>
          <w:rFonts w:ascii="Arial" w:cs="Arial" w:eastAsia="Arial" w:hAnsi="Arial"/>
          <w:sz w:val="18"/>
          <w:szCs w:val="18"/>
          <w:color w:val="auto"/>
        </w:rPr>
        <w:t>. Except as otherwise provided herein, no amendment, waiver, consent, modification or termination of any provision of this Agreement shall be effective unless signed by each of the Parties hereto or thereto affected by such amendment, waiver, consent, modification or termination.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 Except where notice is specifically required by this Agreement, no notice to or demand on a Party in any case shall entitle such Party to any other or further notice or demand in similar or other circumstances.</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4" w:lineRule="auto"/>
        <w:tabs>
          <w:tab w:leader="none" w:pos="134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Seller,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81" w:lineRule="exact"/>
        <w:rPr>
          <w:rFonts w:ascii="Arial" w:cs="Arial" w:eastAsia="Arial" w:hAnsi="Arial"/>
          <w:sz w:val="18"/>
          <w:szCs w:val="18"/>
          <w:color w:val="auto"/>
        </w:rPr>
      </w:pPr>
    </w:p>
    <w:p>
      <w:pPr>
        <w:ind w:right="180" w:firstLine="656"/>
        <w:spacing w:after="0" w:line="277" w:lineRule="auto"/>
        <w:tabs>
          <w:tab w:leader="none" w:pos="135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Assignment of Rights</w:t>
      </w:r>
      <w:r>
        <w:rPr>
          <w:rFonts w:ascii="Arial" w:cs="Arial" w:eastAsia="Arial" w:hAnsi="Arial"/>
          <w:sz w:val="18"/>
          <w:szCs w:val="18"/>
          <w:color w:val="auto"/>
        </w:rPr>
        <w:t>. All or any portion of the rights and obligations of each Purchaser under this Agreement may not be transferred by such Purchaser without the written consent of Seller.</w:t>
      </w:r>
    </w:p>
    <w:p>
      <w:pPr>
        <w:spacing w:after="0" w:line="170" w:lineRule="exact"/>
        <w:rPr>
          <w:rFonts w:ascii="Arial" w:cs="Arial" w:eastAsia="Arial" w:hAnsi="Arial"/>
          <w:sz w:val="18"/>
          <w:szCs w:val="18"/>
          <w:color w:val="auto"/>
        </w:rPr>
      </w:pPr>
    </w:p>
    <w:p>
      <w:pPr>
        <w:ind w:right="840" w:firstLine="656"/>
        <w:spacing w:after="0" w:line="277" w:lineRule="auto"/>
        <w:tabs>
          <w:tab w:leader="none" w:pos="134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Total Return Swap</w:t>
      </w:r>
      <w:r>
        <w:rPr>
          <w:rFonts w:ascii="Arial" w:cs="Arial" w:eastAsia="Arial" w:hAnsi="Arial"/>
          <w:sz w:val="18"/>
          <w:szCs w:val="18"/>
          <w:color w:val="auto"/>
        </w:rPr>
        <w:t>. Notwithstanding the foregoing, Seller agrees that any Purchaser may enter into total return swaps or similar transactions with respect to the Purchased Units purchased by such Purchaser.</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Notwithstanding anything herein to the contrary, to the extent that any Purchaser has executed or is otherwise bound by a confidentiality agreement in favor of Seller, such Purchaser shall continue to be bound by such confidentiality agreement (notwithstanding any termination provision contained therein) pending the announcement of the Major Acquisition (with respect to Confidential Information relating to such acquisition) and the Other Acquisitions (with respect to Confidential Information relating to such acquisitions). To the extent that any Purchaser has not executed or is not otherwise bound by a confidentiality agreement in favor of Seller, and has actually received Confidential Information from Seller, such Purchaser will refrain, and will cause its Representatives to refrain, from disclosing to any other Person any Confidential Information;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with respect to any Purchaser who has not executed and is not otherwise bound by a confidentiality agreement in favor of Seller, Seller acknowledges that Seller has not provided such Purchaser any Confidential Information unless requested by such Purchaser. Disclosure of Confidential Information will not be deemed to be a breach of this Section 7.06 if such disclosure is made with the consent of Seller or pursuant to a subpoena or order issued by a court of competent jurisdiction or by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 xml:space="preserve">judicial, administrative or legislative body or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upon receipt by any Purchaser of any subpoena or order covering Confidential Information of Seller, such Purchaser will promptly notify Seller of such subpoena or order.</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Communications</w:t>
      </w:r>
      <w:r>
        <w:rPr>
          <w:rFonts w:ascii="Arial" w:cs="Arial" w:eastAsia="Arial" w:hAnsi="Arial"/>
          <w:sz w:val="16"/>
          <w:szCs w:val="16"/>
          <w:color w:val="auto"/>
        </w:rPr>
        <w:t>. All notices and communications provided for hereunder shall be in writing and shall be given by registered or certified mail, return receipt requested, regular mail, telecopy, air courier guaranteeing overnight delivery or personal delivery to the following addresses:</w:t>
      </w:r>
    </w:p>
    <w:p>
      <w:pPr>
        <w:sectPr>
          <w:pgSz w:w="11900" w:h="16838" w:orient="portrait"/>
          <w:cols w:equalWidth="0" w:num="1">
            <w:col w:w="11420"/>
          </w:cols>
          <w:pgMar w:left="240" w:top="125" w:right="239" w:bottom="0" w:gutter="0" w:footer="0" w:header="0"/>
        </w:sectPr>
      </w:pPr>
    </w:p>
    <w:bookmarkStart w:id="10" w:name="page11"/>
    <w:bookmarkEnd w:id="10"/>
    <w:p>
      <w:pPr>
        <w:ind w:left="2000" w:hanging="695"/>
        <w:spacing w:after="0"/>
        <w:tabs>
          <w:tab w:leader="none" w:pos="2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to Purchasers, to the addresses listed on the signature pages hereto, 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910 Louisiana Street, Suite 3200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Joshua Davidson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229-2727</w:t>
      </w:r>
    </w:p>
    <w:p>
      <w:pPr>
        <w:spacing w:after="0" w:line="211" w:lineRule="exact"/>
        <w:rPr>
          <w:sz w:val="20"/>
          <w:szCs w:val="20"/>
          <w:color w:val="auto"/>
        </w:rPr>
      </w:pPr>
    </w:p>
    <w:p>
      <w:pPr>
        <w:ind w:left="2000" w:hanging="69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to Seller: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Tim Moore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646-4313</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David P. Oelman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(713) 615-5861</w:t>
      </w:r>
    </w:p>
    <w:p>
      <w:pPr>
        <w:spacing w:after="0" w:line="21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or to such other address as Seller or any Purchaser may designate in writing. All notices and communications shall be deemed to have been duly given: at the time delivered by hand, if personally delivered; upon actual receipt if sent by registered or certified mail, return receipt requested, or regular mail, if mailed; when receipt acknowledged, if sent via telecopy; and upon actual receipt when delivered to an air courier guaranteeing overnight delivery.</w:t>
      </w:r>
    </w:p>
    <w:p>
      <w:pPr>
        <w:spacing w:after="0" w:line="147"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is intended by the Parties as a final expression of their agreement and intended to be a complete and exclusive statement of the agreement and understanding of the Parties hereto in respect of the subject matter contained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herein. There are no restrictions, promises, warranties or undertakings, other than those set forth or referred to herein with respect to the rights granted by Seller or any of its Affiliates or Purchasers or any of their Affiliates set forth herein. This Agreement supersedes all prior agreements and understandings between the Parties with respect to such subject matter, including any term sheets and commitment letters.</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construed in accordance with and governed by the laws of the State of Texas without regard to principles of conflicts of laws.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Costs and Expenses</w:t>
      </w:r>
      <w:r>
        <w:rPr>
          <w:rFonts w:ascii="Arial" w:cs="Arial" w:eastAsia="Arial" w:hAnsi="Arial"/>
          <w:sz w:val="18"/>
          <w:szCs w:val="18"/>
          <w:color w:val="auto"/>
        </w:rPr>
        <w:t>. Each Party shall be responsible for such Party’s own expenses in connection with this Agreement and the transactions contemplated hereby, except that Seller shall reimburse the Purchasers for up to $25,000 of the legal expenses and fees of Baker Botts L.L.P. related to the transactions contemplated by this Agreement.</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Unit Split Affecting the Purchased Units</w:t>
      </w:r>
      <w:r>
        <w:rPr>
          <w:rFonts w:ascii="Arial" w:cs="Arial" w:eastAsia="Arial" w:hAnsi="Arial"/>
          <w:sz w:val="18"/>
          <w:szCs w:val="18"/>
          <w:color w:val="auto"/>
        </w:rPr>
        <w:t>. In the event that Seller declares a unit split with respect to its Common Units and the record date for such unit split is after the date of this Agreement and prior to the applicable Closing Date, the number of Purchased Units to be delivered to Purchasers hereunder and the Purchase Price Per Unit and the Purchase Price therefor shall be appropriately adjusted so that the Purchasers would be in the same relative economic position as they would be if such Purchased Units would have been issued and delivered to the Purchasers prior to the record date for any such unit split.</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Distributions</w:t>
      </w:r>
      <w:r>
        <w:rPr>
          <w:rFonts w:ascii="Arial" w:cs="Arial" w:eastAsia="Arial" w:hAnsi="Arial"/>
          <w:sz w:val="17"/>
          <w:szCs w:val="17"/>
          <w:color w:val="auto"/>
        </w:rPr>
        <w:t>. If a Closing occurs on a date after the record date relating to a distribution in respect of Common Units with respect to any fiscal quarter to be made to holders of Common Units after the date of this Agreement, the Purchase Price Per Unit shall be reduced by the per Common Unit amount of such distribution and the applicable Purchase Price set forth on Schedule 2.01 hereto shall be reduced accordingly.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PURCHASERS:</w:t>
      </w:r>
    </w:p>
    <w:p>
      <w:pPr>
        <w:spacing w:after="0" w:line="22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ROYAL BANK OF CANADA</w:t>
      </w:r>
    </w:p>
    <w:p>
      <w:pPr>
        <w:sectPr>
          <w:pgSz w:w="11900" w:h="16838" w:orient="portrait"/>
          <w:cols w:equalWidth="0" w:num="1">
            <w:col w:w="11380"/>
          </w:cols>
          <w:pgMar w:left="240" w:top="125" w:right="279" w:bottom="45" w:gutter="0" w:footer="0" w:header="0"/>
        </w:sectPr>
      </w:pPr>
    </w:p>
    <w:p>
      <w:pPr>
        <w:spacing w:after="0" w:line="229"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RBC CAPITAL MARKETS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agent</w:t>
      </w:r>
    </w:p>
    <w:p>
      <w:pPr>
        <w:sectPr>
          <w:pgSz w:w="11900" w:h="16838" w:orient="portrait"/>
          <w:cols w:equalWidth="0" w:num="2">
            <w:col w:w="5600" w:space="420"/>
            <w:col w:w="5360"/>
          </w:cols>
          <w:pgMar w:left="240" w:top="125" w:right="279" w:bottom="45" w:gutter="0" w:footer="0" w:header="0"/>
          <w:type w:val="continuous"/>
        </w:sectPr>
      </w:pPr>
    </w:p>
    <w:bookmarkStart w:id="11" w:name="page12"/>
    <w:bookmarkEnd w:id="11"/>
    <w:tbl>
      <w:tblPr>
        <w:tblLayout w:type="fixed"/>
        <w:tblInd w:w="534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By:  /s/ Josef Muskatel</w:t>
            </w:r>
          </w:p>
        </w:tc>
        <w:tc>
          <w:tcPr>
            <w:tcW w:w="354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195"/>
        </w:trPr>
        <w:tc>
          <w:tcPr>
            <w:tcW w:w="25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3540" w:type="dxa"/>
            <w:vAlign w:val="bottom"/>
          </w:tcPr>
          <w:p>
            <w:pPr>
              <w:ind w:left="540"/>
              <w:spacing w:after="0" w:line="195" w:lineRule="exact"/>
              <w:rPr>
                <w:sz w:val="20"/>
                <w:szCs w:val="20"/>
                <w:color w:val="auto"/>
              </w:rPr>
            </w:pPr>
            <w:r>
              <w:rPr>
                <w:rFonts w:ascii="Arial" w:cs="Arial" w:eastAsia="Arial" w:hAnsi="Arial"/>
                <w:sz w:val="18"/>
                <w:szCs w:val="18"/>
                <w:color w:val="auto"/>
              </w:rPr>
              <w:t>Josef Muskatel</w:t>
            </w: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3540" w:type="dxa"/>
            <w:vAlign w:val="bottom"/>
          </w:tcPr>
          <w:p>
            <w:pPr>
              <w:ind w:left="540"/>
              <w:spacing w:after="0"/>
              <w:rPr>
                <w:sz w:val="20"/>
                <w:szCs w:val="20"/>
                <w:color w:val="auto"/>
              </w:rPr>
            </w:pPr>
            <w:r>
              <w:rPr>
                <w:rFonts w:ascii="Arial" w:cs="Arial" w:eastAsia="Arial" w:hAnsi="Arial"/>
                <w:sz w:val="18"/>
                <w:szCs w:val="18"/>
                <w:color w:val="auto"/>
              </w:rPr>
              <w:t>Director and Senior Counsel</w:t>
            </w:r>
          </w:p>
        </w:tc>
      </w:tr>
      <w:tr>
        <w:trPr>
          <w:trHeight w:val="432"/>
        </w:trPr>
        <w:tc>
          <w:tcPr>
            <w:tcW w:w="2540" w:type="dxa"/>
            <w:vAlign w:val="bottom"/>
            <w:gridSpan w:val="2"/>
          </w:tcPr>
          <w:p>
            <w:pPr>
              <w:spacing w:after="0"/>
              <w:rPr>
                <w:sz w:val="20"/>
                <w:szCs w:val="20"/>
                <w:color w:val="auto"/>
              </w:rPr>
            </w:pPr>
            <w:r>
              <w:rPr>
                <w:rFonts w:ascii="Arial" w:cs="Arial" w:eastAsia="Arial" w:hAnsi="Arial"/>
                <w:sz w:val="18"/>
                <w:szCs w:val="18"/>
                <w:color w:val="auto"/>
              </w:rPr>
              <w:t>By:  /s/ Stephen R. Levitan</w:t>
            </w:r>
          </w:p>
        </w:tc>
        <w:tc>
          <w:tcPr>
            <w:tcW w:w="3540" w:type="dxa"/>
            <w:vAlign w:val="bottom"/>
          </w:tcPr>
          <w:p>
            <w:pPr>
              <w:spacing w:after="0"/>
              <w:rPr>
                <w:sz w:val="24"/>
                <w:szCs w:val="24"/>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r>
      <w:tr>
        <w:trPr>
          <w:trHeight w:val="195"/>
        </w:trPr>
        <w:tc>
          <w:tcPr>
            <w:tcW w:w="254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3540" w:type="dxa"/>
            <w:vAlign w:val="bottom"/>
          </w:tcPr>
          <w:p>
            <w:pPr>
              <w:ind w:left="540"/>
              <w:spacing w:after="0" w:line="195" w:lineRule="exact"/>
              <w:rPr>
                <w:sz w:val="20"/>
                <w:szCs w:val="20"/>
                <w:color w:val="auto"/>
              </w:rPr>
            </w:pPr>
            <w:r>
              <w:rPr>
                <w:rFonts w:ascii="Arial" w:cs="Arial" w:eastAsia="Arial" w:hAnsi="Arial"/>
                <w:sz w:val="18"/>
                <w:szCs w:val="18"/>
                <w:color w:val="auto"/>
              </w:rPr>
              <w:t>Stephen R. Levitan</w:t>
            </w:r>
          </w:p>
        </w:tc>
      </w:tr>
      <w:tr>
        <w:trPr>
          <w:trHeight w:val="23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3540" w:type="dxa"/>
            <w:vAlign w:val="bottom"/>
          </w:tcPr>
          <w:p>
            <w:pPr>
              <w:ind w:left="540"/>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RBC Capital Markets Corporation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One Liberty Plaza – 2nd Floor</w:t>
      </w:r>
    </w:p>
    <w:p>
      <w:pPr>
        <w:spacing w:after="0" w:line="9" w:lineRule="exact"/>
        <w:rPr>
          <w:sz w:val="20"/>
          <w:szCs w:val="20"/>
          <w:color w:val="auto"/>
        </w:rPr>
      </w:pPr>
    </w:p>
    <w:p>
      <w:pPr>
        <w:ind w:left="5340" w:right="4180" w:firstLine="3"/>
        <w:spacing w:after="0" w:line="273" w:lineRule="auto"/>
        <w:tabs>
          <w:tab w:leader="none" w:pos="5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Broadway New York, NY 1000 Attention: David Weiner Facsimile: (212) 428-3053</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5660"/>
              <w:spacing w:after="0"/>
              <w:rPr>
                <w:sz w:val="20"/>
                <w:szCs w:val="20"/>
                <w:color w:val="auto"/>
              </w:rPr>
            </w:pPr>
            <w:r>
              <w:rPr>
                <w:rFonts w:ascii="Arial" w:cs="Arial" w:eastAsia="Arial" w:hAnsi="Arial"/>
                <w:sz w:val="18"/>
                <w:szCs w:val="18"/>
                <w:b w:val="1"/>
                <w:bCs w:val="1"/>
                <w:color w:val="auto"/>
              </w:rPr>
              <w:t>ZLP FUND, L.P.</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7800" w:type="dxa"/>
            <w:vAlign w:val="bottom"/>
            <w:gridSpan w:val="2"/>
          </w:tcPr>
          <w:p>
            <w:pPr>
              <w:ind w:left="5660"/>
              <w:spacing w:after="0"/>
              <w:rPr>
                <w:sz w:val="20"/>
                <w:szCs w:val="20"/>
                <w:color w:val="auto"/>
              </w:rPr>
            </w:pPr>
            <w:r>
              <w:rPr>
                <w:rFonts w:ascii="Arial" w:cs="Arial" w:eastAsia="Arial" w:hAnsi="Arial"/>
                <w:sz w:val="18"/>
                <w:szCs w:val="18"/>
                <w:color w:val="auto"/>
              </w:rPr>
              <w:t>By:  /s/ Craig Lucas</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800" w:type="dxa"/>
            <w:vAlign w:val="bottom"/>
            <w:gridSpan w:val="2"/>
          </w:tcPr>
          <w:p>
            <w:pPr>
              <w:ind w:left="5840"/>
              <w:spacing w:after="0" w:line="195" w:lineRule="exact"/>
              <w:rPr>
                <w:sz w:val="20"/>
                <w:szCs w:val="20"/>
                <w:color w:val="auto"/>
              </w:rPr>
            </w:pPr>
            <w:r>
              <w:rPr>
                <w:rFonts w:ascii="Arial" w:cs="Arial" w:eastAsia="Arial" w:hAnsi="Arial"/>
                <w:sz w:val="18"/>
                <w:szCs w:val="18"/>
                <w:color w:val="auto"/>
              </w:rPr>
              <w:t>Name:</w:t>
            </w:r>
          </w:p>
        </w:tc>
        <w:tc>
          <w:tcPr>
            <w:tcW w:w="3540" w:type="dxa"/>
            <w:vAlign w:val="bottom"/>
          </w:tcPr>
          <w:p>
            <w:pPr>
              <w:ind w:left="220"/>
              <w:spacing w:after="0" w:line="195" w:lineRule="exact"/>
              <w:rPr>
                <w:sz w:val="20"/>
                <w:szCs w:val="20"/>
                <w:color w:val="auto"/>
              </w:rPr>
            </w:pPr>
            <w:r>
              <w:rPr>
                <w:rFonts w:ascii="Arial" w:cs="Arial" w:eastAsia="Arial" w:hAnsi="Arial"/>
                <w:sz w:val="18"/>
                <w:szCs w:val="18"/>
                <w:color w:val="auto"/>
              </w:rPr>
              <w:t>Craig Lucas</w:t>
            </w:r>
          </w:p>
        </w:tc>
        <w:tc>
          <w:tcPr>
            <w:tcW w:w="100" w:type="dxa"/>
            <w:vAlign w:val="bottom"/>
          </w:tcPr>
          <w:p>
            <w:pPr>
              <w:spacing w:after="0"/>
              <w:rPr>
                <w:sz w:val="16"/>
                <w:szCs w:val="16"/>
                <w:color w:val="auto"/>
              </w:rPr>
            </w:pPr>
          </w:p>
        </w:tc>
      </w:tr>
      <w:tr>
        <w:trPr>
          <w:trHeight w:val="216"/>
        </w:trPr>
        <w:tc>
          <w:tcPr>
            <w:tcW w:w="7800" w:type="dxa"/>
            <w:vAlign w:val="bottom"/>
            <w:gridSpan w:val="2"/>
          </w:tcPr>
          <w:p>
            <w:pPr>
              <w:ind w:left="5840"/>
              <w:spacing w:after="0"/>
              <w:rPr>
                <w:sz w:val="20"/>
                <w:szCs w:val="20"/>
                <w:color w:val="auto"/>
              </w:rPr>
            </w:pPr>
            <w:r>
              <w:rPr>
                <w:rFonts w:ascii="Arial" w:cs="Arial" w:eastAsia="Arial" w:hAnsi="Arial"/>
                <w:sz w:val="18"/>
                <w:szCs w:val="18"/>
                <w:color w:val="auto"/>
              </w:rPr>
              <w:t>Title:</w:t>
            </w:r>
          </w:p>
        </w:tc>
        <w:tc>
          <w:tcPr>
            <w:tcW w:w="3540" w:type="dxa"/>
            <w:vAlign w:val="bottom"/>
          </w:tcPr>
          <w:p>
            <w:pPr>
              <w:ind w:left="22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General Partner</w:t>
            </w:r>
          </w:p>
        </w:tc>
        <w:tc>
          <w:tcPr>
            <w:tcW w:w="100" w:type="dxa"/>
            <w:vAlign w:val="bottom"/>
          </w:tcPr>
          <w:p>
            <w:pPr>
              <w:spacing w:after="0"/>
              <w:rPr>
                <w:sz w:val="20"/>
                <w:szCs w:val="20"/>
                <w:color w:val="auto"/>
              </w:rPr>
            </w:pPr>
          </w:p>
        </w:tc>
      </w:tr>
      <w:tr>
        <w:trPr>
          <w:trHeight w:val="634"/>
        </w:trPr>
        <w:tc>
          <w:tcPr>
            <w:tcW w:w="7800" w:type="dxa"/>
            <w:vAlign w:val="bottom"/>
            <w:gridSpan w:val="2"/>
          </w:tcPr>
          <w:p>
            <w:pPr>
              <w:ind w:left="5660"/>
              <w:spacing w:after="0"/>
              <w:rPr>
                <w:sz w:val="20"/>
                <w:szCs w:val="20"/>
                <w:color w:val="auto"/>
              </w:rPr>
            </w:pPr>
            <w:r>
              <w:rPr>
                <w:rFonts w:ascii="Arial" w:cs="Arial" w:eastAsia="Arial" w:hAnsi="Arial"/>
                <w:sz w:val="18"/>
                <w:szCs w:val="18"/>
                <w:color w:val="auto"/>
              </w:rPr>
              <w:t>Address:</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00" w:type="dxa"/>
            <w:vAlign w:val="bottom"/>
            <w:gridSpan w:val="2"/>
          </w:tcPr>
          <w:p>
            <w:pPr>
              <w:ind w:left="5660"/>
              <w:spacing w:after="0"/>
              <w:rPr>
                <w:sz w:val="20"/>
                <w:szCs w:val="20"/>
                <w:color w:val="auto"/>
              </w:rPr>
            </w:pPr>
            <w:r>
              <w:rPr>
                <w:rFonts w:ascii="Arial" w:cs="Arial" w:eastAsia="Arial" w:hAnsi="Arial"/>
                <w:sz w:val="18"/>
                <w:szCs w:val="18"/>
                <w:color w:val="auto"/>
              </w:rPr>
              <w:t>45 Broadway, 28th Floor</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gridSpan w:val="2"/>
          </w:tcPr>
          <w:p>
            <w:pPr>
              <w:ind w:left="5660"/>
              <w:spacing w:after="0"/>
              <w:rPr>
                <w:sz w:val="20"/>
                <w:szCs w:val="20"/>
                <w:color w:val="auto"/>
              </w:rPr>
            </w:pPr>
            <w:r>
              <w:rPr>
                <w:rFonts w:ascii="Arial" w:cs="Arial" w:eastAsia="Arial" w:hAnsi="Arial"/>
                <w:sz w:val="18"/>
                <w:szCs w:val="18"/>
                <w:color w:val="auto"/>
              </w:rPr>
              <w:t>New York, NY 10006</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00" w:type="dxa"/>
            <w:vAlign w:val="bottom"/>
            <w:gridSpan w:val="2"/>
          </w:tcPr>
          <w:p>
            <w:pPr>
              <w:ind w:left="5660"/>
              <w:spacing w:after="0"/>
              <w:rPr>
                <w:sz w:val="20"/>
                <w:szCs w:val="20"/>
                <w:color w:val="auto"/>
              </w:rPr>
            </w:pPr>
            <w:r>
              <w:rPr>
                <w:rFonts w:ascii="Arial" w:cs="Arial" w:eastAsia="Arial" w:hAnsi="Arial"/>
                <w:sz w:val="18"/>
                <w:szCs w:val="18"/>
                <w:color w:val="auto"/>
              </w:rPr>
              <w:t>Facsimile: (212) 440-0750</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7800" w:type="dxa"/>
            <w:vAlign w:val="bottom"/>
            <w:gridSpan w:val="2"/>
          </w:tcPr>
          <w:p>
            <w:pPr>
              <w:ind w:left="4740"/>
              <w:spacing w:after="0"/>
              <w:rPr>
                <w:sz w:val="20"/>
                <w:szCs w:val="20"/>
                <w:color w:val="auto"/>
              </w:rPr>
            </w:pPr>
            <w:r>
              <w:rPr>
                <w:rFonts w:ascii="Arial" w:cs="Arial" w:eastAsia="Arial" w:hAnsi="Arial"/>
                <w:sz w:val="18"/>
                <w:szCs w:val="18"/>
                <w:b w:val="1"/>
                <w:bCs w:val="1"/>
                <w:color w:val="auto"/>
              </w:rPr>
              <w:t>[SIGNATURE PAGE TO</w:t>
            </w: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800" w:type="dxa"/>
            <w:vAlign w:val="bottom"/>
            <w:gridSpan w:val="2"/>
          </w:tcPr>
          <w:p>
            <w:pPr>
              <w:ind w:left="3860"/>
              <w:spacing w:after="0"/>
              <w:rPr>
                <w:sz w:val="20"/>
                <w:szCs w:val="20"/>
                <w:color w:val="auto"/>
              </w:rPr>
            </w:pPr>
            <w:r>
              <w:rPr>
                <w:rFonts w:ascii="Arial" w:cs="Arial" w:eastAsia="Arial" w:hAnsi="Arial"/>
                <w:sz w:val="18"/>
                <w:szCs w:val="18"/>
                <w:b w:val="1"/>
                <w:bCs w:val="1"/>
                <w:color w:val="auto"/>
              </w:rPr>
              <w:t>COMMON UNIT PURCHASE AGREEMENT]</w:t>
            </w: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4"/>
        </w:trPr>
        <w:tc>
          <w:tcPr>
            <w:tcW w:w="60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STRUCTURED FINANCE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gridSpan w:val="2"/>
          </w:tcPr>
          <w:p>
            <w:pPr>
              <w:ind w:left="6320"/>
              <w:spacing w:after="0"/>
              <w:rPr>
                <w:sz w:val="20"/>
                <w:szCs w:val="20"/>
                <w:color w:val="auto"/>
              </w:rPr>
            </w:pPr>
            <w:r>
              <w:rPr>
                <w:rFonts w:ascii="Arial" w:cs="Arial" w:eastAsia="Arial" w:hAnsi="Arial"/>
                <w:sz w:val="18"/>
                <w:szCs w:val="18"/>
                <w:b w:val="1"/>
                <w:bCs w:val="1"/>
                <w:color w:val="auto"/>
              </w:rPr>
              <w:t>AMERICAS, LLC</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0"/>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By:  /s/ Andrea Leung</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8600" w:type="dxa"/>
            <w:vAlign w:val="bottom"/>
            <w:gridSpan w:val="2"/>
          </w:tcPr>
          <w:p>
            <w:pPr>
              <w:ind w:left="6420"/>
              <w:spacing w:after="0" w:line="195" w:lineRule="exact"/>
              <w:rPr>
                <w:sz w:val="20"/>
                <w:szCs w:val="20"/>
                <w:color w:val="auto"/>
              </w:rPr>
            </w:pPr>
            <w:r>
              <w:rPr>
                <w:rFonts w:ascii="Arial" w:cs="Arial" w:eastAsia="Arial" w:hAnsi="Arial"/>
                <w:sz w:val="18"/>
                <w:szCs w:val="18"/>
                <w:color w:val="auto"/>
              </w:rPr>
              <w:t>Name:</w:t>
            </w:r>
          </w:p>
        </w:tc>
        <w:tc>
          <w:tcPr>
            <w:tcW w:w="2820" w:type="dxa"/>
            <w:vAlign w:val="bottom"/>
          </w:tcPr>
          <w:p>
            <w:pPr>
              <w:ind w:left="440"/>
              <w:spacing w:after="0" w:line="195" w:lineRule="exact"/>
              <w:rPr>
                <w:sz w:val="20"/>
                <w:szCs w:val="20"/>
                <w:color w:val="auto"/>
              </w:rPr>
            </w:pPr>
            <w:r>
              <w:rPr>
                <w:rFonts w:ascii="Arial" w:cs="Arial" w:eastAsia="Arial" w:hAnsi="Arial"/>
                <w:sz w:val="18"/>
                <w:szCs w:val="18"/>
                <w:color w:val="auto"/>
              </w:rPr>
              <w:t>Andrea Leung</w:t>
            </w:r>
          </w:p>
        </w:tc>
        <w:tc>
          <w:tcPr>
            <w:tcW w:w="20" w:type="dxa"/>
            <w:vAlign w:val="bottom"/>
          </w:tcPr>
          <w:p>
            <w:pPr>
              <w:spacing w:after="0"/>
              <w:rPr>
                <w:sz w:val="16"/>
                <w:szCs w:val="16"/>
                <w:color w:val="auto"/>
              </w:rPr>
            </w:pPr>
          </w:p>
        </w:tc>
      </w:tr>
      <w:tr>
        <w:trPr>
          <w:trHeight w:val="230"/>
        </w:trPr>
        <w:tc>
          <w:tcPr>
            <w:tcW w:w="8600" w:type="dxa"/>
            <w:vAlign w:val="bottom"/>
            <w:gridSpan w:val="2"/>
          </w:tcPr>
          <w:p>
            <w:pPr>
              <w:ind w:left="6420"/>
              <w:spacing w:after="0"/>
              <w:rPr>
                <w:sz w:val="20"/>
                <w:szCs w:val="20"/>
                <w:color w:val="auto"/>
              </w:rPr>
            </w:pPr>
            <w:r>
              <w:rPr>
                <w:rFonts w:ascii="Arial" w:cs="Arial" w:eastAsia="Arial" w:hAnsi="Arial"/>
                <w:sz w:val="18"/>
                <w:szCs w:val="18"/>
                <w:color w:val="auto"/>
              </w:rPr>
              <w:t>Title:</w:t>
            </w:r>
          </w:p>
        </w:tc>
        <w:tc>
          <w:tcPr>
            <w:tcW w:w="2820" w:type="dxa"/>
            <w:vAlign w:val="bottom"/>
          </w:tcPr>
          <w:p>
            <w:pPr>
              <w:ind w:left="440"/>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648"/>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By:  /s/ Jill Rathjen</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8600" w:type="dxa"/>
            <w:vAlign w:val="bottom"/>
            <w:gridSpan w:val="2"/>
          </w:tcPr>
          <w:p>
            <w:pPr>
              <w:ind w:left="6420"/>
              <w:spacing w:after="0" w:line="195" w:lineRule="exact"/>
              <w:rPr>
                <w:sz w:val="20"/>
                <w:szCs w:val="20"/>
                <w:color w:val="auto"/>
              </w:rPr>
            </w:pPr>
            <w:r>
              <w:rPr>
                <w:rFonts w:ascii="Arial" w:cs="Arial" w:eastAsia="Arial" w:hAnsi="Arial"/>
                <w:sz w:val="18"/>
                <w:szCs w:val="18"/>
                <w:color w:val="auto"/>
              </w:rPr>
              <w:t>Name:</w:t>
            </w:r>
          </w:p>
        </w:tc>
        <w:tc>
          <w:tcPr>
            <w:tcW w:w="2820" w:type="dxa"/>
            <w:vAlign w:val="bottom"/>
          </w:tcPr>
          <w:p>
            <w:pPr>
              <w:ind w:left="440"/>
              <w:spacing w:after="0" w:line="195" w:lineRule="exact"/>
              <w:rPr>
                <w:sz w:val="20"/>
                <w:szCs w:val="20"/>
                <w:color w:val="auto"/>
              </w:rPr>
            </w:pPr>
            <w:r>
              <w:rPr>
                <w:rFonts w:ascii="Arial" w:cs="Arial" w:eastAsia="Arial" w:hAnsi="Arial"/>
                <w:sz w:val="18"/>
                <w:szCs w:val="18"/>
                <w:color w:val="auto"/>
              </w:rPr>
              <w:t>Jill Rathjen</w:t>
            </w:r>
          </w:p>
        </w:tc>
        <w:tc>
          <w:tcPr>
            <w:tcW w:w="20" w:type="dxa"/>
            <w:vAlign w:val="bottom"/>
          </w:tcPr>
          <w:p>
            <w:pPr>
              <w:spacing w:after="0"/>
              <w:rPr>
                <w:sz w:val="16"/>
                <w:szCs w:val="16"/>
                <w:color w:val="auto"/>
              </w:rPr>
            </w:pPr>
          </w:p>
        </w:tc>
      </w:tr>
      <w:tr>
        <w:trPr>
          <w:trHeight w:val="230"/>
        </w:trPr>
        <w:tc>
          <w:tcPr>
            <w:tcW w:w="8600" w:type="dxa"/>
            <w:vAlign w:val="bottom"/>
            <w:gridSpan w:val="2"/>
          </w:tcPr>
          <w:p>
            <w:pPr>
              <w:ind w:left="6420"/>
              <w:spacing w:after="0"/>
              <w:rPr>
                <w:sz w:val="20"/>
                <w:szCs w:val="20"/>
                <w:color w:val="auto"/>
              </w:rPr>
            </w:pPr>
            <w:r>
              <w:rPr>
                <w:rFonts w:ascii="Arial" w:cs="Arial" w:eastAsia="Arial" w:hAnsi="Arial"/>
                <w:sz w:val="18"/>
                <w:szCs w:val="18"/>
                <w:color w:val="auto"/>
              </w:rPr>
              <w:t>Title:</w:t>
            </w:r>
          </w:p>
        </w:tc>
        <w:tc>
          <w:tcPr>
            <w:tcW w:w="2820" w:type="dxa"/>
            <w:vAlign w:val="bottom"/>
          </w:tcPr>
          <w:p>
            <w:pPr>
              <w:ind w:left="44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0"/>
                <w:szCs w:val="20"/>
                <w:color w:val="auto"/>
              </w:rPr>
            </w:pPr>
          </w:p>
        </w:tc>
      </w:tr>
      <w:tr>
        <w:trPr>
          <w:trHeight w:val="418"/>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Address:</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Deutsche Bank</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60 Wall Street</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New York, NY 10005</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600" w:type="dxa"/>
            <w:vAlign w:val="bottom"/>
            <w:gridSpan w:val="2"/>
          </w:tcPr>
          <w:p>
            <w:pPr>
              <w:ind w:left="6240"/>
              <w:spacing w:after="0"/>
              <w:rPr>
                <w:sz w:val="20"/>
                <w:szCs w:val="20"/>
                <w:color w:val="auto"/>
              </w:rPr>
            </w:pPr>
            <w:r>
              <w:rPr>
                <w:rFonts w:ascii="Arial" w:cs="Arial" w:eastAsia="Arial" w:hAnsi="Arial"/>
                <w:sz w:val="18"/>
                <w:szCs w:val="18"/>
                <w:color w:val="auto"/>
              </w:rPr>
              <w:t>Facsimile: (212) 553-7075</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0"/>
        </w:trPr>
        <w:tc>
          <w:tcPr>
            <w:tcW w:w="8600" w:type="dxa"/>
            <w:vAlign w:val="bottom"/>
            <w:gridSpan w:val="2"/>
          </w:tcPr>
          <w:p>
            <w:pPr>
              <w:ind w:left="4740"/>
              <w:spacing w:after="0"/>
              <w:rPr>
                <w:sz w:val="20"/>
                <w:szCs w:val="20"/>
                <w:color w:val="auto"/>
              </w:rPr>
            </w:pPr>
            <w:r>
              <w:rPr>
                <w:rFonts w:ascii="Arial" w:cs="Arial" w:eastAsia="Arial" w:hAnsi="Arial"/>
                <w:sz w:val="18"/>
                <w:szCs w:val="18"/>
                <w:b w:val="1"/>
                <w:bCs w:val="1"/>
                <w:color w:val="auto"/>
              </w:rPr>
              <w:t>[SIGNATURE PAGE TO</w:t>
            </w: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600" w:type="dxa"/>
            <w:vAlign w:val="bottom"/>
            <w:gridSpan w:val="2"/>
          </w:tcPr>
          <w:p>
            <w:pPr>
              <w:ind w:left="3860"/>
              <w:spacing w:after="0"/>
              <w:rPr>
                <w:sz w:val="20"/>
                <w:szCs w:val="20"/>
                <w:color w:val="auto"/>
              </w:rPr>
            </w:pPr>
            <w:r>
              <w:rPr>
                <w:rFonts w:ascii="Arial" w:cs="Arial" w:eastAsia="Arial" w:hAnsi="Arial"/>
                <w:sz w:val="18"/>
                <w:szCs w:val="18"/>
                <w:b w:val="1"/>
                <w:bCs w:val="1"/>
                <w:color w:val="auto"/>
              </w:rPr>
              <w:t>COMMON UNIT PURCHASE AGREEMENT]</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66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CREDIT SUISSE MANAGEMENT LLC</w:t>
      </w:r>
    </w:p>
    <w:p>
      <w:pPr>
        <w:spacing w:after="0" w:line="200" w:lineRule="exact"/>
        <w:rPr>
          <w:sz w:val="20"/>
          <w:szCs w:val="20"/>
          <w:color w:val="auto"/>
        </w:rPr>
      </w:pPr>
    </w:p>
    <w:p>
      <w:pPr>
        <w:spacing w:after="0" w:line="245" w:lineRule="exact"/>
        <w:rPr>
          <w:sz w:val="20"/>
          <w:szCs w:val="20"/>
          <w:color w:val="auto"/>
        </w:rPr>
      </w:pPr>
    </w:p>
    <w:p>
      <w:pPr>
        <w:ind w:left="624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W. Chitty</w:t>
      </w:r>
    </w:p>
    <w:p>
      <w:pPr>
        <w:spacing w:after="0" w:line="23" w:lineRule="exact"/>
        <w:rPr>
          <w:sz w:val="20"/>
          <w:szCs w:val="20"/>
          <w:color w:val="auto"/>
        </w:rPr>
      </w:pPr>
    </w:p>
    <w:p>
      <w:pPr>
        <w:ind w:left="6420"/>
        <w:spacing w:after="0"/>
        <w:tabs>
          <w:tab w:leader="none" w:pos="7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David W. Chitty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3009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bookmarkStart w:id="12" w:name="page13"/>
    <w:bookmarkEnd w:id="12"/>
    <w:p>
      <w:pPr>
        <w:spacing w:after="0" w:line="73" w:lineRule="exact"/>
        <w:rPr>
          <w:sz w:val="20"/>
          <w:szCs w:val="20"/>
          <w:color w:val="auto"/>
        </w:rPr>
      </w:pPr>
    </w:p>
    <w:p>
      <w:pPr>
        <w:ind w:left="5220"/>
        <w:spacing w:after="0"/>
        <w:tabs>
          <w:tab w:leader="none" w:pos="6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11 Madison Avenue</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Facsimile: (212) 743-4527</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KAYNE ANDERSON MLP</w:t>
      </w:r>
    </w:p>
    <w:p>
      <w:pPr>
        <w:spacing w:after="0" w:line="27"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25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 COMPANY</w:t>
            </w:r>
          </w:p>
        </w:tc>
        <w:tc>
          <w:tcPr>
            <w:tcW w:w="2600" w:type="dxa"/>
            <w:vAlign w:val="bottom"/>
          </w:tcPr>
          <w:p>
            <w:pPr>
              <w:spacing w:after="0"/>
              <w:rPr>
                <w:sz w:val="20"/>
                <w:szCs w:val="20"/>
                <w:color w:val="auto"/>
              </w:rPr>
            </w:pPr>
          </w:p>
        </w:tc>
      </w:tr>
      <w:tr>
        <w:trPr>
          <w:trHeight w:val="630"/>
        </w:trPr>
        <w:tc>
          <w:tcPr>
            <w:tcW w:w="2560" w:type="dxa"/>
            <w:vAlign w:val="bottom"/>
            <w:gridSpan w:val="2"/>
          </w:tcPr>
          <w:p>
            <w:pPr>
              <w:spacing w:after="0"/>
              <w:rPr>
                <w:sz w:val="20"/>
                <w:szCs w:val="20"/>
                <w:color w:val="auto"/>
              </w:rPr>
            </w:pPr>
            <w:r>
              <w:rPr>
                <w:rFonts w:ascii="Arial" w:cs="Arial" w:eastAsia="Arial" w:hAnsi="Arial"/>
                <w:sz w:val="18"/>
                <w:szCs w:val="18"/>
                <w:color w:val="auto"/>
              </w:rPr>
              <w:t>By:  /s/ James C. Baker</w:t>
            </w:r>
          </w:p>
        </w:tc>
        <w:tc>
          <w:tcPr>
            <w:tcW w:w="260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r>
      <w:tr>
        <w:trPr>
          <w:trHeight w:val="195"/>
        </w:trPr>
        <w:tc>
          <w:tcPr>
            <w:tcW w:w="25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2600" w:type="dxa"/>
            <w:vAlign w:val="bottom"/>
          </w:tcPr>
          <w:p>
            <w:pPr>
              <w:ind w:left="300"/>
              <w:spacing w:after="0" w:line="195" w:lineRule="exact"/>
              <w:rPr>
                <w:sz w:val="20"/>
                <w:szCs w:val="20"/>
                <w:color w:val="auto"/>
              </w:rPr>
            </w:pPr>
            <w:r>
              <w:rPr>
                <w:rFonts w:ascii="Arial" w:cs="Arial" w:eastAsia="Arial" w:hAnsi="Arial"/>
                <w:sz w:val="18"/>
                <w:szCs w:val="18"/>
                <w:color w:val="auto"/>
              </w:rPr>
              <w:t>James C. Baker</w:t>
            </w: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2600" w:type="dxa"/>
            <w:vAlign w:val="bottom"/>
          </w:tcPr>
          <w:p>
            <w:pPr>
              <w:ind w:left="300"/>
              <w:spacing w:after="0"/>
              <w:rPr>
                <w:sz w:val="20"/>
                <w:szCs w:val="20"/>
                <w:color w:val="auto"/>
              </w:rPr>
            </w:pPr>
            <w:r>
              <w:rPr>
                <w:rFonts w:ascii="Arial" w:cs="Arial" w:eastAsia="Arial" w:hAnsi="Arial"/>
                <w:sz w:val="18"/>
                <w:szCs w:val="18"/>
                <w:color w:val="auto"/>
              </w:rPr>
              <w:t>Vice President</w:t>
            </w: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600" w:type="dxa"/>
            <w:vAlign w:val="bottom"/>
          </w:tcPr>
          <w:p>
            <w:pPr>
              <w:spacing w:after="0"/>
              <w:rPr>
                <w:sz w:val="24"/>
                <w:szCs w:val="24"/>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1100 Louisiana, Suite 4550</w:t>
            </w:r>
          </w:p>
        </w:tc>
        <w:tc>
          <w:tcPr>
            <w:tcW w:w="260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Houston, TX 77002</w:t>
            </w:r>
          </w:p>
        </w:tc>
        <w:tc>
          <w:tcPr>
            <w:tcW w:w="2600" w:type="dxa"/>
            <w:vAlign w:val="bottom"/>
          </w:tcPr>
          <w:p>
            <w:pPr>
              <w:spacing w:after="0"/>
              <w:rPr>
                <w:sz w:val="18"/>
                <w:szCs w:val="18"/>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Facsimile: (713) 655-7359</w:t>
            </w:r>
          </w:p>
        </w:tc>
        <w:tc>
          <w:tcPr>
            <w:tcW w:w="26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ind w:right="2060"/>
        <w:spacing w:after="0"/>
        <w:rPr>
          <w:sz w:val="20"/>
          <w:szCs w:val="20"/>
          <w:color w:val="auto"/>
        </w:rPr>
      </w:pPr>
      <w:r>
        <w:rPr>
          <w:rFonts w:ascii="Arial" w:cs="Arial" w:eastAsia="Arial" w:hAnsi="Arial"/>
          <w:sz w:val="18"/>
          <w:szCs w:val="18"/>
          <w:b w:val="1"/>
          <w:bCs w:val="1"/>
          <w:color w:val="auto"/>
        </w:rPr>
        <w:t>KAYNE ANDERSON ENERGY TOTAL</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RETURN FUND, INC.</w:t>
      </w:r>
    </w:p>
    <w:p>
      <w:pPr>
        <w:spacing w:after="0" w:line="200" w:lineRule="exact"/>
        <w:rPr>
          <w:sz w:val="20"/>
          <w:szCs w:val="20"/>
          <w:color w:val="auto"/>
        </w:rPr>
      </w:pPr>
    </w:p>
    <w:p>
      <w:pPr>
        <w:spacing w:after="0" w:line="227"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By:  /s/ James C. Baker</w:t>
            </w:r>
          </w:p>
        </w:tc>
        <w:tc>
          <w:tcPr>
            <w:tcW w:w="274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195"/>
        </w:trPr>
        <w:tc>
          <w:tcPr>
            <w:tcW w:w="242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2740" w:type="dxa"/>
            <w:vAlign w:val="bottom"/>
          </w:tcPr>
          <w:p>
            <w:pPr>
              <w:ind w:left="440"/>
              <w:spacing w:after="0" w:line="195" w:lineRule="exact"/>
              <w:rPr>
                <w:sz w:val="20"/>
                <w:szCs w:val="20"/>
                <w:color w:val="auto"/>
              </w:rPr>
            </w:pPr>
            <w:r>
              <w:rPr>
                <w:rFonts w:ascii="Arial" w:cs="Arial" w:eastAsia="Arial" w:hAnsi="Arial"/>
                <w:sz w:val="18"/>
                <w:szCs w:val="18"/>
                <w:color w:val="auto"/>
              </w:rPr>
              <w:t>James C. Baker</w:t>
            </w: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2740" w:type="dxa"/>
            <w:vAlign w:val="bottom"/>
          </w:tcPr>
          <w:p>
            <w:pPr>
              <w:ind w:left="440"/>
              <w:spacing w:after="0"/>
              <w:rPr>
                <w:sz w:val="20"/>
                <w:szCs w:val="20"/>
                <w:color w:val="auto"/>
              </w:rPr>
            </w:pPr>
            <w:r>
              <w:rPr>
                <w:rFonts w:ascii="Arial" w:cs="Arial" w:eastAsia="Arial" w:hAnsi="Arial"/>
                <w:sz w:val="18"/>
                <w:szCs w:val="18"/>
                <w:color w:val="auto"/>
              </w:rPr>
              <w:t>Vice President</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740" w:type="dxa"/>
            <w:vAlign w:val="bottom"/>
          </w:tcPr>
          <w:p>
            <w:pPr>
              <w:spacing w:after="0"/>
              <w:rPr>
                <w:sz w:val="24"/>
                <w:szCs w:val="24"/>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1100 Louisiana, Suite 4550</w:t>
            </w:r>
          </w:p>
        </w:tc>
        <w:tc>
          <w:tcPr>
            <w:tcW w:w="2740" w:type="dxa"/>
            <w:vAlign w:val="bottom"/>
          </w:tcPr>
          <w:p>
            <w:pPr>
              <w:spacing w:after="0"/>
              <w:rPr>
                <w:sz w:val="18"/>
                <w:szCs w:val="18"/>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Houston, TX 77002</w:t>
            </w:r>
          </w:p>
        </w:tc>
        <w:tc>
          <w:tcPr>
            <w:tcW w:w="2740" w:type="dxa"/>
            <w:vAlign w:val="bottom"/>
          </w:tcPr>
          <w:p>
            <w:pPr>
              <w:spacing w:after="0"/>
              <w:rPr>
                <w:sz w:val="18"/>
                <w:szCs w:val="18"/>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Facsimile: (713) 655-7359</w:t>
            </w:r>
          </w:p>
        </w:tc>
        <w:tc>
          <w:tcPr>
            <w:tcW w:w="27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RCH ENERGY MLP FUND L.P.</w:t>
      </w:r>
    </w:p>
    <w:p>
      <w:pPr>
        <w:sectPr>
          <w:pgSz w:w="11900" w:h="16911" w:orient="portrait"/>
          <w:cols w:equalWidth="0" w:num="1">
            <w:col w:w="10220"/>
          </w:cols>
          <w:pgMar w:left="1440" w:top="125" w:right="239" w:bottom="0" w:gutter="0" w:footer="0" w:header="0"/>
        </w:sectPr>
      </w:pP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RCH ENERGY MLP</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FUND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911" w:orient="portrait"/>
          <w:cols w:equalWidth="0" w:num="2">
            <w:col w:w="5120" w:space="580"/>
            <w:col w:w="4520"/>
          </w:cols>
          <w:pgMar w:left="1440" w:top="125" w:right="239" w:bottom="0" w:gutter="0" w:footer="0" w:header="0"/>
          <w:type w:val="continuous"/>
        </w:sectPr>
      </w:pP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RR ADVISORS,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911" w:orient="portrait"/>
          <w:cols w:equalWidth="0" w:num="2">
            <w:col w:w="5120" w:space="580"/>
            <w:col w:w="4520"/>
          </w:cols>
          <w:pgMar w:left="1440" w:top="125" w:right="239" w:bottom="0" w:gutter="0" w:footer="0" w:header="0"/>
          <w:type w:val="continuous"/>
        </w:sectPr>
      </w:pPr>
    </w:p>
    <w:p>
      <w:pPr>
        <w:spacing w:after="0" w:line="227" w:lineRule="exact"/>
        <w:rPr>
          <w:sz w:val="20"/>
          <w:szCs w:val="20"/>
          <w:color w:val="auto"/>
        </w:rPr>
      </w:pPr>
    </w:p>
    <w:tbl>
      <w:tblPr>
        <w:tblLayout w:type="fixed"/>
        <w:tblInd w:w="486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By:  /s/ Robert Raymond</w:t>
            </w:r>
          </w:p>
        </w:tc>
        <w:tc>
          <w:tcPr>
            <w:tcW w:w="268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5"/>
        </w:trPr>
        <w:tc>
          <w:tcPr>
            <w:tcW w:w="268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2680" w:type="dxa"/>
            <w:vAlign w:val="bottom"/>
          </w:tcPr>
          <w:p>
            <w:pPr>
              <w:ind w:left="120"/>
              <w:spacing w:after="0" w:line="195" w:lineRule="exact"/>
              <w:rPr>
                <w:sz w:val="20"/>
                <w:szCs w:val="20"/>
                <w:color w:val="auto"/>
              </w:rPr>
            </w:pPr>
            <w:r>
              <w:rPr>
                <w:rFonts w:ascii="Arial" w:cs="Arial" w:eastAsia="Arial" w:hAnsi="Arial"/>
                <w:sz w:val="18"/>
                <w:szCs w:val="18"/>
                <w:color w:val="auto"/>
              </w:rPr>
              <w:t>Robert Raymond</w:t>
            </w:r>
          </w:p>
        </w:tc>
      </w:tr>
      <w:tr>
        <w:trPr>
          <w:trHeight w:val="230"/>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268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418"/>
        </w:trPr>
        <w:tc>
          <w:tcPr>
            <w:tcW w:w="26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680" w:type="dxa"/>
            <w:vAlign w:val="bottom"/>
          </w:tcPr>
          <w:p>
            <w:pPr>
              <w:spacing w:after="0"/>
              <w:rPr>
                <w:sz w:val="24"/>
                <w:szCs w:val="24"/>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RR Advisors, LLC</w:t>
            </w:r>
          </w:p>
        </w:tc>
        <w:tc>
          <w:tcPr>
            <w:tcW w:w="268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2100 McKinney Ave., Suite 700</w:t>
            </w:r>
          </w:p>
        </w:tc>
        <w:tc>
          <w:tcPr>
            <w:tcW w:w="268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2680" w:type="dxa"/>
            <w:vAlign w:val="bottom"/>
          </w:tcPr>
          <w:p>
            <w:pPr>
              <w:spacing w:after="0"/>
              <w:rPr>
                <w:sz w:val="18"/>
                <w:szCs w:val="18"/>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Attention: Robert Raymond</w:t>
            </w:r>
          </w:p>
        </w:tc>
        <w:tc>
          <w:tcPr>
            <w:tcW w:w="2680" w:type="dxa"/>
            <w:vAlign w:val="bottom"/>
          </w:tcPr>
          <w:p>
            <w:pPr>
              <w:spacing w:after="0"/>
              <w:rPr>
                <w:sz w:val="18"/>
                <w:szCs w:val="18"/>
                <w:color w:val="auto"/>
              </w:rPr>
            </w:pPr>
          </w:p>
        </w:tc>
      </w:tr>
      <w:tr>
        <w:trPr>
          <w:trHeight w:val="230"/>
        </w:trPr>
        <w:tc>
          <w:tcPr>
            <w:tcW w:w="2680" w:type="dxa"/>
            <w:vAlign w:val="bottom"/>
            <w:gridSpan w:val="2"/>
          </w:tcPr>
          <w:p>
            <w:pPr>
              <w:spacing w:after="0"/>
              <w:rPr>
                <w:sz w:val="20"/>
                <w:szCs w:val="20"/>
                <w:color w:val="auto"/>
              </w:rPr>
            </w:pPr>
            <w:r>
              <w:rPr>
                <w:rFonts w:ascii="Arial" w:cs="Arial" w:eastAsia="Arial" w:hAnsi="Arial"/>
                <w:sz w:val="18"/>
                <w:szCs w:val="18"/>
                <w:color w:val="auto"/>
              </w:rPr>
              <w:t>Facsimile: (214) 661-8044</w:t>
            </w:r>
          </w:p>
        </w:tc>
        <w:tc>
          <w:tcPr>
            <w:tcW w:w="2680" w:type="dxa"/>
            <w:vAlign w:val="bottom"/>
          </w:tcPr>
          <w:p>
            <w:pPr>
              <w:spacing w:after="0"/>
              <w:rPr>
                <w:sz w:val="20"/>
                <w:szCs w:val="20"/>
                <w:color w:val="auto"/>
              </w:rPr>
            </w:pPr>
          </w:p>
        </w:tc>
      </w:tr>
      <w:tr>
        <w:trPr>
          <w:trHeight w:val="630"/>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RCH ENERGY OPPORTUNITY</w:t>
            </w:r>
          </w:p>
        </w:tc>
        <w:tc>
          <w:tcPr>
            <w:tcW w:w="2680" w:type="dxa"/>
            <w:vAlign w:val="bottom"/>
          </w:tcPr>
          <w:p>
            <w:pPr>
              <w:spacing w:after="0"/>
              <w:rPr>
                <w:sz w:val="24"/>
                <w:szCs w:val="24"/>
                <w:color w:val="auto"/>
              </w:rPr>
            </w:pPr>
          </w:p>
        </w:tc>
      </w:tr>
      <w:tr>
        <w:trPr>
          <w:trHeight w:val="234"/>
        </w:trPr>
        <w:tc>
          <w:tcPr>
            <w:tcW w:w="2680" w:type="dxa"/>
            <w:vAlign w:val="bottom"/>
            <w:gridSpan w:val="2"/>
          </w:tcPr>
          <w:p>
            <w:pPr>
              <w:ind w:left="80"/>
              <w:spacing w:after="0"/>
              <w:rPr>
                <w:sz w:val="20"/>
                <w:szCs w:val="20"/>
                <w:color w:val="auto"/>
              </w:rPr>
            </w:pPr>
            <w:r>
              <w:rPr>
                <w:rFonts w:ascii="Arial" w:cs="Arial" w:eastAsia="Arial" w:hAnsi="Arial"/>
                <w:sz w:val="18"/>
                <w:szCs w:val="18"/>
                <w:b w:val="1"/>
                <w:bCs w:val="1"/>
                <w:color w:val="auto"/>
              </w:rPr>
              <w:t>FUND I, L.P.</w:t>
            </w:r>
          </w:p>
        </w:tc>
        <w:tc>
          <w:tcPr>
            <w:tcW w:w="2680" w:type="dxa"/>
            <w:vAlign w:val="bottom"/>
          </w:tcPr>
          <w:p>
            <w:pPr>
              <w:spacing w:after="0"/>
              <w:rPr>
                <w:sz w:val="20"/>
                <w:szCs w:val="20"/>
                <w:color w:val="auto"/>
              </w:rPr>
            </w:pPr>
          </w:p>
        </w:tc>
      </w:tr>
      <w:tr>
        <w:trPr>
          <w:trHeight w:val="418"/>
        </w:trPr>
        <w:tc>
          <w:tcPr>
            <w:tcW w:w="2680" w:type="dxa"/>
            <w:vAlign w:val="bottom"/>
            <w:gridSpan w:val="2"/>
          </w:tcPr>
          <w:p>
            <w:pPr>
              <w:spacing w:after="0"/>
              <w:rPr>
                <w:sz w:val="20"/>
                <w:szCs w:val="20"/>
                <w:color w:val="auto"/>
              </w:rPr>
            </w:pPr>
            <w:r>
              <w:rPr>
                <w:rFonts w:ascii="Arial" w:cs="Arial" w:eastAsia="Arial" w:hAnsi="Arial"/>
                <w:sz w:val="18"/>
                <w:szCs w:val="18"/>
                <w:color w:val="auto"/>
              </w:rPr>
              <w:t>By:</w:t>
            </w:r>
          </w:p>
        </w:tc>
        <w:tc>
          <w:tcPr>
            <w:tcW w:w="2680" w:type="dxa"/>
            <w:vAlign w:val="bottom"/>
          </w:tcPr>
          <w:p>
            <w:pPr>
              <w:ind w:left="120"/>
              <w:spacing w:after="0"/>
              <w:rPr>
                <w:sz w:val="20"/>
                <w:szCs w:val="20"/>
                <w:color w:val="auto"/>
              </w:rPr>
            </w:pPr>
            <w:r>
              <w:rPr>
                <w:rFonts w:ascii="Arial" w:cs="Arial" w:eastAsia="Arial" w:hAnsi="Arial"/>
                <w:sz w:val="18"/>
                <w:szCs w:val="18"/>
                <w:color w:val="auto"/>
                <w:w w:val="99"/>
              </w:rPr>
              <w:t>RCH ENERGY OPPORTUNITY</w:t>
            </w:r>
          </w:p>
        </w:tc>
      </w:tr>
      <w:tr>
        <w:trPr>
          <w:trHeight w:val="216"/>
        </w:trPr>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FUND I GP, L.P.,</w:t>
            </w:r>
          </w:p>
        </w:tc>
      </w:tr>
      <w:tr>
        <w:trPr>
          <w:trHeight w:val="230"/>
        </w:trPr>
        <w:tc>
          <w:tcPr>
            <w:tcW w:w="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its general partner</w:t>
            </w:r>
          </w:p>
        </w:tc>
      </w:tr>
    </w:tbl>
    <w:p>
      <w:pPr>
        <w:sectPr>
          <w:pgSz w:w="11900" w:h="16911" w:orient="portrait"/>
          <w:cols w:equalWidth="0" w:num="1">
            <w:col w:w="10220"/>
          </w:cols>
          <w:pgMar w:left="1440" w:top="125"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4860" w:type="dxa"/>
        <w:tblCellMar>
          <w:top w:w="0" w:type="dxa"/>
          <w:left w:w="0" w:type="dxa"/>
          <w:bottom w:w="0" w:type="dxa"/>
          <w:right w:w="0" w:type="dxa"/>
        </w:tblCellMar>
      </w:tblP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ind w:left="240"/>
              <w:spacing w:after="0"/>
              <w:rPr>
                <w:sz w:val="20"/>
                <w:szCs w:val="20"/>
                <w:color w:val="auto"/>
              </w:rPr>
            </w:pPr>
            <w:r>
              <w:rPr>
                <w:rFonts w:ascii="Arial" w:cs="Arial" w:eastAsia="Arial" w:hAnsi="Arial"/>
                <w:sz w:val="18"/>
                <w:szCs w:val="18"/>
                <w:color w:val="auto"/>
              </w:rPr>
              <w:t>RR ADVISORS, LLC,</w:t>
            </w:r>
          </w:p>
        </w:tc>
      </w:tr>
      <w:tr>
        <w:trPr>
          <w:trHeight w:val="230"/>
        </w:trPr>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800" w:type="dxa"/>
            <w:vAlign w:val="bottom"/>
          </w:tcPr>
          <w:p>
            <w:pPr>
              <w:ind w:left="240"/>
              <w:spacing w:after="0"/>
              <w:rPr>
                <w:sz w:val="20"/>
                <w:szCs w:val="20"/>
                <w:color w:val="auto"/>
              </w:rPr>
            </w:pPr>
            <w:r>
              <w:rPr>
                <w:rFonts w:ascii="Arial" w:cs="Arial" w:eastAsia="Arial" w:hAnsi="Arial"/>
                <w:sz w:val="18"/>
                <w:szCs w:val="18"/>
                <w:color w:val="auto"/>
              </w:rPr>
              <w:t>its general partner</w:t>
            </w:r>
          </w:p>
        </w:tc>
      </w:tr>
      <w:tr>
        <w:trPr>
          <w:trHeight w:val="432"/>
        </w:trPr>
        <w:tc>
          <w:tcPr>
            <w:tcW w:w="2560" w:type="dxa"/>
            <w:vAlign w:val="bottom"/>
            <w:gridSpan w:val="2"/>
          </w:tcPr>
          <w:p>
            <w:pPr>
              <w:spacing w:after="0"/>
              <w:rPr>
                <w:sz w:val="20"/>
                <w:szCs w:val="20"/>
                <w:color w:val="auto"/>
              </w:rPr>
            </w:pPr>
            <w:r>
              <w:rPr>
                <w:rFonts w:ascii="Arial" w:cs="Arial" w:eastAsia="Arial" w:hAnsi="Arial"/>
                <w:sz w:val="18"/>
                <w:szCs w:val="18"/>
                <w:color w:val="auto"/>
              </w:rPr>
              <w:t>By:  /s/ Robert Raymond</w:t>
            </w:r>
          </w:p>
        </w:tc>
        <w:tc>
          <w:tcPr>
            <w:tcW w:w="28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195"/>
        </w:trPr>
        <w:tc>
          <w:tcPr>
            <w:tcW w:w="25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ind w:left="240"/>
              <w:spacing w:after="0" w:line="195" w:lineRule="exact"/>
              <w:rPr>
                <w:sz w:val="20"/>
                <w:szCs w:val="20"/>
                <w:color w:val="auto"/>
              </w:rPr>
            </w:pPr>
            <w:r>
              <w:rPr>
                <w:rFonts w:ascii="Arial" w:cs="Arial" w:eastAsia="Arial" w:hAnsi="Arial"/>
                <w:sz w:val="18"/>
                <w:szCs w:val="18"/>
                <w:color w:val="auto"/>
              </w:rPr>
              <w:t>Robert Raymond</w:t>
            </w: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2800" w:type="dxa"/>
            <w:vAlign w:val="bottom"/>
          </w:tcPr>
          <w:p>
            <w:pPr>
              <w:ind w:left="240"/>
              <w:spacing w:after="0"/>
              <w:rPr>
                <w:sz w:val="20"/>
                <w:szCs w:val="20"/>
                <w:color w:val="auto"/>
              </w:rPr>
            </w:pPr>
            <w:r>
              <w:rPr>
                <w:rFonts w:ascii="Arial" w:cs="Arial" w:eastAsia="Arial" w:hAnsi="Arial"/>
                <w:sz w:val="18"/>
                <w:szCs w:val="18"/>
                <w:color w:val="auto"/>
              </w:rPr>
              <w:t>Sole Member</w:t>
            </w: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800" w:type="dxa"/>
            <w:vAlign w:val="bottom"/>
          </w:tcPr>
          <w:p>
            <w:pPr>
              <w:spacing w:after="0"/>
              <w:rPr>
                <w:sz w:val="24"/>
                <w:szCs w:val="24"/>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RR Advisors, LLC</w:t>
            </w:r>
          </w:p>
        </w:tc>
        <w:tc>
          <w:tcPr>
            <w:tcW w:w="280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2100 McKinney Ave., Suite 700</w:t>
            </w:r>
          </w:p>
        </w:tc>
        <w:tc>
          <w:tcPr>
            <w:tcW w:w="280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2800" w:type="dxa"/>
            <w:vAlign w:val="bottom"/>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Attention: Robert Raymond</w:t>
            </w:r>
          </w:p>
        </w:tc>
        <w:tc>
          <w:tcPr>
            <w:tcW w:w="2800" w:type="dxa"/>
            <w:vAlign w:val="bottom"/>
          </w:tcPr>
          <w:p>
            <w:pPr>
              <w:spacing w:after="0"/>
              <w:rPr>
                <w:sz w:val="18"/>
                <w:szCs w:val="18"/>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Facsimile: (214) 661-8044</w:t>
            </w:r>
          </w:p>
        </w:tc>
        <w:tc>
          <w:tcPr>
            <w:tcW w:w="280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THE SWANK MLP CONVERGENCE</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tbl>
      <w:tblPr>
        <w:tblLayout w:type="fixed"/>
        <w:tblInd w:w="4960" w:type="dxa"/>
        <w:tblCellMar>
          <w:top w:w="0" w:type="dxa"/>
          <w:left w:w="0" w:type="dxa"/>
          <w:bottom w:w="0" w:type="dxa"/>
          <w:right w:w="0" w:type="dxa"/>
        </w:tblCellMar>
      </w:tblP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SWANK ENERGY INCOME</w:t>
            </w:r>
          </w:p>
        </w:tc>
      </w:tr>
      <w:tr>
        <w:trPr>
          <w:trHeight w:val="216"/>
        </w:trPr>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ADVISORS, LP,</w:t>
            </w:r>
          </w:p>
        </w:tc>
      </w:tr>
      <w:tr>
        <w:trPr>
          <w:trHeight w:val="23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THE SWANK GROUP, LLC,</w:t>
            </w:r>
          </w:p>
        </w:tc>
      </w:tr>
      <w:tr>
        <w:trPr>
          <w:trHeight w:val="23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648"/>
        </w:trPr>
        <w:tc>
          <w:tcPr>
            <w:tcW w:w="5260" w:type="dxa"/>
            <w:vAlign w:val="bottom"/>
            <w:gridSpan w:val="3"/>
          </w:tcPr>
          <w:p>
            <w:pPr>
              <w:spacing w:after="0"/>
              <w:rPr>
                <w:sz w:val="20"/>
                <w:szCs w:val="20"/>
                <w:color w:val="auto"/>
              </w:rPr>
            </w:pPr>
            <w:r>
              <w:rPr>
                <w:rFonts w:ascii="Arial" w:cs="Arial" w:eastAsia="Arial" w:hAnsi="Arial"/>
                <w:sz w:val="18"/>
                <w:szCs w:val="18"/>
                <w:color w:val="auto"/>
              </w:rPr>
              <w:t>By:  /s/ Jerry V. Swank</w:t>
            </w: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r>
      <w:tr>
        <w:trPr>
          <w:trHeight w:val="195"/>
        </w:trPr>
        <w:tc>
          <w:tcPr>
            <w:tcW w:w="660" w:type="dxa"/>
            <w:vAlign w:val="bottom"/>
            <w:gridSpan w:val="2"/>
          </w:tcPr>
          <w:p>
            <w:pPr>
              <w:ind w:left="180"/>
              <w:spacing w:after="0" w:line="195" w:lineRule="exact"/>
              <w:rPr>
                <w:sz w:val="20"/>
                <w:szCs w:val="20"/>
                <w:color w:val="auto"/>
              </w:rPr>
            </w:pPr>
            <w:r>
              <w:rPr>
                <w:rFonts w:ascii="Arial" w:cs="Arial" w:eastAsia="Arial" w:hAnsi="Arial"/>
                <w:sz w:val="18"/>
                <w:szCs w:val="18"/>
                <w:color w:val="auto"/>
                <w:w w:val="86"/>
              </w:rPr>
              <w:t>Name:</w:t>
            </w:r>
          </w:p>
        </w:tc>
        <w:tc>
          <w:tcPr>
            <w:tcW w:w="4600" w:type="dxa"/>
            <w:vAlign w:val="bottom"/>
          </w:tcPr>
          <w:p>
            <w:pPr>
              <w:ind w:left="280"/>
              <w:spacing w:after="0" w:line="195" w:lineRule="exact"/>
              <w:rPr>
                <w:sz w:val="20"/>
                <w:szCs w:val="20"/>
                <w:color w:val="auto"/>
              </w:rPr>
            </w:pPr>
            <w:r>
              <w:rPr>
                <w:rFonts w:ascii="Arial" w:cs="Arial" w:eastAsia="Arial" w:hAnsi="Arial"/>
                <w:sz w:val="18"/>
                <w:szCs w:val="18"/>
                <w:color w:val="auto"/>
              </w:rPr>
              <w:t>Jerry V. Swank</w:t>
            </w:r>
          </w:p>
        </w:tc>
      </w:tr>
      <w:tr>
        <w:trPr>
          <w:trHeight w:val="230"/>
        </w:trPr>
        <w:tc>
          <w:tcPr>
            <w:tcW w:w="660" w:type="dxa"/>
            <w:vAlign w:val="bottom"/>
            <w:gridSpan w:val="2"/>
          </w:tcPr>
          <w:p>
            <w:pPr>
              <w:ind w:left="180"/>
              <w:spacing w:after="0"/>
              <w:rPr>
                <w:sz w:val="20"/>
                <w:szCs w:val="20"/>
                <w:color w:val="auto"/>
              </w:rPr>
            </w:pPr>
            <w:r>
              <w:rPr>
                <w:rFonts w:ascii="Arial" w:cs="Arial" w:eastAsia="Arial" w:hAnsi="Arial"/>
                <w:sz w:val="18"/>
                <w:szCs w:val="18"/>
                <w:color w:val="auto"/>
              </w:rPr>
              <w:t>Title:</w:t>
            </w:r>
          </w:p>
        </w:tc>
        <w:tc>
          <w:tcPr>
            <w:tcW w:w="4600" w:type="dxa"/>
            <w:vAlign w:val="bottom"/>
          </w:tcPr>
          <w:p>
            <w:pPr>
              <w:ind w:left="280"/>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3300 Oaklawn Avenue, Suite 650</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Dallas, TX 75219</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Facsimile: (214) 219.2353</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FIDUCIARY/CLAYMORE MLP</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OPPORTUNITY FUND</w:t>
      </w:r>
    </w:p>
    <w:p>
      <w:pPr>
        <w:spacing w:after="0" w:line="200" w:lineRule="exact"/>
        <w:rPr>
          <w:sz w:val="20"/>
          <w:szCs w:val="20"/>
          <w:color w:val="auto"/>
        </w:rPr>
      </w:pPr>
    </w:p>
    <w:p>
      <w:pPr>
        <w:spacing w:after="0" w:line="227" w:lineRule="exact"/>
        <w:rPr>
          <w:sz w:val="20"/>
          <w:szCs w:val="20"/>
          <w:color w:val="auto"/>
        </w:rPr>
      </w:pPr>
    </w:p>
    <w:p>
      <w:pPr>
        <w:ind w:left="47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Gallagher</w:t>
      </w:r>
    </w:p>
    <w:p>
      <w:pPr>
        <w:spacing w:after="0" w:line="23" w:lineRule="exact"/>
        <w:rPr>
          <w:sz w:val="20"/>
          <w:szCs w:val="20"/>
          <w:color w:val="auto"/>
        </w:rPr>
      </w:pPr>
    </w:p>
    <w:p>
      <w:pPr>
        <w:ind w:left="4820"/>
        <w:spacing w:after="0"/>
        <w:tabs>
          <w:tab w:leader="none" w:pos="5480" w:val="left"/>
        </w:tabs>
        <w:rPr>
          <w:sz w:val="20"/>
          <w:szCs w:val="20"/>
          <w:color w:val="auto"/>
        </w:rPr>
      </w:pPr>
      <w:r>
        <w:rPr>
          <w:rFonts w:ascii="Arial" w:cs="Arial" w:eastAsia="Arial" w:hAnsi="Arial"/>
          <w:sz w:val="18"/>
          <w:szCs w:val="18"/>
          <w:color w:val="auto"/>
        </w:rPr>
        <w:t>Name:</w:t>
        <w:tab/>
        <w:t>Joseph 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-130810</wp:posOffset>
            </wp:positionV>
            <wp:extent cx="20751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82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Trustee</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8112 Maryland Ave., Suite 400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 Louis, MO 63105</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Facsimile: (314) 446.6707</w:t>
      </w:r>
    </w:p>
    <w:p>
      <w:pPr>
        <w:spacing w:after="0" w:line="200" w:lineRule="exact"/>
        <w:rPr>
          <w:sz w:val="20"/>
          <w:szCs w:val="20"/>
          <w:color w:val="auto"/>
        </w:rPr>
      </w:pPr>
    </w:p>
    <w:p>
      <w:pPr>
        <w:spacing w:after="0" w:line="223"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TORTOISE ENERGY</w:t>
      </w:r>
    </w:p>
    <w:p>
      <w:pPr>
        <w:spacing w:after="0" w:line="27" w:lineRule="exact"/>
        <w:rPr>
          <w:sz w:val="20"/>
          <w:szCs w:val="20"/>
          <w:color w:val="auto"/>
        </w:rPr>
      </w:pPr>
    </w:p>
    <w:p>
      <w:pPr>
        <w:jc w:val="right"/>
        <w:ind w:right="2240"/>
        <w:spacing w:after="0"/>
        <w:rPr>
          <w:sz w:val="20"/>
          <w:szCs w:val="20"/>
          <w:color w:val="auto"/>
        </w:rPr>
      </w:pPr>
      <w:r>
        <w:rPr>
          <w:rFonts w:ascii="Arial" w:cs="Arial" w:eastAsia="Arial" w:hAnsi="Arial"/>
          <w:sz w:val="18"/>
          <w:szCs w:val="18"/>
          <w:b w:val="1"/>
          <w:bCs w:val="1"/>
          <w:color w:val="auto"/>
        </w:rPr>
        <w:t>INFRASTRUCTURE CORPORATION</w:t>
      </w:r>
    </w:p>
    <w:p>
      <w:pPr>
        <w:spacing w:after="0" w:line="200" w:lineRule="exact"/>
        <w:rPr>
          <w:sz w:val="20"/>
          <w:szCs w:val="20"/>
          <w:color w:val="auto"/>
        </w:rPr>
      </w:pPr>
    </w:p>
    <w:p>
      <w:pPr>
        <w:spacing w:after="0" w:line="227" w:lineRule="exact"/>
        <w:rPr>
          <w:sz w:val="20"/>
          <w:szCs w:val="20"/>
          <w:color w:val="auto"/>
        </w:rPr>
      </w:pPr>
    </w:p>
    <w:p>
      <w:pPr>
        <w:ind w:left="47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 Matlack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14605</wp:posOffset>
            </wp:positionV>
            <wp:extent cx="22726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ectPr>
          <w:pgSz w:w="11900" w:h="16838" w:orient="portrait"/>
          <w:cols w:equalWidth="0" w:num="1">
            <w:col w:w="10220"/>
          </w:cols>
          <w:pgMar w:left="1440" w:top="341" w:right="239" w:bottom="0" w:gutter="0" w:footer="0" w:header="0"/>
        </w:sectPr>
      </w:pPr>
    </w:p>
    <w:bookmarkStart w:id="14" w:name="page15"/>
    <w:bookmarkEnd w:id="14"/>
    <w:p>
      <w:pPr>
        <w:ind w:left="4820"/>
        <w:spacing w:after="0"/>
        <w:tabs>
          <w:tab w:leader="none" w:pos="5480" w:val="left"/>
        </w:tabs>
        <w:rPr>
          <w:sz w:val="20"/>
          <w:szCs w:val="20"/>
          <w:color w:val="auto"/>
        </w:rPr>
      </w:pPr>
      <w:r>
        <w:rPr>
          <w:rFonts w:ascii="Arial" w:cs="Arial" w:eastAsia="Arial" w:hAnsi="Arial"/>
          <w:sz w:val="18"/>
          <w:szCs w:val="18"/>
          <w:color w:val="auto"/>
        </w:rPr>
        <w:t>Name:</w:t>
        <w:tab/>
        <w:t>Terry Matlack</w:t>
      </w:r>
    </w:p>
    <w:p>
      <w:pPr>
        <w:spacing w:after="0" w:line="23" w:lineRule="exact"/>
        <w:rPr>
          <w:sz w:val="20"/>
          <w:szCs w:val="20"/>
          <w:color w:val="auto"/>
        </w:rPr>
      </w:pPr>
    </w:p>
    <w:p>
      <w:pPr>
        <w:ind w:left="4820"/>
        <w:spacing w:after="0"/>
        <w:tabs>
          <w:tab w:leader="none" w:pos="5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10801 Mastin, Suite 222</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Attention: Terry Matlack</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Phone: (913) 981.1020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Facsimile: (913) 981.1021</w:t>
      </w:r>
    </w:p>
    <w:p>
      <w:pPr>
        <w:spacing w:after="0" w:line="207" w:lineRule="exact"/>
        <w:rPr>
          <w:sz w:val="20"/>
          <w:szCs w:val="20"/>
          <w:color w:val="auto"/>
        </w:rPr>
      </w:pPr>
    </w:p>
    <w:p>
      <w:pPr>
        <w:jc w:val="right"/>
        <w:ind w:right="1100"/>
        <w:spacing w:after="0"/>
        <w:rPr>
          <w:sz w:val="20"/>
          <w:szCs w:val="20"/>
          <w:color w:val="auto"/>
        </w:rPr>
      </w:pPr>
      <w:r>
        <w:rPr>
          <w:rFonts w:ascii="Arial" w:cs="Arial" w:eastAsia="Arial" w:hAnsi="Arial"/>
          <w:sz w:val="18"/>
          <w:szCs w:val="18"/>
          <w:b w:val="1"/>
          <w:bCs w:val="1"/>
          <w:color w:val="auto"/>
        </w:rPr>
        <w:t>TORTOISE ENERGY CAPITAL CORPORATION</w:t>
      </w:r>
    </w:p>
    <w:p>
      <w:pPr>
        <w:spacing w:after="0" w:line="200" w:lineRule="exact"/>
        <w:rPr>
          <w:sz w:val="20"/>
          <w:szCs w:val="20"/>
          <w:color w:val="auto"/>
        </w:rPr>
      </w:pPr>
    </w:p>
    <w:p>
      <w:pPr>
        <w:spacing w:after="0" w:line="245" w:lineRule="exact"/>
        <w:rPr>
          <w:sz w:val="20"/>
          <w:szCs w:val="20"/>
          <w:color w:val="auto"/>
        </w:rPr>
      </w:pPr>
    </w:p>
    <w:p>
      <w:pPr>
        <w:ind w:left="47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 Matlack</w:t>
      </w:r>
    </w:p>
    <w:p>
      <w:pPr>
        <w:spacing w:after="0" w:line="43" w:lineRule="exact"/>
        <w:rPr>
          <w:sz w:val="20"/>
          <w:szCs w:val="20"/>
          <w:color w:val="auto"/>
        </w:rPr>
      </w:pPr>
    </w:p>
    <w:tbl>
      <w:tblPr>
        <w:tblLayout w:type="fixed"/>
        <w:tblInd w:w="4820" w:type="dxa"/>
        <w:tblCellMar>
          <w:top w:w="0" w:type="dxa"/>
          <w:left w:w="0" w:type="dxa"/>
          <w:bottom w:w="0" w:type="dxa"/>
          <w:right w:w="0" w:type="dxa"/>
        </w:tblCellMar>
      </w:tblP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3340" w:type="dxa"/>
            <w:vAlign w:val="bottom"/>
          </w:tcPr>
          <w:p>
            <w:pPr>
              <w:ind w:left="100"/>
              <w:spacing w:after="0" w:line="176" w:lineRule="exact"/>
              <w:rPr>
                <w:sz w:val="20"/>
                <w:szCs w:val="20"/>
                <w:color w:val="auto"/>
              </w:rPr>
            </w:pPr>
            <w:r>
              <w:rPr>
                <w:rFonts w:ascii="Arial" w:cs="Arial" w:eastAsia="Arial" w:hAnsi="Arial"/>
                <w:sz w:val="18"/>
                <w:szCs w:val="18"/>
                <w:color w:val="auto"/>
              </w:rPr>
              <w:t>Terry Matlack</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10801 Mastin, Suite 222</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Attention: Terry Matlack</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Phone: (913) 981.1020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Facsimile: (913) 981.1021</w:t>
      </w:r>
    </w:p>
    <w:p>
      <w:pPr>
        <w:spacing w:after="0" w:line="20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TORTOISE NORTH AMERICAN</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ENERGY CORPORATION</w:t>
      </w:r>
    </w:p>
    <w:p>
      <w:pPr>
        <w:spacing w:after="0" w:line="200" w:lineRule="exact"/>
        <w:rPr>
          <w:sz w:val="20"/>
          <w:szCs w:val="20"/>
          <w:color w:val="auto"/>
        </w:rPr>
      </w:pPr>
    </w:p>
    <w:p>
      <w:pPr>
        <w:spacing w:after="0" w:line="227" w:lineRule="exact"/>
        <w:rPr>
          <w:sz w:val="20"/>
          <w:szCs w:val="20"/>
          <w:color w:val="auto"/>
        </w:rPr>
      </w:pPr>
    </w:p>
    <w:p>
      <w:pPr>
        <w:ind w:left="472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 Matlack</w:t>
      </w:r>
    </w:p>
    <w:p>
      <w:pPr>
        <w:spacing w:after="0" w:line="43" w:lineRule="exact"/>
        <w:rPr>
          <w:sz w:val="20"/>
          <w:szCs w:val="20"/>
          <w:color w:val="auto"/>
        </w:rPr>
      </w:pPr>
    </w:p>
    <w:tbl>
      <w:tblPr>
        <w:tblLayout w:type="fixed"/>
        <w:tblInd w:w="4820" w:type="dxa"/>
        <w:tblCellMar>
          <w:top w:w="0" w:type="dxa"/>
          <w:left w:w="0" w:type="dxa"/>
          <w:bottom w:w="0" w:type="dxa"/>
          <w:right w:w="0" w:type="dxa"/>
        </w:tblCellMar>
      </w:tblP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175"/>
        </w:trPr>
        <w:tc>
          <w:tcPr>
            <w:tcW w:w="58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3340" w:type="dxa"/>
            <w:vAlign w:val="bottom"/>
          </w:tcPr>
          <w:p>
            <w:pPr>
              <w:ind w:left="100"/>
              <w:spacing w:after="0" w:line="176" w:lineRule="exact"/>
              <w:rPr>
                <w:sz w:val="20"/>
                <w:szCs w:val="20"/>
                <w:color w:val="auto"/>
              </w:rPr>
            </w:pPr>
            <w:r>
              <w:rPr>
                <w:rFonts w:ascii="Arial" w:cs="Arial" w:eastAsia="Arial" w:hAnsi="Arial"/>
                <w:sz w:val="18"/>
                <w:szCs w:val="18"/>
                <w:color w:val="auto"/>
              </w:rPr>
              <w:t>Terry Matlack</w:t>
            </w:r>
          </w:p>
        </w:tc>
      </w:tr>
      <w:tr>
        <w:trPr>
          <w:trHeight w:val="230"/>
        </w:trPr>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10801 Mastin, Suite 222</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Overland Park, Kansas 66210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Attention: Terry Matlack</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Phone: (913) 981.1020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Facsimile: (913) 981.1021</w:t>
      </w:r>
    </w:p>
    <w:p>
      <w:pPr>
        <w:spacing w:after="0" w:line="200" w:lineRule="exact"/>
        <w:rPr>
          <w:sz w:val="20"/>
          <w:szCs w:val="20"/>
          <w:color w:val="auto"/>
        </w:rPr>
      </w:pPr>
    </w:p>
    <w:p>
      <w:pPr>
        <w:spacing w:after="0" w:line="22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ALERIAN CAPITAL PARTNERS LP</w:t>
      </w:r>
    </w:p>
    <w:p>
      <w:pPr>
        <w:spacing w:after="0" w:line="229" w:lineRule="exact"/>
        <w:rPr>
          <w:sz w:val="20"/>
          <w:szCs w:val="20"/>
          <w:color w:val="auto"/>
        </w:rPr>
      </w:pPr>
    </w:p>
    <w:p>
      <w:pPr>
        <w:ind w:left="4700"/>
        <w:spacing w:after="0"/>
        <w:tabs>
          <w:tab w:leader="none" w:pos="5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ALERIAN CAPITAL</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ADVISORS LLC,</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By:  /s/ Gabriel Hammond</w:t>
            </w:r>
          </w:p>
        </w:tc>
        <w:tc>
          <w:tcPr>
            <w:tcW w:w="284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r>
      <w:tr>
        <w:trPr>
          <w:trHeight w:val="195"/>
        </w:trPr>
        <w:tc>
          <w:tcPr>
            <w:tcW w:w="22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Name:</w:t>
            </w:r>
          </w:p>
        </w:tc>
        <w:tc>
          <w:tcPr>
            <w:tcW w:w="2840" w:type="dxa"/>
            <w:vAlign w:val="bottom"/>
          </w:tcPr>
          <w:p>
            <w:pPr>
              <w:ind w:left="260"/>
              <w:spacing w:after="0" w:line="195" w:lineRule="exact"/>
              <w:rPr>
                <w:sz w:val="20"/>
                <w:szCs w:val="20"/>
                <w:color w:val="auto"/>
              </w:rPr>
            </w:pPr>
            <w:r>
              <w:rPr>
                <w:rFonts w:ascii="Arial" w:cs="Arial" w:eastAsia="Arial" w:hAnsi="Arial"/>
                <w:sz w:val="18"/>
                <w:szCs w:val="18"/>
                <w:color w:val="auto"/>
              </w:rPr>
              <w:t>Gabriel Hammond</w:t>
            </w:r>
          </w:p>
        </w:tc>
      </w:tr>
      <w:tr>
        <w:trPr>
          <w:trHeight w:val="230"/>
        </w:trPr>
        <w:tc>
          <w:tcPr>
            <w:tcW w:w="22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284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Alerian Capital Management LLC</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45 Rockefeller Plaza, Suite 2000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New York, New York 10111</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Attention: Gabriel Hammond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Facsimile: (212) 332-7806</w:t>
      </w:r>
    </w:p>
    <w:p>
      <w:pPr>
        <w:spacing w:after="0" w:line="21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Gersten Savage LLP</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600 Lexington Avenue, 9th Floor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Attention: Eric Roper, Esq.</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Facsimile: (212) 980-5192</w:t>
      </w:r>
    </w:p>
    <w:p>
      <w:pPr>
        <w:spacing w:after="0" w:line="200" w:lineRule="exact"/>
        <w:rPr>
          <w:sz w:val="20"/>
          <w:szCs w:val="20"/>
          <w:color w:val="auto"/>
        </w:rPr>
      </w:pPr>
    </w:p>
    <w:p>
      <w:pPr>
        <w:spacing w:after="0" w:line="22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00"/>
          </w:cols>
          <w:pgMar w:left="1440" w:top="125" w:right="659" w:bottom="58" w:gutter="0" w:footer="0" w:header="0"/>
        </w:sectPr>
      </w:pPr>
    </w:p>
    <w:bookmarkStart w:id="15" w:name="page16"/>
    <w:bookmarkEnd w:id="15"/>
    <w:p>
      <w:pPr>
        <w:ind w:left="5900"/>
        <w:spacing w:after="0"/>
        <w:rPr>
          <w:sz w:val="20"/>
          <w:szCs w:val="20"/>
          <w:color w:val="auto"/>
        </w:rPr>
      </w:pPr>
      <w:r>
        <w:rPr>
          <w:rFonts w:ascii="Arial" w:cs="Arial" w:eastAsia="Arial" w:hAnsi="Arial"/>
          <w:sz w:val="18"/>
          <w:szCs w:val="18"/>
          <w:b w:val="1"/>
          <w:bCs w:val="1"/>
          <w:color w:val="auto"/>
        </w:rPr>
        <w:t>STROME MLP FUND, L.P.</w:t>
      </w:r>
    </w:p>
    <w:p>
      <w:pPr>
        <w:spacing w:after="0" w:line="229" w:lineRule="exact"/>
        <w:rPr>
          <w:sz w:val="20"/>
          <w:szCs w:val="20"/>
          <w:color w:val="auto"/>
        </w:rPr>
      </w:pPr>
    </w:p>
    <w:tbl>
      <w:tblPr>
        <w:tblLayout w:type="fixed"/>
        <w:tblInd w:w="5900" w:type="dxa"/>
        <w:tblCellMar>
          <w:top w:w="0" w:type="dxa"/>
          <w:left w:w="0" w:type="dxa"/>
          <w:bottom w:w="0" w:type="dxa"/>
          <w:right w:w="0" w:type="dxa"/>
        </w:tblCellMar>
      </w:tblP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4460" w:type="dxa"/>
            <w:vAlign w:val="bottom"/>
          </w:tcPr>
          <w:p>
            <w:pPr>
              <w:ind w:left="40"/>
              <w:spacing w:after="0"/>
              <w:rPr>
                <w:sz w:val="20"/>
                <w:szCs w:val="20"/>
                <w:color w:val="auto"/>
              </w:rPr>
            </w:pPr>
            <w:r>
              <w:rPr>
                <w:rFonts w:ascii="Arial" w:cs="Arial" w:eastAsia="Arial" w:hAnsi="Arial"/>
                <w:sz w:val="18"/>
                <w:szCs w:val="18"/>
                <w:color w:val="auto"/>
              </w:rPr>
              <w:t>STROME INVESTMENT MANAGEMENT, L.P.,</w:t>
            </w:r>
          </w:p>
        </w:tc>
      </w:tr>
      <w:tr>
        <w:trPr>
          <w:trHeight w:val="230"/>
        </w:trPr>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Arial" w:cs="Arial" w:eastAsia="Arial" w:hAnsi="Arial"/>
                <w:sz w:val="18"/>
                <w:szCs w:val="18"/>
                <w:color w:val="auto"/>
              </w:rPr>
              <w:t>its general partner</w:t>
            </w:r>
          </w:p>
        </w:tc>
      </w:tr>
      <w:tr>
        <w:trPr>
          <w:trHeight w:val="648"/>
        </w:trPr>
        <w:tc>
          <w:tcPr>
            <w:tcW w:w="5100" w:type="dxa"/>
            <w:vAlign w:val="bottom"/>
            <w:gridSpan w:val="3"/>
          </w:tcPr>
          <w:p>
            <w:pPr>
              <w:spacing w:after="0"/>
              <w:rPr>
                <w:sz w:val="20"/>
                <w:szCs w:val="20"/>
                <w:color w:val="auto"/>
              </w:rPr>
            </w:pPr>
            <w:r>
              <w:rPr>
                <w:rFonts w:ascii="Arial" w:cs="Arial" w:eastAsia="Arial" w:hAnsi="Arial"/>
                <w:sz w:val="18"/>
                <w:szCs w:val="18"/>
                <w:color w:val="auto"/>
              </w:rPr>
              <w:t>By:  /s/ Mark McKee</w:t>
            </w:r>
          </w:p>
        </w:tc>
      </w:tr>
      <w:tr>
        <w:trPr>
          <w:trHeight w:val="20"/>
        </w:trPr>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5"/>
        </w:trPr>
        <w:tc>
          <w:tcPr>
            <w:tcW w:w="640" w:type="dxa"/>
            <w:vAlign w:val="bottom"/>
            <w:gridSpan w:val="2"/>
          </w:tcPr>
          <w:p>
            <w:pPr>
              <w:ind w:left="100"/>
              <w:spacing w:after="0" w:line="195" w:lineRule="exact"/>
              <w:rPr>
                <w:sz w:val="20"/>
                <w:szCs w:val="20"/>
                <w:color w:val="auto"/>
              </w:rPr>
            </w:pPr>
            <w:r>
              <w:rPr>
                <w:rFonts w:ascii="Arial" w:cs="Arial" w:eastAsia="Arial" w:hAnsi="Arial"/>
                <w:sz w:val="18"/>
                <w:szCs w:val="18"/>
                <w:color w:val="auto"/>
                <w:w w:val="98"/>
              </w:rPr>
              <w:t>Name:</w:t>
            </w:r>
          </w:p>
        </w:tc>
        <w:tc>
          <w:tcPr>
            <w:tcW w:w="4460" w:type="dxa"/>
            <w:vAlign w:val="bottom"/>
          </w:tcPr>
          <w:p>
            <w:pPr>
              <w:ind w:left="1880"/>
              <w:spacing w:after="0" w:line="195" w:lineRule="exact"/>
              <w:rPr>
                <w:sz w:val="20"/>
                <w:szCs w:val="20"/>
                <w:color w:val="auto"/>
              </w:rPr>
            </w:pPr>
            <w:r>
              <w:rPr>
                <w:rFonts w:ascii="Arial" w:cs="Arial" w:eastAsia="Arial" w:hAnsi="Arial"/>
                <w:sz w:val="18"/>
                <w:szCs w:val="18"/>
                <w:color w:val="auto"/>
              </w:rPr>
              <w:t>Mark McKee</w:t>
            </w:r>
          </w:p>
        </w:tc>
      </w:tr>
      <w:tr>
        <w:trPr>
          <w:trHeight w:val="230"/>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460" w:type="dxa"/>
            <w:vAlign w:val="bottom"/>
          </w:tcPr>
          <w:p>
            <w:pPr>
              <w:ind w:left="188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100 Wilshire Blvd., Suite 1500</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Phone: (310) 917-6600</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Facsimile: (310) 752-1483</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ALL AMERICAN PIPELINE,</w:t>
      </w:r>
    </w:p>
    <w:p>
      <w:pPr>
        <w:spacing w:after="0" w:line="27"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L.P.</w:t>
      </w:r>
    </w:p>
    <w:p>
      <w:pPr>
        <w:sectPr>
          <w:pgSz w:w="11900" w:h="16838" w:orient="portrait"/>
          <w:cols w:equalWidth="0" w:num="1">
            <w:col w:w="11440"/>
          </w:cols>
          <w:pgMar w:left="240" w:top="580" w:right="219" w:bottom="573" w:gutter="0" w:footer="0" w:header="0"/>
        </w:sectPr>
      </w:pP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PLAINS AAP, L.P.,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200" w:lineRule="exact"/>
        <w:rPr>
          <w:sz w:val="20"/>
          <w:szCs w:val="20"/>
          <w:color w:val="auto"/>
        </w:rPr>
      </w:pPr>
    </w:p>
    <w:p>
      <w:pPr>
        <w:sectPr>
          <w:pgSz w:w="11900" w:h="16838" w:orient="portrait"/>
          <w:cols w:equalWidth="0" w:num="2">
            <w:col w:w="5960" w:space="400"/>
            <w:col w:w="5080"/>
          </w:cols>
          <w:pgMar w:left="240" w:top="580" w:right="219" w:bottom="573" w:gutter="0" w:footer="0" w:header="0"/>
          <w:type w:val="continuous"/>
        </w:sectPr>
      </w:pPr>
    </w:p>
    <w:p>
      <w:pPr>
        <w:spacing w:after="0" w:line="22"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PLAINS ALL AMERICAN GP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ectPr>
          <w:pgSz w:w="11900" w:h="16838" w:orient="portrait"/>
          <w:cols w:equalWidth="0" w:num="2">
            <w:col w:w="5960" w:space="400"/>
            <w:col w:w="5080"/>
          </w:cols>
          <w:pgMar w:left="240" w:top="580" w:right="219" w:bottom="573" w:gutter="0" w:footer="0" w:header="0"/>
          <w:type w:val="continuous"/>
        </w:sectPr>
      </w:pPr>
    </w:p>
    <w:p>
      <w:pPr>
        <w:spacing w:after="0" w:line="227"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By:  /s/ Greg L. Armstrong</w:t>
            </w:r>
          </w:p>
        </w:tc>
        <w:tc>
          <w:tcPr>
            <w:tcW w:w="276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195"/>
        </w:trPr>
        <w:tc>
          <w:tcPr>
            <w:tcW w:w="254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Name:</w:t>
            </w:r>
          </w:p>
        </w:tc>
        <w:tc>
          <w:tcPr>
            <w:tcW w:w="2760" w:type="dxa"/>
            <w:vAlign w:val="bottom"/>
          </w:tcPr>
          <w:p>
            <w:pPr>
              <w:ind w:left="520"/>
              <w:spacing w:after="0" w:line="195" w:lineRule="exact"/>
              <w:rPr>
                <w:sz w:val="20"/>
                <w:szCs w:val="20"/>
                <w:color w:val="auto"/>
              </w:rPr>
            </w:pPr>
            <w:r>
              <w:rPr>
                <w:rFonts w:ascii="Arial" w:cs="Arial" w:eastAsia="Arial" w:hAnsi="Arial"/>
                <w:sz w:val="18"/>
                <w:szCs w:val="18"/>
                <w:color w:val="auto"/>
              </w:rPr>
              <w:t>Greg L. Armstrong</w:t>
            </w:r>
          </w:p>
        </w:tc>
      </w:tr>
      <w:tr>
        <w:trPr>
          <w:trHeight w:val="230"/>
        </w:trPr>
        <w:tc>
          <w:tcPr>
            <w:tcW w:w="2540" w:type="dxa"/>
            <w:vAlign w:val="bottom"/>
            <w:gridSpan w:val="2"/>
          </w:tcPr>
          <w:p>
            <w:pPr>
              <w:ind w:left="80"/>
              <w:spacing w:after="0"/>
              <w:rPr>
                <w:sz w:val="20"/>
                <w:szCs w:val="20"/>
                <w:color w:val="auto"/>
              </w:rPr>
            </w:pPr>
            <w:r>
              <w:rPr>
                <w:rFonts w:ascii="Arial" w:cs="Arial" w:eastAsia="Arial" w:hAnsi="Arial"/>
                <w:sz w:val="18"/>
                <w:szCs w:val="18"/>
                <w:color w:val="auto"/>
              </w:rPr>
              <w:t>Title:</w:t>
            </w:r>
          </w:p>
        </w:tc>
        <w:tc>
          <w:tcPr>
            <w:tcW w:w="2760" w:type="dxa"/>
            <w:vAlign w:val="bottom"/>
          </w:tcPr>
          <w:p>
            <w:pPr>
              <w:ind w:left="52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 PAGE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UNIT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4"/>
              </w:rPr>
              <w:t>Schedule 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3500" w:type="dxa"/>
            <w:vAlign w:val="bottom"/>
          </w:tcPr>
          <w:p>
            <w:pPr>
              <w:spacing w:after="0"/>
              <w:rPr>
                <w:sz w:val="24"/>
                <w:szCs w:val="2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Base Units</w:t>
            </w:r>
          </w:p>
        </w:tc>
        <w:tc>
          <w:tcPr>
            <w:tcW w:w="160" w:type="dxa"/>
            <w:vAlign w:val="bottom"/>
          </w:tcPr>
          <w:p>
            <w:pPr>
              <w:spacing w:after="0"/>
              <w:rPr>
                <w:sz w:val="24"/>
                <w:szCs w:val="24"/>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Purchase Price –</w:t>
            </w:r>
          </w:p>
        </w:tc>
        <w:tc>
          <w:tcPr>
            <w:tcW w:w="180" w:type="dxa"/>
            <w:vAlign w:val="bottom"/>
          </w:tcPr>
          <w:p>
            <w:pPr>
              <w:spacing w:after="0"/>
              <w:rPr>
                <w:sz w:val="24"/>
                <w:szCs w:val="24"/>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Commitment Fee</w:t>
            </w:r>
          </w:p>
        </w:tc>
        <w:tc>
          <w:tcPr>
            <w:tcW w:w="15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Additional Units</w:t>
            </w:r>
          </w:p>
        </w:tc>
        <w:tc>
          <w:tcPr>
            <w:tcW w:w="180" w:type="dxa"/>
            <w:vAlign w:val="bottom"/>
          </w:tcPr>
          <w:p>
            <w:pPr>
              <w:spacing w:after="0"/>
              <w:rPr>
                <w:sz w:val="24"/>
                <w:szCs w:val="24"/>
                <w:color w:val="auto"/>
              </w:rPr>
            </w:pPr>
          </w:p>
        </w:tc>
        <w:tc>
          <w:tcPr>
            <w:tcW w:w="15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Purchase Price –</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Base Units</w:t>
            </w: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Additional Units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749,844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32,093,333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95,467</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223,053</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9,546,667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ZLP Fund, L.P.</w:t>
            </w:r>
          </w:p>
        </w:tc>
        <w:tc>
          <w:tcPr>
            <w:tcW w:w="1080" w:type="dxa"/>
            <w:vAlign w:val="bottom"/>
          </w:tcPr>
          <w:p>
            <w:pPr>
              <w:jc w:val="right"/>
              <w:spacing w:after="0"/>
              <w:rPr>
                <w:sz w:val="20"/>
                <w:szCs w:val="20"/>
                <w:color w:val="auto"/>
              </w:rPr>
            </w:pPr>
            <w:r>
              <w:rPr>
                <w:rFonts w:ascii="Arial" w:cs="Arial" w:eastAsia="Arial" w:hAnsi="Arial"/>
                <w:sz w:val="18"/>
                <w:szCs w:val="18"/>
                <w:color w:val="auto"/>
              </w:rPr>
              <w:t>271,612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11,625,000</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33,750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78,855</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Americas, LLC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15,500,000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105,140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Credit Suisse Management LLC</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90,537</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3,875,000</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11,250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26,285</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1,125,000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9"/>
              </w:rPr>
              <w:t>Kayne Anderson MLP Investment Company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16,842,111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84,211</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196,755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8,421,110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w w:val="99"/>
              </w:rPr>
              <w:t>Kayne Anderson Energy Total Return Fund,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Inc.</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73,782</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3,157,889</w:t>
            </w:r>
          </w:p>
        </w:tc>
        <w:tc>
          <w:tcPr>
            <w:tcW w:w="180" w:type="dxa"/>
            <w:vAlign w:val="bottom"/>
          </w:tcPr>
          <w:p>
            <w:pPr>
              <w:spacing w:after="0"/>
              <w:rPr>
                <w:sz w:val="20"/>
                <w:szCs w:val="20"/>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15,789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36,891</w:t>
            </w:r>
          </w:p>
        </w:tc>
        <w:tc>
          <w:tcPr>
            <w:tcW w:w="1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1,578,890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RCH Energy MLP Fund, L.P.</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93,458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RCH Energy Opportunity Fund I, L.P.</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186,916</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The Swank MLP Convergence Fund, LP</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93,458</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93,458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Fiduciary/Claymore MLP Opportunity Fund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93,458</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4,000,000</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46,729</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Tortoise Energy Infrastructure Corporation</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21,990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941,177</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28,235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65,970</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2,823,530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Tortoise Energy Capital Corporation</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16,493</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705,882</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21,176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49,478</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2,117,647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7"/>
              </w:rPr>
              <w:t>Tortoise North American Energy Corporation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352,941</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24,739</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1,058,823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Alerian Capital Partners, L.P.</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21,184</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906,667</w:t>
            </w:r>
          </w:p>
        </w:tc>
        <w:tc>
          <w:tcPr>
            <w:tcW w:w="1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4,533</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10,591</w:t>
            </w:r>
          </w:p>
        </w:tc>
        <w:tc>
          <w:tcPr>
            <w:tcW w:w="1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453,333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Strome MLP Fund, L.P.</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46,729</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2,000,000</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23,364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2,336,448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100,000,000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w:t>
            </w:r>
          </w:p>
        </w:tc>
        <w:tc>
          <w:tcPr>
            <w:tcW w:w="1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1,168,224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50,000,000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35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80" w:right="219" w:bottom="573"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acted as counsel for Plains All American Partners, L.P., a Delaware limited partnership (the “Partnership”), with respect to certain legal matters in connection with the registration by the Partnership under the Securities Act of 1933, as amended (the “Securities Act”), of the offer and sale by the Partnership of up to 3,504,672 units representing limited partner interests in the Partnership (the “Units”). We have participated in the preparation of the Partnership’s registration statement on Form S-3 (Commission File no.: 333-126447) (the “Registration Statement”), including the prospectus therein (the “Prospectus”). A prospectus supplement (the “Prospectus Supplement”) has been filed pursuant to Rule 424(b) promulgated under the Securities Act describing the offer and sale of the Units, which shall constitute a part of the Prospectus. Capitalized terms not defined herein shall have the meanings ascribed to them in the Prospectus.</w:t>
      </w:r>
    </w:p>
    <w:p>
      <w:pPr>
        <w:spacing w:after="0" w:line="18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rendering the opinions set forth below, we have examined and relied upon (i) the Registration Statement, including the Prospectus; (ii) the Third Amended and Restated Agreement of Limited Partnership of the Partnership, dated as of June 27, 2001, as amended, (iii) a Common Unit Purchase Agreement, dated March 16, 2006 relating to the offering and sale of the Units (the “Purchase Agreement”) and (iv) such other certificates, statutes and other instruments and documents as we consider appropriate for purposes of the opinions hereafter expressed.</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connection with this opinion, we have assumed that all Units will be issued and sold in compliance in the manner stated in the Prospectus and the Purchase Agreement.</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Based upon and subject to the foregoing, we are of the opinion that when the Units have been issued and delivered in accordance with terms of the Purchase Agreement, then the Units will be validly issued, fully paid and non-assessable, except as described in the Prospectus.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right="60" w:firstLine="638"/>
        <w:spacing w:after="0" w:line="277" w:lineRule="auto"/>
        <w:tabs>
          <w:tab w:leader="none" w:pos="1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assumed, without independent verification, that the certificates for the Units will conform to the specimens thereof examined by us and will have been duly countersigned by a transfer agent and duly registered by a registrar of the Units.</w:t>
      </w:r>
    </w:p>
    <w:p>
      <w:pPr>
        <w:spacing w:after="0" w:line="170" w:lineRule="exact"/>
        <w:rPr>
          <w:rFonts w:ascii="Arial" w:cs="Arial" w:eastAsia="Arial" w:hAnsi="Arial"/>
          <w:sz w:val="18"/>
          <w:szCs w:val="18"/>
          <w:color w:val="auto"/>
        </w:rPr>
      </w:pPr>
    </w:p>
    <w:p>
      <w:pPr>
        <w:ind w:right="100" w:firstLine="638"/>
        <w:spacing w:after="0" w:line="312" w:lineRule="auto"/>
        <w:tabs>
          <w:tab w:leader="none" w:pos="12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w:t>
      </w:r>
    </w:p>
    <w:p>
      <w:pPr>
        <w:spacing w:after="0" w:line="146" w:lineRule="exact"/>
        <w:rPr>
          <w:rFonts w:ascii="Arial" w:cs="Arial" w:eastAsia="Arial" w:hAnsi="Arial"/>
          <w:sz w:val="16"/>
          <w:szCs w:val="16"/>
          <w:color w:val="auto"/>
        </w:rPr>
      </w:pPr>
    </w:p>
    <w:p>
      <w:pPr>
        <w:ind w:right="260" w:firstLine="638"/>
        <w:spacing w:after="0" w:line="277" w:lineRule="auto"/>
        <w:tabs>
          <w:tab w:leader="none" w:pos="12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Revised Uniform Limited Partnership Act and the Constitution of the State of Delaware, as interpreted by the courts of the State of Delaware and of the United States.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hereby consent to the references to this firm under the captions “Tax Considerations” and “Legal Matters” in the Prospectus and to the filing of this opinion as an Exhibit to the Registration Statements. By giving such consent, we do not admit that we are within the category of persons whose consent is required under Section 7 of the Securities Act or the rules and regulations of the Securities and Exchange Commission issued thereunder.</w:t>
      </w:r>
    </w:p>
    <w:p>
      <w:pPr>
        <w:spacing w:after="0" w:line="14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Suite 2300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77002-6760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acted as counsel for Plains All American Pipeline, L.P., a Delaware limited partnership (the “Partnership”), with respect to certain legal matters in connection with the offer and sale by the Partnership of units representing limited partner interests in the Partnership. We have also participated in the preparation of a Prospectus Supplement dated March 16, 2006 and the base prospectus (the “Prospectus”) forming part of the Registration Statement on Form S-3 (the “Registration Statement”) to which this opinion is an exhibit.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therewith, we prepared the discussion set forth under the caption “Tax Considerations” in the Prospectus (the “Discussion”).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not defined herein shall have the meanings ascribed to them in the Prospectus.</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statements of legal conclusions contained in the Discussion, unless otherwise noted, are our opinion with respect to the matters set forth therein as of the effective date of the Prospectus in respect of the discussion set forth under the caption “Tax Considerations,” as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Registration Statement. This consent does not constitute an admission that we are “experts” within the meaning of such term as used in the Securities Act of 1933, as amended, or the rules and regulations of the Securities and Exchange Commission issued thereunder.</w:t>
      </w:r>
    </w:p>
    <w:p>
      <w:pPr>
        <w:spacing w:after="0" w:line="181"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(Houston – March 15, 2006) Plains All American Pipeline, L.P. (NYSE: PAA) announced today that it has received commitments from a group of funds affiliated with nine institutional investors led by Zimmer Lucas Capital, LLC and Kayne Anderson Capital Advisors, L.P.. The commitments provide for the sale by PAA of up to approximately 3.5 million common units to fund a portion of the acquisition of Andrews Petroleum, which was announced earlier today. The Partnership has entered into an agreement to acquire Andrews Petroleum for approximately $205 million. The Partnership is also currently engaged in discussions with a number of other potential sellers regarding the possible purchase of additional assets. PAA intends to sell the units in a direct placement to the institutional investors. If the full amount of common units is issued, aggregate proceeds to PAA will be approximately $150 million.</w:t>
      </w:r>
    </w:p>
    <w:p>
      <w:pPr>
        <w:spacing w:after="0" w:line="16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have an established financial growth strategy and a disciplined approach to financing acquisitions, which calls for PAA to fund its acquisition growth with at least 50% equity,” said Phil Kramer, Executive Vice President and CFO of Plains All American. “To accommodate these planned and potential acquisitions, we have secured equity commitments to help ensure that we will meet these objectives in a timely fashion.”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Kramer stated that the arrangement provides that the investors will purchase a minimum of approximately 2.3 million common units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$42.80 per unit for proceeds of $100 million. The sales price represents a 4.0% discount to both the closing price on March 10, 2006 and the average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for the last 15 trading days ended March 14, 2006, the last full trading day prior to the execution of the agreement. Kramer noted that the 4.0% discount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roughly equivalent to the average underwriting discount typically paid in connection with an underwritten public offering.</w:t>
      </w:r>
    </w:p>
    <w:p>
      <w:pPr>
        <w:spacing w:after="0" w:line="21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subject to closing the acquisition of Andrews Petroleum or the good faith belief by PAA that such acquisition is reasonably likely to close, the investors are also obligated through May 1, 2006, to purchase up to approximately 1.2 million additional common units at the same price as noted above, representing an incremental $50 million in potential proceeds. All of the units will be issued under the Partnership’s shelf registration statement filed on July 7, 2005.</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spacing w:after="0" w:line="15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Certain statements made herein are forward-looking statements under the Private Securities Litigation Reform Act of 1995. They include statements regarding the Andrews acquisition and potential future acquisitions and the potential sale of additional common units to help finance such acquisition activities. These statements are based on management’s current expectations and estimates. Actual results may differ materially due to certain risks and uncertainties, including the closing of the acquisition of Andrews Petroleum, the consummation of additional acquisitions, the closing of the direct placement of units, the stability of the capital markets, and other risks and uncertainties as identified and discussed in the Partnership’s Annual Report on Form 10-K for the year ended December 31, 2005 as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lowerLetter"/>
      <w:start w:val="3"/>
    </w:lvl>
  </w:abstractNum>
  <w:abstractNum w:abstractNumId="2">
    <w:nsid w:val="5BD062C2"/>
    <w:multiLevelType w:val="hybridMultilevel"/>
    <w:lvl w:ilvl="0">
      <w:lvlJc w:val="left"/>
      <w:lvlText w:val="(%1)"/>
      <w:numFmt w:val="lowerLetter"/>
      <w:start w:val="1"/>
    </w:lvl>
    <w:lvl w:ilvl="1">
      <w:lvlJc w:val="left"/>
      <w:lvlText w:val="(%2)"/>
      <w:numFmt w:val="lowerRoman"/>
      <w:start w:val="1"/>
    </w:lvl>
  </w:abstractNum>
  <w:abstractNum w:abstractNumId="3">
    <w:nsid w:val="12200854"/>
    <w:multiLevelType w:val="hybridMultilevel"/>
    <w:lvl w:ilvl="0">
      <w:lvlJc w:val="left"/>
      <w:lvlText w:val="(%1)"/>
      <w:numFmt w:val="lowerLetter"/>
      <w:start w:val="1"/>
    </w:lvl>
    <w:lvl w:ilvl="1">
      <w:lvlJc w:val="left"/>
      <w:lvlText w:val="(%2)"/>
      <w:numFmt w:val="lowerRoman"/>
      <w:start w:val="1"/>
    </w:lvl>
  </w:abstractNum>
  <w:abstractNum w:abstractNumId="4">
    <w:nsid w:val="4DB127F8"/>
    <w:multiLevelType w:val="hybridMultilevel"/>
    <w:lvl w:ilvl="0">
      <w:lvlJc w:val="left"/>
      <w:lvlText w:val="(%1)"/>
      <w:numFmt w:val="lowerRoman"/>
      <w:start w:val="4"/>
    </w:lvl>
  </w:abstractNum>
  <w:abstractNum w:abstractNumId="5">
    <w:nsid w:val="216231B"/>
    <w:multiLevelType w:val="hybridMultilevel"/>
    <w:lvl w:ilvl="0">
      <w:lvlJc w:val="left"/>
      <w:lvlText w:val="(%1)"/>
      <w:numFmt w:val="lowerLetter"/>
      <w:start w:val="2"/>
    </w:lvl>
    <w:lvl w:ilvl="1">
      <w:lvlJc w:val="left"/>
      <w:lvlText w:val="(%2)"/>
      <w:numFmt w:val="lowerRoman"/>
      <w:start w:val="1"/>
    </w:lvl>
  </w:abstractNum>
  <w:abstractNum w:abstractNumId="6">
    <w:nsid w:val="1F16E9E8"/>
    <w:multiLevelType w:val="hybridMultilevel"/>
    <w:lvl w:ilvl="0">
      <w:lvlJc w:val="left"/>
      <w:lvlText w:val="(%1)"/>
      <w:numFmt w:val="lowerRoman"/>
      <w:start w:val="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65"/>
    </w:lvl>
  </w:abstractNum>
  <w:abstractNum w:abstractNumId="14">
    <w:nsid w:val="1BEFD79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2020-02-11T07:17:47Z</dcterms:created>
  <dcterms:modified xsi:type="dcterms:W3CDTF">2020-02-11T07:17:47Z</dcterms:modified>
</cp:coreProperties>
</file>