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11/21/2017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4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2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2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08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11/21/2017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40" w:type="dxa"/>
            <w:vAlign w:val="bottom"/>
            <w:vMerge w:val="restart"/>
          </w:tcPr>
          <w:p>
            <w:pPr>
              <w:ind w:left="240"/>
              <w:spacing w:after="0"/>
              <w:rPr>
                <w:sz w:val="20"/>
                <w:szCs w:val="20"/>
                <w:color w:val="auto"/>
              </w:rPr>
            </w:pPr>
            <w:r>
              <w:rPr>
                <w:rFonts w:ascii="Arial" w:cs="Arial" w:eastAsia="Arial" w:hAnsi="Arial"/>
                <w:sz w:val="18"/>
                <w:szCs w:val="18"/>
                <w:color w:val="0000FF"/>
                <w:w w:val="87"/>
              </w:rPr>
              <w:t>56,328</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3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286,761,606</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60" w:type="dxa"/>
            <w:vAlign w:val="bottom"/>
            <w:gridSpan w:val="9"/>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3"/>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6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14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November 21, 2017, a limited partner of AAP exercised the Redemption Right with respect to 56,328 AAP Class A units, resulting in the cancellation of such AAP Class A units and the distribution of 56,328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11/21/2017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2020-01-16T05:31:02Z</dcterms:created>
  <dcterms:modified xsi:type="dcterms:W3CDTF">2020-01-16T05:31:02Z</dcterms:modified>
</cp:coreProperties>
</file>