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a2216857zs-1a.htm"/>
      <w:bookmarkStart w:id="1" w:name="ksa2216857zs1a"/>
      <w:bookmarkEnd w:id="0"/>
      <w:bookmarkEnd w:id="1"/>
      <w:r>
        <w:rPr/>
        <w:br/>
      </w:r>
      <w:hyperlink w:anchor="13ZBW73601_1">
        <w:r>
          <w:rPr>
            <w:rStyle w:val="InternetLink"/>
            <w:sz w:val="24"/>
          </w:rPr>
          <w:t>QuickLinks</w:t>
        </w:r>
      </w:hyperlink>
      <w:r>
        <w:rPr/>
        <w:t xml:space="preserve"> </w:t>
      </w:r>
      <w:r>
        <w:rPr>
          <w:sz w:val="24"/>
        </w:rPr>
        <w:t>-- Click here to rapidly navigate through this document</w:t>
      </w:r>
      <w:r>
        <w:rPr/>
        <w:t xml:space="preserve"> </w:t>
      </w:r>
    </w:p>
    <w:p>
      <w:pPr>
        <w:pStyle w:val="TextBody"/>
        <w:jc w:val="center"/>
        <w:rPr>
          <w:rFonts w:ascii="times" w:hAnsi="times"/>
          <w:b/>
          <w:sz w:val="20"/>
        </w:rPr>
      </w:pPr>
      <w:r>
        <w:rPr>
          <w:rFonts w:ascii="times" w:hAnsi="times"/>
          <w:b/>
          <w:sz w:val="20"/>
        </w:rPr>
        <w:t xml:space="preserve">As filed with the Securities and Exchange Commission on October 2, 2013 </w:t>
      </w:r>
    </w:p>
    <w:p>
      <w:pPr>
        <w:pStyle w:val="TextBody"/>
        <w:jc w:val="right"/>
        <w:rPr>
          <w:rFonts w:ascii="times" w:hAnsi="times"/>
          <w:b/>
          <w:sz w:val="20"/>
        </w:rPr>
      </w:pPr>
      <w:r>
        <w:rPr>
          <w:rFonts w:ascii="times" w:hAnsi="times"/>
          <w:b/>
          <w:sz w:val="20"/>
        </w:rPr>
        <w:t xml:space="preserve">Registration No. 333-190227 </w:t>
      </w:r>
    </w:p>
    <w:p>
      <w:pPr>
        <w:pStyle w:val="TextBody"/>
        <w:jc w:val="center"/>
        <w:rPr>
          <w:rFonts w:ascii="times" w:hAnsi="times"/>
        </w:rPr>
      </w:pPr>
      <w:r>
        <w:rPr>
          <w:rFonts w:ascii="times" w:hAnsi="times"/>
          <w:b/>
          <w:sz w:val="36"/>
        </w:rPr>
        <w:t>UNITED STATES</w:t>
        <w:br/>
        <w:t>SECURITIES AND EXCHANGE COMMISSION</w:t>
        <w:br/>
      </w:r>
      <w:r>
        <w:rPr>
          <w:rFonts w:ascii="times" w:hAnsi="times"/>
          <w:b/>
          <w:sz w:val="20"/>
        </w:rPr>
        <w:t xml:space="preserve">Washington, D.C. 20549 </w:t>
      </w:r>
    </w:p>
    <w:p>
      <w:pPr>
        <w:pStyle w:val="HorizontalLine"/>
        <w:pBdr>
          <w:bottom w:val="single" w:sz="6" w:space="0" w:color="000000"/>
        </w:pBdr>
        <w:ind w:left="3827" w:right="3827" w:hanging="0"/>
        <w:rPr/>
      </w:pPr>
      <w:r>
        <w:rPr/>
      </w:r>
    </w:p>
    <w:p>
      <w:pPr>
        <w:pStyle w:val="TextBody"/>
        <w:rPr>
          <w:b/>
          <w:sz w:val="20"/>
        </w:rPr>
      </w:pPr>
      <w:r>
        <w:rPr>
          <w:b/>
          <w:sz w:val="20"/>
        </w:rPr>
      </w:r>
    </w:p>
    <w:p>
      <w:pPr>
        <w:pStyle w:val="TextBody"/>
        <w:jc w:val="center"/>
        <w:rPr>
          <w:rFonts w:ascii="times" w:hAnsi="times"/>
        </w:rPr>
      </w:pPr>
      <w:r>
        <w:rPr>
          <w:rFonts w:ascii="times" w:hAnsi="times"/>
          <w:b/>
          <w:sz w:val="36"/>
        </w:rPr>
        <w:t>Amendment No. 3</w:t>
        <w:br/>
      </w:r>
      <w:r>
        <w:rPr>
          <w:rFonts w:ascii="times" w:hAnsi="times"/>
          <w:b/>
          <w:sz w:val="20"/>
        </w:rPr>
        <w:t>to</w:t>
        <w:br/>
      </w:r>
      <w:r>
        <w:rPr>
          <w:rFonts w:ascii="times" w:hAnsi="times"/>
          <w:b/>
          <w:sz w:val="36"/>
        </w:rPr>
        <w:t>Form S-1</w:t>
        <w:br/>
      </w:r>
      <w:r>
        <w:rPr>
          <w:rFonts w:ascii="times" w:hAnsi="times"/>
          <w:b/>
          <w:sz w:val="20"/>
        </w:rPr>
        <w:t>REGISTRATION STATEMENT</w:t>
        <w:br/>
        <w:t>UNDER</w:t>
        <w:br/>
        <w:t xml:space="preserve">THE SECURITIES ACT OF 1933 </w:t>
      </w:r>
    </w:p>
    <w:p>
      <w:pPr>
        <w:pStyle w:val="HorizontalLine"/>
        <w:pBdr>
          <w:bottom w:val="single" w:sz="6" w:space="0" w:color="000000"/>
        </w:pBdr>
        <w:ind w:left="3827" w:right="3827" w:hanging="0"/>
        <w:rPr/>
      </w:pPr>
      <w:r>
        <w:rPr/>
      </w:r>
    </w:p>
    <w:p>
      <w:pPr>
        <w:pStyle w:val="TextBody"/>
        <w:rPr>
          <w:b/>
          <w:sz w:val="20"/>
        </w:rPr>
      </w:pPr>
      <w:r>
        <w:rPr>
          <w:b/>
          <w:sz w:val="20"/>
        </w:rPr>
      </w:r>
    </w:p>
    <w:p>
      <w:pPr>
        <w:pStyle w:val="TextBody"/>
        <w:jc w:val="center"/>
        <w:rPr>
          <w:rFonts w:ascii="times" w:hAnsi="times"/>
        </w:rPr>
      </w:pPr>
      <w:r>
        <w:rPr>
          <w:rFonts w:ascii="times" w:hAnsi="times"/>
          <w:b/>
          <w:sz w:val="36"/>
        </w:rPr>
        <w:t>PLAINS GP HOLDINGS, L.P.</w:t>
        <w:br/>
      </w:r>
      <w:r>
        <w:rPr>
          <w:rFonts w:ascii="times" w:hAnsi="times"/>
          <w:sz w:val="20"/>
        </w:rPr>
        <w:t xml:space="preserve">(Exact Name of Registrant as Specified in Its Charter) </w:t>
      </w:r>
    </w:p>
    <w:tbl>
      <w:tblPr>
        <w:tblW w:w="7974" w:type="dxa"/>
        <w:jc w:val="center"/>
        <w:tblInd w:w="0" w:type="dxa"/>
        <w:tblCellMar>
          <w:top w:w="0" w:type="dxa"/>
          <w:left w:w="0" w:type="dxa"/>
          <w:bottom w:w="0" w:type="dxa"/>
          <w:right w:w="0" w:type="dxa"/>
        </w:tblCellMar>
      </w:tblPr>
      <w:tblGrid>
        <w:gridCol w:w="2538"/>
        <w:gridCol w:w="180"/>
        <w:gridCol w:w="2538"/>
        <w:gridCol w:w="180"/>
        <w:gridCol w:w="2538"/>
      </w:tblGrid>
      <w:tr>
        <w:trPr/>
        <w:tc>
          <w:tcPr>
            <w:tcW w:w="253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r>
      <w:tr>
        <w:trPr/>
        <w:tc>
          <w:tcPr>
            <w:tcW w:w="2538" w:type="dxa"/>
            <w:tcBorders/>
            <w:shd w:fill="auto" w:val="clear"/>
          </w:tcPr>
          <w:p>
            <w:pPr>
              <w:pStyle w:val="TableContents"/>
              <w:spacing w:before="0" w:after="283"/>
              <w:jc w:val="center"/>
              <w:rPr>
                <w:rFonts w:ascii="times" w:hAnsi="times"/>
              </w:rPr>
            </w:pPr>
            <w:r>
              <w:rPr>
                <w:rFonts w:ascii="times" w:hAnsi="times"/>
                <w:b/>
                <w:sz w:val="20"/>
              </w:rPr>
              <w:t>Delaware</w:t>
              <w:br/>
            </w:r>
            <w:r>
              <w:rPr>
                <w:rFonts w:ascii="times" w:hAnsi="times"/>
                <w:sz w:val="20"/>
              </w:rPr>
              <w:t>(State or Other Jurisdiction of</w:t>
              <w:br/>
              <w:t>Incorporation or Organization)</w:t>
            </w:r>
          </w:p>
        </w:tc>
        <w:tc>
          <w:tcPr>
            <w:tcW w:w="180" w:type="dxa"/>
            <w:tcBorders/>
            <w:shd w:fill="auto" w:val="clear"/>
          </w:tcPr>
          <w:p>
            <w:pPr>
              <w:pStyle w:val="TableContents"/>
              <w:spacing w:before="0" w:after="283"/>
              <w:rPr/>
            </w:pPr>
            <w:r>
              <w:rPr/>
              <w:t> </w:t>
            </w:r>
          </w:p>
        </w:tc>
        <w:tc>
          <w:tcPr>
            <w:tcW w:w="2538" w:type="dxa"/>
            <w:tcBorders/>
            <w:shd w:fill="auto" w:val="clear"/>
          </w:tcPr>
          <w:p>
            <w:pPr>
              <w:pStyle w:val="TableContents"/>
              <w:spacing w:before="0" w:after="283"/>
              <w:jc w:val="center"/>
              <w:rPr>
                <w:rFonts w:ascii="times" w:hAnsi="times"/>
              </w:rPr>
            </w:pPr>
            <w:r>
              <w:rPr>
                <w:rFonts w:ascii="times" w:hAnsi="times"/>
                <w:b/>
                <w:sz w:val="20"/>
              </w:rPr>
              <w:t>4610</w:t>
              <w:br/>
            </w:r>
            <w:r>
              <w:rPr>
                <w:rFonts w:ascii="times" w:hAnsi="times"/>
                <w:sz w:val="20"/>
              </w:rPr>
              <w:t>(Primary Standard Industrial</w:t>
              <w:br/>
              <w:t>Classification Code Number)</w:t>
            </w:r>
          </w:p>
        </w:tc>
        <w:tc>
          <w:tcPr>
            <w:tcW w:w="180" w:type="dxa"/>
            <w:tcBorders/>
            <w:shd w:fill="auto" w:val="clear"/>
          </w:tcPr>
          <w:p>
            <w:pPr>
              <w:pStyle w:val="TableContents"/>
              <w:spacing w:before="0" w:after="283"/>
              <w:rPr/>
            </w:pPr>
            <w:r>
              <w:rPr/>
              <w:t> </w:t>
            </w:r>
          </w:p>
        </w:tc>
        <w:tc>
          <w:tcPr>
            <w:tcW w:w="2538" w:type="dxa"/>
            <w:tcBorders/>
            <w:shd w:fill="auto" w:val="clear"/>
          </w:tcPr>
          <w:p>
            <w:pPr>
              <w:pStyle w:val="TableContents"/>
              <w:spacing w:before="0" w:after="283"/>
              <w:jc w:val="center"/>
              <w:rPr>
                <w:rFonts w:ascii="times" w:hAnsi="times"/>
              </w:rPr>
            </w:pPr>
            <w:r>
              <w:rPr>
                <w:rFonts w:ascii="times" w:hAnsi="times"/>
                <w:b/>
                <w:sz w:val="20"/>
              </w:rPr>
              <w:t>90-1005472</w:t>
              <w:br/>
            </w:r>
            <w:r>
              <w:rPr>
                <w:rFonts w:ascii="times" w:hAnsi="times"/>
                <w:sz w:val="20"/>
              </w:rPr>
              <w:t>(IRS Employer</w:t>
              <w:br/>
              <w:t>Identification Number)</w:t>
            </w:r>
          </w:p>
        </w:tc>
      </w:tr>
    </w:tbl>
    <w:p>
      <w:pPr>
        <w:pStyle w:val="TextBody"/>
        <w:jc w:val="center"/>
        <w:rPr>
          <w:rFonts w:ascii="times" w:hAnsi="times"/>
        </w:rPr>
      </w:pPr>
      <w:r>
        <w:rPr>
          <w:rFonts w:ascii="times" w:hAnsi="times"/>
          <w:b/>
          <w:sz w:val="20"/>
        </w:rPr>
        <w:t>333 Clay Street, Suite 1600</w:t>
        <w:br/>
        <w:t>Houston, Texas 77002</w:t>
        <w:br/>
        <w:t>(713) 646-4100</w:t>
        <w:br/>
      </w:r>
      <w:r>
        <w:rPr>
          <w:rFonts w:ascii="times" w:hAnsi="times"/>
          <w:sz w:val="20"/>
        </w:rPr>
        <w:t>(Address, Including Zip Code, and Telephone Number, Including Area Code,</w:t>
        <w:br/>
        <w:t xml:space="preserve">of Registrant's Principal Executive Offices) </w:t>
      </w:r>
    </w:p>
    <w:p>
      <w:pPr>
        <w:pStyle w:val="TextBody"/>
        <w:jc w:val="center"/>
        <w:rPr>
          <w:rFonts w:ascii="times" w:hAnsi="times"/>
        </w:rPr>
      </w:pPr>
      <w:r>
        <w:rPr>
          <w:rFonts w:ascii="times" w:hAnsi="times"/>
          <w:b/>
          <w:sz w:val="20"/>
        </w:rPr>
        <w:t>Richard McGee</w:t>
        <w:br/>
        <w:t>Executive Vice President</w:t>
        <w:br/>
        <w:t>333 Clay Street, Suite 1600</w:t>
        <w:br/>
        <w:t>Houston, Texas 77002</w:t>
        <w:br/>
        <w:t>(713) 646-4100</w:t>
        <w:br/>
      </w:r>
      <w:r>
        <w:rPr>
          <w:rFonts w:ascii="times" w:hAnsi="times"/>
          <w:sz w:val="20"/>
        </w:rPr>
        <w:t xml:space="preserve">(Name, Address, Including Zip Code, and Telephone Number, Including Area Code, of Agent for Service) </w:t>
      </w:r>
    </w:p>
    <w:tbl>
      <w:tblPr>
        <w:tblW w:w="5632" w:type="dxa"/>
        <w:jc w:val="center"/>
        <w:tblInd w:w="0" w:type="dxa"/>
        <w:tblCellMar>
          <w:top w:w="0" w:type="dxa"/>
          <w:left w:w="0" w:type="dxa"/>
          <w:bottom w:w="0" w:type="dxa"/>
          <w:right w:w="0" w:type="dxa"/>
        </w:tblCellMar>
      </w:tblPr>
      <w:tblGrid>
        <w:gridCol w:w="2561"/>
        <w:gridCol w:w="510"/>
        <w:gridCol w:w="2561"/>
      </w:tblGrid>
      <w:tr>
        <w:trPr/>
        <w:tc>
          <w:tcPr>
            <w:tcW w:w="256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2561" w:type="dxa"/>
            <w:tcBorders/>
            <w:shd w:fill="auto" w:val="clear"/>
            <w:vAlign w:val="center"/>
          </w:tcPr>
          <w:p>
            <w:pPr>
              <w:pStyle w:val="TableContents"/>
              <w:spacing w:before="0" w:after="283"/>
              <w:rPr>
                <w:sz w:val="4"/>
                <w:szCs w:val="4"/>
              </w:rPr>
            </w:pPr>
            <w:r>
              <w:rPr>
                <w:sz w:val="4"/>
                <w:szCs w:val="4"/>
              </w:rPr>
            </w:r>
          </w:p>
        </w:tc>
      </w:tr>
      <w:tr>
        <w:trPr/>
        <w:tc>
          <w:tcPr>
            <w:tcW w:w="5632" w:type="dxa"/>
            <w:gridSpan w:val="3"/>
            <w:tcBorders/>
            <w:shd w:fill="auto" w:val="clear"/>
          </w:tcPr>
          <w:p>
            <w:pPr>
              <w:pStyle w:val="TableContents"/>
              <w:spacing w:before="0" w:after="283"/>
              <w:jc w:val="center"/>
              <w:rPr>
                <w:rFonts w:ascii="times" w:hAnsi="times"/>
                <w:b/>
                <w:sz w:val="20"/>
              </w:rPr>
            </w:pPr>
            <w:r>
              <w:rPr>
                <w:rFonts w:ascii="times" w:hAnsi="times"/>
                <w:b/>
                <w:sz w:val="20"/>
              </w:rPr>
              <w:t>Copies to:</w:t>
            </w:r>
          </w:p>
        </w:tc>
      </w:tr>
      <w:tr>
        <w:trPr/>
        <w:tc>
          <w:tcPr>
            <w:tcW w:w="2561"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David P. Oelman</w:t>
              <w:br/>
              <w:t>Alan Beck</w:t>
              <w:br/>
            </w:r>
            <w:r>
              <w:rPr>
                <w:rFonts w:ascii="times" w:hAnsi="times"/>
                <w:sz w:val="20"/>
              </w:rPr>
              <w:t>Vinson &amp; Elkins L.L.P.</w:t>
              <w:br/>
              <w:t>1001 Fannin Street, Suite 2500</w:t>
              <w:br/>
              <w:t>Houston, Texas 77002</w:t>
              <w:br/>
              <w:t>(713) 758-2222</w:t>
            </w:r>
          </w:p>
        </w:tc>
        <w:tc>
          <w:tcPr>
            <w:tcW w:w="510" w:type="dxa"/>
            <w:tcBorders/>
            <w:shd w:fill="auto" w:val="clear"/>
          </w:tcPr>
          <w:p>
            <w:pPr>
              <w:pStyle w:val="TableContents"/>
              <w:spacing w:before="0" w:after="283"/>
              <w:rPr>
                <w:rFonts w:ascii="times" w:hAnsi="times"/>
                <w:b/>
                <w:sz w:val="20"/>
              </w:rPr>
            </w:pPr>
            <w:r>
              <w:rPr>
                <w:rFonts w:ascii="times" w:hAnsi="times"/>
                <w:b/>
                <w:sz w:val="20"/>
              </w:rPr>
              <w:br/>
              <w:t> </w:t>
            </w:r>
          </w:p>
        </w:tc>
        <w:tc>
          <w:tcPr>
            <w:tcW w:w="2561"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Joshua Davidson</w:t>
              <w:br/>
              <w:t>Jason A. Rocha</w:t>
              <w:br/>
            </w:r>
            <w:r>
              <w:rPr>
                <w:rFonts w:ascii="times" w:hAnsi="times"/>
                <w:sz w:val="20"/>
              </w:rPr>
              <w:t>Baker Botts L.L.P.</w:t>
              <w:br/>
              <w:t>910 Louisiana Street</w:t>
              <w:br/>
              <w:t>Houston, Texas 77002</w:t>
              <w:br/>
              <w:t>(713) 229-1234</w:t>
            </w:r>
          </w:p>
        </w:tc>
      </w:tr>
    </w:tbl>
    <w:p>
      <w:pPr>
        <w:pStyle w:val="HorizontalLine"/>
        <w:pBdr>
          <w:bottom w:val="single" w:sz="6" w:space="0" w:color="000000"/>
        </w:pBdr>
        <w:ind w:left="3827" w:right="3827" w:hanging="0"/>
        <w:rPr/>
      </w:pPr>
      <w:r>
        <w:rPr/>
      </w:r>
    </w:p>
    <w:p>
      <w:pPr>
        <w:pStyle w:val="TextBody"/>
        <w:rPr>
          <w:b/>
          <w:sz w:val="20"/>
        </w:rPr>
      </w:pPr>
      <w:r>
        <w:rPr>
          <w:b/>
          <w:sz w:val="20"/>
        </w:rPr>
      </w:r>
    </w:p>
    <w:p>
      <w:pPr>
        <w:pStyle w:val="TextBody"/>
        <w:jc w:val="center"/>
        <w:rPr>
          <w:rFonts w:ascii="times" w:hAnsi="times"/>
          <w:b/>
          <w:sz w:val="20"/>
        </w:rPr>
      </w:pPr>
      <w:r>
        <w:rPr>
          <w:rFonts w:ascii="times" w:hAnsi="times"/>
          <w:b/>
          <w:sz w:val="20"/>
        </w:rPr>
        <w:t>Approximate date of commencement of proposed sale to the public:</w:t>
        <w:br/>
        <w:t xml:space="preserve">As soon as practicable after this Registration Statement becomes effective. </w:t>
      </w:r>
    </w:p>
    <w:p>
      <w:pPr>
        <w:pStyle w:val="HorizontalLine"/>
        <w:pBdr>
          <w:bottom w:val="single" w:sz="6" w:space="0" w:color="000000"/>
        </w:pBdr>
        <w:ind w:left="3827" w:right="3827" w:hanging="0"/>
        <w:rPr/>
      </w:pPr>
      <w:r>
        <w:rPr/>
      </w:r>
    </w:p>
    <w:p>
      <w:pPr>
        <w:pStyle w:val="TextBody"/>
        <w:rPr>
          <w:b/>
          <w:sz w:val="20"/>
        </w:rPr>
      </w:pPr>
      <w:r>
        <w:rPr>
          <w:b/>
          <w:sz w:val="20"/>
        </w:rPr>
      </w:r>
    </w:p>
    <w:p>
      <w:pPr>
        <w:pStyle w:val="TextBody"/>
        <w:rPr/>
      </w:pPr>
      <w:r>
        <w:rPr/>
        <w:t>         </w:t>
      </w:r>
      <w:r>
        <w:rPr>
          <w:rFonts w:ascii="times" w:hAnsi="times"/>
          <w:sz w:val="20"/>
        </w:rPr>
        <w:t>If any of the securities being registered on this form are to be offered on a delayed or continuous basis pursuant to Rule 415 under the Securities Act of 1933, check the following box. </w:t>
      </w:r>
      <w:r>
        <w:rPr>
          <w:rFonts w:ascii="WINGDINGS" w:hAnsi="WINGDINGS"/>
          <w:sz w:val="20"/>
        </w:rPr>
        <w:t>o</w:t>
      </w:r>
      <w:r>
        <w:rPr>
          <w:rFonts w:ascii="times" w:hAnsi="times"/>
          <w:sz w:val="20"/>
        </w:rPr>
        <w:t xml:space="preserve"> </w:t>
      </w:r>
    </w:p>
    <w:p>
      <w:pPr>
        <w:pStyle w:val="TextBody"/>
        <w:rPr/>
      </w:pPr>
      <w:r>
        <w:rPr/>
        <w:t>         </w:t>
      </w:r>
      <w:r>
        <w:rPr>
          <w:rFonts w:ascii="times" w:hAnsi="times"/>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WINGDINGS" w:hAnsi="WINGDINGS"/>
          <w:sz w:val="20"/>
        </w:rPr>
        <w:t>o</w:t>
      </w:r>
      <w:r>
        <w:rPr>
          <w:rFonts w:ascii="times" w:hAnsi="times"/>
          <w:sz w:val="20"/>
        </w:rPr>
        <w:t xml:space="preserve"> </w:t>
      </w:r>
    </w:p>
    <w:p>
      <w:pPr>
        <w:pStyle w:val="TextBody"/>
        <w:rPr/>
      </w:pPr>
      <w:r>
        <w:rPr/>
        <w:t>         </w:t>
      </w:r>
      <w:r>
        <w:rPr>
          <w:rFonts w:ascii="times" w:hAnsi="times"/>
          <w:sz w:val="20"/>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sz w:val="20"/>
        </w:rPr>
        <w:t>o</w:t>
      </w:r>
      <w:r>
        <w:rPr>
          <w:rFonts w:ascii="times" w:hAnsi="times"/>
          <w:sz w:val="20"/>
        </w:rPr>
        <w:t xml:space="preserve"> </w:t>
      </w:r>
    </w:p>
    <w:p>
      <w:pPr>
        <w:pStyle w:val="TextBody"/>
        <w:rPr/>
      </w:pPr>
      <w:r>
        <w:rPr/>
        <w:t>         </w:t>
      </w:r>
      <w:r>
        <w:rPr>
          <w:rFonts w:ascii="times" w:hAnsi="times"/>
          <w:sz w:val="20"/>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sz w:val="20"/>
        </w:rPr>
        <w:t>o</w:t>
      </w:r>
      <w:r>
        <w:rPr>
          <w:rFonts w:ascii="times" w:hAnsi="times"/>
          <w:sz w:val="20"/>
        </w:rPr>
        <w:t xml:space="preserve"> </w:t>
      </w:r>
    </w:p>
    <w:p>
      <w:pPr>
        <w:pStyle w:val="TextBody"/>
        <w:rPr/>
      </w:pPr>
      <w:r>
        <w:rPr/>
        <w:t>         </w:t>
      </w:r>
      <w:r>
        <w:rPr>
          <w:rFonts w:ascii="times" w:hAnsi="times"/>
          <w:sz w:val="20"/>
        </w:rPr>
        <w:t xml:space="preserve">Indicate by check mark whether the registrant is a large accelerated filer, an accelerated filer, a non-accelerated filer, or a smaller reporting company. Please read the definition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1985"/>
        <w:gridCol w:w="789"/>
        <w:gridCol w:w="1521"/>
        <w:gridCol w:w="789"/>
        <w:gridCol w:w="1940"/>
        <w:gridCol w:w="790"/>
        <w:gridCol w:w="2391"/>
      </w:tblGrid>
      <w:tr>
        <w:trPr/>
        <w:tc>
          <w:tcPr>
            <w:tcW w:w="198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391"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tcPr>
          <w:p>
            <w:pPr>
              <w:pStyle w:val="TableContents"/>
              <w:spacing w:before="0" w:after="283"/>
              <w:jc w:val="center"/>
              <w:rPr>
                <w:rFonts w:ascii="times" w:hAnsi="times"/>
                <w:sz w:val="20"/>
              </w:rPr>
            </w:pPr>
            <w:r>
              <w:rPr>
                <w:rFonts w:ascii="times" w:hAnsi="times"/>
                <w:sz w:val="20"/>
              </w:rPr>
              <w:t>Large accelerated filer </w:t>
            </w:r>
            <w:r>
              <w:rPr>
                <w:rFonts w:ascii="WINGDINGS" w:hAnsi="WINGDINGS"/>
                <w:sz w:val="20"/>
              </w:rPr>
              <w:t>o</w:t>
            </w:r>
          </w:p>
        </w:tc>
        <w:tc>
          <w:tcPr>
            <w:tcW w:w="789" w:type="dxa"/>
            <w:tcBorders/>
            <w:shd w:fill="auto" w:val="clear"/>
          </w:tcPr>
          <w:p>
            <w:pPr>
              <w:pStyle w:val="TableContents"/>
              <w:spacing w:before="0" w:after="283"/>
              <w:rPr/>
            </w:pPr>
            <w:r>
              <w:rPr/>
              <w:t> </w:t>
            </w:r>
          </w:p>
        </w:tc>
        <w:tc>
          <w:tcPr>
            <w:tcW w:w="1521" w:type="dxa"/>
            <w:tcBorders/>
            <w:shd w:fill="auto" w:val="clear"/>
          </w:tcPr>
          <w:p>
            <w:pPr>
              <w:pStyle w:val="TableContents"/>
              <w:spacing w:before="0" w:after="283"/>
              <w:jc w:val="center"/>
              <w:rPr>
                <w:rFonts w:ascii="times" w:hAnsi="times"/>
                <w:sz w:val="20"/>
              </w:rPr>
            </w:pPr>
            <w:r>
              <w:rPr>
                <w:rFonts w:ascii="times" w:hAnsi="times"/>
                <w:sz w:val="20"/>
              </w:rPr>
              <w:t>Accelerated filer </w:t>
            </w:r>
            <w:r>
              <w:rPr>
                <w:rFonts w:ascii="WINGDINGS" w:hAnsi="WINGDINGS"/>
                <w:sz w:val="20"/>
              </w:rPr>
              <w:t>o</w:t>
            </w:r>
          </w:p>
        </w:tc>
        <w:tc>
          <w:tcPr>
            <w:tcW w:w="789" w:type="dxa"/>
            <w:tcBorders/>
            <w:shd w:fill="auto" w:val="clear"/>
          </w:tcPr>
          <w:p>
            <w:pPr>
              <w:pStyle w:val="TableContents"/>
              <w:spacing w:before="0" w:after="283"/>
              <w:rPr/>
            </w:pPr>
            <w:r>
              <w:rPr/>
              <w:t> </w:t>
            </w:r>
          </w:p>
        </w:tc>
        <w:tc>
          <w:tcPr>
            <w:tcW w:w="1940" w:type="dxa"/>
            <w:tcBorders/>
            <w:shd w:fill="auto" w:val="clear"/>
          </w:tcPr>
          <w:p>
            <w:pPr>
              <w:pStyle w:val="TableContents"/>
              <w:spacing w:before="0" w:after="283"/>
              <w:jc w:val="center"/>
              <w:rPr>
                <w:rFonts w:ascii="times" w:hAnsi="times"/>
              </w:rPr>
            </w:pPr>
            <w:r>
              <w:rPr>
                <w:rFonts w:ascii="times" w:hAnsi="times"/>
                <w:sz w:val="20"/>
              </w:rPr>
              <w:t>Non-accelerated filer ☒</w:t>
              <w:br/>
            </w:r>
            <w:r>
              <w:rPr>
                <w:rFonts w:ascii="times" w:hAnsi="times"/>
                <w:sz w:val="14"/>
              </w:rPr>
              <w:t>(Do not check if a</w:t>
              <w:br/>
              <w:t>smaller reporting company)</w:t>
            </w:r>
          </w:p>
        </w:tc>
        <w:tc>
          <w:tcPr>
            <w:tcW w:w="790" w:type="dxa"/>
            <w:tcBorders/>
            <w:shd w:fill="auto" w:val="clear"/>
          </w:tcPr>
          <w:p>
            <w:pPr>
              <w:pStyle w:val="TableContents"/>
              <w:spacing w:before="0" w:after="283"/>
              <w:rPr/>
            </w:pPr>
            <w:r>
              <w:rPr/>
              <w:t> </w:t>
            </w:r>
          </w:p>
        </w:tc>
        <w:tc>
          <w:tcPr>
            <w:tcW w:w="2391" w:type="dxa"/>
            <w:tcBorders/>
            <w:shd w:fill="auto" w:val="clear"/>
          </w:tcPr>
          <w:p>
            <w:pPr>
              <w:pStyle w:val="TableContents"/>
              <w:spacing w:before="0" w:after="283"/>
              <w:jc w:val="center"/>
              <w:rPr>
                <w:rFonts w:ascii="times" w:hAnsi="times"/>
                <w:sz w:val="20"/>
              </w:rPr>
            </w:pPr>
            <w:r>
              <w:rPr>
                <w:rFonts w:ascii="times" w:hAnsi="times"/>
                <w:sz w:val="20"/>
              </w:rPr>
              <w:t>Smaller reporting company </w:t>
            </w:r>
            <w:r>
              <w:rPr>
                <w:rFonts w:ascii="WINGDINGS" w:hAnsi="WINGDINGS"/>
                <w:sz w:val="20"/>
              </w:rPr>
              <w:t>o</w:t>
            </w:r>
          </w:p>
        </w:tc>
      </w:tr>
    </w:tbl>
    <w:p>
      <w:pPr>
        <w:pStyle w:val="TextBody"/>
        <w:rPr/>
      </w:pPr>
      <w:r>
        <w:rPr/>
        <w:t>         </w:t>
      </w:r>
      <w:r>
        <w:rPr>
          <w:rFonts w:ascii="times" w:hAnsi="times"/>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pStyle w:val="HorizontalLine"/>
        <w:pBdr>
          <w:bottom w:val="single" w:sz="20" w:space="0" w:color="808080"/>
        </w:pBdr>
        <w:rPr/>
      </w:pPr>
      <w:r>
        <w:rPr/>
      </w:r>
      <w:r>
        <w:br w:type="page"/>
      </w:r>
    </w:p>
    <w:p>
      <w:pPr>
        <w:pStyle w:val="TextBody"/>
        <w:jc w:val="center"/>
        <w:rPr>
          <w:rFonts w:ascii="times" w:hAnsi="times"/>
        </w:rPr>
      </w:pPr>
      <w:bookmarkStart w:id="2" w:name="toc_bb73601_1"/>
      <w:bookmarkStart w:id="3" w:name="bb73601_explanatory_note"/>
      <w:bookmarkEnd w:id="2"/>
      <w:bookmarkEnd w:id="3"/>
      <w:r>
        <w:rPr>
          <w:rFonts w:ascii="times" w:hAnsi="times"/>
          <w:sz w:val="20"/>
        </w:rPr>
        <w:br/>
      </w:r>
      <w:r>
        <w:rPr>
          <w:rFonts w:ascii="times" w:hAnsi="times"/>
          <w:b/>
          <w:sz w:val="20"/>
        </w:rPr>
        <w:t xml:space="preserve">EXPLANATORY NOTE </w:t>
      </w:r>
    </w:p>
    <w:p>
      <w:pPr>
        <w:pStyle w:val="TextBody"/>
        <w:rPr/>
      </w:pPr>
      <w:r>
        <w:rPr/>
        <w:t>        </w:t>
      </w:r>
      <w:r>
        <w:rPr>
          <w:rFonts w:ascii="times" w:hAnsi="times"/>
          <w:sz w:val="20"/>
        </w:rPr>
        <w:t xml:space="preserve">This Amendment No. 3 to the Registration Statement on Form S-1 (File No. 333-190227) of Plains GP Holdings, L.P. is being filed solely to amend Item 16 of Part II thereof and to transmit certain exhibits thereto. This Amendment No. 3 does not modify any provision of the preliminary prospectus contained in Part I or Items 13, 14, 15 or 17 of Part II of the Registration Statement. Accordingly, this Amendment No. 3 does not include a copy of the preliminary prospectus. </w:t>
      </w:r>
    </w:p>
    <w:p>
      <w:pPr>
        <w:pStyle w:val="HorizontalLine"/>
        <w:pBdr>
          <w:bottom w:val="single" w:sz="20" w:space="0" w:color="808080"/>
        </w:pBdr>
        <w:rPr/>
      </w:pPr>
      <w:r>
        <w:rPr/>
      </w:r>
      <w:r>
        <w:br w:type="page"/>
      </w:r>
    </w:p>
    <w:p>
      <w:pPr>
        <w:pStyle w:val="TextBody"/>
        <w:jc w:val="center"/>
        <w:rPr>
          <w:rFonts w:ascii="times" w:hAnsi="times"/>
        </w:rPr>
      </w:pPr>
      <w:bookmarkStart w:id="4" w:name="toc_jv73601_1"/>
      <w:bookmarkStart w:id="5" w:name="jv73601_part_ii_information_re__jv702479"/>
      <w:bookmarkStart w:id="6" w:name="page_jv73601_1_1"/>
      <w:bookmarkEnd w:id="4"/>
      <w:bookmarkEnd w:id="5"/>
      <w:bookmarkEnd w:id="6"/>
      <w:r>
        <w:rPr>
          <w:rFonts w:ascii="times" w:hAnsi="times"/>
          <w:sz w:val="20"/>
        </w:rPr>
        <w:br/>
      </w:r>
      <w:r>
        <w:rPr>
          <w:rFonts w:ascii="times" w:hAnsi="times"/>
          <w:b/>
          <w:sz w:val="20"/>
        </w:rPr>
        <w:t>PART II</w:t>
        <w:br/>
        <w:br/>
        <w:t xml:space="preserve">INFORMATION REQUIRED IN THE REGISTRATION STATEMENT </w:t>
      </w:r>
    </w:p>
    <w:p>
      <w:pPr>
        <w:pStyle w:val="TextBody"/>
        <w:rPr>
          <w:rFonts w:ascii="times" w:hAnsi="times"/>
          <w:b/>
          <w:sz w:val="20"/>
        </w:rPr>
      </w:pPr>
      <w:bookmarkStart w:id="7" w:name="toc_jv73601_2"/>
      <w:bookmarkStart w:id="8" w:name="jv73601_item_13._other_expense__jv702011"/>
      <w:bookmarkEnd w:id="7"/>
      <w:bookmarkEnd w:id="8"/>
      <w:r>
        <w:rPr>
          <w:rFonts w:ascii="times" w:hAnsi="times"/>
          <w:b/>
          <w:sz w:val="20"/>
        </w:rPr>
        <w:t xml:space="preserve">Item 13.    Other Expenses of Issuance and Distribution. </w:t>
      </w:r>
    </w:p>
    <w:p>
      <w:pPr>
        <w:pStyle w:val="TextBody"/>
        <w:rPr/>
      </w:pPr>
      <w:r>
        <w:rPr/>
        <w:t>        </w:t>
      </w:r>
      <w:r>
        <w:rPr>
          <w:rFonts w:ascii="times" w:hAnsi="times"/>
          <w:sz w:val="20"/>
        </w:rPr>
        <w:t xml:space="preserve">Set forth below are the expenses (other than underwriting discounts and commissions) expected to be incurred in connection with the issuance and distribution of the securities registered hereby. With the exception of the Securities and Exchange Commission registration fee, the FINRA filing fee, the amounts set forth below are estimates. </w:t>
      </w:r>
    </w:p>
    <w:tbl>
      <w:tblPr>
        <w:tblW w:w="5000" w:type="pct"/>
        <w:jc w:val="center"/>
        <w:tblInd w:w="0" w:type="dxa"/>
        <w:tblCellMar>
          <w:top w:w="0" w:type="dxa"/>
          <w:left w:w="0" w:type="dxa"/>
          <w:bottom w:w="0" w:type="dxa"/>
          <w:right w:w="0" w:type="dxa"/>
        </w:tblCellMar>
      </w:tblPr>
      <w:tblGrid>
        <w:gridCol w:w="7238"/>
        <w:gridCol w:w="427"/>
        <w:gridCol w:w="297"/>
        <w:gridCol w:w="1815"/>
        <w:gridCol w:w="428"/>
      </w:tblGrid>
      <w:tr>
        <w:trPr/>
        <w:tc>
          <w:tcPr>
            <w:tcW w:w="7238"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72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SEC registration fee</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15" w:type="dxa"/>
            <w:tcBorders/>
            <w:shd w:fill="CCEEFF" w:val="clear"/>
            <w:vAlign w:val="bottom"/>
          </w:tcPr>
          <w:p>
            <w:pPr>
              <w:pStyle w:val="TableContents"/>
              <w:spacing w:before="0" w:after="283"/>
              <w:jc w:val="right"/>
              <w:rPr>
                <w:rFonts w:ascii="times" w:hAnsi="times"/>
                <w:sz w:val="20"/>
              </w:rPr>
            </w:pPr>
            <w:r>
              <w:rPr>
                <w:rFonts w:ascii="times" w:hAnsi="times"/>
                <w:sz w:val="20"/>
              </w:rPr>
              <w:t>136,400</w:t>
            </w:r>
          </w:p>
        </w:tc>
        <w:tc>
          <w:tcPr>
            <w:tcW w:w="428" w:type="dxa"/>
            <w:tcBorders/>
            <w:shd w:fill="CCEEFF" w:val="clear"/>
            <w:vAlign w:val="bottom"/>
          </w:tcPr>
          <w:p>
            <w:pPr>
              <w:pStyle w:val="TableContents"/>
              <w:spacing w:before="0" w:after="283"/>
              <w:rPr/>
            </w:pPr>
            <w:r>
              <w:rPr/>
              <w:t> </w:t>
            </w:r>
          </w:p>
        </w:tc>
      </w:tr>
      <w:tr>
        <w:trPr/>
        <w:tc>
          <w:tcPr>
            <w:tcW w:w="72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FINRA filing fee</w:t>
            </w:r>
          </w:p>
        </w:tc>
        <w:tc>
          <w:tcPr>
            <w:tcW w:w="427"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15" w:type="dxa"/>
            <w:tcBorders/>
            <w:shd w:fill="FFFFFF" w:val="clear"/>
            <w:vAlign w:val="bottom"/>
          </w:tcPr>
          <w:p>
            <w:pPr>
              <w:pStyle w:val="TableContents"/>
              <w:spacing w:before="0" w:after="283"/>
              <w:jc w:val="right"/>
              <w:rPr>
                <w:rFonts w:ascii="times" w:hAnsi="times"/>
                <w:sz w:val="20"/>
              </w:rPr>
            </w:pPr>
            <w:r>
              <w:rPr>
                <w:rFonts w:ascii="times" w:hAnsi="times"/>
                <w:sz w:val="20"/>
              </w:rPr>
              <w:t>150,500</w:t>
            </w:r>
          </w:p>
        </w:tc>
        <w:tc>
          <w:tcPr>
            <w:tcW w:w="428" w:type="dxa"/>
            <w:tcBorders/>
            <w:shd w:fill="FFFFFF" w:val="clear"/>
            <w:vAlign w:val="bottom"/>
          </w:tcPr>
          <w:p>
            <w:pPr>
              <w:pStyle w:val="TableContents"/>
              <w:spacing w:before="0" w:after="283"/>
              <w:rPr/>
            </w:pPr>
            <w:r>
              <w:rPr/>
              <w:t> </w:t>
            </w:r>
          </w:p>
        </w:tc>
      </w:tr>
      <w:tr>
        <w:trPr/>
        <w:tc>
          <w:tcPr>
            <w:tcW w:w="72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Printing and engraving expenses</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 </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Fees and expenses of legal counsel</w:t>
            </w:r>
          </w:p>
        </w:tc>
        <w:tc>
          <w:tcPr>
            <w:tcW w:w="427"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pPr>
            <w:r>
              <w:rPr/>
              <w:t> </w:t>
            </w:r>
          </w:p>
        </w:tc>
        <w:tc>
          <w:tcPr>
            <w:tcW w:w="42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Accounting fees and expenses</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 </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Transfer agent and registrar fees</w:t>
            </w:r>
          </w:p>
        </w:tc>
        <w:tc>
          <w:tcPr>
            <w:tcW w:w="427"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pPr>
            <w:r>
              <w:rPr/>
              <w:t> </w:t>
            </w:r>
          </w:p>
        </w:tc>
        <w:tc>
          <w:tcPr>
            <w:tcW w:w="42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New York Stock Exchange listing fee</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815" w:type="dxa"/>
            <w:tcBorders/>
            <w:shd w:fill="CCEEFF" w:val="clear"/>
            <w:vAlign w:val="bottom"/>
          </w:tcPr>
          <w:p>
            <w:pPr>
              <w:pStyle w:val="TableContents"/>
              <w:spacing w:before="0" w:after="283"/>
              <w:jc w:val="right"/>
              <w:rPr/>
            </w:pPr>
            <w:r>
              <w:rPr/>
              <w:t> </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Miscellaneous</w:t>
            </w:r>
          </w:p>
        </w:tc>
        <w:tc>
          <w:tcPr>
            <w:tcW w:w="427" w:type="dxa"/>
            <w:tcBorders/>
            <w:shd w:fill="FFFFFF" w:val="clear"/>
            <w:vAlign w:val="bottom"/>
          </w:tcPr>
          <w:p>
            <w:pPr>
              <w:pStyle w:val="TableContents"/>
              <w:spacing w:before="0" w:after="283"/>
              <w:rPr/>
            </w:pPr>
            <w:r>
              <w:rPr/>
              <w:t> </w:t>
            </w:r>
          </w:p>
        </w:tc>
        <w:tc>
          <w:tcPr>
            <w:tcW w:w="297" w:type="dxa"/>
            <w:tcBorders/>
            <w:shd w:fill="FFFFFF" w:val="clear"/>
            <w:vAlign w:val="bottom"/>
          </w:tcPr>
          <w:p>
            <w:pPr>
              <w:pStyle w:val="TableContents"/>
              <w:spacing w:before="0" w:after="283"/>
              <w:rPr/>
            </w:pPr>
            <w:r>
              <w:rPr/>
              <w:t> </w:t>
            </w:r>
          </w:p>
        </w:tc>
        <w:tc>
          <w:tcPr>
            <w:tcW w:w="1815" w:type="dxa"/>
            <w:tcBorders/>
            <w:shd w:fill="FFFFFF" w:val="clear"/>
            <w:vAlign w:val="bottom"/>
          </w:tcPr>
          <w:p>
            <w:pPr>
              <w:pStyle w:val="TableContents"/>
              <w:spacing w:before="0" w:after="283"/>
              <w:jc w:val="right"/>
              <w:rPr/>
            </w:pPr>
            <w:r>
              <w:rPr/>
              <w:t> </w:t>
            </w:r>
          </w:p>
        </w:tc>
        <w:tc>
          <w:tcPr>
            <w:tcW w:w="42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2112"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428" w:type="dxa"/>
            <w:tcBorders/>
            <w:shd w:fill="auto" w:val="clear"/>
            <w:vAlign w:val="bottom"/>
          </w:tcPr>
          <w:p>
            <w:pPr>
              <w:pStyle w:val="TableContents"/>
              <w:spacing w:before="0" w:after="283"/>
              <w:rPr/>
            </w:pPr>
            <w:r>
              <w:rPr/>
              <w:t> </w:t>
            </w:r>
          </w:p>
        </w:tc>
      </w:tr>
      <w:tr>
        <w:trPr/>
        <w:tc>
          <w:tcPr>
            <w:tcW w:w="7238"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Total</w:t>
            </w:r>
          </w:p>
        </w:tc>
        <w:tc>
          <w:tcPr>
            <w:tcW w:w="427"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15" w:type="dxa"/>
            <w:tcBorders/>
            <w:shd w:fill="CCEEFF" w:val="clear"/>
            <w:vAlign w:val="bottom"/>
          </w:tcPr>
          <w:p>
            <w:pPr>
              <w:pStyle w:val="TableContents"/>
              <w:spacing w:before="0" w:after="283"/>
              <w:jc w:val="right"/>
              <w:rPr/>
            </w:pPr>
            <w:r>
              <w:rPr/>
              <w:t> </w:t>
            </w:r>
          </w:p>
        </w:tc>
        <w:tc>
          <w:tcPr>
            <w:tcW w:w="428"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723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2112" w:type="dxa"/>
            <w:gridSpan w:val="2"/>
            <w:tcBorders>
              <w:bottom w:val="double" w:sz="6" w:space="0" w:color="000000"/>
            </w:tcBorders>
            <w:shd w:fill="auto" w:val="clear"/>
            <w:tcMar>
              <w:bottom w:w="28" w:type="dxa"/>
            </w:tcMar>
            <w:vAlign w:val="bottom"/>
          </w:tcPr>
          <w:p>
            <w:pPr>
              <w:pStyle w:val="TableContents"/>
              <w:spacing w:before="0" w:after="283"/>
              <w:jc w:val="right"/>
              <w:rPr/>
            </w:pPr>
            <w:r>
              <w:rPr/>
              <w:t> </w:t>
            </w:r>
          </w:p>
        </w:tc>
        <w:tc>
          <w:tcPr>
            <w:tcW w:w="428"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To be provided by amendment </w:t>
      </w:r>
    </w:p>
    <w:p>
      <w:pPr>
        <w:pStyle w:val="TextBody"/>
        <w:rPr>
          <w:rFonts w:ascii="times" w:hAnsi="times"/>
          <w:b/>
          <w:sz w:val="20"/>
        </w:rPr>
      </w:pPr>
      <w:bookmarkStart w:id="9" w:name="toc_jv73601_3"/>
      <w:bookmarkStart w:id="10" w:name="jv73601_item_14._indemnification_of_ou__"/>
      <w:bookmarkEnd w:id="9"/>
      <w:bookmarkEnd w:id="10"/>
      <w:r>
        <w:rPr>
          <w:rFonts w:ascii="times" w:hAnsi="times"/>
          <w:b/>
          <w:sz w:val="20"/>
        </w:rPr>
        <w:t xml:space="preserve">Item 14.    Indemnification of our General Partner's Officers and Directors. </w:t>
      </w:r>
    </w:p>
    <w:p>
      <w:pPr>
        <w:pStyle w:val="TextBody"/>
        <w:rPr/>
      </w:pPr>
      <w:r>
        <w:rPr/>
        <w:t>        </w:t>
      </w:r>
      <w:r>
        <w:rPr>
          <w:rFonts w:ascii="times" w:hAnsi="times"/>
          <w:sz w:val="20"/>
        </w:rPr>
        <w:t xml:space="preserve">The section of the prospectus entitled "Description of Our Partnership AgreementIndemnification" discloses that we will generally indemnify officers, directors and affiliates of GP LLC to the fullest extent permitted by the law against all losses, claims, damages or similar events and is incorporated herein by reference. Reference is also made to the Underwriting Agreement to be filed as an exhibit to this registration statement in which we and our general partner will agree to indemnify the several underwriters against certain liabilities, including liabilities under the Securities Act of 1933, as amended, and to contribute to payments that may be required to be made in respect of these liabilities. Subject to any terms, conditions or restrictions set forth in the partnership agreement, Section 17-108 of the Delaware Revised Uniform Limited Partnership Act empowers a Delaware limited partnership to indemnify and hold harmless any partner or other persons from and against all claims and demands whatsoever. </w:t>
      </w:r>
    </w:p>
    <w:p>
      <w:pPr>
        <w:pStyle w:val="TextBody"/>
        <w:rPr/>
      </w:pPr>
      <w:r>
        <w:rPr/>
        <w:t>        </w:t>
      </w:r>
      <w:r>
        <w:rPr>
          <w:rFonts w:ascii="times" w:hAnsi="times"/>
          <w:sz w:val="20"/>
        </w:rPr>
        <w:t xml:space="preserve">To the extent that the indemnification provisions of our partnership agreement purport to exclude indemnification for liabilities arising under the Securities Act of 1933, in the opinion of the Securities and Exchange Commission such indemnification is contrary to public policy and is therefore unenforceable. </w:t>
      </w:r>
    </w:p>
    <w:p>
      <w:pPr>
        <w:pStyle w:val="TextBody"/>
        <w:rPr>
          <w:rFonts w:ascii="times" w:hAnsi="times"/>
          <w:b/>
          <w:sz w:val="20"/>
        </w:rPr>
      </w:pPr>
      <w:bookmarkStart w:id="11" w:name="toc_jv73601_4"/>
      <w:bookmarkStart w:id="12" w:name="jv73601_item_15._recent_sales_of_unregis"/>
      <w:bookmarkEnd w:id="11"/>
      <w:bookmarkEnd w:id="12"/>
      <w:r>
        <w:rPr>
          <w:rFonts w:ascii="times" w:hAnsi="times"/>
          <w:b/>
          <w:sz w:val="20"/>
        </w:rPr>
        <w:t xml:space="preserve">Item 15.    Recent Sales of Unregistered Securities. </w:t>
      </w:r>
    </w:p>
    <w:p>
      <w:pPr>
        <w:pStyle w:val="TextBody"/>
        <w:rPr/>
      </w:pPr>
      <w:r>
        <w:rPr/>
        <w:t>        </w:t>
      </w:r>
      <w:r>
        <w:rPr>
          <w:rFonts w:ascii="times" w:hAnsi="times"/>
          <w:sz w:val="20"/>
        </w:rPr>
        <w:t xml:space="preserve">In connection with the closing of this offering, Plains GP Holdings, L.P. will issue its Class B shares to the existing owners of Plains AAP, L.P. as partial consideration for their contribution of limited partner interests in Plains AAP, L.P. to Plains GP Holdings, L.P. The issuance of these Class B shares will not be required to be registered under the Securities Act because the shares will be offered and sold in a transaction exempt from registration requirements of the Securities Act pursuant to Section 4(2) thereof. </w:t>
      </w:r>
    </w:p>
    <w:p>
      <w:pPr>
        <w:pStyle w:val="TextBody"/>
        <w:jc w:val="center"/>
        <w:rPr>
          <w:rFonts w:ascii="times" w:hAnsi="times"/>
          <w:sz w:val="20"/>
        </w:rPr>
      </w:pPr>
      <w:r>
        <w:rPr>
          <w:rFonts w:ascii="times" w:hAnsi="times"/>
          <w:sz w:val="20"/>
        </w:rPr>
        <w:t>II-1</w:t>
      </w:r>
    </w:p>
    <w:p>
      <w:pPr>
        <w:pStyle w:val="HorizontalLine"/>
        <w:pBdr>
          <w:bottom w:val="single" w:sz="20" w:space="0" w:color="808080"/>
        </w:pBdr>
        <w:rPr/>
      </w:pPr>
      <w:r>
        <w:rPr/>
      </w:r>
      <w:r>
        <w:br w:type="page"/>
      </w:r>
    </w:p>
    <w:p>
      <w:pPr>
        <w:pStyle w:val="TextBody"/>
        <w:rPr/>
      </w:pPr>
      <w:r>
        <w:rPr/>
      </w:r>
      <w:bookmarkStart w:id="13" w:name="page_jv73601_1_2"/>
      <w:bookmarkStart w:id="14" w:name="page_jv73601_1_2"/>
      <w:bookmarkEnd w:id="14"/>
    </w:p>
    <w:p>
      <w:pPr>
        <w:pStyle w:val="TextBody"/>
        <w:rPr>
          <w:rFonts w:ascii="times" w:hAnsi="times"/>
          <w:b/>
          <w:sz w:val="20"/>
        </w:rPr>
      </w:pPr>
      <w:bookmarkStart w:id="15" w:name="toc_jv73601_5"/>
      <w:bookmarkStart w:id="16" w:name="jv73601_item_16._exhibits."/>
      <w:bookmarkEnd w:id="15"/>
      <w:bookmarkEnd w:id="16"/>
      <w:r>
        <w:rPr>
          <w:rFonts w:ascii="times" w:hAnsi="times"/>
          <w:b/>
          <w:sz w:val="20"/>
        </w:rPr>
        <w:t xml:space="preserve">Item 16.    Exhibits. </w:t>
      </w:r>
    </w:p>
    <w:p>
      <w:pPr>
        <w:pStyle w:val="TextBody"/>
        <w:rPr/>
      </w:pPr>
      <w:r>
        <w:rPr/>
        <w:t>        </w:t>
      </w:r>
      <w:r>
        <w:rPr>
          <w:rFonts w:ascii="times" w:hAnsi="times"/>
          <w:sz w:val="20"/>
        </w:rPr>
        <w:t xml:space="preserve">The following documents are filed as exhibits to this registration statement: </w:t>
      </w:r>
    </w:p>
    <w:tbl>
      <w:tblPr>
        <w:tblW w:w="5000" w:type="pct"/>
        <w:jc w:val="center"/>
        <w:tblInd w:w="0" w:type="dxa"/>
        <w:tblCellMar>
          <w:top w:w="0" w:type="dxa"/>
          <w:left w:w="0" w:type="dxa"/>
          <w:bottom w:w="0" w:type="dxa"/>
          <w:right w:w="0" w:type="dxa"/>
        </w:tblCellMar>
      </w:tblPr>
      <w:tblGrid>
        <w:gridCol w:w="104"/>
        <w:gridCol w:w="430"/>
        <w:gridCol w:w="179"/>
        <w:gridCol w:w="70"/>
        <w:gridCol w:w="189"/>
        <w:gridCol w:w="87"/>
        <w:gridCol w:w="9146"/>
      </w:tblGrid>
      <w:tr>
        <w:trPr/>
        <w:tc>
          <w:tcPr>
            <w:tcW w:w="104"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9146" w:type="dxa"/>
            <w:tcBorders/>
            <w:shd w:fill="auto" w:val="clear"/>
            <w:vAlign w:val="center"/>
          </w:tcPr>
          <w:p>
            <w:pPr>
              <w:pStyle w:val="TableContents"/>
              <w:spacing w:before="0" w:after="283"/>
              <w:rPr>
                <w:sz w:val="4"/>
                <w:szCs w:val="4"/>
              </w:rPr>
            </w:pPr>
            <w:r>
              <w:rPr>
                <w:sz w:val="4"/>
                <w:szCs w:val="4"/>
              </w:rPr>
            </w:r>
          </w:p>
        </w:tc>
      </w:tr>
      <w:tr>
        <w:trPr/>
        <w:tc>
          <w:tcPr>
            <w:tcW w:w="53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79" w:type="dxa"/>
            <w:tcBorders/>
            <w:shd w:fill="auto" w:val="clear"/>
            <w:vAlign w:val="bottom"/>
          </w:tcPr>
          <w:p>
            <w:pPr>
              <w:pStyle w:val="TableHeading"/>
              <w:suppressLineNumbers/>
              <w:spacing w:before="0" w:after="283"/>
              <w:jc w:val="center"/>
              <w:rPr/>
            </w:pPr>
            <w:r>
              <w:rPr/>
              <w:t> </w:t>
            </w:r>
          </w:p>
        </w:tc>
        <w:tc>
          <w:tcPr>
            <w:tcW w:w="259" w:type="dxa"/>
            <w:gridSpan w:val="2"/>
            <w:tcBorders/>
            <w:shd w:fill="auto" w:val="clear"/>
            <w:vAlign w:val="bottom"/>
          </w:tcPr>
          <w:p>
            <w:pPr>
              <w:pStyle w:val="TableHeading"/>
              <w:spacing w:before="0" w:after="283"/>
              <w:jc w:val="left"/>
              <w:rPr/>
            </w:pPr>
            <w:r>
              <w:rPr/>
              <w:t> </w:t>
            </w:r>
          </w:p>
        </w:tc>
        <w:tc>
          <w:tcPr>
            <w:tcW w:w="87" w:type="dxa"/>
            <w:tcBorders/>
            <w:shd w:fill="auto" w:val="clear"/>
            <w:vAlign w:val="bottom"/>
          </w:tcPr>
          <w:p>
            <w:pPr>
              <w:pStyle w:val="TableHeading"/>
              <w:suppressLineNumbers/>
              <w:spacing w:before="0" w:after="283"/>
              <w:jc w:val="center"/>
              <w:rPr/>
            </w:pPr>
            <w:r>
              <w:rPr/>
              <w:t> </w:t>
            </w:r>
          </w:p>
        </w:tc>
        <w:tc>
          <w:tcPr>
            <w:tcW w:w="914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1.1</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Form of Underwriting Agreement.</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3.1</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Certificate of Limited Partnership of Plains GP Holdings, L.P.</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3.2</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Amended and Restated Limited Partnership Agreement of Plains GP Holdings, L.P. (included as Appendix A in the prospectus included in this Registration Statement).</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3.3</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Certificate of Formation of PAA GP Holdings LLC.</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3.4</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Amended and Restated Limited Liability Company Agreement of PAA GP Holdings LLC.</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3.5</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Fourth Amended and Restated Agreement of Limited Partnership of Plains All American Pipeline, L.P. dated as of May 17, 2012 (incorporated by reference to Exhibit 3.1 to Plains All American Pipeline,  L.P.'s Current Report on Form 8-K filed May 23, 2012).</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3.6</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Amendment No. 1 dated October 1, 2012 to the Fourth Amended and Restated Agreement of Limited Partnership of Plains All American Pipeline, L.P. (incorporated by reference to Exhibit 3.1 to Plains All American Pipeline, L.P.'s Current Report on Form 8-K filed October 2, 2012).</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3.7</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Form of Sixth Amended and Restated Limited Liability Company Agreement of Plains All American GP LLC.</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3.8</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Form of Seventh Amended and Restated Limited Partnership Agreement of Plains AAP, L.P.</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3.9</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Limited Liability Company Agreement of PAA GP LLC dated December 28, 2007 (incorporated by reference to Exhibit 3.3 to Plains All American Pipeline, L.P.'s Current Report on Form 8-K filed January 4, 2008).</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4.1</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Indenture dated September 25, 2002 among Plains All American Pipeline, L.P., PAA Finance Corp. and Wachovia Bank, National Association, as trustee (incorporated by reference to Exhibit 4.1 to Plains All American Pipeline, L.P.'s Quarterly Report on Form 10-Q for the quarter ended September 30, 2002).</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4.2</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Plains All American Pipeline, L.P.'s Annual Report on Form 10-K for the year ended December 31, 2003).</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4.3</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Plains All American Pipeline, L.P.'s Registration Statement on Form S-4, File No. 333-121168).</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sz w:val="20"/>
              </w:rPr>
            </w:pPr>
            <w:r>
              <w:rPr>
                <w:sz w:val="20"/>
              </w:rPr>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II-2</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17" w:name="page_jv73601_1_3"/>
      <w:bookmarkStart w:id="18" w:name="page_jv73601_1_3"/>
      <w:bookmarkEnd w:id="18"/>
    </w:p>
    <w:tbl>
      <w:tblPr>
        <w:tblW w:w="5000" w:type="pct"/>
        <w:jc w:val="center"/>
        <w:tblInd w:w="0" w:type="dxa"/>
        <w:tblCellMar>
          <w:top w:w="0" w:type="dxa"/>
          <w:left w:w="0" w:type="dxa"/>
          <w:bottom w:w="0" w:type="dxa"/>
          <w:right w:w="0" w:type="dxa"/>
        </w:tblCellMar>
      </w:tblPr>
      <w:tblGrid>
        <w:gridCol w:w="104"/>
        <w:gridCol w:w="437"/>
        <w:gridCol w:w="138"/>
        <w:gridCol w:w="71"/>
        <w:gridCol w:w="192"/>
        <w:gridCol w:w="91"/>
        <w:gridCol w:w="9172"/>
      </w:tblGrid>
      <w:tr>
        <w:trPr/>
        <w:tc>
          <w:tcPr>
            <w:tcW w:w="10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172" w:type="dxa"/>
            <w:tcBorders/>
            <w:shd w:fill="auto" w:val="clear"/>
            <w:vAlign w:val="center"/>
          </w:tcPr>
          <w:p>
            <w:pPr>
              <w:pStyle w:val="TableContents"/>
              <w:spacing w:before="0" w:after="283"/>
              <w:rPr>
                <w:sz w:val="4"/>
                <w:szCs w:val="4"/>
              </w:rPr>
            </w:pPr>
            <w:r>
              <w:rPr>
                <w:sz w:val="4"/>
                <w:szCs w:val="4"/>
              </w:rPr>
            </w:r>
          </w:p>
        </w:tc>
      </w:tr>
      <w:tr>
        <w:trPr/>
        <w:tc>
          <w:tcPr>
            <w:tcW w:w="54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38" w:type="dxa"/>
            <w:tcBorders/>
            <w:shd w:fill="auto" w:val="clear"/>
            <w:vAlign w:val="bottom"/>
          </w:tcPr>
          <w:p>
            <w:pPr>
              <w:pStyle w:val="TableHeading"/>
              <w:suppressLineNumbers/>
              <w:spacing w:before="0" w:after="283"/>
              <w:jc w:val="center"/>
              <w:rPr/>
            </w:pPr>
            <w:r>
              <w:rPr/>
              <w:t> </w:t>
            </w:r>
          </w:p>
        </w:tc>
        <w:tc>
          <w:tcPr>
            <w:tcW w:w="263" w:type="dxa"/>
            <w:gridSpan w:val="2"/>
            <w:tcBorders/>
            <w:shd w:fill="auto" w:val="clear"/>
            <w:vAlign w:val="bottom"/>
          </w:tcPr>
          <w:p>
            <w:pPr>
              <w:pStyle w:val="TableHeading"/>
              <w:spacing w:before="0" w:after="283"/>
              <w:jc w:val="left"/>
              <w:rPr/>
            </w:pPr>
            <w:r>
              <w:rPr/>
              <w:t> </w:t>
            </w:r>
          </w:p>
        </w:tc>
        <w:tc>
          <w:tcPr>
            <w:tcW w:w="91" w:type="dxa"/>
            <w:tcBorders/>
            <w:shd w:fill="auto" w:val="clear"/>
            <w:vAlign w:val="bottom"/>
          </w:tcPr>
          <w:p>
            <w:pPr>
              <w:pStyle w:val="TableHeading"/>
              <w:suppressLineNumbers/>
              <w:spacing w:before="0" w:after="283"/>
              <w:jc w:val="center"/>
              <w:rPr/>
            </w:pPr>
            <w:r>
              <w:rPr/>
              <w:t> </w:t>
            </w:r>
          </w:p>
        </w:tc>
        <w:tc>
          <w:tcPr>
            <w:tcW w:w="91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4.4</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Plains All American Pipeline, L.P.'s Current Report on Form 8-K filed May 31, 2005).</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4.5</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Plains All American Pipeline, L.P.'s Current Report on Form 8-K filed May 12, 2006).</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4.6</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Plains All American Pipeline, L.P.'s Current Report on Form 8-K filed October 30, 2006).</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4.7</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Plains All American Pipeline, L.P.'s Current Report on Form 8-K filed October 30, 2006).</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4.8</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Plains All American Pipeline, L.P.'s Current Report on Form 8-K filed April 23, 2008).</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4.9</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Fifteenth Supplemental Indenture (8.75% Senior Notes due 2019) dated April 20, 2009 among Plains All American Pipeline, L.P., PAA Finance Corp., the Subsidiary Guarantors named therein and U.S. Bank National Association, as trustee (incorporated by reference to Exhibit 4.1 to Plains All American Pipeline, L.P.'s Current Report on Form 8-K filed April 20, 2009).</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4.10</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Seventeenth Supplemental Indenture (5.75% Senior Notes due 2020) dated September 4, 2009 among Plains All American Pipeline, L.P., PAA Finance Corp., the Subsidiary Guarantors named therein and U.S. Bank National Association, as trustee (incorporated by reference to Exhibit 4.1 to Plains All American Pipeline, L.P.'s Current Report on Form 8-K filed September 4, 2009).</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4.11</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Eighteenth Supplemental Indenture (3.95% Senior Notes due 2015) dated July 14, 2010 among Plains All American Pipeline, L.P., PAA Finance Corp., the Subsidiary Guarantors named therein and U.S. Bank National Association, as trustee (incorporated by reference to Exhibit 4.1 to Plains All American Pipeline, L.P.'s Current Report on Form 8-K filed July 13, 2010).</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4.12</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Nineteenth Supplemental Indenture (5.00% Senior Notes due 2021) dated January 14, 2011 among Plains All American Pipeline, L.P., PAA Finance Corp., the Subsidiary Guarantors named therein and U.S. Bank National Association, as trustee (incorporated by reference to Exhibit 4.1 to Plains All American Pipeline, L.P.'s Current Report on Form 8-K filed January 11, 2011).</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rPr>
                <w:sz w:val="20"/>
              </w:rPr>
            </w:pPr>
            <w:r>
              <w:rPr>
                <w:sz w:val="20"/>
              </w:rPr>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II-3</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19" w:name="page_jv73601_1_4"/>
      <w:bookmarkStart w:id="20" w:name="page_jv73601_1_4"/>
      <w:bookmarkEnd w:id="20"/>
    </w:p>
    <w:tbl>
      <w:tblPr>
        <w:tblW w:w="5000" w:type="pct"/>
        <w:jc w:val="center"/>
        <w:tblInd w:w="0" w:type="dxa"/>
        <w:tblCellMar>
          <w:top w:w="0" w:type="dxa"/>
          <w:left w:w="0" w:type="dxa"/>
          <w:bottom w:w="0" w:type="dxa"/>
          <w:right w:w="0" w:type="dxa"/>
        </w:tblCellMar>
      </w:tblPr>
      <w:tblGrid>
        <w:gridCol w:w="104"/>
        <w:gridCol w:w="424"/>
        <w:gridCol w:w="172"/>
        <w:gridCol w:w="69"/>
        <w:gridCol w:w="187"/>
        <w:gridCol w:w="84"/>
        <w:gridCol w:w="9165"/>
      </w:tblGrid>
      <w:tr>
        <w:trPr/>
        <w:tc>
          <w:tcPr>
            <w:tcW w:w="10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165" w:type="dxa"/>
            <w:tcBorders/>
            <w:shd w:fill="auto" w:val="clear"/>
            <w:vAlign w:val="center"/>
          </w:tcPr>
          <w:p>
            <w:pPr>
              <w:pStyle w:val="TableContents"/>
              <w:spacing w:before="0" w:after="283"/>
              <w:rPr>
                <w:sz w:val="4"/>
                <w:szCs w:val="4"/>
              </w:rPr>
            </w:pPr>
            <w:r>
              <w:rPr>
                <w:sz w:val="4"/>
                <w:szCs w:val="4"/>
              </w:rPr>
            </w:r>
          </w:p>
        </w:tc>
      </w:tr>
      <w:tr>
        <w:trPr/>
        <w:tc>
          <w:tcPr>
            <w:tcW w:w="5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72" w:type="dxa"/>
            <w:tcBorders/>
            <w:shd w:fill="auto" w:val="clear"/>
            <w:vAlign w:val="bottom"/>
          </w:tcPr>
          <w:p>
            <w:pPr>
              <w:pStyle w:val="TableHeading"/>
              <w:suppressLineNumbers/>
              <w:spacing w:before="0" w:after="283"/>
              <w:jc w:val="center"/>
              <w:rPr/>
            </w:pPr>
            <w:r>
              <w:rPr/>
              <w:t> </w:t>
            </w:r>
          </w:p>
        </w:tc>
        <w:tc>
          <w:tcPr>
            <w:tcW w:w="256" w:type="dxa"/>
            <w:gridSpan w:val="2"/>
            <w:tcBorders/>
            <w:shd w:fill="auto" w:val="clear"/>
            <w:vAlign w:val="bottom"/>
          </w:tcPr>
          <w:p>
            <w:pPr>
              <w:pStyle w:val="TableHeading"/>
              <w:spacing w:before="0" w:after="283"/>
              <w:jc w:val="left"/>
              <w:rPr/>
            </w:pPr>
            <w:r>
              <w:rPr/>
              <w:t> </w:t>
            </w:r>
          </w:p>
        </w:tc>
        <w:tc>
          <w:tcPr>
            <w:tcW w:w="84" w:type="dxa"/>
            <w:tcBorders/>
            <w:shd w:fill="auto" w:val="clear"/>
            <w:vAlign w:val="bottom"/>
          </w:tcPr>
          <w:p>
            <w:pPr>
              <w:pStyle w:val="TableHeading"/>
              <w:suppressLineNumbers/>
              <w:spacing w:before="0" w:after="283"/>
              <w:jc w:val="center"/>
              <w:rPr/>
            </w:pPr>
            <w:r>
              <w:rPr/>
              <w:t> </w:t>
            </w:r>
          </w:p>
        </w:tc>
        <w:tc>
          <w:tcPr>
            <w:tcW w:w="916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4.13</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Twentieth Supplemental Indenture (3.65% Senior Notes due 2022) dated March 22, 2012 among Plains All American Pipeline, L.P., PAA Finance Corp and U.S. Bank National Association, as trustee (incorporated by reference to Exhibit 4.1 to Plains All American Pipeline, L.P.'s Current Report on Form 8-K filed March 26, 2012).</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4.14</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Twenty-First Supplemental Indenture (5.15% Senior Notes due 2042) dated March 22, 2012 among Plains All American Pipeline, L.P., PAA Finance Corp and U.S. Bank National Association, as trustee (incorporated by reference to Exhibit 4.3 to Plains All American Pipeline, L.P.'s Current Report on Form 8-K filed March 26, 2012).</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4.15</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Twenty-Second Supplemental Indenture (2.85% Senior Notes due 2023) dated December 10, 2012, by and among Plains All American Pipeline, L.P., PAA Finance Corp., and U.S. Bank National Association, as trustee (incorporated by reference to Exhibit 4.1 to Plains All American Pipeline, L.P.'s Current Report on Form 8-K filed December 12, 2012).</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4.16</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Twenty-Third Supplemental Indenture (4.30% Senior Notes due 2043) dated December 10, 2012, by and among Plains All American Pipeline, L.P., PAA Finance Corp., and U.S. Bank National Association, as trustee (incorporated by reference to Exhibit 4.3 to Plains All American Pipeline, L.P.'s Current Report on Form 8-K filed December 12, 2012).</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4.17</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Twenty-Fourth Supplemental Indenture, dated August 15, 2013, by and among Plains All American Pipeline, L.P., PAA Finance Corp., and U.S. Bank National Association, as trustee (incorporated by reference to Exhibit 4.1 to Plains All American Pipeline, L.P.'s Current Report on Form 8-K filed August 15, 2013).</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4.18</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Registration Rights Agreement dated September 3, 2009 by and between Plains All American Pipeline, L.P. and Vulcan Gas Storage LLC (incorporated by reference to Exhibit 4.1 to Plains All American Pipeline, L.P.'s Registration Statement on Form S-3, File No. 333-162477).</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4.19</w:t>
            </w:r>
          </w:p>
        </w:tc>
        <w:tc>
          <w:tcPr>
            <w:tcW w:w="172"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Form of Shareholder and Registration Rights Agreement.</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4.20</w:t>
            </w:r>
          </w:p>
        </w:tc>
        <w:tc>
          <w:tcPr>
            <w:tcW w:w="172"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Specimen certificate representing Class A Shares.</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5.1</w:t>
            </w:r>
          </w:p>
        </w:tc>
        <w:tc>
          <w:tcPr>
            <w:tcW w:w="172"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Opinion of Vinson &amp; Elkins L.L.P. as to the legality of the securities being registered.</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8.1</w:t>
            </w:r>
          </w:p>
        </w:tc>
        <w:tc>
          <w:tcPr>
            <w:tcW w:w="172"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Opinion of Vinson &amp; Elkins L.L.P. relating to tax matters.</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10.1</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Credit Agreement dated as of August 19, 2011 among Plains All American Pipeline, L.P., as Borrower; certain subsidiaries of Plains All American Pipeline, L.P. from time to time party thereto, as Designated Borrowers; Bank of America, N.A., as Administrative Agent; and the other Lenders party thereto (incorporated by reference to Exhibit 10.1 to Plains All American Pipeline, L.P.'s Current Report on Form 8-K filed August 25, 2011).</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jc w:val="right"/>
              <w:rPr>
                <w:rFonts w:ascii="times" w:hAnsi="times"/>
                <w:sz w:val="20"/>
              </w:rPr>
            </w:pPr>
            <w:r>
              <w:rPr>
                <w:rFonts w:ascii="times" w:hAnsi="times"/>
                <w:sz w:val="20"/>
              </w:rPr>
              <w:t>10.2</w:t>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rFonts w:ascii="times" w:hAnsi="times"/>
                <w:sz w:val="20"/>
              </w:rPr>
            </w:pPr>
            <w:r>
              <w:rPr>
                <w:rFonts w:ascii="times" w:hAnsi="times"/>
                <w:sz w:val="20"/>
              </w:rPr>
              <w:t>First Amendment to Credit Agreement dated as of June 27, 2012, among Plains All American Pipeline, L.P. and Plains Midstream Canada ULC, as Borrowers; Bank of America, N.A., as Administrative Agent, Swing Line Lender and L/C Issuer; Wells Fargo Bank, National Association, as an L/C Issuer; and the other Lenders party thereto (incorporated by reference to Exhibit 10.2 to Plains All American Pipeline, L.P.'s Current Report on Form 8-K filed July 3, 2012).</w:t>
            </w:r>
          </w:p>
        </w:tc>
      </w:tr>
      <w:tr>
        <w:trPr/>
        <w:tc>
          <w:tcPr>
            <w:tcW w:w="104" w:type="dxa"/>
            <w:tcBorders/>
            <w:shd w:fill="auto" w:val="clear"/>
          </w:tcPr>
          <w:p>
            <w:pPr>
              <w:pStyle w:val="TableContents"/>
              <w:spacing w:before="0" w:after="283"/>
              <w:rPr/>
            </w:pPr>
            <w:r>
              <w:rPr/>
              <w:t> </w:t>
            </w:r>
          </w:p>
        </w:tc>
        <w:tc>
          <w:tcPr>
            <w:tcW w:w="424" w:type="dxa"/>
            <w:tcBorders/>
            <w:shd w:fill="auto" w:val="clear"/>
          </w:tcPr>
          <w:p>
            <w:pPr>
              <w:pStyle w:val="TableContents"/>
              <w:spacing w:before="0" w:after="283"/>
              <w:rPr>
                <w:sz w:val="20"/>
              </w:rPr>
            </w:pPr>
            <w:r>
              <w:rPr>
                <w:sz w:val="20"/>
              </w:rPr>
            </w:r>
          </w:p>
        </w:tc>
        <w:tc>
          <w:tcPr>
            <w:tcW w:w="172"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II-4</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21" w:name="page_jv73601_1_5"/>
      <w:bookmarkStart w:id="22" w:name="page_jv73601_1_5"/>
      <w:bookmarkEnd w:id="22"/>
    </w:p>
    <w:tbl>
      <w:tblPr>
        <w:tblW w:w="5000" w:type="pct"/>
        <w:jc w:val="center"/>
        <w:tblInd w:w="0" w:type="dxa"/>
        <w:tblCellMar>
          <w:top w:w="0" w:type="dxa"/>
          <w:left w:w="0" w:type="dxa"/>
          <w:bottom w:w="0" w:type="dxa"/>
          <w:right w:w="0" w:type="dxa"/>
        </w:tblCellMar>
      </w:tblPr>
      <w:tblGrid>
        <w:gridCol w:w="68"/>
        <w:gridCol w:w="508"/>
        <w:gridCol w:w="208"/>
        <w:gridCol w:w="69"/>
        <w:gridCol w:w="187"/>
        <w:gridCol w:w="84"/>
        <w:gridCol w:w="9081"/>
      </w:tblGrid>
      <w:tr>
        <w:trPr/>
        <w:tc>
          <w:tcPr>
            <w:tcW w:w="6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081" w:type="dxa"/>
            <w:tcBorders/>
            <w:shd w:fill="auto" w:val="clear"/>
            <w:vAlign w:val="center"/>
          </w:tcPr>
          <w:p>
            <w:pPr>
              <w:pStyle w:val="TableContents"/>
              <w:spacing w:before="0" w:after="283"/>
              <w:rPr>
                <w:sz w:val="4"/>
                <w:szCs w:val="4"/>
              </w:rPr>
            </w:pPr>
            <w:r>
              <w:rPr>
                <w:sz w:val="4"/>
                <w:szCs w:val="4"/>
              </w:rPr>
            </w:r>
          </w:p>
        </w:tc>
      </w:tr>
      <w:tr>
        <w:trPr/>
        <w:tc>
          <w:tcPr>
            <w:tcW w:w="57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208" w:type="dxa"/>
            <w:tcBorders/>
            <w:shd w:fill="auto" w:val="clear"/>
            <w:vAlign w:val="bottom"/>
          </w:tcPr>
          <w:p>
            <w:pPr>
              <w:pStyle w:val="TableHeading"/>
              <w:suppressLineNumbers/>
              <w:spacing w:before="0" w:after="283"/>
              <w:jc w:val="center"/>
              <w:rPr/>
            </w:pPr>
            <w:r>
              <w:rPr/>
              <w:t> </w:t>
            </w:r>
          </w:p>
        </w:tc>
        <w:tc>
          <w:tcPr>
            <w:tcW w:w="256" w:type="dxa"/>
            <w:gridSpan w:val="2"/>
            <w:tcBorders/>
            <w:shd w:fill="auto" w:val="clear"/>
            <w:vAlign w:val="bottom"/>
          </w:tcPr>
          <w:p>
            <w:pPr>
              <w:pStyle w:val="TableHeading"/>
              <w:spacing w:before="0" w:after="283"/>
              <w:jc w:val="left"/>
              <w:rPr/>
            </w:pPr>
            <w:r>
              <w:rPr/>
              <w:t> </w:t>
            </w:r>
          </w:p>
        </w:tc>
        <w:tc>
          <w:tcPr>
            <w:tcW w:w="84" w:type="dxa"/>
            <w:tcBorders/>
            <w:shd w:fill="auto" w:val="clear"/>
            <w:vAlign w:val="bottom"/>
          </w:tcPr>
          <w:p>
            <w:pPr>
              <w:pStyle w:val="TableHeading"/>
              <w:suppressLineNumbers/>
              <w:spacing w:before="0" w:after="283"/>
              <w:jc w:val="center"/>
              <w:rPr/>
            </w:pPr>
            <w:r>
              <w:rPr/>
              <w:t> </w:t>
            </w:r>
          </w:p>
        </w:tc>
        <w:tc>
          <w:tcPr>
            <w:tcW w:w="908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10.3</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Second Amendment to Credit Agreement dated as of August 16, 2013, among Plains All American Pipeline, L.P. and Plains Midstream Canada ULC, as Borrowers; Bank of America, N.A., as Administrative Agent, Swing Line Lender and an L/C Issuer; Wells Fargo Bank, National Association, as an L/C Issuer; and the other Lenders party thereto (incorporated by reference to Exhibit 10.2 to Plains All American Pipeline, L.P.'s Current Report on Form 8-K filed August 20, 2013).</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10.4</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27, 2001, among Plains All American Pipeline, L.P., Plains Marketing, L.P., All American Pipeline, L.P., Plains AAP, L.P., Plains All American GP LLC and Plains Marketing GP Inc. (incorporated by reference to Exhibit 10.1 to Plains All American Pipeline, L.P.'s Current Report on Form 8-K filed June 27, 2001).</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10.5</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8, 2001, among Plains All American Inc., Plains AAP, L.P. and Plains All American GP LLC (incorporated by reference to Exhibit 10.1 to Plains All American Pipeline, L.P.'s Current Report on Form 8-K filed June 11, 2001).</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10.6</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Separation Agreement dated as of June 8, 2001 among Plains Resources Inc., Plains All American Inc., Plains All American GP LLC, Plains AAP, L.P. and Plains All American Pipeline, L.P. (incorporated by reference to Exhibit 10.2 to Plains All American Pipeline, L.P.'s Current Report on Form 8-K filed June 11, 2001).</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10.7</w:t>
            </w:r>
          </w:p>
        </w:tc>
        <w:tc>
          <w:tcPr>
            <w:tcW w:w="208"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Pension and Employee Benefits Assumption and Transition Agreement dated as of June 8, 2001 among Plains Resources Inc., Plains All American Inc. and Plains All American GP LLC (incorporated by reference to Exhibit 10.3 to Plains All American Pipeline, L.P.'s Current Report on Form 8-K filed June 11, 2001).</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10.8</w:t>
            </w:r>
          </w:p>
        </w:tc>
        <w:tc>
          <w:tcPr>
            <w:tcW w:w="208"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Plains All American GP LLC 2005 Long-Term Incentive Plan (incorporated by reference to Exhibit 10.1 to Plains All American Pipeline, L.P.'s Current Report on Form 8-K filed January 26, 2005).</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10.9</w:t>
            </w:r>
          </w:p>
        </w:tc>
        <w:tc>
          <w:tcPr>
            <w:tcW w:w="208"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Plains All American GP LLC 1998 Long-Term Incentive Plan (incorporated by reference to Exhibit 99.1 to Registration Statement on Form S-8, File No. 333-74920) as amended June 27, 2003 (incorporated by reference to Exhibit 10.1 to Plains All American Pipeline, L.P.'s Quarterly Report on Form 10-Q for the quarter ended June 30, 2003).</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10.10</w:t>
            </w:r>
          </w:p>
        </w:tc>
        <w:tc>
          <w:tcPr>
            <w:tcW w:w="208"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Greg L. Armstrong dated as of June 30, 2001 (incorporated by reference to Exhibit 10.1 to Plains All American Pipeline, L.P.'s Quarterly Report on Form 10-Q for the quarter ended September 30, 2001).</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10.11</w:t>
            </w:r>
          </w:p>
        </w:tc>
        <w:tc>
          <w:tcPr>
            <w:tcW w:w="208" w:type="dxa"/>
            <w:tcBorders/>
            <w:shd w:fill="auto" w:val="clear"/>
          </w:tcPr>
          <w:p>
            <w:pPr>
              <w:pStyle w:val="TableContents"/>
              <w:spacing w:before="0" w:after="283"/>
              <w:rPr>
                <w:rFonts w:ascii="times" w:hAnsi="times"/>
                <w:sz w:val="20"/>
              </w:rPr>
            </w:pPr>
            <w:r>
              <w:rPr>
                <w:rFonts w:ascii="times" w:hAnsi="times"/>
                <w:sz w:val="20"/>
              </w:rPr>
              <w:t></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Harry N. Pefanis dated as of June 30, 2001 (incorporated by reference to Exhibit 10.2 to Plains All American Pipeline, L.P.'s Quarterly Report on Form 10-Q for the quarter ended September 30, 2001).</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jc w:val="right"/>
              <w:rPr>
                <w:rFonts w:ascii="times" w:hAnsi="times"/>
                <w:sz w:val="20"/>
              </w:rPr>
            </w:pPr>
            <w:r>
              <w:rPr>
                <w:rFonts w:ascii="times" w:hAnsi="times"/>
                <w:sz w:val="20"/>
              </w:rPr>
              <w:t>10.12</w:t>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jc w:val="right"/>
              <w:rPr>
                <w:rFonts w:ascii="times" w:hAnsi="times"/>
                <w:sz w:val="20"/>
              </w:rPr>
            </w:pPr>
            <w:r>
              <w:rPr>
                <w:rFonts w:ascii="times" w:hAnsi="times"/>
                <w:sz w:val="20"/>
              </w:rPr>
              <w:t></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rFonts w:ascii="times" w:hAnsi="times"/>
                <w:sz w:val="20"/>
              </w:rPr>
            </w:pPr>
            <w:r>
              <w:rPr>
                <w:rFonts w:ascii="times" w:hAnsi="times"/>
                <w:sz w:val="20"/>
              </w:rPr>
              <w:t>Asset Purchase and Sale Agreement dated February 28, 2001 between Murphy Oil Company Ltd. and Plains Marketing Canada, L.P. (incorporated by reference to Exhibit 99.1 to Plains All American Pipeline, L.P.'s Current Report on Form 8-K filed May 10, 2001).</w:t>
            </w:r>
          </w:p>
        </w:tc>
      </w:tr>
      <w:tr>
        <w:trPr/>
        <w:tc>
          <w:tcPr>
            <w:tcW w:w="68" w:type="dxa"/>
            <w:tcBorders/>
            <w:shd w:fill="auto" w:val="clear"/>
          </w:tcPr>
          <w:p>
            <w:pPr>
              <w:pStyle w:val="TableContents"/>
              <w:spacing w:before="0" w:after="283"/>
              <w:rPr/>
            </w:pPr>
            <w:r>
              <w:rPr/>
              <w:t> </w:t>
            </w:r>
          </w:p>
        </w:tc>
        <w:tc>
          <w:tcPr>
            <w:tcW w:w="508" w:type="dxa"/>
            <w:tcBorders/>
            <w:shd w:fill="auto" w:val="clear"/>
          </w:tcPr>
          <w:p>
            <w:pPr>
              <w:pStyle w:val="TableContents"/>
              <w:spacing w:before="0" w:after="283"/>
              <w:rPr>
                <w:sz w:val="20"/>
              </w:rPr>
            </w:pPr>
            <w:r>
              <w:rPr>
                <w:sz w:val="20"/>
              </w:rPr>
            </w:r>
          </w:p>
        </w:tc>
        <w:tc>
          <w:tcPr>
            <w:tcW w:w="208" w:type="dxa"/>
            <w:tcBorders/>
            <w:shd w:fill="auto" w:val="clear"/>
          </w:tcPr>
          <w:p>
            <w:pPr>
              <w:pStyle w:val="TableContents"/>
              <w:spacing w:before="0" w:after="283"/>
              <w:rPr/>
            </w:pPr>
            <w:r>
              <w:rPr/>
              <w:t> </w:t>
            </w:r>
          </w:p>
        </w:tc>
        <w:tc>
          <w:tcPr>
            <w:tcW w:w="69"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84" w:type="dxa"/>
            <w:tcBorders/>
            <w:shd w:fill="auto" w:val="clear"/>
          </w:tcPr>
          <w:p>
            <w:pPr>
              <w:pStyle w:val="TableContents"/>
              <w:spacing w:before="0" w:after="283"/>
              <w:rPr/>
            </w:pPr>
            <w:r>
              <w:rPr/>
              <w:t> </w:t>
            </w:r>
          </w:p>
        </w:tc>
        <w:tc>
          <w:tcPr>
            <w:tcW w:w="9081"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II-5</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23" w:name="page_jv73601_1_6"/>
      <w:bookmarkStart w:id="24" w:name="page_jv73601_1_6"/>
      <w:bookmarkEnd w:id="24"/>
    </w:p>
    <w:tbl>
      <w:tblPr>
        <w:tblW w:w="5000" w:type="pct"/>
        <w:jc w:val="center"/>
        <w:tblInd w:w="0" w:type="dxa"/>
        <w:tblCellMar>
          <w:top w:w="0" w:type="dxa"/>
          <w:left w:w="0" w:type="dxa"/>
          <w:bottom w:w="0" w:type="dxa"/>
          <w:right w:w="0" w:type="dxa"/>
        </w:tblCellMar>
      </w:tblPr>
      <w:tblGrid>
        <w:gridCol w:w="71"/>
        <w:gridCol w:w="516"/>
        <w:gridCol w:w="222"/>
        <w:gridCol w:w="72"/>
        <w:gridCol w:w="193"/>
        <w:gridCol w:w="93"/>
        <w:gridCol w:w="9038"/>
      </w:tblGrid>
      <w:tr>
        <w:trPr/>
        <w:tc>
          <w:tcPr>
            <w:tcW w:w="71"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9038" w:type="dxa"/>
            <w:tcBorders/>
            <w:shd w:fill="auto" w:val="clear"/>
            <w:vAlign w:val="center"/>
          </w:tcPr>
          <w:p>
            <w:pPr>
              <w:pStyle w:val="TableContents"/>
              <w:spacing w:before="0" w:after="283"/>
              <w:rPr>
                <w:sz w:val="4"/>
                <w:szCs w:val="4"/>
              </w:rPr>
            </w:pPr>
            <w:r>
              <w:rPr>
                <w:sz w:val="4"/>
                <w:szCs w:val="4"/>
              </w:rPr>
            </w:r>
          </w:p>
        </w:tc>
      </w:tr>
      <w:tr>
        <w:trPr/>
        <w:tc>
          <w:tcPr>
            <w:tcW w:w="58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222" w:type="dxa"/>
            <w:tcBorders/>
            <w:shd w:fill="auto" w:val="clear"/>
            <w:vAlign w:val="bottom"/>
          </w:tcPr>
          <w:p>
            <w:pPr>
              <w:pStyle w:val="TableHeading"/>
              <w:suppressLineNumbers/>
              <w:spacing w:before="0" w:after="283"/>
              <w:jc w:val="center"/>
              <w:rPr/>
            </w:pPr>
            <w:r>
              <w:rPr/>
              <w:t> </w:t>
            </w:r>
          </w:p>
        </w:tc>
        <w:tc>
          <w:tcPr>
            <w:tcW w:w="265" w:type="dxa"/>
            <w:gridSpan w:val="2"/>
            <w:tcBorders/>
            <w:shd w:fill="auto" w:val="clear"/>
            <w:vAlign w:val="bottom"/>
          </w:tcPr>
          <w:p>
            <w:pPr>
              <w:pStyle w:val="TableHeading"/>
              <w:spacing w:before="0" w:after="283"/>
              <w:jc w:val="left"/>
              <w:rPr/>
            </w:pPr>
            <w:r>
              <w:rPr/>
              <w:t> </w:t>
            </w:r>
          </w:p>
        </w:tc>
        <w:tc>
          <w:tcPr>
            <w:tcW w:w="93" w:type="dxa"/>
            <w:tcBorders/>
            <w:shd w:fill="auto" w:val="clear"/>
            <w:vAlign w:val="bottom"/>
          </w:tcPr>
          <w:p>
            <w:pPr>
              <w:pStyle w:val="TableHeading"/>
              <w:suppressLineNumbers/>
              <w:spacing w:before="0" w:after="283"/>
              <w:jc w:val="center"/>
              <w:rPr/>
            </w:pPr>
            <w:r>
              <w:rPr/>
              <w:t> </w:t>
            </w:r>
          </w:p>
        </w:tc>
        <w:tc>
          <w:tcPr>
            <w:tcW w:w="9038"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10.13</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Transportation Agreement dated July 30, 1993, between All American Pipeline Company and Exxon Company, U.S.A. (incorporated by reference to Exhibit 10.9 to Plains All American Pipeline, L.P.'s Registration Statement on Form S-1 filed September 23, 1998, File No. 333-64107).</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10.14</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Transportation Agreement dated August 2, 1993, among All American Pipeline Company, Texaco Trading and Transportation Inc., Chevron U.S.A. and Sun Operating Limited Partnership (incorporated by reference to Exhibit 10.10 to Plains All American Pipeline, L.P.'s Registration Statement on Form S-1 filed September 23, 1998, File No. 333-64107).</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10.15</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First Amendment to Contribution, Conveyance and Assumption Agreement dated as of December 15, 1998 (incorporated by reference to Exhibit 10.13 to Plains All American Pipeline, L.P.'s Annual Report on Form 10-K for the year ended December 31, 1998).</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10.16</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Agreement for Purchase and Sale of Membership Interest in Scurlock Permian LLC between Marathon Ashland LLC and Plains Marketing, L.P. dated as of March 17, 1999 (incorporated by reference to Exhibit 10.16 to Plains All American Pipeline, L.P.'s Annual Report on Form 10-K for the year ended December 31, 1998).</w:t>
            </w:r>
          </w:p>
        </w:tc>
      </w:tr>
      <w:tr>
        <w:trPr/>
        <w:tc>
          <w:tcPr>
            <w:tcW w:w="71" w:type="dxa"/>
            <w:tcBorders/>
            <w:shd w:fill="auto" w:val="clear"/>
          </w:tcPr>
          <w:p>
            <w:pPr>
              <w:pStyle w:val="TableContents"/>
              <w:spacing w:before="0" w:after="283"/>
              <w:rPr>
                <w:rFonts w:ascii="times" w:hAnsi="times"/>
                <w:sz w:val="20"/>
              </w:rPr>
            </w:pPr>
            <w:r>
              <w:rPr>
                <w:rFonts w:ascii="times" w:hAnsi="times"/>
                <w:sz w:val="20"/>
              </w:rPr>
              <w:br/>
              <w:t> </w:t>
            </w:r>
          </w:p>
        </w:tc>
        <w:tc>
          <w:tcPr>
            <w:tcW w:w="516"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10.17</w:t>
            </w:r>
          </w:p>
        </w:tc>
        <w:tc>
          <w:tcPr>
            <w:tcW w:w="222" w:type="dxa"/>
            <w:tcBorders/>
            <w:shd w:fill="auto" w:val="clear"/>
          </w:tcPr>
          <w:p>
            <w:pPr>
              <w:pStyle w:val="TableContents"/>
              <w:spacing w:before="0" w:after="283"/>
              <w:rPr>
                <w:rFonts w:ascii="times" w:hAnsi="times"/>
                <w:sz w:val="20"/>
              </w:rPr>
            </w:pPr>
            <w:r>
              <w:rPr>
                <w:rFonts w:ascii="times" w:hAnsi="times"/>
                <w:sz w:val="20"/>
              </w:rPr>
              <w:br/>
              <w:t></w:t>
            </w:r>
          </w:p>
        </w:tc>
        <w:tc>
          <w:tcPr>
            <w:tcW w:w="72" w:type="dxa"/>
            <w:tcBorders/>
            <w:shd w:fill="auto" w:val="clear"/>
          </w:tcPr>
          <w:p>
            <w:pPr>
              <w:pStyle w:val="TableContents"/>
              <w:spacing w:before="0" w:after="283"/>
              <w:rPr>
                <w:rFonts w:ascii="times" w:hAnsi="times"/>
                <w:sz w:val="20"/>
              </w:rPr>
            </w:pPr>
            <w:r>
              <w:rPr>
                <w:rFonts w:ascii="times" w:hAnsi="times"/>
                <w:sz w:val="20"/>
              </w:rPr>
              <w:br/>
              <w:t> </w:t>
            </w:r>
          </w:p>
        </w:tc>
        <w:tc>
          <w:tcPr>
            <w:tcW w:w="193"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9038" w:type="dxa"/>
            <w:tcBorders/>
            <w:shd w:fill="auto" w:val="clear"/>
          </w:tcPr>
          <w:p>
            <w:pPr>
              <w:pStyle w:val="TableContents"/>
              <w:spacing w:before="0" w:after="283"/>
              <w:rPr>
                <w:rFonts w:ascii="times" w:hAnsi="times"/>
              </w:rPr>
            </w:pPr>
            <w:r>
              <w:rPr>
                <w:rFonts w:ascii="times" w:hAnsi="times"/>
              </w:rPr>
              <w:br/>
            </w:r>
            <w:r>
              <w:rPr>
                <w:rFonts w:ascii="times" w:hAnsi="times"/>
                <w:sz w:val="20"/>
              </w:rPr>
              <w:t>PMC (Nova Scotia) Company Bonus Program (incorporated by reference to Exhibit 10.20 to Plains All American Pipeline, L.P.'s Annual Report on Form 10-K for the year ended December 31, 2004).</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10.18</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Quarterly Bonus Program Summary (incorporated by reference to Exhibit 10.21 to Plains All American Pipeline, L.P.'s Annual Report on Form 10-K for the year ended December 31, 2005).</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10.19</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Form of LTIP Grant Letter (independent directors) (incorporated by reference to Exhibit 10.3 to Plains All American Pipeline, L.P.'s Current Report on Form 8-K filed February 23, 2005).</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10.20</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Form of LTIP Grant Letter (designated directors) (incorporated by reference to Exhibit 10.4 to Plains All American Pipeline, L.P.'s Current Report on Form 8-K filed February 23, 2005).</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10.21</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Membership Interest Purchase Agreement by and between Sempra Energy Trading Corporation and PAA/Vulcan Gas Storage, LLC dated August 19, 2005 (incorporated by reference to Exhibit 1.2 to Plains All American Pipeline, L.P.'s Current Report on Form 8-K filed September 19, 2005).</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10.22</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Waiver Agreement dated as of December 23, 2010 between Plains All American GP LLC and Greg L. Armstrong (incorporated by reference to Exhibit 10.31 to Plains All American Pipeline, L.P.'s Annual Report on Form 10-K for the year ended December 31, 2010).</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10.23</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Waiver Agreement dated as of December 23, 2010 between Plains All American GP LLC and Harry N. Pefanis (incorporated by reference to Exhibit 10.32 to Plains All American Pipeline, L.P.'s Annual Report on Form 10-K for the year ended December 31, 2010).</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rPr>
                <w:sz w:val="20"/>
              </w:rPr>
            </w:pPr>
            <w:r>
              <w:rPr>
                <w:sz w:val="20"/>
              </w:rPr>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II-6</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25" w:name="page_jv73601_1_7"/>
      <w:bookmarkStart w:id="26" w:name="page_jv73601_1_7"/>
      <w:bookmarkEnd w:id="26"/>
    </w:p>
    <w:tbl>
      <w:tblPr>
        <w:tblW w:w="5000" w:type="pct"/>
        <w:jc w:val="center"/>
        <w:tblInd w:w="0" w:type="dxa"/>
        <w:tblCellMar>
          <w:top w:w="0" w:type="dxa"/>
          <w:left w:w="0" w:type="dxa"/>
          <w:bottom w:w="0" w:type="dxa"/>
          <w:right w:w="0" w:type="dxa"/>
        </w:tblCellMar>
      </w:tblPr>
      <w:tblGrid>
        <w:gridCol w:w="67"/>
        <w:gridCol w:w="505"/>
        <w:gridCol w:w="204"/>
        <w:gridCol w:w="68"/>
        <w:gridCol w:w="185"/>
        <w:gridCol w:w="81"/>
        <w:gridCol w:w="9095"/>
      </w:tblGrid>
      <w:tr>
        <w:trPr/>
        <w:tc>
          <w:tcPr>
            <w:tcW w:w="67"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9095" w:type="dxa"/>
            <w:tcBorders/>
            <w:shd w:fill="auto" w:val="clear"/>
            <w:vAlign w:val="center"/>
          </w:tcPr>
          <w:p>
            <w:pPr>
              <w:pStyle w:val="TableContents"/>
              <w:spacing w:before="0" w:after="283"/>
              <w:rPr>
                <w:sz w:val="4"/>
                <w:szCs w:val="4"/>
              </w:rPr>
            </w:pPr>
            <w:r>
              <w:rPr>
                <w:sz w:val="4"/>
                <w:szCs w:val="4"/>
              </w:rPr>
            </w:r>
          </w:p>
        </w:tc>
      </w:tr>
      <w:tr>
        <w:trPr/>
        <w:tc>
          <w:tcPr>
            <w:tcW w:w="5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204" w:type="dxa"/>
            <w:tcBorders/>
            <w:shd w:fill="auto" w:val="clear"/>
            <w:vAlign w:val="bottom"/>
          </w:tcPr>
          <w:p>
            <w:pPr>
              <w:pStyle w:val="TableHeading"/>
              <w:suppressLineNumbers/>
              <w:spacing w:before="0" w:after="283"/>
              <w:jc w:val="center"/>
              <w:rPr/>
            </w:pPr>
            <w:r>
              <w:rPr/>
              <w:t> </w:t>
            </w:r>
          </w:p>
        </w:tc>
        <w:tc>
          <w:tcPr>
            <w:tcW w:w="253" w:type="dxa"/>
            <w:gridSpan w:val="2"/>
            <w:tcBorders/>
            <w:shd w:fill="auto" w:val="clear"/>
            <w:vAlign w:val="bottom"/>
          </w:tcPr>
          <w:p>
            <w:pPr>
              <w:pStyle w:val="TableHeading"/>
              <w:spacing w:before="0" w:after="283"/>
              <w:jc w:val="left"/>
              <w:rPr/>
            </w:pPr>
            <w:r>
              <w:rPr/>
              <w:t> </w:t>
            </w:r>
          </w:p>
        </w:tc>
        <w:tc>
          <w:tcPr>
            <w:tcW w:w="81" w:type="dxa"/>
            <w:tcBorders/>
            <w:shd w:fill="auto" w:val="clear"/>
            <w:vAlign w:val="bottom"/>
          </w:tcPr>
          <w:p>
            <w:pPr>
              <w:pStyle w:val="TableHeading"/>
              <w:suppressLineNumbers/>
              <w:spacing w:before="0" w:after="283"/>
              <w:jc w:val="center"/>
              <w:rPr/>
            </w:pPr>
            <w:r>
              <w:rPr/>
              <w:t> </w:t>
            </w:r>
          </w:p>
        </w:tc>
        <w:tc>
          <w:tcPr>
            <w:tcW w:w="909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10.24</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Vulcan Energy GP Holdings Inc. and Plains All American GP LLC (incorporated by reference to Exhibit 10.3 to Plains All American Pipeline, L.P.'s Current Report on Form 8-K filed August 16, 2005).</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10.25</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Lynx Holdings I, LLC and Plains All American GP LLC (incorporated by reference to Exhibit 10.4 to Plains All American Pipeline, L.P.'s Current Report on Form 8-K filed August 16, 2005).</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10.26</w:t>
            </w:r>
          </w:p>
        </w:tc>
        <w:tc>
          <w:tcPr>
            <w:tcW w:w="204"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Employment Agreement between Plains All American GP LLC and John P. vonBerg dated December 18, 2001 (incorporated by reference to Exhibit 10.40 to Plains All American Pipeline, L.P.'s Annual Report on Form 10-K for the year ended December 31, 2005).</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10.27</w:t>
            </w:r>
          </w:p>
        </w:tc>
        <w:tc>
          <w:tcPr>
            <w:tcW w:w="204"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Form of LTIP Grant Letter (audit committee members) (incorporated by reference to Exhibit 10.1 to Plains All American Pipeline, L.P.'s Current Report on Form 8-K filed August 23, 2006).</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10.28</w:t>
            </w:r>
          </w:p>
        </w:tc>
        <w:tc>
          <w:tcPr>
            <w:tcW w:w="204"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Plains All American PPX Successor Long-Term Incentive Plan (incorporated by reference to Exhibit 10.45 to Plains All American Pipeline, L.P.'s Annual Report on Form 10-K for the year ended December 31, 2006).</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10.29</w:t>
            </w:r>
          </w:p>
        </w:tc>
        <w:tc>
          <w:tcPr>
            <w:tcW w:w="204"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Form of Plains AAP, L.P. Class B Restricted Units Agreement (incorporated by reference to Exhibit 10.1 to Plains All American Pipeline, L.P.'s Current Report on Form 8-K filed January 4,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10.30</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Third Amended and Restated Credit Agreement dated as of August 19, 2011 by and among Plains Marketing, L.P., as Borrower, Plains All American Pipeline, L.P., as Guarantor, Bank of America, N.A., as Administrative Agent, and the other Lenders party thereto (incorporated by reference to Exhibit 10.2 to Plains All American Pipeline, L.P.'s Current Report on Form 8-K filed August 25, 2011).</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10.31</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First Amendment to Third Amended and Restated Credit Agreement dated as of June 27, 2012, among Plains Marketing, L.P. and Plains Midstream Canada ULC, as Borrowers; Plains All American Pipeline, L.P., as Guarantor; Bank of America, N.A., as Administrative Agent, Swing Line Lender and an L/C Issuer; and the other Lenders and L/C Issuers party thereto (incorporated by reference to Exhibit 10.1 to Plains All American Pipeline, L.P.'s Current Report on Form 8-K filed July 3, 2012).</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10.32</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Second Amendment to Third Amended and Restated Credit Agreement dated as of August 16, 2013, among Plains Marketing, L.P. and Plains Midstream Canada ULC, as Borrowers; Plains All American Pipeline,  L.P., as Guarantor; Bank of America, N.A., as Administrative Agent, Swing Line Lender and L/C Issuer; Wells Fargo Bank, National Association, as an L/C Issuer; and the other Lenders party thereto (incorporated by reference to Exhibit 10.1 to Plains All American Pipeline, L.P.'s Current Report on Form 8-K filed August 20, 2013).</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10.33</w:t>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rFonts w:ascii="times" w:hAnsi="times"/>
                <w:sz w:val="20"/>
              </w:rPr>
            </w:pPr>
            <w:r>
              <w:rPr>
                <w:rFonts w:ascii="times" w:hAnsi="times"/>
                <w:sz w:val="20"/>
              </w:rPr>
              <w:t>Contribution and Assumption Agreement dated December 28, 2007, by and between Plains AAP, L.P. and PAA GP LLC (incorporated by reference to Exhibit 10.2 to Plains All American Pipeline, L.P.'s Current Report on Form 8-K filed January 4,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rPr>
                <w:sz w:val="20"/>
              </w:rPr>
            </w:pPr>
            <w:r>
              <w:rPr>
                <w:sz w:val="20"/>
              </w:rPr>
            </w:r>
          </w:p>
        </w:tc>
        <w:tc>
          <w:tcPr>
            <w:tcW w:w="204"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5"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II-7</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27" w:name="page_jv73601_1_8"/>
      <w:bookmarkStart w:id="28" w:name="page_jv73601_1_8"/>
      <w:bookmarkEnd w:id="28"/>
    </w:p>
    <w:tbl>
      <w:tblPr>
        <w:tblW w:w="5000" w:type="pct"/>
        <w:jc w:val="center"/>
        <w:tblInd w:w="0" w:type="dxa"/>
        <w:tblCellMar>
          <w:top w:w="0" w:type="dxa"/>
          <w:left w:w="0" w:type="dxa"/>
          <w:bottom w:w="0" w:type="dxa"/>
          <w:right w:w="0" w:type="dxa"/>
        </w:tblCellMar>
      </w:tblPr>
      <w:tblGrid>
        <w:gridCol w:w="70"/>
        <w:gridCol w:w="513"/>
        <w:gridCol w:w="217"/>
        <w:gridCol w:w="71"/>
        <w:gridCol w:w="191"/>
        <w:gridCol w:w="89"/>
        <w:gridCol w:w="9054"/>
      </w:tblGrid>
      <w:tr>
        <w:trPr/>
        <w:tc>
          <w:tcPr>
            <w:tcW w:w="70"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9054" w:type="dxa"/>
            <w:tcBorders/>
            <w:shd w:fill="auto" w:val="clear"/>
            <w:vAlign w:val="center"/>
          </w:tcPr>
          <w:p>
            <w:pPr>
              <w:pStyle w:val="TableContents"/>
              <w:spacing w:before="0" w:after="283"/>
              <w:rPr>
                <w:sz w:val="4"/>
                <w:szCs w:val="4"/>
              </w:rPr>
            </w:pPr>
            <w:r>
              <w:rPr>
                <w:sz w:val="4"/>
                <w:szCs w:val="4"/>
              </w:rPr>
            </w:r>
          </w:p>
        </w:tc>
      </w:tr>
      <w:tr>
        <w:trPr/>
        <w:tc>
          <w:tcPr>
            <w:tcW w:w="58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217" w:type="dxa"/>
            <w:tcBorders/>
            <w:shd w:fill="auto" w:val="clear"/>
            <w:vAlign w:val="bottom"/>
          </w:tcPr>
          <w:p>
            <w:pPr>
              <w:pStyle w:val="TableHeading"/>
              <w:suppressLineNumbers/>
              <w:spacing w:before="0" w:after="283"/>
              <w:jc w:val="center"/>
              <w:rPr/>
            </w:pPr>
            <w:r>
              <w:rPr/>
              <w:t> </w:t>
            </w:r>
          </w:p>
        </w:tc>
        <w:tc>
          <w:tcPr>
            <w:tcW w:w="262" w:type="dxa"/>
            <w:gridSpan w:val="2"/>
            <w:tcBorders/>
            <w:shd w:fill="auto" w:val="clear"/>
            <w:vAlign w:val="bottom"/>
          </w:tcPr>
          <w:p>
            <w:pPr>
              <w:pStyle w:val="TableHeading"/>
              <w:spacing w:before="0" w:after="283"/>
              <w:jc w:val="left"/>
              <w:rPr/>
            </w:pPr>
            <w:r>
              <w:rPr/>
              <w:t> </w:t>
            </w:r>
          </w:p>
        </w:tc>
        <w:tc>
          <w:tcPr>
            <w:tcW w:w="89" w:type="dxa"/>
            <w:tcBorders/>
            <w:shd w:fill="auto" w:val="clear"/>
            <w:vAlign w:val="bottom"/>
          </w:tcPr>
          <w:p>
            <w:pPr>
              <w:pStyle w:val="TableHeading"/>
              <w:suppressLineNumbers/>
              <w:spacing w:before="0" w:after="283"/>
              <w:jc w:val="center"/>
              <w:rPr/>
            </w:pPr>
            <w:r>
              <w:rPr/>
              <w:t> </w:t>
            </w:r>
          </w:p>
        </w:tc>
        <w:tc>
          <w:tcPr>
            <w:tcW w:w="905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10.34</w:t>
            </w:r>
          </w:p>
        </w:tc>
        <w:tc>
          <w:tcPr>
            <w:tcW w:w="217"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Greg L. Armstrong (incorporated by reference to Exhibit 10.49 to Plains All American Pipeline, L.P.'s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10.35</w:t>
            </w:r>
          </w:p>
        </w:tc>
        <w:tc>
          <w:tcPr>
            <w:tcW w:w="217"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Harry N. Pefanis (incorporated by reference to Exhibit 10.50 to Plains All American Pipeline, L.P.'s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10.36</w:t>
            </w:r>
          </w:p>
        </w:tc>
        <w:tc>
          <w:tcPr>
            <w:tcW w:w="217"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First Amendment to Plains All American GP LLC 2005 Long-Term Incentive Plan dated December 4, 2008 (incorporated by reference to Exhibit 10.51 to Plains All American Pipeline, L.P.'s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10.37</w:t>
            </w:r>
          </w:p>
        </w:tc>
        <w:tc>
          <w:tcPr>
            <w:tcW w:w="217"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Second Amendment to Plains All American GP LLC 1998 Long-Term Incentive Plan dated December 4, 2008 (incorporated by reference to Exhibit 10.52 to Plains All American Pipeline, L.P.'s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10.38</w:t>
            </w:r>
          </w:p>
        </w:tc>
        <w:tc>
          <w:tcPr>
            <w:tcW w:w="217"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Form of Amendment to LTIP grant letters (executive officers) (incorporated by reference to Exhibit 10.53 to Plains All American Pipeline, L.P.'s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10.39</w:t>
            </w:r>
          </w:p>
        </w:tc>
        <w:tc>
          <w:tcPr>
            <w:tcW w:w="217"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Form of Amendment to LTIP grant letters (directors) (incorporated by reference to Exhibit 10.54 to Plains All American Pipeline, L.P.'s Annual Report on Form 10-K for the year ended December 31, 2008).</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10.40</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Contribution Agreement dated as of April 29, 2010 by and among PAA Natural Gas Storage, L.P., PNGS GP LLC, Plains All American Pipeline, L.P., PAA Natural Gas Storage, LLC, PAA/Vulcan Gas Storage, LLC, Plains Marketing, L.P. and Plains Marketing GP Inc. (incorporated by reference to Exhibit 10.1 to PAA Natural Gas Storage, L.P.'s Current Report on Form 8-K filed May 4, 2010).</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10.41</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Omnibus Agreement dated May 5, 2010 by and among Plains All American GP LLC, Plains All American Pipeline, L.P., PNGS GP LLC and PAA Natural Gas Storage, L.P. (incorporated by reference to Exhibit 10.1 to PAA Natural Gas Storage, L.P.'s Current Report on Form 8-K filed May 11, 2010).</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10.42</w:t>
            </w:r>
          </w:p>
        </w:tc>
        <w:tc>
          <w:tcPr>
            <w:tcW w:w="217"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Form of Transaction Grant Agreement (incorporated by reference to Exhibit 10.3 to Plains All American Pipeline, L.P.'s Quarterly Report on Form 10-Q for the quarter ended September 30, 2010).</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10.43</w:t>
            </w:r>
          </w:p>
        </w:tc>
        <w:tc>
          <w:tcPr>
            <w:tcW w:w="217"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Form of 2010 LTIP Grant Letters (incorporated by reference to Exhibit 10.58 to Plains All American Pipeline, L.P.'s Annual Report on Form 10-K for the year ended December 31, 2010).</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10.44</w:t>
            </w:r>
          </w:p>
        </w:tc>
        <w:tc>
          <w:tcPr>
            <w:tcW w:w="217" w:type="dxa"/>
            <w:tcBorders/>
            <w:shd w:fill="auto" w:val="clear"/>
          </w:tcPr>
          <w:p>
            <w:pPr>
              <w:pStyle w:val="TableContents"/>
              <w:spacing w:before="0" w:after="283"/>
              <w:rPr>
                <w:rFonts w:ascii="times" w:hAnsi="times"/>
                <w:sz w:val="20"/>
              </w:rPr>
            </w:pPr>
            <w:r>
              <w:rPr>
                <w:rFonts w:ascii="times" w:hAnsi="times"/>
                <w:sz w:val="20"/>
              </w:rPr>
              <w:t></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Director Compensation Summary (incorporated by reference to Exhibit 10.45 to Plains All American Pipeline, L.P.'s Annual Report on Form 10-K for the year ended December 31, 2011).</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jc w:val="right"/>
              <w:rPr>
                <w:rFonts w:ascii="times" w:hAnsi="times"/>
                <w:sz w:val="20"/>
              </w:rPr>
            </w:pPr>
            <w:r>
              <w:rPr>
                <w:rFonts w:ascii="times" w:hAnsi="times"/>
                <w:sz w:val="20"/>
              </w:rPr>
              <w:t>10.45</w:t>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jc w:val="right"/>
              <w:rPr>
                <w:rFonts w:ascii="times" w:hAnsi="times"/>
                <w:sz w:val="20"/>
              </w:rPr>
            </w:pPr>
            <w:r>
              <w:rPr>
                <w:rFonts w:ascii="times" w:hAnsi="times"/>
                <w:sz w:val="20"/>
              </w:rPr>
              <w:t></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rFonts w:ascii="times" w:hAnsi="times"/>
                <w:sz w:val="20"/>
              </w:rPr>
            </w:pPr>
            <w:r>
              <w:rPr>
                <w:rFonts w:ascii="times" w:hAnsi="times"/>
                <w:sz w:val="20"/>
              </w:rPr>
              <w:t>Form of PAA LTIP Grant Letter for Officers (February 2013) (incorporated by reference to Exhibit 10.1 to Plains All American Pipeline, L.P.'s Quarterly Report on Form 10-Q for the quarter ended March 31, 2013).</w:t>
            </w:r>
          </w:p>
        </w:tc>
      </w:tr>
      <w:tr>
        <w:trPr/>
        <w:tc>
          <w:tcPr>
            <w:tcW w:w="70" w:type="dxa"/>
            <w:tcBorders/>
            <w:shd w:fill="auto" w:val="clear"/>
          </w:tcPr>
          <w:p>
            <w:pPr>
              <w:pStyle w:val="TableContents"/>
              <w:spacing w:before="0" w:after="283"/>
              <w:rPr/>
            </w:pPr>
            <w:r>
              <w:rPr/>
              <w:t> </w:t>
            </w:r>
          </w:p>
        </w:tc>
        <w:tc>
          <w:tcPr>
            <w:tcW w:w="513" w:type="dxa"/>
            <w:tcBorders/>
            <w:shd w:fill="auto" w:val="clear"/>
          </w:tcPr>
          <w:p>
            <w:pPr>
              <w:pStyle w:val="TableContents"/>
              <w:spacing w:before="0" w:after="283"/>
              <w:rPr>
                <w:sz w:val="20"/>
              </w:rPr>
            </w:pPr>
            <w:r>
              <w:rPr>
                <w:sz w:val="20"/>
              </w:rPr>
            </w:r>
          </w:p>
        </w:tc>
        <w:tc>
          <w:tcPr>
            <w:tcW w:w="217"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89" w:type="dxa"/>
            <w:tcBorders/>
            <w:shd w:fill="auto" w:val="clear"/>
          </w:tcPr>
          <w:p>
            <w:pPr>
              <w:pStyle w:val="TableContents"/>
              <w:spacing w:before="0" w:after="283"/>
              <w:rPr/>
            </w:pPr>
            <w:r>
              <w:rPr/>
              <w:t> </w:t>
            </w:r>
          </w:p>
        </w:tc>
        <w:tc>
          <w:tcPr>
            <w:tcW w:w="9054"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II-8</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29" w:name="page_jv73601_1_9"/>
      <w:bookmarkStart w:id="30" w:name="page_jv73601_1_9"/>
      <w:bookmarkEnd w:id="30"/>
    </w:p>
    <w:tbl>
      <w:tblPr>
        <w:tblW w:w="5000" w:type="pct"/>
        <w:jc w:val="center"/>
        <w:tblInd w:w="0" w:type="dxa"/>
        <w:tblCellMar>
          <w:top w:w="0" w:type="dxa"/>
          <w:left w:w="0" w:type="dxa"/>
          <w:bottom w:w="0" w:type="dxa"/>
          <w:right w:w="0" w:type="dxa"/>
        </w:tblCellMar>
      </w:tblPr>
      <w:tblGrid>
        <w:gridCol w:w="80"/>
        <w:gridCol w:w="540"/>
        <w:gridCol w:w="261"/>
        <w:gridCol w:w="81"/>
        <w:gridCol w:w="210"/>
        <w:gridCol w:w="117"/>
        <w:gridCol w:w="8916"/>
      </w:tblGrid>
      <w:tr>
        <w:trPr/>
        <w:tc>
          <w:tcPr>
            <w:tcW w:w="8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8916" w:type="dxa"/>
            <w:tcBorders/>
            <w:shd w:fill="auto" w:val="clear"/>
            <w:vAlign w:val="center"/>
          </w:tcPr>
          <w:p>
            <w:pPr>
              <w:pStyle w:val="TableContents"/>
              <w:spacing w:before="0" w:after="283"/>
              <w:rPr>
                <w:sz w:val="4"/>
                <w:szCs w:val="4"/>
              </w:rPr>
            </w:pPr>
            <w:r>
              <w:rPr>
                <w:sz w:val="4"/>
                <w:szCs w:val="4"/>
              </w:rPr>
            </w:r>
          </w:p>
        </w:tc>
      </w:tr>
      <w:tr>
        <w:trPr/>
        <w:tc>
          <w:tcPr>
            <w:tcW w:w="6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261" w:type="dxa"/>
            <w:tcBorders/>
            <w:shd w:fill="auto" w:val="clear"/>
            <w:vAlign w:val="bottom"/>
          </w:tcPr>
          <w:p>
            <w:pPr>
              <w:pStyle w:val="TableHeading"/>
              <w:suppressLineNumbers/>
              <w:spacing w:before="0" w:after="283"/>
              <w:jc w:val="center"/>
              <w:rPr/>
            </w:pPr>
            <w:r>
              <w:rPr/>
              <w:t> </w:t>
            </w:r>
          </w:p>
        </w:tc>
        <w:tc>
          <w:tcPr>
            <w:tcW w:w="291" w:type="dxa"/>
            <w:gridSpan w:val="2"/>
            <w:tcBorders/>
            <w:shd w:fill="auto" w:val="clear"/>
            <w:vAlign w:val="bottom"/>
          </w:tcPr>
          <w:p>
            <w:pPr>
              <w:pStyle w:val="TableHeading"/>
              <w:spacing w:before="0" w:after="283"/>
              <w:jc w:val="left"/>
              <w:rPr/>
            </w:pPr>
            <w:r>
              <w:rPr/>
              <w:t> </w:t>
            </w:r>
          </w:p>
        </w:tc>
        <w:tc>
          <w:tcPr>
            <w:tcW w:w="117" w:type="dxa"/>
            <w:tcBorders/>
            <w:shd w:fill="auto" w:val="clear"/>
            <w:vAlign w:val="bottom"/>
          </w:tcPr>
          <w:p>
            <w:pPr>
              <w:pStyle w:val="TableHeading"/>
              <w:suppressLineNumbers/>
              <w:spacing w:before="0" w:after="283"/>
              <w:jc w:val="center"/>
              <w:rPr/>
            </w:pPr>
            <w:r>
              <w:rPr/>
              <w:t> </w:t>
            </w:r>
          </w:p>
        </w:tc>
        <w:tc>
          <w:tcPr>
            <w:tcW w:w="891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10.46</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Second Amended and Restated Credit Agreement dated as of September 26, 2013 among Plains AAP, L.P., as Borrower, Citibank, N.A., as Administrative Agent, and the other Lenders party thereto.</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10.47</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Form of Plains GP Holdings, L.P. Long-Term Incentive Plan.</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10.48</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Form of Administrative Agreement.</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10.49</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Form of Contribution Agreement.</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10.50</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Form of Waiver Agreement between Plains All American GP LLC and Greg L. Armstrong.</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10.51</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Form of Waiver Agreement between Plains All American GP LLC and Harry N. Pefanis.</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21.1</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List of Subsidiaries of Plains GP Holdings, L.P.</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23.1</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Consent of PricewaterhouseCoopers LLP.</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23.2</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Consent of Ernst &amp; Young, LLP.</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23.3</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Consent of Vinson &amp; Elkins L.L.P. (contained in Exhibit 5.1).</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23.4</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Consent of Vinson &amp; Elkins L.L.P. (contained in Exhibit 8.1).</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23.5</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Consent of Director Nominee (Raymond).</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23.6</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Consent of Director Nominee (Sinnott).</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23.7</w:t>
            </w:r>
          </w:p>
        </w:tc>
        <w:tc>
          <w:tcPr>
            <w:tcW w:w="261" w:type="dxa"/>
            <w:tcBorders/>
            <w:shd w:fill="auto" w:val="clear"/>
          </w:tcPr>
          <w:p>
            <w:pPr>
              <w:pStyle w:val="TableContents"/>
              <w:spacing w:before="0" w:after="283"/>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Consent of Director Nominee (Sutil).</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rPr/>
            </w:pPr>
            <w:r>
              <w:rPr/>
              <w:t>  </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pPr>
            <w:r>
              <w:rPr/>
              <w:t> </w:t>
            </w:r>
          </w:p>
        </w:tc>
      </w:tr>
      <w:tr>
        <w:trPr/>
        <w:tc>
          <w:tcPr>
            <w:tcW w:w="80" w:type="dxa"/>
            <w:tcBorders/>
            <w:shd w:fill="auto" w:val="clear"/>
          </w:tcPr>
          <w:p>
            <w:pPr>
              <w:pStyle w:val="TableContents"/>
              <w:spacing w:before="0" w:after="283"/>
              <w:rPr/>
            </w:pPr>
            <w:r>
              <w:rPr/>
              <w:t> </w:t>
            </w:r>
          </w:p>
        </w:tc>
        <w:tc>
          <w:tcPr>
            <w:tcW w:w="540" w:type="dxa"/>
            <w:tcBorders/>
            <w:shd w:fill="auto" w:val="clear"/>
          </w:tcPr>
          <w:p>
            <w:pPr>
              <w:pStyle w:val="TableContents"/>
              <w:spacing w:before="0" w:after="283"/>
              <w:jc w:val="right"/>
              <w:rPr>
                <w:rFonts w:ascii="times" w:hAnsi="times"/>
                <w:sz w:val="20"/>
              </w:rPr>
            </w:pPr>
            <w:r>
              <w:rPr>
                <w:rFonts w:ascii="times" w:hAnsi="times"/>
                <w:sz w:val="20"/>
              </w:rPr>
              <w:t>24.1</w:t>
            </w:r>
          </w:p>
        </w:tc>
        <w:tc>
          <w:tcPr>
            <w:tcW w:w="261"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210" w:type="dxa"/>
            <w:tcBorders/>
            <w:shd w:fill="auto" w:val="clear"/>
          </w:tcPr>
          <w:p>
            <w:pPr>
              <w:pStyle w:val="TableContents"/>
              <w:spacing w:before="0" w:after="283"/>
              <w:jc w:val="right"/>
              <w:rPr>
                <w:rFonts w:ascii="times" w:hAnsi="times"/>
                <w:sz w:val="20"/>
              </w:rPr>
            </w:pPr>
            <w:r>
              <w:rPr>
                <w:rFonts w:ascii="times" w:hAnsi="times"/>
                <w:sz w:val="20"/>
              </w:rPr>
              <w:t></w:t>
            </w:r>
          </w:p>
        </w:tc>
        <w:tc>
          <w:tcPr>
            <w:tcW w:w="117" w:type="dxa"/>
            <w:tcBorders/>
            <w:shd w:fill="auto" w:val="clear"/>
          </w:tcPr>
          <w:p>
            <w:pPr>
              <w:pStyle w:val="TableContents"/>
              <w:spacing w:before="0" w:after="283"/>
              <w:rPr/>
            </w:pPr>
            <w:r>
              <w:rPr/>
              <w:t> </w:t>
            </w:r>
          </w:p>
        </w:tc>
        <w:tc>
          <w:tcPr>
            <w:tcW w:w="8916" w:type="dxa"/>
            <w:tcBorders/>
            <w:shd w:fill="auto" w:val="clear"/>
          </w:tcPr>
          <w:p>
            <w:pPr>
              <w:pStyle w:val="TableContents"/>
              <w:spacing w:before="0" w:after="283"/>
              <w:rPr>
                <w:rFonts w:ascii="times" w:hAnsi="times"/>
                <w:sz w:val="20"/>
              </w:rPr>
            </w:pPr>
            <w:r>
              <w:rPr>
                <w:rFonts w:ascii="times" w:hAnsi="times"/>
                <w:sz w:val="20"/>
              </w:rPr>
              <w:t>Power of Attorney (included on the signature page of this registration statement).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Filed herewith.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To be filed by amendment.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Previously filed.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Management compensatory plan or arrangement. </w:t>
      </w:r>
    </w:p>
    <w:p>
      <w:pPr>
        <w:pStyle w:val="TextBody"/>
        <w:rPr>
          <w:rFonts w:ascii="times" w:hAnsi="times"/>
          <w:b/>
          <w:sz w:val="20"/>
        </w:rPr>
      </w:pPr>
      <w:bookmarkStart w:id="31" w:name="toc_jv73601_6"/>
      <w:bookmarkStart w:id="32" w:name="jv73601_item_17._undertakings."/>
      <w:bookmarkEnd w:id="31"/>
      <w:bookmarkEnd w:id="32"/>
      <w:r>
        <w:rPr>
          <w:rFonts w:ascii="times" w:hAnsi="times"/>
          <w:b/>
          <w:sz w:val="20"/>
        </w:rPr>
        <w:t xml:space="preserve">Item 17.    Undertakings. </w:t>
      </w:r>
    </w:p>
    <w:p>
      <w:pPr>
        <w:pStyle w:val="TextBody"/>
        <w:rPr/>
      </w:pPr>
      <w:r>
        <w:rPr/>
        <w:t>        </w:t>
      </w:r>
      <w:r>
        <w:rPr>
          <w:rFonts w:ascii="times" w:hAnsi="times"/>
          <w:sz w:val="20"/>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rPr/>
      </w:pPr>
      <w:r>
        <w:rPr/>
        <w:t>        </w:t>
      </w:r>
      <w:r>
        <w:rPr>
          <w:rFonts w:ascii="times" w:hAnsi="times"/>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jc w:val="center"/>
        <w:rPr>
          <w:rFonts w:ascii="times" w:hAnsi="times"/>
          <w:sz w:val="20"/>
        </w:rPr>
      </w:pPr>
      <w:r>
        <w:rPr>
          <w:rFonts w:ascii="times" w:hAnsi="times"/>
          <w:sz w:val="20"/>
        </w:rPr>
        <w:t>II-9</w:t>
      </w:r>
    </w:p>
    <w:p>
      <w:pPr>
        <w:pStyle w:val="HorizontalLine"/>
        <w:pBdr>
          <w:bottom w:val="single" w:sz="20" w:space="0" w:color="808080"/>
        </w:pBdr>
        <w:rPr/>
      </w:pPr>
      <w:r>
        <w:rPr/>
      </w:r>
      <w:r>
        <w:br w:type="page"/>
      </w:r>
    </w:p>
    <w:p>
      <w:pPr>
        <w:pStyle w:val="TextBody"/>
        <w:rPr/>
      </w:pPr>
      <w:bookmarkStart w:id="33" w:name="page_jv73601_1_10"/>
      <w:bookmarkEnd w:id="33"/>
      <w:r>
        <w:rPr/>
        <w:t>        </w:t>
      </w:r>
      <w:r>
        <w:rPr>
          <w:rFonts w:ascii="times" w:hAnsi="times"/>
          <w:sz w:val="20"/>
        </w:rPr>
        <w:t xml:space="preserve">The undersigned registrant hereby undertakes that: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jc w:val="center"/>
        <w:rPr>
          <w:rFonts w:ascii="times" w:hAnsi="times"/>
          <w:sz w:val="20"/>
        </w:rPr>
      </w:pPr>
      <w:r>
        <w:rPr>
          <w:rFonts w:ascii="times" w:hAnsi="times"/>
          <w:sz w:val="20"/>
        </w:rPr>
        <w:t>II-10</w:t>
      </w:r>
    </w:p>
    <w:p>
      <w:pPr>
        <w:pStyle w:val="HorizontalLine"/>
        <w:pBdr>
          <w:bottom w:val="single" w:sz="20" w:space="0" w:color="808080"/>
        </w:pBdr>
        <w:rPr/>
      </w:pPr>
      <w:r>
        <w:rPr/>
      </w:r>
      <w:r>
        <w:br w:type="page"/>
      </w:r>
    </w:p>
    <w:p>
      <w:pPr>
        <w:pStyle w:val="TextBody"/>
        <w:jc w:val="center"/>
        <w:rPr>
          <w:rFonts w:ascii="times" w:hAnsi="times"/>
        </w:rPr>
      </w:pPr>
      <w:bookmarkStart w:id="34" w:name="toc_jw73601_1"/>
      <w:bookmarkStart w:id="35" w:name="jw73601_signatures"/>
      <w:bookmarkStart w:id="36" w:name="page_jw73601_1_11"/>
      <w:bookmarkEnd w:id="34"/>
      <w:bookmarkEnd w:id="35"/>
      <w:bookmarkEnd w:id="36"/>
      <w:r>
        <w:rPr>
          <w:rFonts w:ascii="times" w:hAnsi="times"/>
          <w:sz w:val="20"/>
        </w:rPr>
        <w:br/>
      </w:r>
      <w:r>
        <w:rPr>
          <w:rFonts w:ascii="times" w:hAnsi="times"/>
          <w:b/>
          <w:sz w:val="20"/>
        </w:rPr>
        <w:t xml:space="preserve">SIGNATURES </w:t>
      </w:r>
    </w:p>
    <w:p>
      <w:pPr>
        <w:pStyle w:val="TextBody"/>
        <w:rPr/>
      </w:pPr>
      <w:r>
        <w:rPr/>
        <w:t>        </w:t>
      </w:r>
      <w:r>
        <w:rPr>
          <w:rFonts w:ascii="times" w:hAnsi="times"/>
          <w:sz w:val="20"/>
        </w:rPr>
        <w:t xml:space="preserve">Pursuant to the requirements of the Securities Act of 1933, as amended, the registrant has duly caused this Registration Statement to be signed on its behalf by the undersigned, thereunto duly authorized, in the City of Houston, State of Texas, on October 2, 2013. </w:t>
      </w:r>
    </w:p>
    <w:tbl>
      <w:tblPr>
        <w:tblW w:w="5000" w:type="pct"/>
        <w:jc w:val="center"/>
        <w:tblInd w:w="0" w:type="dxa"/>
        <w:tblCellMar>
          <w:top w:w="0" w:type="dxa"/>
          <w:left w:w="0" w:type="dxa"/>
          <w:bottom w:w="0" w:type="dxa"/>
          <w:right w:w="0" w:type="dxa"/>
        </w:tblCellMar>
      </w:tblPr>
      <w:tblGrid>
        <w:gridCol w:w="5272"/>
        <w:gridCol w:w="60"/>
        <w:gridCol w:w="260"/>
        <w:gridCol w:w="61"/>
        <w:gridCol w:w="485"/>
        <w:gridCol w:w="60"/>
        <w:gridCol w:w="4007"/>
      </w:tblGrid>
      <w:tr>
        <w:trPr/>
        <w:tc>
          <w:tcPr>
            <w:tcW w:w="52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07" w:type="dxa"/>
            <w:tcBorders/>
            <w:shd w:fill="auto" w:val="clear"/>
            <w:vAlign w:val="center"/>
          </w:tcPr>
          <w:p>
            <w:pPr>
              <w:pStyle w:val="TableContents"/>
              <w:spacing w:before="0" w:after="283"/>
              <w:rPr>
                <w:sz w:val="4"/>
                <w:szCs w:val="4"/>
              </w:rPr>
            </w:pPr>
            <w:r>
              <w:rPr>
                <w:sz w:val="4"/>
                <w:szCs w:val="4"/>
              </w:rPr>
            </w:r>
          </w:p>
        </w:tc>
      </w:tr>
      <w:tr>
        <w:trPr/>
        <w:tc>
          <w:tcPr>
            <w:tcW w:w="52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3" w:type="dxa"/>
            <w:gridSpan w:val="5"/>
            <w:tcBorders/>
            <w:shd w:fill="auto" w:val="clear"/>
          </w:tcPr>
          <w:p>
            <w:pPr>
              <w:pStyle w:val="TableContents"/>
              <w:spacing w:before="0" w:after="283"/>
              <w:rPr>
                <w:rFonts w:ascii="times" w:hAnsi="times"/>
                <w:sz w:val="20"/>
              </w:rPr>
            </w:pPr>
            <w:r>
              <w:rPr>
                <w:rFonts w:ascii="times" w:hAnsi="times"/>
                <w:sz w:val="20"/>
              </w:rPr>
              <w:t>PLAINS GP HOLDINGS, L.P.</w:t>
            </w:r>
          </w:p>
        </w:tc>
      </w:tr>
      <w:tr>
        <w:trPr/>
        <w:tc>
          <w:tcPr>
            <w:tcW w:w="527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61" w:type="dxa"/>
            <w:tcBorders/>
            <w:shd w:fill="auto" w:val="clear"/>
          </w:tcPr>
          <w:p>
            <w:pPr>
              <w:pStyle w:val="TableContents"/>
              <w:spacing w:before="0" w:after="283"/>
              <w:rPr>
                <w:rFonts w:ascii="times" w:hAnsi="times"/>
                <w:sz w:val="20"/>
              </w:rPr>
            </w:pPr>
            <w:r>
              <w:rPr>
                <w:rFonts w:ascii="times" w:hAnsi="times"/>
                <w:sz w:val="20"/>
              </w:rPr>
              <w:br/>
              <w:t> </w:t>
            </w:r>
          </w:p>
        </w:tc>
        <w:tc>
          <w:tcPr>
            <w:tcW w:w="4552"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PAA GP Holdings LLC,</w:t>
              <w:br/>
              <w:t>its general partner</w:t>
            </w:r>
          </w:p>
        </w:tc>
      </w:tr>
      <w:tr>
        <w:trPr/>
        <w:tc>
          <w:tcPr>
            <w:tcW w:w="527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61" w:type="dxa"/>
            <w:tcBorders/>
            <w:shd w:fill="auto" w:val="clear"/>
          </w:tcPr>
          <w:p>
            <w:pPr>
              <w:pStyle w:val="TableContents"/>
              <w:spacing w:before="0" w:after="283"/>
              <w:rPr>
                <w:rFonts w:ascii="times" w:hAnsi="times"/>
                <w:sz w:val="20"/>
              </w:rPr>
            </w:pPr>
            <w:r>
              <w:rPr>
                <w:rFonts w:ascii="times" w:hAnsi="times"/>
                <w:sz w:val="20"/>
              </w:rPr>
              <w:br/>
              <w:t> </w:t>
            </w:r>
          </w:p>
        </w:tc>
        <w:tc>
          <w:tcPr>
            <w:tcW w:w="4552" w:type="dxa"/>
            <w:gridSpan w:val="3"/>
            <w:tcBorders/>
            <w:shd w:fill="auto" w:val="clear"/>
          </w:tcPr>
          <w:p>
            <w:pPr>
              <w:pStyle w:val="TableContents"/>
              <w:spacing w:before="0" w:after="0"/>
              <w:rPr>
                <w:rFonts w:ascii="times" w:hAnsi="times"/>
              </w:rPr>
            </w:pPr>
            <w:r>
              <w:rPr>
                <w:rFonts w:ascii="times" w:hAnsi="times"/>
              </w:rPr>
              <w:br/>
            </w:r>
            <w:r>
              <w:rPr>
                <w:rFonts w:ascii="times" w:hAnsi="times"/>
                <w:sz w:val="20"/>
              </w:rPr>
              <w:t>/s/ GREG L. ARMSTRONG</w:t>
            </w:r>
          </w:p>
          <w:p>
            <w:pPr>
              <w:pStyle w:val="HorizontalLine"/>
              <w:pBdr>
                <w:bottom w:val="single" w:sz="6" w:space="0" w:color="000000"/>
              </w:pBdr>
              <w:spacing w:before="0" w:after="283"/>
              <w:rPr>
                <w:rFonts w:ascii="times" w:hAnsi="times" w:eastAsia="times" w:cs="times"/>
              </w:rPr>
            </w:pPr>
            <w:r>
              <w:rPr>
                <w:rFonts w:eastAsia="times" w:cs="times" w:ascii="times" w:hAnsi="times"/>
              </w:rPr>
            </w:r>
          </w:p>
        </w:tc>
      </w:tr>
      <w:tr>
        <w:trPr/>
        <w:tc>
          <w:tcPr>
            <w:tcW w:w="52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1"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w:hAnsi="times"/>
                <w:sz w:val="20"/>
              </w:rPr>
            </w:pPr>
            <w:r>
              <w:rPr>
                <w:rFonts w:ascii="times" w:hAnsi="times"/>
                <w:sz w:val="20"/>
              </w:rPr>
              <w:t>Name:</w:t>
            </w:r>
          </w:p>
        </w:tc>
        <w:tc>
          <w:tcPr>
            <w:tcW w:w="60" w:type="dxa"/>
            <w:tcBorders/>
            <w:shd w:fill="auto" w:val="clear"/>
          </w:tcPr>
          <w:p>
            <w:pPr>
              <w:pStyle w:val="TableContents"/>
              <w:spacing w:before="0" w:after="283"/>
              <w:rPr/>
            </w:pPr>
            <w:r>
              <w:rPr/>
              <w:t> </w:t>
            </w:r>
          </w:p>
        </w:tc>
        <w:tc>
          <w:tcPr>
            <w:tcW w:w="4007" w:type="dxa"/>
            <w:tcBorders/>
            <w:shd w:fill="auto" w:val="clear"/>
          </w:tcPr>
          <w:p>
            <w:pPr>
              <w:pStyle w:val="TableContents"/>
              <w:spacing w:before="0" w:after="283"/>
              <w:rPr>
                <w:rFonts w:ascii="times" w:hAnsi="times"/>
                <w:sz w:val="20"/>
              </w:rPr>
            </w:pPr>
            <w:r>
              <w:rPr>
                <w:rFonts w:ascii="times" w:hAnsi="times"/>
                <w:sz w:val="20"/>
              </w:rPr>
              <w:t>Greg L. Armstrong</w:t>
            </w:r>
          </w:p>
        </w:tc>
      </w:tr>
      <w:tr>
        <w:trPr/>
        <w:tc>
          <w:tcPr>
            <w:tcW w:w="52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1"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rPr>
                <w:rFonts w:ascii="times" w:hAnsi="times"/>
                <w:sz w:val="20"/>
              </w:rPr>
            </w:pPr>
            <w:r>
              <w:rPr>
                <w:rFonts w:ascii="times" w:hAnsi="times"/>
                <w:sz w:val="20"/>
              </w:rPr>
              <w:t>Title:</w:t>
            </w:r>
          </w:p>
        </w:tc>
        <w:tc>
          <w:tcPr>
            <w:tcW w:w="60" w:type="dxa"/>
            <w:tcBorders/>
            <w:shd w:fill="auto" w:val="clear"/>
          </w:tcPr>
          <w:p>
            <w:pPr>
              <w:pStyle w:val="TableContents"/>
              <w:spacing w:before="0" w:after="283"/>
              <w:rPr/>
            </w:pPr>
            <w:r>
              <w:rPr/>
              <w:t> </w:t>
            </w:r>
          </w:p>
        </w:tc>
        <w:tc>
          <w:tcPr>
            <w:tcW w:w="4007" w:type="dxa"/>
            <w:tcBorders/>
            <w:shd w:fill="auto" w:val="clear"/>
          </w:tcPr>
          <w:p>
            <w:pPr>
              <w:pStyle w:val="TableContents"/>
              <w:spacing w:before="0" w:after="283"/>
              <w:rPr>
                <w:rFonts w:ascii="times" w:hAnsi="times"/>
                <w:i/>
                <w:sz w:val="20"/>
              </w:rPr>
            </w:pPr>
            <w:r>
              <w:rPr>
                <w:rFonts w:ascii="times" w:hAnsi="times"/>
                <w:i/>
                <w:sz w:val="20"/>
              </w:rPr>
              <w:t>Chief Executive Officer and Chairman of the Board</w:t>
            </w:r>
          </w:p>
        </w:tc>
      </w:tr>
    </w:tbl>
    <w:p>
      <w:pPr>
        <w:pStyle w:val="TextBody"/>
        <w:rPr/>
      </w:pPr>
      <w:r>
        <w:rPr/>
        <w:t>        </w:t>
      </w:r>
      <w:r>
        <w:rPr>
          <w:rFonts w:ascii="times" w:hAnsi="times"/>
          <w:sz w:val="20"/>
        </w:rPr>
        <w:t xml:space="preserve">Pursuant to the requirements of the Securities Act of 1933, as amended, this Registration Statement has been signed below by the following persons in the capacities and the dates indicated. </w:t>
      </w:r>
    </w:p>
    <w:tbl>
      <w:tblPr>
        <w:tblW w:w="5000" w:type="pct"/>
        <w:jc w:val="center"/>
        <w:tblInd w:w="0" w:type="dxa"/>
        <w:tblCellMar>
          <w:top w:w="0" w:type="dxa"/>
          <w:left w:w="0" w:type="dxa"/>
          <w:bottom w:w="0" w:type="dxa"/>
          <w:right w:w="0" w:type="dxa"/>
        </w:tblCellMar>
      </w:tblPr>
      <w:tblGrid>
        <w:gridCol w:w="4379"/>
        <w:gridCol w:w="60"/>
        <w:gridCol w:w="4380"/>
        <w:gridCol w:w="60"/>
        <w:gridCol w:w="1326"/>
      </w:tblGrid>
      <w:tr>
        <w:trPr/>
        <w:tc>
          <w:tcPr>
            <w:tcW w:w="43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r>
      <w:tr>
        <w:trPr/>
        <w:tc>
          <w:tcPr>
            <w:tcW w:w="4379"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4380"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326"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4379" w:type="dxa"/>
            <w:tcBorders/>
            <w:shd w:fill="auto" w:val="clear"/>
          </w:tcPr>
          <w:p>
            <w:pPr>
              <w:pStyle w:val="TableContents"/>
              <w:spacing w:before="0" w:after="283"/>
              <w:jc w:val="center"/>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380"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326" w:type="dxa"/>
            <w:tcBorders/>
            <w:shd w:fill="auto" w:val="clear"/>
          </w:tcPr>
          <w:p>
            <w:pPr>
              <w:pStyle w:val="TableContents"/>
              <w:spacing w:before="0" w:after="283"/>
              <w:rPr>
                <w:rFonts w:ascii="times" w:hAnsi="times"/>
                <w:sz w:val="20"/>
              </w:rPr>
            </w:pPr>
            <w:r>
              <w:rPr>
                <w:rFonts w:ascii="times" w:hAnsi="times"/>
                <w:sz w:val="20"/>
              </w:rPr>
              <w:br/>
              <w:t> </w:t>
            </w:r>
          </w:p>
        </w:tc>
      </w:tr>
      <w:tr>
        <w:trPr/>
        <w:tc>
          <w:tcPr>
            <w:tcW w:w="4379" w:type="dxa"/>
            <w:tcBorders/>
            <w:shd w:fill="auto" w:val="clear"/>
          </w:tcPr>
          <w:p>
            <w:pPr>
              <w:pStyle w:val="TableContents"/>
              <w:spacing w:before="0" w:after="0"/>
              <w:jc w:val="center"/>
              <w:rPr>
                <w:rFonts w:ascii="times" w:hAnsi="times"/>
              </w:rPr>
            </w:pPr>
            <w:r>
              <w:rPr>
                <w:rFonts w:ascii="times" w:hAnsi="times"/>
              </w:rPr>
              <w:t>/s/ GREG L. ARMSTRONG</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Greg L. Armstrong</w:t>
            </w:r>
          </w:p>
        </w:tc>
        <w:tc>
          <w:tcPr>
            <w:tcW w:w="60" w:type="dxa"/>
            <w:tcBorders/>
            <w:shd w:fill="auto" w:val="clear"/>
          </w:tcPr>
          <w:p>
            <w:pPr>
              <w:pStyle w:val="TableContents"/>
              <w:spacing w:before="0" w:after="283"/>
              <w:rPr/>
            </w:pPr>
            <w:r>
              <w:rPr/>
              <w:t> </w:t>
            </w:r>
          </w:p>
        </w:tc>
        <w:tc>
          <w:tcPr>
            <w:tcW w:w="4380" w:type="dxa"/>
            <w:tcBorders/>
            <w:shd w:fill="auto" w:val="clear"/>
          </w:tcPr>
          <w:p>
            <w:pPr>
              <w:pStyle w:val="TableContents"/>
              <w:spacing w:before="0" w:after="283"/>
              <w:rPr>
                <w:rFonts w:ascii="times" w:hAnsi="times"/>
                <w:sz w:val="20"/>
              </w:rPr>
            </w:pPr>
            <w:r>
              <w:rPr>
                <w:rFonts w:ascii="times" w:hAnsi="times"/>
                <w:sz w:val="20"/>
              </w:rPr>
              <w:t>Chief Executive Officer and Chairman of the Board of Directors (principal executive officer)</w:t>
            </w:r>
          </w:p>
        </w:tc>
        <w:tc>
          <w:tcPr>
            <w:tcW w:w="60" w:type="dxa"/>
            <w:tcBorders/>
            <w:shd w:fill="auto" w:val="clear"/>
          </w:tcPr>
          <w:p>
            <w:pPr>
              <w:pStyle w:val="TableContents"/>
              <w:spacing w:before="0" w:after="283"/>
              <w:rPr/>
            </w:pPr>
            <w:r>
              <w:rPr/>
              <w:t> </w:t>
            </w:r>
          </w:p>
        </w:tc>
        <w:tc>
          <w:tcPr>
            <w:tcW w:w="1326" w:type="dxa"/>
            <w:tcBorders/>
            <w:shd w:fill="auto" w:val="clear"/>
          </w:tcPr>
          <w:p>
            <w:pPr>
              <w:pStyle w:val="TableContents"/>
              <w:spacing w:before="0" w:after="283"/>
              <w:jc w:val="center"/>
              <w:rPr>
                <w:rFonts w:ascii="times" w:hAnsi="times"/>
                <w:sz w:val="20"/>
              </w:rPr>
            </w:pPr>
            <w:r>
              <w:rPr>
                <w:rFonts w:ascii="times" w:hAnsi="times"/>
                <w:sz w:val="20"/>
              </w:rPr>
              <w:t>October 2, 2013</w:t>
            </w:r>
          </w:p>
        </w:tc>
      </w:tr>
      <w:tr>
        <w:trPr/>
        <w:tc>
          <w:tcPr>
            <w:tcW w:w="4379"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AL SWANSON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Al Swanson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380" w:type="dxa"/>
            <w:tcBorders/>
            <w:shd w:fill="auto" w:val="clear"/>
          </w:tcPr>
          <w:p>
            <w:pPr>
              <w:pStyle w:val="TableContents"/>
              <w:spacing w:before="0" w:after="283"/>
              <w:rPr>
                <w:rFonts w:ascii="times" w:hAnsi="times"/>
              </w:rPr>
            </w:pPr>
            <w:r>
              <w:rPr>
                <w:rFonts w:ascii="times" w:hAnsi="times"/>
              </w:rPr>
              <w:br/>
            </w:r>
            <w:r>
              <w:rPr>
                <w:rFonts w:ascii="times" w:hAnsi="times"/>
                <w:sz w:val="20"/>
              </w:rPr>
              <w:t>Executive Vice President and Chief Financial Officer (principal financial officer)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32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October 2, 2013</w:t>
            </w:r>
          </w:p>
        </w:tc>
      </w:tr>
      <w:tr>
        <w:trPr/>
        <w:tc>
          <w:tcPr>
            <w:tcW w:w="4379"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CHRIS HERBOLD</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Chris Herbold</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380" w:type="dxa"/>
            <w:tcBorders/>
            <w:shd w:fill="auto" w:val="clear"/>
          </w:tcPr>
          <w:p>
            <w:pPr>
              <w:pStyle w:val="TableContents"/>
              <w:spacing w:before="0" w:after="283"/>
              <w:rPr>
                <w:rFonts w:ascii="times" w:hAnsi="times"/>
              </w:rPr>
            </w:pPr>
            <w:r>
              <w:rPr>
                <w:rFonts w:ascii="times" w:hAnsi="times"/>
              </w:rPr>
              <w:br/>
            </w:r>
            <w:r>
              <w:rPr>
                <w:rFonts w:ascii="times" w:hAnsi="times"/>
                <w:sz w:val="20"/>
              </w:rPr>
              <w:t>Vice PresidentAccounting and Chief Accounting Officer (principal accounting officer)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32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October 2, 2013</w:t>
            </w:r>
          </w:p>
        </w:tc>
      </w:tr>
    </w:tbl>
    <w:p>
      <w:pPr>
        <w:pStyle w:val="TextBody"/>
        <w:jc w:val="center"/>
        <w:rPr>
          <w:rFonts w:ascii="times" w:hAnsi="times"/>
          <w:sz w:val="20"/>
        </w:rPr>
      </w:pPr>
      <w:r>
        <w:rPr>
          <w:rFonts w:ascii="times" w:hAnsi="times"/>
          <w:sz w:val="20"/>
        </w:rPr>
        <w:t>II-11</w:t>
      </w:r>
    </w:p>
    <w:p>
      <w:pPr>
        <w:pStyle w:val="HorizontalLine"/>
        <w:pBdr>
          <w:bottom w:val="single" w:sz="20" w:space="0" w:color="808080"/>
        </w:pBdr>
        <w:rPr/>
      </w:pPr>
      <w:r>
        <w:rPr/>
      </w:r>
      <w:r>
        <w:br w:type="page"/>
      </w:r>
    </w:p>
    <w:p>
      <w:pPr>
        <w:pStyle w:val="TextBody"/>
        <w:jc w:val="center"/>
        <w:rPr>
          <w:rFonts w:ascii="times" w:hAnsi="times"/>
        </w:rPr>
      </w:pPr>
      <w:bookmarkStart w:id="37" w:name="toc_jx73601_1"/>
      <w:bookmarkStart w:id="38" w:name="jx73601_exhibit_index"/>
      <w:bookmarkEnd w:id="37"/>
      <w:bookmarkEnd w:id="38"/>
      <w:r>
        <w:rPr>
          <w:rFonts w:ascii="times" w:hAnsi="times"/>
          <w:sz w:val="20"/>
        </w:rPr>
        <w:br/>
      </w:r>
      <w:r>
        <w:rPr>
          <w:rFonts w:ascii="times" w:hAnsi="times"/>
          <w:b/>
          <w:sz w:val="20"/>
        </w:rPr>
        <w:t xml:space="preserve">EXHIBIT INDEX </w:t>
      </w:r>
    </w:p>
    <w:tbl>
      <w:tblPr>
        <w:tblW w:w="5000" w:type="pct"/>
        <w:jc w:val="center"/>
        <w:tblInd w:w="0" w:type="dxa"/>
        <w:tblCellMar>
          <w:top w:w="0" w:type="dxa"/>
          <w:left w:w="0" w:type="dxa"/>
          <w:bottom w:w="0" w:type="dxa"/>
          <w:right w:w="0" w:type="dxa"/>
        </w:tblCellMar>
      </w:tblPr>
      <w:tblGrid>
        <w:gridCol w:w="104"/>
        <w:gridCol w:w="430"/>
        <w:gridCol w:w="179"/>
        <w:gridCol w:w="70"/>
        <w:gridCol w:w="189"/>
        <w:gridCol w:w="87"/>
        <w:gridCol w:w="9146"/>
      </w:tblGrid>
      <w:tr>
        <w:trPr/>
        <w:tc>
          <w:tcPr>
            <w:tcW w:w="104"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9146" w:type="dxa"/>
            <w:tcBorders/>
            <w:shd w:fill="auto" w:val="clear"/>
            <w:vAlign w:val="center"/>
          </w:tcPr>
          <w:p>
            <w:pPr>
              <w:pStyle w:val="TableContents"/>
              <w:spacing w:before="0" w:after="283"/>
              <w:rPr>
                <w:sz w:val="4"/>
                <w:szCs w:val="4"/>
              </w:rPr>
            </w:pPr>
            <w:r>
              <w:rPr>
                <w:sz w:val="4"/>
                <w:szCs w:val="4"/>
              </w:rPr>
            </w:r>
          </w:p>
        </w:tc>
      </w:tr>
      <w:tr>
        <w:trPr/>
        <w:tc>
          <w:tcPr>
            <w:tcW w:w="53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79" w:type="dxa"/>
            <w:tcBorders/>
            <w:shd w:fill="auto" w:val="clear"/>
            <w:vAlign w:val="bottom"/>
          </w:tcPr>
          <w:p>
            <w:pPr>
              <w:pStyle w:val="TableHeading"/>
              <w:suppressLineNumbers/>
              <w:spacing w:before="0" w:after="283"/>
              <w:jc w:val="center"/>
              <w:rPr/>
            </w:pPr>
            <w:r>
              <w:rPr/>
              <w:t> </w:t>
            </w:r>
          </w:p>
        </w:tc>
        <w:tc>
          <w:tcPr>
            <w:tcW w:w="259" w:type="dxa"/>
            <w:gridSpan w:val="2"/>
            <w:tcBorders/>
            <w:shd w:fill="auto" w:val="clear"/>
            <w:vAlign w:val="bottom"/>
          </w:tcPr>
          <w:p>
            <w:pPr>
              <w:pStyle w:val="TableHeading"/>
              <w:spacing w:before="0" w:after="283"/>
              <w:jc w:val="left"/>
              <w:rPr/>
            </w:pPr>
            <w:r>
              <w:rPr/>
              <w:t> </w:t>
            </w:r>
          </w:p>
        </w:tc>
        <w:tc>
          <w:tcPr>
            <w:tcW w:w="87" w:type="dxa"/>
            <w:tcBorders/>
            <w:shd w:fill="auto" w:val="clear"/>
            <w:vAlign w:val="bottom"/>
          </w:tcPr>
          <w:p>
            <w:pPr>
              <w:pStyle w:val="TableHeading"/>
              <w:suppressLineNumbers/>
              <w:spacing w:before="0" w:after="283"/>
              <w:jc w:val="center"/>
              <w:rPr/>
            </w:pPr>
            <w:r>
              <w:rPr/>
              <w:t> </w:t>
            </w:r>
          </w:p>
        </w:tc>
        <w:tc>
          <w:tcPr>
            <w:tcW w:w="914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1.1</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Form of Underwriting Agreement.</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3.1</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Certificate of Limited Partnership of Plains GP Holdings, L.P.</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3.2</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Amended and Restated Limited Partnership Agreement of Plains GP Holdings, L.P. (included as Appendix A in the prospectus included in this Registration Statement).</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3.3</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Certificate of Formation of PAA GP Holdings LLC.</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3.4</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Amended and Restated Limited Liability Company Agreement of PAA GP Holdings LLC.</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3.5</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Fourth Amended and Restated Agreement of Limited Partnership of Plains All American Pipeline, L.P. dated as of May 17, 2012 (incorporated by reference to Exhibit 3.1 to Plains All American Pipeline,  L.P.'s Current Report on Form 8-K filed May 23, 2012).</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3.6</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Amendment No. 1 dated October 1, 2012 to the Fourth Amended and Restated Agreement of Limited Partnership of Plains All American Pipeline, L.P. (incorporated by reference to Exhibit 3.1 to Plains All American Pipeline, L.P.'s Current Report on Form 8-K filed October 2, 2012).</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3.7</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Form of Sixth Amended and Restated Limited Liability Company Agreement of Plains All American GP LLC.</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3.8</w:t>
            </w:r>
          </w:p>
        </w:tc>
        <w:tc>
          <w:tcPr>
            <w:tcW w:w="179"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Form of Seventh Amended and Restated Limited Partnership Agreement of Plains AAP, L.P.</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3.9</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Limited Liability Company Agreement of PAA GP LLC dated December 28, 2007 (incorporated by reference to Exhibit 3.3 to Plains All American Pipeline, L.P.'s Current Report on Form 8-K filed January 4, 2008).</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4.1</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Indenture dated September 25, 2002 among Plains All American Pipeline, L.P., PAA Finance Corp. and Wachovia Bank, National Association, as trustee (incorporated by reference to Exhibit 4.1 to Plains All American Pipeline, L.P.'s Quarterly Report on Form 10-Q for the quarter ended September 30, 2002).</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4.2</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Plains All American Pipeline, L.P.'s Annual Report on Form 10-K for the year ended December 31, 2003).</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4.3</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Plains All American Pipeline, L.P.'s Registration Statement on Form S-4, File No. 333-121168).</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rFonts w:ascii="times" w:hAnsi="times"/>
                <w:sz w:val="20"/>
              </w:rPr>
            </w:pPr>
            <w:r>
              <w:rPr>
                <w:rFonts w:ascii="times" w:hAnsi="times"/>
                <w:sz w:val="20"/>
              </w:rPr>
              <w:t>4.4</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rFonts w:ascii="times" w:hAnsi="times"/>
                <w:sz w:val="20"/>
              </w:rPr>
            </w:pPr>
            <w:r>
              <w:rPr>
                <w:rFonts w:ascii="times" w:hAnsi="times"/>
                <w:sz w:val="20"/>
              </w:rPr>
              <w:t>Fifth Supplemental Indenture (Series A and Series B 5.25% Senior Notes due 2015) dated May 27, 2005 among Plains All American Pipeline, L.P., PAA Finance Corp., the Subsidiary Guarantors named therein and Wachovia Bank, National Association, as trustee (incorporated by reference to Exhibit 4.1 to Plains All American Pipeline, L.P.'s Current Report on Form 8-K filed May 31, 2005).</w:t>
            </w:r>
          </w:p>
        </w:tc>
      </w:tr>
      <w:tr>
        <w:trPr/>
        <w:tc>
          <w:tcPr>
            <w:tcW w:w="104"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jc w:val="right"/>
              <w:rPr/>
            </w:pPr>
            <w:r>
              <w:rPr/>
              <w:t>  </w:t>
            </w:r>
          </w:p>
        </w:tc>
        <w:tc>
          <w:tcPr>
            <w:tcW w:w="179"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146" w:type="dxa"/>
            <w:tcBorders/>
            <w:shd w:fill="auto" w:val="clear"/>
          </w:tcPr>
          <w:p>
            <w:pPr>
              <w:pStyle w:val="TableContents"/>
              <w:spacing w:before="0" w:after="283"/>
              <w:rPr/>
            </w:pPr>
            <w:r>
              <w:rPr/>
              <w:t> </w:t>
            </w:r>
          </w:p>
        </w:tc>
      </w:tr>
    </w:tbl>
    <w:p>
      <w:pPr>
        <w:pStyle w:val="HorizontalLine"/>
        <w:pBdr>
          <w:bottom w:val="single" w:sz="20" w:space="0" w:color="808080"/>
        </w:pBdr>
        <w:rPr/>
      </w:pPr>
      <w:r>
        <w:rPr/>
      </w:r>
      <w:r>
        <w:br w:type="page"/>
      </w:r>
    </w:p>
    <w:tbl>
      <w:tblPr>
        <w:tblW w:w="5000" w:type="pct"/>
        <w:jc w:val="center"/>
        <w:tblInd w:w="0" w:type="dxa"/>
        <w:tblCellMar>
          <w:top w:w="0" w:type="dxa"/>
          <w:left w:w="0" w:type="dxa"/>
          <w:bottom w:w="0" w:type="dxa"/>
          <w:right w:w="0" w:type="dxa"/>
        </w:tblCellMar>
      </w:tblPr>
      <w:tblGrid>
        <w:gridCol w:w="104"/>
        <w:gridCol w:w="437"/>
        <w:gridCol w:w="138"/>
        <w:gridCol w:w="71"/>
        <w:gridCol w:w="192"/>
        <w:gridCol w:w="91"/>
        <w:gridCol w:w="9172"/>
      </w:tblGrid>
      <w:tr>
        <w:trPr/>
        <w:tc>
          <w:tcPr>
            <w:tcW w:w="104" w:type="dxa"/>
            <w:tcBorders/>
            <w:shd w:fill="auto" w:val="clear"/>
            <w:vAlign w:val="center"/>
          </w:tcPr>
          <w:p>
            <w:pPr>
              <w:pStyle w:val="TableContents"/>
              <w:pageBreakBefore/>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9172" w:type="dxa"/>
            <w:tcBorders/>
            <w:shd w:fill="auto" w:val="clear"/>
            <w:vAlign w:val="center"/>
          </w:tcPr>
          <w:p>
            <w:pPr>
              <w:pStyle w:val="TableContents"/>
              <w:spacing w:before="0" w:after="283"/>
              <w:rPr>
                <w:sz w:val="4"/>
                <w:szCs w:val="4"/>
              </w:rPr>
            </w:pPr>
            <w:r>
              <w:rPr>
                <w:sz w:val="4"/>
                <w:szCs w:val="4"/>
              </w:rPr>
            </w:r>
          </w:p>
        </w:tc>
      </w:tr>
      <w:tr>
        <w:trPr/>
        <w:tc>
          <w:tcPr>
            <w:tcW w:w="54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38" w:type="dxa"/>
            <w:tcBorders/>
            <w:shd w:fill="auto" w:val="clear"/>
            <w:vAlign w:val="bottom"/>
          </w:tcPr>
          <w:p>
            <w:pPr>
              <w:pStyle w:val="TableHeading"/>
              <w:suppressLineNumbers/>
              <w:spacing w:before="0" w:after="283"/>
              <w:jc w:val="center"/>
              <w:rPr/>
            </w:pPr>
            <w:r>
              <w:rPr/>
              <w:t> </w:t>
            </w:r>
          </w:p>
        </w:tc>
        <w:tc>
          <w:tcPr>
            <w:tcW w:w="263" w:type="dxa"/>
            <w:gridSpan w:val="2"/>
            <w:tcBorders/>
            <w:shd w:fill="auto" w:val="clear"/>
            <w:vAlign w:val="bottom"/>
          </w:tcPr>
          <w:p>
            <w:pPr>
              <w:pStyle w:val="TableHeading"/>
              <w:spacing w:before="0" w:after="283"/>
              <w:jc w:val="left"/>
              <w:rPr/>
            </w:pPr>
            <w:r>
              <w:rPr/>
              <w:t> </w:t>
            </w:r>
          </w:p>
        </w:tc>
        <w:tc>
          <w:tcPr>
            <w:tcW w:w="91" w:type="dxa"/>
            <w:tcBorders/>
            <w:shd w:fill="auto" w:val="clear"/>
            <w:vAlign w:val="bottom"/>
          </w:tcPr>
          <w:p>
            <w:pPr>
              <w:pStyle w:val="TableHeading"/>
              <w:suppressLineNumbers/>
              <w:spacing w:before="0" w:after="283"/>
              <w:jc w:val="center"/>
              <w:rPr/>
            </w:pPr>
            <w:r>
              <w:rPr/>
              <w:t> </w:t>
            </w:r>
          </w:p>
        </w:tc>
        <w:tc>
          <w:tcPr>
            <w:tcW w:w="91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4.5</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Plains All American Pipeline, L.P.'s Current Report on Form 8-K filed May 12, 2006).</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4.6</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Plains All American Pipeline, L.P.'s Current Report on Form 8-K filed October 30, 2006).</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4.7</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Plains All American Pipeline, L.P.'s Current Report on Form 8-K filed October 30, 2006).</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4.8</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Plains All American Pipeline, L.P.'s Current Report on Form 8-K filed April 23, 2008).</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4.9</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Fifteenth Supplemental Indenture (8.75% Senior Notes due 2019) dated April 20, 2009 among Plains All American Pipeline, L.P., PAA Finance Corp., the Subsidiary Guarantors named therein and U.S. Bank National Association, as trustee (incorporated by reference to Exhibit 4.1 to Plains All American Pipeline, L.P.'s Current Report on Form 8-K filed April 20, 2009).</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4.10</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Seventeenth Supplemental Indenture (5.75% Senior Notes due 2020) dated September 4, 2009 among Plains All American Pipeline, L.P., PAA Finance Corp., the Subsidiary Guarantors named therein and U.S. Bank National Association, as trustee (incorporated by reference to Exhibit 4.1 to Plains All American Pipeline, L.P.'s Current Report on Form 8-K filed September 4, 2009).</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4.11</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Eighteenth Supplemental Indenture (3.95% Senior Notes due 2015) dated July 14, 2010 among Plains All American Pipeline, L.P., PAA Finance Corp., the Subsidiary Guarantors named therein and U.S. Bank National Association, as trustee (incorporated by reference to Exhibit 4.1 to Plains All American Pipeline, L.P.'s Current Report on Form 8-K filed July 13, 2010).</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4.12</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Nineteenth Supplemental Indenture (5.00% Senior Notes due 2021) dated January 14, 2011 among Plains All American Pipeline, L.P., PAA Finance Corp., the Subsidiary Guarantors named therein and U.S. Bank National Association, as trustee (incorporated by reference to Exhibit 4.1 to Plains All American Pipeline, L.P.'s Current Report on Form 8-K filed January 11, 2011).</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4.13</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Twentieth Supplemental Indenture (3.65% Senior Notes due 2022) dated March 22, 2012 among Plains All American Pipeline, L.P., PAA Finance Corp and U.S. Bank National Association, as trustee (incorporated by reference to Exhibit 4.1 to Plains All American Pipeline, L.P.'s Current Report on Form 8-K filed March 26, 2012).</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pPr>
            <w:r>
              <w:rPr/>
              <w:t>  </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rPr/>
            </w:pPr>
            <w:r>
              <w:rPr/>
              <w:t> </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37" w:type="dxa"/>
            <w:tcBorders/>
            <w:shd w:fill="auto" w:val="clear"/>
          </w:tcPr>
          <w:p>
            <w:pPr>
              <w:pStyle w:val="TableContents"/>
              <w:spacing w:before="0" w:after="283"/>
              <w:jc w:val="right"/>
              <w:rPr>
                <w:rFonts w:ascii="times" w:hAnsi="times"/>
                <w:sz w:val="20"/>
              </w:rPr>
            </w:pPr>
            <w:r>
              <w:rPr>
                <w:rFonts w:ascii="times" w:hAnsi="times"/>
                <w:sz w:val="20"/>
              </w:rPr>
              <w:t>4.14</w:t>
            </w:r>
          </w:p>
        </w:tc>
        <w:tc>
          <w:tcPr>
            <w:tcW w:w="138" w:type="dxa"/>
            <w:tcBorders/>
            <w:shd w:fill="auto" w:val="clear"/>
          </w:tcPr>
          <w:p>
            <w:pPr>
              <w:pStyle w:val="TableContents"/>
              <w:spacing w:before="0" w:after="283"/>
              <w:rPr/>
            </w:pPr>
            <w:r>
              <w:rPr/>
              <w:t> </w:t>
            </w:r>
          </w:p>
        </w:tc>
        <w:tc>
          <w:tcPr>
            <w:tcW w:w="71" w:type="dxa"/>
            <w:tcBorders/>
            <w:shd w:fill="auto" w:val="clear"/>
          </w:tcPr>
          <w:p>
            <w:pPr>
              <w:pStyle w:val="TableContents"/>
              <w:spacing w:before="0" w:after="283"/>
              <w:rPr/>
            </w:pPr>
            <w:r>
              <w:rPr/>
              <w:t> </w:t>
            </w:r>
          </w:p>
        </w:tc>
        <w:tc>
          <w:tcPr>
            <w:tcW w:w="192" w:type="dxa"/>
            <w:tcBorders/>
            <w:shd w:fill="auto" w:val="clear"/>
          </w:tcPr>
          <w:p>
            <w:pPr>
              <w:pStyle w:val="TableContents"/>
              <w:spacing w:before="0" w:after="283"/>
              <w:jc w:val="right"/>
              <w:rPr>
                <w:rFonts w:ascii="times" w:hAnsi="times"/>
                <w:sz w:val="20"/>
              </w:rPr>
            </w:pPr>
            <w:r>
              <w:rPr>
                <w:rFonts w:ascii="times" w:hAnsi="times"/>
                <w:sz w:val="20"/>
              </w:rPr>
              <w:t></w:t>
            </w:r>
          </w:p>
        </w:tc>
        <w:tc>
          <w:tcPr>
            <w:tcW w:w="91" w:type="dxa"/>
            <w:tcBorders/>
            <w:shd w:fill="auto" w:val="clear"/>
          </w:tcPr>
          <w:p>
            <w:pPr>
              <w:pStyle w:val="TableContents"/>
              <w:spacing w:before="0" w:after="283"/>
              <w:rPr/>
            </w:pPr>
            <w:r>
              <w:rPr/>
              <w:t> </w:t>
            </w:r>
          </w:p>
        </w:tc>
        <w:tc>
          <w:tcPr>
            <w:tcW w:w="9172" w:type="dxa"/>
            <w:tcBorders/>
            <w:shd w:fill="auto" w:val="clear"/>
          </w:tcPr>
          <w:p>
            <w:pPr>
              <w:pStyle w:val="TableContents"/>
              <w:spacing w:before="0" w:after="283"/>
              <w:rPr>
                <w:rFonts w:ascii="times" w:hAnsi="times"/>
                <w:sz w:val="20"/>
              </w:rPr>
            </w:pPr>
            <w:r>
              <w:rPr>
                <w:rFonts w:ascii="times" w:hAnsi="times"/>
                <w:sz w:val="20"/>
              </w:rPr>
              <w:t>Twenty-First Supplemental Indenture (5.15% Senior Notes due 2042) dated March 22, 2012 among Plains All American Pipeline, L.P., PAA Finance Corp and U.S. Bank National Association, as trustee (incorporated by reference to Exhibit 4.3 to Plains All American Pipeline, L.P.'s Current Report on Form 8-K filed March 26, 2012).</w:t>
            </w:r>
          </w:p>
        </w:tc>
      </w:tr>
    </w:tbl>
    <w:p>
      <w:pPr>
        <w:pStyle w:val="HorizontalLine"/>
        <w:pBdr>
          <w:bottom w:val="single" w:sz="20" w:space="0" w:color="808080"/>
        </w:pBdr>
        <w:rPr/>
      </w:pPr>
      <w:r>
        <w:rPr/>
      </w:r>
      <w:r>
        <w:br w:type="page"/>
      </w:r>
    </w:p>
    <w:tbl>
      <w:tblPr>
        <w:tblW w:w="5000" w:type="pct"/>
        <w:jc w:val="center"/>
        <w:tblInd w:w="0" w:type="dxa"/>
        <w:tblCellMar>
          <w:top w:w="0" w:type="dxa"/>
          <w:left w:w="0" w:type="dxa"/>
          <w:bottom w:w="0" w:type="dxa"/>
          <w:right w:w="0" w:type="dxa"/>
        </w:tblCellMar>
      </w:tblPr>
      <w:tblGrid>
        <w:gridCol w:w="104"/>
        <w:gridCol w:w="423"/>
        <w:gridCol w:w="171"/>
        <w:gridCol w:w="68"/>
        <w:gridCol w:w="186"/>
        <w:gridCol w:w="83"/>
        <w:gridCol w:w="9170"/>
      </w:tblGrid>
      <w:tr>
        <w:trPr/>
        <w:tc>
          <w:tcPr>
            <w:tcW w:w="104" w:type="dxa"/>
            <w:tcBorders/>
            <w:shd w:fill="auto" w:val="clear"/>
            <w:vAlign w:val="center"/>
          </w:tcPr>
          <w:p>
            <w:pPr>
              <w:pStyle w:val="TableContents"/>
              <w:pageBreakBefore/>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9170" w:type="dxa"/>
            <w:tcBorders/>
            <w:shd w:fill="auto" w:val="clear"/>
            <w:vAlign w:val="center"/>
          </w:tcPr>
          <w:p>
            <w:pPr>
              <w:pStyle w:val="TableContents"/>
              <w:spacing w:before="0" w:after="283"/>
              <w:rPr>
                <w:sz w:val="4"/>
                <w:szCs w:val="4"/>
              </w:rPr>
            </w:pPr>
            <w:r>
              <w:rPr>
                <w:sz w:val="4"/>
                <w:szCs w:val="4"/>
              </w:rPr>
            </w:r>
          </w:p>
        </w:tc>
      </w:tr>
      <w:tr>
        <w:trPr/>
        <w:tc>
          <w:tcPr>
            <w:tcW w:w="52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71" w:type="dxa"/>
            <w:tcBorders/>
            <w:shd w:fill="auto" w:val="clear"/>
            <w:vAlign w:val="bottom"/>
          </w:tcPr>
          <w:p>
            <w:pPr>
              <w:pStyle w:val="TableHeading"/>
              <w:suppressLineNumbers/>
              <w:spacing w:before="0" w:after="283"/>
              <w:jc w:val="center"/>
              <w:rPr/>
            </w:pPr>
            <w:r>
              <w:rPr/>
              <w:t> </w:t>
            </w:r>
          </w:p>
        </w:tc>
        <w:tc>
          <w:tcPr>
            <w:tcW w:w="254" w:type="dxa"/>
            <w:gridSpan w:val="2"/>
            <w:tcBorders/>
            <w:shd w:fill="auto" w:val="clear"/>
            <w:vAlign w:val="bottom"/>
          </w:tcPr>
          <w:p>
            <w:pPr>
              <w:pStyle w:val="TableHeading"/>
              <w:spacing w:before="0" w:after="283"/>
              <w:jc w:val="left"/>
              <w:rPr/>
            </w:pPr>
            <w:r>
              <w:rPr/>
              <w:t> </w:t>
            </w:r>
          </w:p>
        </w:tc>
        <w:tc>
          <w:tcPr>
            <w:tcW w:w="83" w:type="dxa"/>
            <w:tcBorders/>
            <w:shd w:fill="auto" w:val="clear"/>
            <w:vAlign w:val="bottom"/>
          </w:tcPr>
          <w:p>
            <w:pPr>
              <w:pStyle w:val="TableHeading"/>
              <w:suppressLineNumbers/>
              <w:spacing w:before="0" w:after="283"/>
              <w:jc w:val="center"/>
              <w:rPr/>
            </w:pPr>
            <w:r>
              <w:rPr/>
              <w:t> </w:t>
            </w:r>
          </w:p>
        </w:tc>
        <w:tc>
          <w:tcPr>
            <w:tcW w:w="917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4.15</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Twenty-Second Supplemental Indenture (2.85% Senior Notes due 2023) dated December 10, 2012, by and among Plains All American Pipeline, L.P., PAA Finance Corp., and U.S. Bank National Association, as trustee (incorporated by reference to Exhibit 4.1 to Plains All American Pipeline, L.P.'s Current Report on Form 8-K filed December 12, 2012).</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4.16</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Twenty-Third Supplemental Indenture (4.30% Senior Notes due 2043) dated December 10, 2012, by and among Plains All American Pipeline, L.P., PAA Finance Corp., and U.S. Bank National Association, as trustee (incorporated by reference to Exhibit 4.3 to Plains All American Pipeline, L.P.'s Current Report on Form 8-K filed December 12, 2012).</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4.17</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Twenty-Fourth Supplemental Indenture, dated August 15, 2013, by and among Plains All American Pipeline, L.P., PAA Finance Corp., and U.S. Bank National Association, as trustee (incorporated by reference to Exhibit 4.1 to Plains All American Pipeline, L.P.'s Current Report on Form 8-K filed August 15, 2013).</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4.18</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Registration Rights Agreement dated September 3, 2009 by and between Plains All American Pipeline, L.P. and Vulcan Gas Storage LLC (incorporated by reference to Exhibit 4.1 to Plains All American Pipeline, L.P.'s Registration Statement on Form S-3, File No. 333-162477).</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4.19</w:t>
            </w:r>
          </w:p>
        </w:tc>
        <w:tc>
          <w:tcPr>
            <w:tcW w:w="171"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Form of Shareholder and Registration Rights Agreement.</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4.20</w:t>
            </w:r>
          </w:p>
        </w:tc>
        <w:tc>
          <w:tcPr>
            <w:tcW w:w="171"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Specimen certificate representing Class A Shares.</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5.1</w:t>
            </w:r>
          </w:p>
        </w:tc>
        <w:tc>
          <w:tcPr>
            <w:tcW w:w="171"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Opinion of Vinson &amp; Elkins L.L.P. as to the legality of the securities being registered.</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8.1</w:t>
            </w:r>
          </w:p>
        </w:tc>
        <w:tc>
          <w:tcPr>
            <w:tcW w:w="171"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Opinion of Vinson &amp; Elkins L.L.P. relating to tax matters.</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10.1</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Credit Agreement dated as of August 19, 2011 among Plains All American Pipeline, L.P., as Borrower; certain subsidiaries of Plains All American Pipeline, L.P. from time to time party thereto, as Designated Borrowers; Bank of America, N.A., as Administrative Agent; and the other Lenders party thereto (incorporated by reference to Exhibit 10.1 to Plains All American Pipeline, L.P.'s Current Report on Form 8-K filed August 25, 2011).</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10.2</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First Amendment to Credit Agreement dated as of June 27, 2012, among Plains All American Pipeline, L.P. and Plains Midstream Canada ULC, as Borrowers; Bank of America, N.A., as Administrative Agent, Swing Line Lender and L/C Issuer; Wells Fargo Bank, National Association, as an L/C Issuer; and the other Lenders party thereto (incorporated by reference to Exhibit 10.2 to Plains All American Pipeline, L.P.'s Current Report on Form 8-K filed July 3, 2012).</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10.3</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Second Amendment to Credit Agreement dated as of August 16, 2013, among Plains All American Pipeline, L.P. and Plains Midstream Canada ULC, as Borrowers; Bank of America, N.A., as Administrative Agent, Swing Line Lender and an L/C Issuer; Wells Fargo Bank, National Association, as an L/C Issuer; and the other Lenders party thereto (incorporated by reference to Exhibit 10.2 to Plains All American Pipeline, L.P.'s Current Report on Form 8-K filed August 20, 2013).</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rFonts w:ascii="times" w:hAnsi="times"/>
                <w:sz w:val="20"/>
              </w:rPr>
            </w:pPr>
            <w:r>
              <w:rPr>
                <w:rFonts w:ascii="times" w:hAnsi="times"/>
                <w:sz w:val="20"/>
              </w:rPr>
              <w:t>10.4</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jc w:val="right"/>
              <w:rPr>
                <w:rFonts w:ascii="times" w:hAnsi="times"/>
                <w:sz w:val="20"/>
              </w:rPr>
            </w:pPr>
            <w:r>
              <w:rPr>
                <w:rFonts w:ascii="times" w:hAnsi="times"/>
                <w:sz w:val="20"/>
              </w:rPr>
              <w:t></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27, 2001, among Plains All American Pipeline, L.P., Plains Marketing, L.P., All American Pipeline, L.P., Plains AAP, L.P., Plains All American GP LLC and Plains Marketing GP Inc. (incorporated by reference to Exhibit 10.1 to Plains All American Pipeline, L.P.'s Current Report on Form 8-K filed June 27, 2001).</w:t>
            </w:r>
          </w:p>
        </w:tc>
      </w:tr>
      <w:tr>
        <w:trPr/>
        <w:tc>
          <w:tcPr>
            <w:tcW w:w="104" w:type="dxa"/>
            <w:tcBorders/>
            <w:shd w:fill="auto" w:val="clear"/>
          </w:tcPr>
          <w:p>
            <w:pPr>
              <w:pStyle w:val="TableContents"/>
              <w:spacing w:before="0" w:after="283"/>
              <w:rPr/>
            </w:pPr>
            <w:r>
              <w:rPr/>
              <w:t> </w:t>
            </w:r>
          </w:p>
        </w:tc>
        <w:tc>
          <w:tcPr>
            <w:tcW w:w="423" w:type="dxa"/>
            <w:tcBorders/>
            <w:shd w:fill="auto" w:val="clear"/>
          </w:tcPr>
          <w:p>
            <w:pPr>
              <w:pStyle w:val="TableContents"/>
              <w:spacing w:before="0" w:after="283"/>
              <w:jc w:val="right"/>
              <w:rPr/>
            </w:pPr>
            <w:r>
              <w:rPr/>
              <w:t>  </w:t>
            </w:r>
          </w:p>
        </w:tc>
        <w:tc>
          <w:tcPr>
            <w:tcW w:w="171"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83" w:type="dxa"/>
            <w:tcBorders/>
            <w:shd w:fill="auto" w:val="clear"/>
          </w:tcPr>
          <w:p>
            <w:pPr>
              <w:pStyle w:val="TableContents"/>
              <w:spacing w:before="0" w:after="283"/>
              <w:rPr/>
            </w:pPr>
            <w:r>
              <w:rPr/>
              <w:t> </w:t>
            </w:r>
          </w:p>
        </w:tc>
        <w:tc>
          <w:tcPr>
            <w:tcW w:w="9170" w:type="dxa"/>
            <w:tcBorders/>
            <w:shd w:fill="auto" w:val="clear"/>
          </w:tcPr>
          <w:p>
            <w:pPr>
              <w:pStyle w:val="TableContents"/>
              <w:spacing w:before="0" w:after="283"/>
              <w:rPr/>
            </w:pPr>
            <w:r>
              <w:rPr/>
              <w:t> </w:t>
            </w:r>
          </w:p>
        </w:tc>
      </w:tr>
    </w:tbl>
    <w:p>
      <w:pPr>
        <w:pStyle w:val="HorizontalLine"/>
        <w:pBdr>
          <w:bottom w:val="single" w:sz="20" w:space="0" w:color="808080"/>
        </w:pBdr>
        <w:rPr/>
      </w:pPr>
      <w:r>
        <w:rPr/>
      </w:r>
      <w:r>
        <w:br w:type="page"/>
      </w:r>
    </w:p>
    <w:tbl>
      <w:tblPr>
        <w:tblW w:w="5000" w:type="pct"/>
        <w:jc w:val="center"/>
        <w:tblInd w:w="0" w:type="dxa"/>
        <w:tblCellMar>
          <w:top w:w="0" w:type="dxa"/>
          <w:left w:w="0" w:type="dxa"/>
          <w:bottom w:w="0" w:type="dxa"/>
          <w:right w:w="0" w:type="dxa"/>
        </w:tblCellMar>
      </w:tblPr>
      <w:tblGrid>
        <w:gridCol w:w="71"/>
        <w:gridCol w:w="516"/>
        <w:gridCol w:w="222"/>
        <w:gridCol w:w="72"/>
        <w:gridCol w:w="193"/>
        <w:gridCol w:w="93"/>
        <w:gridCol w:w="9038"/>
      </w:tblGrid>
      <w:tr>
        <w:trPr/>
        <w:tc>
          <w:tcPr>
            <w:tcW w:w="71" w:type="dxa"/>
            <w:tcBorders/>
            <w:shd w:fill="auto" w:val="clear"/>
            <w:vAlign w:val="center"/>
          </w:tcPr>
          <w:p>
            <w:pPr>
              <w:pStyle w:val="TableContents"/>
              <w:pageBreakBefore/>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9038" w:type="dxa"/>
            <w:tcBorders/>
            <w:shd w:fill="auto" w:val="clear"/>
            <w:vAlign w:val="center"/>
          </w:tcPr>
          <w:p>
            <w:pPr>
              <w:pStyle w:val="TableContents"/>
              <w:spacing w:before="0" w:after="283"/>
              <w:rPr>
                <w:sz w:val="4"/>
                <w:szCs w:val="4"/>
              </w:rPr>
            </w:pPr>
            <w:r>
              <w:rPr>
                <w:sz w:val="4"/>
                <w:szCs w:val="4"/>
              </w:rPr>
            </w:r>
          </w:p>
        </w:tc>
      </w:tr>
      <w:tr>
        <w:trPr/>
        <w:tc>
          <w:tcPr>
            <w:tcW w:w="58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222" w:type="dxa"/>
            <w:tcBorders/>
            <w:shd w:fill="auto" w:val="clear"/>
            <w:vAlign w:val="bottom"/>
          </w:tcPr>
          <w:p>
            <w:pPr>
              <w:pStyle w:val="TableHeading"/>
              <w:suppressLineNumbers/>
              <w:spacing w:before="0" w:after="283"/>
              <w:jc w:val="center"/>
              <w:rPr/>
            </w:pPr>
            <w:r>
              <w:rPr/>
              <w:t> </w:t>
            </w:r>
          </w:p>
        </w:tc>
        <w:tc>
          <w:tcPr>
            <w:tcW w:w="265" w:type="dxa"/>
            <w:gridSpan w:val="2"/>
            <w:tcBorders/>
            <w:shd w:fill="auto" w:val="clear"/>
            <w:vAlign w:val="bottom"/>
          </w:tcPr>
          <w:p>
            <w:pPr>
              <w:pStyle w:val="TableHeading"/>
              <w:spacing w:before="0" w:after="283"/>
              <w:jc w:val="left"/>
              <w:rPr/>
            </w:pPr>
            <w:r>
              <w:rPr/>
              <w:t> </w:t>
            </w:r>
          </w:p>
        </w:tc>
        <w:tc>
          <w:tcPr>
            <w:tcW w:w="93" w:type="dxa"/>
            <w:tcBorders/>
            <w:shd w:fill="auto" w:val="clear"/>
            <w:vAlign w:val="bottom"/>
          </w:tcPr>
          <w:p>
            <w:pPr>
              <w:pStyle w:val="TableHeading"/>
              <w:suppressLineNumbers/>
              <w:spacing w:before="0" w:after="283"/>
              <w:jc w:val="center"/>
              <w:rPr/>
            </w:pPr>
            <w:r>
              <w:rPr/>
              <w:t> </w:t>
            </w:r>
          </w:p>
        </w:tc>
        <w:tc>
          <w:tcPr>
            <w:tcW w:w="9038"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10.5</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Contribution, Assignment and Amendment Agreement dated as of June 8, 2001, among Plains All American Inc., Plains AAP, L.P. and Plains All American GP LLC (incorporated by reference to Exhibit 10.1 to Plains All American Pipeline, L.P.'s Current Report on Form 8-K filed June 11, 2001).</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10.6</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Separation Agreement dated as of June 8, 2001 among Plains Resources Inc., Plains All American Inc., Plains All American GP LLC, Plains AAP, L.P. and Plains All American Pipeline, L.P. (incorporated by reference to Exhibit 10.2 to Plains All American Pipeline, L.P.'s Current Report on Form 8-K filed June 11, 2001).</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10.7</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Pension and Employee Benefits Assumption and Transition Agreement dated as of June 8, 2001 among Plains Resources Inc., Plains All American Inc. and Plains All American GP LLC (incorporated by reference to Exhibit 10.3 to Plains All American Pipeline, L.P.'s Current Report on Form 8-K filed June 11, 2001).</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10.8</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Plains All American GP LLC 2005 Long-Term Incentive Plan (incorporated by reference to Exhibit 10.1 to Plains All American Pipeline, L.P.'s Current Report on Form 8-K filed January 26, 2005).</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10.9</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Plains All American GP LLC 1998 Long-Term Incentive Plan (incorporated by reference to Exhibit 99.1 to Registration Statement on Form S-8, File No. 333-74920) as amended June 27, 2003 (incorporated by reference to Exhibit 10.1 to Plains All American Pipeline, L.P.'s Quarterly Report on Form 10-Q for the quarter ended June 30, 2003).</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10.10</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Greg L. Armstrong dated as of June 30, 2001 (incorporated by reference to Exhibit 10.1 to Plains All American Pipeline,  L.P.'s Quarterly Report on Form 10-Q for the quarter ended September 30, 2001).</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10.11</w:t>
            </w:r>
          </w:p>
        </w:tc>
        <w:tc>
          <w:tcPr>
            <w:tcW w:w="222" w:type="dxa"/>
            <w:tcBorders/>
            <w:shd w:fill="auto" w:val="clear"/>
          </w:tcPr>
          <w:p>
            <w:pPr>
              <w:pStyle w:val="TableContents"/>
              <w:spacing w:before="0" w:after="283"/>
              <w:rPr>
                <w:rFonts w:ascii="times" w:hAnsi="times"/>
                <w:sz w:val="20"/>
              </w:rPr>
            </w:pPr>
            <w:r>
              <w:rPr>
                <w:rFonts w:ascii="times" w:hAnsi="times"/>
                <w:sz w:val="20"/>
              </w:rPr>
              <w:t></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Amended and Restated Employment Agreement between Plains All American GP LLC and Harry N. Pefanis dated as of June 30, 2001 (incorporated by reference to Exhibit 10.2 to Plains All American Pipeline,  L.P.'s Quarterly Report on Form 10-Q for the quarter ended September 30, 2001).</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10.12</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Asset Purchase and Sale Agreement dated February 28, 2001 between Murphy Oil Company Ltd. and Plains Marketing Canada, L.P. (incorporated by reference to Exhibit 99.1 to Plains All American Pipeline,  L.P.'s Current Report on Form 8-K filed May 10, 2001).</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10.13</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Transportation Agreement dated July 30, 1993, between All American Pipeline Company and Exxon Company, U.S.A. (incorporated by reference to Exhibit 10.9 to Plains All American Pipeline, L.P.'s Registration Statement on Form S-1 filed September 23, 1998, File No. 333-64107).</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10.14</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Transportation Agreement dated August 2, 1993, among All American Pipeline Company, Texaco Trading and Transportation Inc., Chevron U.S.A. and Sun Operating Limited Partnership (incorporated by reference to Exhibit 10.10 to Plains All American Pipeline, L.P.'s Registration Statement on Form S-1 filed September 23, 1998, File No. 333-64107).</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rFonts w:ascii="times" w:hAnsi="times"/>
                <w:sz w:val="20"/>
              </w:rPr>
            </w:pPr>
            <w:r>
              <w:rPr>
                <w:rFonts w:ascii="times" w:hAnsi="times"/>
                <w:sz w:val="20"/>
              </w:rPr>
              <w:t>10.15</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jc w:val="right"/>
              <w:rPr>
                <w:rFonts w:ascii="times" w:hAnsi="times"/>
                <w:sz w:val="20"/>
              </w:rPr>
            </w:pPr>
            <w:r>
              <w:rPr>
                <w:rFonts w:ascii="times" w:hAnsi="times"/>
                <w:sz w:val="20"/>
              </w:rPr>
              <w:t></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rFonts w:ascii="times" w:hAnsi="times"/>
                <w:sz w:val="20"/>
              </w:rPr>
            </w:pPr>
            <w:r>
              <w:rPr>
                <w:rFonts w:ascii="times" w:hAnsi="times"/>
                <w:sz w:val="20"/>
              </w:rPr>
              <w:t>First Amendment to Contribution, Conveyance and Assumption Agreement dated as of December 15, 1998 (incorporated by reference to Exhibit 10.13 to Plains All American Pipeline, L.P.'s Annual Report on Form 10-K for the year ended December 31, 1998).</w:t>
            </w:r>
          </w:p>
        </w:tc>
      </w:tr>
      <w:tr>
        <w:trPr/>
        <w:tc>
          <w:tcPr>
            <w:tcW w:w="71" w:type="dxa"/>
            <w:tcBorders/>
            <w:shd w:fill="auto" w:val="clear"/>
          </w:tcPr>
          <w:p>
            <w:pPr>
              <w:pStyle w:val="TableContents"/>
              <w:spacing w:before="0" w:after="283"/>
              <w:rPr/>
            </w:pPr>
            <w:r>
              <w:rPr/>
              <w:t> </w:t>
            </w:r>
          </w:p>
        </w:tc>
        <w:tc>
          <w:tcPr>
            <w:tcW w:w="516" w:type="dxa"/>
            <w:tcBorders/>
            <w:shd w:fill="auto" w:val="clear"/>
          </w:tcPr>
          <w:p>
            <w:pPr>
              <w:pStyle w:val="TableContents"/>
              <w:spacing w:before="0" w:after="283"/>
              <w:jc w:val="right"/>
              <w:rPr/>
            </w:pPr>
            <w:r>
              <w:rPr/>
              <w:t>  </w:t>
            </w:r>
          </w:p>
        </w:tc>
        <w:tc>
          <w:tcPr>
            <w:tcW w:w="222"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19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9038" w:type="dxa"/>
            <w:tcBorders/>
            <w:shd w:fill="auto" w:val="clear"/>
          </w:tcPr>
          <w:p>
            <w:pPr>
              <w:pStyle w:val="TableContents"/>
              <w:spacing w:before="0" w:after="283"/>
              <w:rPr/>
            </w:pPr>
            <w:r>
              <w:rPr/>
              <w:t> </w:t>
            </w:r>
          </w:p>
        </w:tc>
      </w:tr>
    </w:tbl>
    <w:p>
      <w:pPr>
        <w:pStyle w:val="HorizontalLine"/>
        <w:pBdr>
          <w:bottom w:val="single" w:sz="20" w:space="0" w:color="808080"/>
        </w:pBdr>
        <w:rPr/>
      </w:pPr>
      <w:r>
        <w:rPr/>
      </w:r>
      <w:r>
        <w:br w:type="page"/>
      </w:r>
    </w:p>
    <w:tbl>
      <w:tblPr>
        <w:tblW w:w="5000" w:type="pct"/>
        <w:jc w:val="center"/>
        <w:tblInd w:w="0" w:type="dxa"/>
        <w:tblCellMar>
          <w:top w:w="0" w:type="dxa"/>
          <w:left w:w="0" w:type="dxa"/>
          <w:bottom w:w="0" w:type="dxa"/>
          <w:right w:w="0" w:type="dxa"/>
        </w:tblCellMar>
      </w:tblPr>
      <w:tblGrid>
        <w:gridCol w:w="72"/>
        <w:gridCol w:w="520"/>
        <w:gridCol w:w="227"/>
        <w:gridCol w:w="73"/>
        <w:gridCol w:w="195"/>
        <w:gridCol w:w="96"/>
        <w:gridCol w:w="9022"/>
      </w:tblGrid>
      <w:tr>
        <w:trPr/>
        <w:tc>
          <w:tcPr>
            <w:tcW w:w="72" w:type="dxa"/>
            <w:tcBorders/>
            <w:shd w:fill="auto" w:val="clear"/>
            <w:vAlign w:val="center"/>
          </w:tcPr>
          <w:p>
            <w:pPr>
              <w:pStyle w:val="TableContents"/>
              <w:pageBreakBefore/>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9022" w:type="dxa"/>
            <w:tcBorders/>
            <w:shd w:fill="auto" w:val="clear"/>
            <w:vAlign w:val="center"/>
          </w:tcPr>
          <w:p>
            <w:pPr>
              <w:pStyle w:val="TableContents"/>
              <w:spacing w:before="0" w:after="283"/>
              <w:rPr>
                <w:sz w:val="4"/>
                <w:szCs w:val="4"/>
              </w:rPr>
            </w:pPr>
            <w:r>
              <w:rPr>
                <w:sz w:val="4"/>
                <w:szCs w:val="4"/>
              </w:rPr>
            </w:r>
          </w:p>
        </w:tc>
      </w:tr>
      <w:tr>
        <w:trPr/>
        <w:tc>
          <w:tcPr>
            <w:tcW w:w="59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227" w:type="dxa"/>
            <w:tcBorders/>
            <w:shd w:fill="auto" w:val="clear"/>
            <w:vAlign w:val="bottom"/>
          </w:tcPr>
          <w:p>
            <w:pPr>
              <w:pStyle w:val="TableHeading"/>
              <w:suppressLineNumbers/>
              <w:spacing w:before="0" w:after="283"/>
              <w:jc w:val="center"/>
              <w:rPr/>
            </w:pPr>
            <w:r>
              <w:rPr/>
              <w:t> </w:t>
            </w:r>
          </w:p>
        </w:tc>
        <w:tc>
          <w:tcPr>
            <w:tcW w:w="268" w:type="dxa"/>
            <w:gridSpan w:val="2"/>
            <w:tcBorders/>
            <w:shd w:fill="auto" w:val="clear"/>
            <w:vAlign w:val="bottom"/>
          </w:tcPr>
          <w:p>
            <w:pPr>
              <w:pStyle w:val="TableHeading"/>
              <w:spacing w:before="0" w:after="283"/>
              <w:jc w:val="left"/>
              <w:rPr/>
            </w:pPr>
            <w:r>
              <w:rPr/>
              <w:t> </w:t>
            </w:r>
          </w:p>
        </w:tc>
        <w:tc>
          <w:tcPr>
            <w:tcW w:w="96" w:type="dxa"/>
            <w:tcBorders/>
            <w:shd w:fill="auto" w:val="clear"/>
            <w:vAlign w:val="bottom"/>
          </w:tcPr>
          <w:p>
            <w:pPr>
              <w:pStyle w:val="TableHeading"/>
              <w:suppressLineNumbers/>
              <w:spacing w:before="0" w:after="283"/>
              <w:jc w:val="center"/>
              <w:rPr/>
            </w:pPr>
            <w:r>
              <w:rPr/>
              <w:t> </w:t>
            </w:r>
          </w:p>
        </w:tc>
        <w:tc>
          <w:tcPr>
            <w:tcW w:w="902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10.16</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Agreement for Purchase and Sale of Membership Interest in Scurlock Permian LLC between Marathon Ashland LLC and Plains Marketing, L.P. dated as of March 17, 1999 (incorporated by reference to Exhibit 10.16 to Plains All American Pipeline, L.P.'s Annual Report on Form 10-K for the year ended December 31, 1998).</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10.17</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PMC (Nova Scotia) Company Bonus Program (incorporated by reference to Exhibit 10.20 to Plains All American Pipeline, L.P.'s Annual Report on Form 10-K for the year ended December 31, 2004).</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10.18</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Quarterly Bonus Program Summary (incorporated by reference to Exhibit 10.21 to Plains All American Pipeline, L.P.'s Annual Report on Form 10-K for the year ended December 31,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10.19</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Form of LTIP Grant Letter (independent directors) (incorporated by reference to Exhibit 10.3 to Plains All American Pipeline, L.P.'s Current Report on Form 8-K filed February 23,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10.20</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Form of LTIP Grant Letter (designated directors) (incorporated by reference to Exhibit 10.4 to Plains All American Pipeline, L.P.'s Current Report on Form 8-K filed February 23,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10.21</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Membership Interest Purchase Agreement by and between Sempra Energy Trading Corporation and PAA/Vulcan Gas Storage, LLC dated August 19, 2005 (incorporated by reference to Exhibit 1.2 to Plains All American Pipeline, L.P.'s Current Report on Form 8-K filed September 19,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10.22</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Waiver Agreement dated as of December 23, 2010 between Plains All American GP LLC and Greg L. Armstrong (incorporated by reference to Exhibit 10.31 to Plains All American Pipeline, L.P.'s Annual Report on Form 10-K for the year ended December 31, 2010).</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10.23</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Waiver Agreement dated as of December 23, 2010 between Plains All American GP LLC and Harry N. Pefanis (incorporated by reference to Exhibit 10.32 to Plains All American Pipeline, L.P.'s Annual Report on Form 10-K for the year ended December 31, 2010).</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10.24</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Vulcan Energy GP Holdings Inc. and Plains All American GP LLC (incorporated by reference to Exhibit 10.3 to Plains All American Pipeline, L.P.'s Current Report on Form 8-K filed August 16,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10.25</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Excess Voting Rights Agreement dated as of August 12, 2005 between Lynx Holdings I, LLC and Plains All American GP LLC (incorporated by reference to Exhibit 10.4 to Plains All American Pipeline, L.P.'s Current Report on Form 8-K filed August 16,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10.26</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Employment Agreement between Plains All American GP LLC and John P. vonBerg dated December 18, 2001 (incorporated by reference to Exhibit 10.40 to Plains All American Pipeline, L.P.'s Annual Report on Form 10-K for the year ended December 31, 2005).</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10.27</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Form of LTIP Grant Letter (audit committee members) (incorporated by reference to Exhibit 10.1 to Plains All American Pipeline, L.P.'s Current Report on Form 8-K filed August 23, 2006).</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rFonts w:ascii="times" w:hAnsi="times"/>
                <w:sz w:val="20"/>
              </w:rPr>
            </w:pPr>
            <w:r>
              <w:rPr>
                <w:rFonts w:ascii="times" w:hAnsi="times"/>
                <w:sz w:val="20"/>
              </w:rPr>
              <w:t>10.28</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jc w:val="right"/>
              <w:rPr>
                <w:rFonts w:ascii="times" w:hAnsi="times"/>
                <w:sz w:val="20"/>
              </w:rPr>
            </w:pPr>
            <w:r>
              <w:rPr>
                <w:rFonts w:ascii="times" w:hAnsi="times"/>
                <w:sz w:val="20"/>
              </w:rPr>
              <w:t></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rFonts w:ascii="times" w:hAnsi="times"/>
                <w:sz w:val="20"/>
              </w:rPr>
            </w:pPr>
            <w:r>
              <w:rPr>
                <w:rFonts w:ascii="times" w:hAnsi="times"/>
                <w:sz w:val="20"/>
              </w:rPr>
              <w:t>Plains All American PPX Successor Long-Term Incentive Plan (incorporated by reference to Exhibit 10.45 to Plains All American Pipeline, L.P.'s Annual Report on Form 10-K for the year ended December 31, 2006).</w:t>
            </w:r>
          </w:p>
        </w:tc>
      </w:tr>
      <w:tr>
        <w:trPr/>
        <w:tc>
          <w:tcPr>
            <w:tcW w:w="72" w:type="dxa"/>
            <w:tcBorders/>
            <w:shd w:fill="auto" w:val="clear"/>
          </w:tcPr>
          <w:p>
            <w:pPr>
              <w:pStyle w:val="TableContents"/>
              <w:spacing w:before="0" w:after="283"/>
              <w:rPr/>
            </w:pPr>
            <w:r>
              <w:rPr/>
              <w:t> </w:t>
            </w:r>
          </w:p>
        </w:tc>
        <w:tc>
          <w:tcPr>
            <w:tcW w:w="520" w:type="dxa"/>
            <w:tcBorders/>
            <w:shd w:fill="auto" w:val="clear"/>
          </w:tcPr>
          <w:p>
            <w:pPr>
              <w:pStyle w:val="TableContents"/>
              <w:spacing w:before="0" w:after="283"/>
              <w:jc w:val="right"/>
              <w:rPr/>
            </w:pPr>
            <w:r>
              <w:rPr/>
              <w:t>  </w:t>
            </w:r>
          </w:p>
        </w:tc>
        <w:tc>
          <w:tcPr>
            <w:tcW w:w="227"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95" w:type="dxa"/>
            <w:tcBorders/>
            <w:shd w:fill="auto" w:val="clear"/>
          </w:tcPr>
          <w:p>
            <w:pPr>
              <w:pStyle w:val="TableContents"/>
              <w:spacing w:before="0" w:after="283"/>
              <w:rPr/>
            </w:pPr>
            <w:r>
              <w:rPr/>
              <w:t> </w:t>
            </w:r>
          </w:p>
        </w:tc>
        <w:tc>
          <w:tcPr>
            <w:tcW w:w="96" w:type="dxa"/>
            <w:tcBorders/>
            <w:shd w:fill="auto" w:val="clear"/>
          </w:tcPr>
          <w:p>
            <w:pPr>
              <w:pStyle w:val="TableContents"/>
              <w:spacing w:before="0" w:after="283"/>
              <w:rPr/>
            </w:pPr>
            <w:r>
              <w:rPr/>
              <w:t> </w:t>
            </w:r>
          </w:p>
        </w:tc>
        <w:tc>
          <w:tcPr>
            <w:tcW w:w="9022" w:type="dxa"/>
            <w:tcBorders/>
            <w:shd w:fill="auto" w:val="clear"/>
          </w:tcPr>
          <w:p>
            <w:pPr>
              <w:pStyle w:val="TableContents"/>
              <w:spacing w:before="0" w:after="283"/>
              <w:rPr/>
            </w:pPr>
            <w:r>
              <w:rPr/>
              <w:t> </w:t>
            </w:r>
          </w:p>
        </w:tc>
      </w:tr>
    </w:tbl>
    <w:p>
      <w:pPr>
        <w:pStyle w:val="HorizontalLine"/>
        <w:pBdr>
          <w:bottom w:val="single" w:sz="20" w:space="0" w:color="808080"/>
        </w:pBdr>
        <w:rPr/>
      </w:pPr>
      <w:r>
        <w:rPr/>
      </w:r>
      <w:r>
        <w:br w:type="page"/>
      </w:r>
    </w:p>
    <w:tbl>
      <w:tblPr>
        <w:tblW w:w="5000" w:type="pct"/>
        <w:jc w:val="center"/>
        <w:tblInd w:w="0" w:type="dxa"/>
        <w:tblCellMar>
          <w:top w:w="0" w:type="dxa"/>
          <w:left w:w="0" w:type="dxa"/>
          <w:bottom w:w="0" w:type="dxa"/>
          <w:right w:w="0" w:type="dxa"/>
        </w:tblCellMar>
      </w:tblPr>
      <w:tblGrid>
        <w:gridCol w:w="67"/>
        <w:gridCol w:w="505"/>
        <w:gridCol w:w="203"/>
        <w:gridCol w:w="68"/>
        <w:gridCol w:w="185"/>
        <w:gridCol w:w="81"/>
        <w:gridCol w:w="9096"/>
      </w:tblGrid>
      <w:tr>
        <w:trPr/>
        <w:tc>
          <w:tcPr>
            <w:tcW w:w="67" w:type="dxa"/>
            <w:tcBorders/>
            <w:shd w:fill="auto" w:val="clear"/>
            <w:vAlign w:val="center"/>
          </w:tcPr>
          <w:p>
            <w:pPr>
              <w:pStyle w:val="TableContents"/>
              <w:pageBreakBefore/>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9096" w:type="dxa"/>
            <w:tcBorders/>
            <w:shd w:fill="auto" w:val="clear"/>
            <w:vAlign w:val="center"/>
          </w:tcPr>
          <w:p>
            <w:pPr>
              <w:pStyle w:val="TableContents"/>
              <w:spacing w:before="0" w:after="283"/>
              <w:rPr>
                <w:sz w:val="4"/>
                <w:szCs w:val="4"/>
              </w:rPr>
            </w:pPr>
            <w:r>
              <w:rPr>
                <w:sz w:val="4"/>
                <w:szCs w:val="4"/>
              </w:rPr>
            </w:r>
          </w:p>
        </w:tc>
      </w:tr>
      <w:tr>
        <w:trPr/>
        <w:tc>
          <w:tcPr>
            <w:tcW w:w="5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203" w:type="dxa"/>
            <w:tcBorders/>
            <w:shd w:fill="auto" w:val="clear"/>
            <w:vAlign w:val="bottom"/>
          </w:tcPr>
          <w:p>
            <w:pPr>
              <w:pStyle w:val="TableHeading"/>
              <w:suppressLineNumbers/>
              <w:spacing w:before="0" w:after="283"/>
              <w:jc w:val="center"/>
              <w:rPr/>
            </w:pPr>
            <w:r>
              <w:rPr/>
              <w:t> </w:t>
            </w:r>
          </w:p>
        </w:tc>
        <w:tc>
          <w:tcPr>
            <w:tcW w:w="253" w:type="dxa"/>
            <w:gridSpan w:val="2"/>
            <w:tcBorders/>
            <w:shd w:fill="auto" w:val="clear"/>
            <w:vAlign w:val="bottom"/>
          </w:tcPr>
          <w:p>
            <w:pPr>
              <w:pStyle w:val="TableHeading"/>
              <w:spacing w:before="0" w:after="283"/>
              <w:jc w:val="left"/>
              <w:rPr/>
            </w:pPr>
            <w:r>
              <w:rPr/>
              <w:t> </w:t>
            </w:r>
          </w:p>
        </w:tc>
        <w:tc>
          <w:tcPr>
            <w:tcW w:w="81" w:type="dxa"/>
            <w:tcBorders/>
            <w:shd w:fill="auto" w:val="clear"/>
            <w:vAlign w:val="bottom"/>
          </w:tcPr>
          <w:p>
            <w:pPr>
              <w:pStyle w:val="TableHeading"/>
              <w:suppressLineNumbers/>
              <w:spacing w:before="0" w:after="283"/>
              <w:jc w:val="center"/>
              <w:rPr/>
            </w:pPr>
            <w:r>
              <w:rPr/>
              <w:t> </w:t>
            </w:r>
          </w:p>
        </w:tc>
        <w:tc>
          <w:tcPr>
            <w:tcW w:w="909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10.29</w:t>
            </w:r>
          </w:p>
        </w:tc>
        <w:tc>
          <w:tcPr>
            <w:tcW w:w="203"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Form of Plains AAP, L.P. Class B Restricted Units Agreement (incorporated by reference to Exhibit 10.2 to Plains All American Pipeline, L.P.'s Current Report on Form 8-K filed January 4,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10.30</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Third Amended and Restated Credit Agreement dated as of August 19, 2011 by and among Plains Marketing, L.P., as Borrower, Plains All American Pipeline, L.P., as Guarantor, Bank of America, N.A., as Administrative Agent, and the other Lenders party thereto (incorporated by reference to Exhibit 10.2 to Plains All American Pipeline, L.P.'s Current Report on Form 8-K filed August 25, 2011).</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10.31</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First Amendment to Third Amended and Restated Credit Agreement dated as of June 27, 2012, among Plains Marketing, L.P. and Plains Midstream Canada ULC, as Borrowers; Plains All American Pipeline, L.P., as Guarantor; Bank of America, N.A., as Administrative Agent, Swing Line Lender and L/C Issuer; and the other Lenders and L/C Issuers party thereto (incorporated by reference to Exhibit 10.1 to Plains All American Pipeline, L.P.'s Current Report on Form 8-K filed July 3, 2012).</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10.32</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Second Amendment to Third Amended and Restated Credit Agreement dated as of August 16, 2013, among Plains Marketing, L.P. and Plains Midstream Canada ULC, as Borrowers; Plains All American Pipeline,  L.P., as Guarantor; Bank of America, N.A., as Administrative Agent, Swing Line Lender and an L/C Issuer; Wells Fargo Bank, National Association, as an L/C Issuer; and the other Lenders party thereto (incorporated by reference to Exhibit 10.1 to Plains All American Pipeline, L.P.'s Current Report on Form 8-K filed August 20, 2013).</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10.33</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Contribution and Assumption Agreement dated December 28, 2007, by and between Plains AAP, L.P. and PAA GP LLC (incorporated by reference to Exhibit 10.2 to Plains All American Pipeline,  L.P.'s Current Report on Form 8-K filed January 4,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10.34</w:t>
            </w:r>
          </w:p>
        </w:tc>
        <w:tc>
          <w:tcPr>
            <w:tcW w:w="203"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Greg L. Armstrong (incorporated by reference to Exhibit 10.49 to Plains All American Pipeline, L.P.'s Annual Report on Form 10-K for the year ended December 31,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10.35</w:t>
            </w:r>
          </w:p>
        </w:tc>
        <w:tc>
          <w:tcPr>
            <w:tcW w:w="203"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First Amendment to Amended and Restated Employment Agreement dated December 4, 2008 between Plains All American GP LLC and Harry N. Pefanis (incorporated by reference to Exhibit 10.50 to Plains All American Pipeline, L.P.'s Annual Report on Form 10-K for the year ended December 31,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10.36</w:t>
            </w:r>
          </w:p>
        </w:tc>
        <w:tc>
          <w:tcPr>
            <w:tcW w:w="203"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First Amendment to Plains All American GP LLC 2005 Long-Term Incentive Plan dated December 4, 2008 (incorporated by reference to Exhibit 10.51 to Plains All American Pipeline, L.P.'s Annual Report on Form 10-K for the year ended December 31,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10.37</w:t>
            </w:r>
          </w:p>
        </w:tc>
        <w:tc>
          <w:tcPr>
            <w:tcW w:w="203"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Second Amendment to Plains All American GP LLC 1998 Long-Term Incentive Plan dated December 4, 2008 (incorporated by reference to Exhibit 10.52 to Plains All American Pipeline, L.P.'s Annual Report on Form 10-K for the year ended December 31,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10.38</w:t>
            </w:r>
          </w:p>
        </w:tc>
        <w:tc>
          <w:tcPr>
            <w:tcW w:w="203"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Form of Amendment to LTIP grant letters (executive officers) (incorporated by reference to Exhibit 10.53 to Plains All American Pipeline, L.P.'s Annual Report on Form 10-K for the year ended December 31,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rFonts w:ascii="times" w:hAnsi="times"/>
                <w:sz w:val="20"/>
              </w:rPr>
            </w:pPr>
            <w:r>
              <w:rPr>
                <w:rFonts w:ascii="times" w:hAnsi="times"/>
                <w:sz w:val="20"/>
              </w:rPr>
              <w:t>10.39</w:t>
            </w:r>
          </w:p>
        </w:tc>
        <w:tc>
          <w:tcPr>
            <w:tcW w:w="203" w:type="dxa"/>
            <w:tcBorders/>
            <w:shd w:fill="auto" w:val="clear"/>
          </w:tcPr>
          <w:p>
            <w:pPr>
              <w:pStyle w:val="TableContents"/>
              <w:spacing w:before="0" w:after="283"/>
              <w:rPr>
                <w:rFonts w:ascii="times" w:hAnsi="times"/>
                <w:sz w:val="20"/>
              </w:rPr>
            </w:pPr>
            <w:r>
              <w:rPr>
                <w:rFonts w:ascii="times" w:hAnsi="times"/>
                <w:sz w:val="20"/>
              </w:rPr>
              <w:t></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jc w:val="right"/>
              <w:rPr>
                <w:rFonts w:ascii="times" w:hAnsi="times"/>
                <w:sz w:val="20"/>
              </w:rPr>
            </w:pPr>
            <w:r>
              <w:rPr>
                <w:rFonts w:ascii="times" w:hAnsi="times"/>
                <w:sz w:val="20"/>
              </w:rPr>
              <w:t></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rFonts w:ascii="times" w:hAnsi="times"/>
                <w:sz w:val="20"/>
              </w:rPr>
            </w:pPr>
            <w:r>
              <w:rPr>
                <w:rFonts w:ascii="times" w:hAnsi="times"/>
                <w:sz w:val="20"/>
              </w:rPr>
              <w:t>Form of Amendment to LTIP grant letters (directors) (incorporated by reference to Exhibit 10.54 to Plains All American Pipeline, L.P.'s Annual Report on Form 10-K for the year ended December 31, 2008).</w:t>
            </w:r>
          </w:p>
        </w:tc>
      </w:tr>
      <w:tr>
        <w:trPr/>
        <w:tc>
          <w:tcPr>
            <w:tcW w:w="67" w:type="dxa"/>
            <w:tcBorders/>
            <w:shd w:fill="auto" w:val="clear"/>
          </w:tcPr>
          <w:p>
            <w:pPr>
              <w:pStyle w:val="TableContents"/>
              <w:spacing w:before="0" w:after="283"/>
              <w:rPr/>
            </w:pPr>
            <w:r>
              <w:rPr/>
              <w:t> </w:t>
            </w:r>
          </w:p>
        </w:tc>
        <w:tc>
          <w:tcPr>
            <w:tcW w:w="505" w:type="dxa"/>
            <w:tcBorders/>
            <w:shd w:fill="auto" w:val="clear"/>
          </w:tcPr>
          <w:p>
            <w:pPr>
              <w:pStyle w:val="TableContents"/>
              <w:spacing w:before="0" w:after="283"/>
              <w:jc w:val="right"/>
              <w:rPr/>
            </w:pPr>
            <w:r>
              <w:rPr/>
              <w:t>  </w:t>
            </w:r>
          </w:p>
        </w:tc>
        <w:tc>
          <w:tcPr>
            <w:tcW w:w="203"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85" w:type="dxa"/>
            <w:tcBorders/>
            <w:shd w:fill="auto" w:val="clear"/>
          </w:tcPr>
          <w:p>
            <w:pPr>
              <w:pStyle w:val="TableContents"/>
              <w:spacing w:before="0" w:after="283"/>
              <w:rPr/>
            </w:pPr>
            <w:r>
              <w:rPr/>
              <w:t> </w:t>
            </w:r>
          </w:p>
        </w:tc>
        <w:tc>
          <w:tcPr>
            <w:tcW w:w="81" w:type="dxa"/>
            <w:tcBorders/>
            <w:shd w:fill="auto" w:val="clear"/>
          </w:tcPr>
          <w:p>
            <w:pPr>
              <w:pStyle w:val="TableContents"/>
              <w:spacing w:before="0" w:after="283"/>
              <w:rPr/>
            </w:pPr>
            <w:r>
              <w:rPr/>
              <w:t> </w:t>
            </w:r>
          </w:p>
        </w:tc>
        <w:tc>
          <w:tcPr>
            <w:tcW w:w="9096" w:type="dxa"/>
            <w:tcBorders/>
            <w:shd w:fill="auto" w:val="clear"/>
          </w:tcPr>
          <w:p>
            <w:pPr>
              <w:pStyle w:val="TableContents"/>
              <w:spacing w:before="0" w:after="283"/>
              <w:rPr/>
            </w:pPr>
            <w:r>
              <w:rPr/>
              <w:t> </w:t>
            </w:r>
          </w:p>
        </w:tc>
      </w:tr>
    </w:tbl>
    <w:p>
      <w:pPr>
        <w:pStyle w:val="HorizontalLine"/>
        <w:pBdr>
          <w:bottom w:val="single" w:sz="20" w:space="0" w:color="808080"/>
        </w:pBdr>
        <w:rPr/>
      </w:pPr>
      <w:r>
        <w:rPr/>
      </w:r>
      <w:r>
        <w:br w:type="page"/>
      </w:r>
    </w:p>
    <w:tbl>
      <w:tblPr>
        <w:tblW w:w="5000" w:type="pct"/>
        <w:jc w:val="center"/>
        <w:tblInd w:w="0" w:type="dxa"/>
        <w:tblCellMar>
          <w:top w:w="0" w:type="dxa"/>
          <w:left w:w="0" w:type="dxa"/>
          <w:bottom w:w="0" w:type="dxa"/>
          <w:right w:w="0" w:type="dxa"/>
        </w:tblCellMar>
      </w:tblPr>
      <w:tblGrid>
        <w:gridCol w:w="69"/>
        <w:gridCol w:w="511"/>
        <w:gridCol w:w="213"/>
        <w:gridCol w:w="70"/>
        <w:gridCol w:w="189"/>
        <w:gridCol w:w="87"/>
        <w:gridCol w:w="9066"/>
      </w:tblGrid>
      <w:tr>
        <w:trPr/>
        <w:tc>
          <w:tcPr>
            <w:tcW w:w="69" w:type="dxa"/>
            <w:tcBorders/>
            <w:shd w:fill="auto" w:val="clear"/>
            <w:vAlign w:val="center"/>
          </w:tcPr>
          <w:p>
            <w:pPr>
              <w:pStyle w:val="TableContents"/>
              <w:pageBreakBefore/>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9066" w:type="dxa"/>
            <w:tcBorders/>
            <w:shd w:fill="auto" w:val="clear"/>
            <w:vAlign w:val="center"/>
          </w:tcPr>
          <w:p>
            <w:pPr>
              <w:pStyle w:val="TableContents"/>
              <w:spacing w:before="0" w:after="283"/>
              <w:rPr>
                <w:sz w:val="4"/>
                <w:szCs w:val="4"/>
              </w:rPr>
            </w:pPr>
            <w:r>
              <w:rPr>
                <w:sz w:val="4"/>
                <w:szCs w:val="4"/>
              </w:rPr>
            </w:r>
          </w:p>
        </w:tc>
      </w:tr>
      <w:tr>
        <w:trPr/>
        <w:tc>
          <w:tcPr>
            <w:tcW w:w="58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213" w:type="dxa"/>
            <w:tcBorders/>
            <w:shd w:fill="auto" w:val="clear"/>
            <w:vAlign w:val="bottom"/>
          </w:tcPr>
          <w:p>
            <w:pPr>
              <w:pStyle w:val="TableHeading"/>
              <w:suppressLineNumbers/>
              <w:spacing w:before="0" w:after="283"/>
              <w:jc w:val="center"/>
              <w:rPr/>
            </w:pPr>
            <w:r>
              <w:rPr/>
              <w:t> </w:t>
            </w:r>
          </w:p>
        </w:tc>
        <w:tc>
          <w:tcPr>
            <w:tcW w:w="259" w:type="dxa"/>
            <w:gridSpan w:val="2"/>
            <w:tcBorders/>
            <w:shd w:fill="auto" w:val="clear"/>
            <w:vAlign w:val="bottom"/>
          </w:tcPr>
          <w:p>
            <w:pPr>
              <w:pStyle w:val="TableHeading"/>
              <w:spacing w:before="0" w:after="283"/>
              <w:jc w:val="left"/>
              <w:rPr/>
            </w:pPr>
            <w:r>
              <w:rPr/>
              <w:t> </w:t>
            </w:r>
          </w:p>
        </w:tc>
        <w:tc>
          <w:tcPr>
            <w:tcW w:w="87" w:type="dxa"/>
            <w:tcBorders/>
            <w:shd w:fill="auto" w:val="clear"/>
            <w:vAlign w:val="bottom"/>
          </w:tcPr>
          <w:p>
            <w:pPr>
              <w:pStyle w:val="TableHeading"/>
              <w:suppressLineNumbers/>
              <w:spacing w:before="0" w:after="283"/>
              <w:jc w:val="center"/>
              <w:rPr/>
            </w:pPr>
            <w:r>
              <w:rPr/>
              <w:t> </w:t>
            </w:r>
          </w:p>
        </w:tc>
        <w:tc>
          <w:tcPr>
            <w:tcW w:w="906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10.40</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Contribution Agreement dated as of April 29, 2010 by and among PAA Natural Gas Storage, L.P., PNGS GP LLC, Plains All American Pipeline, L.P., PAA Natural Gas Storage, LLC, PAA/Vulcan Gas Storage, LLC, Plains Marketing, L.P. and Plains Marketing GP Inc. (incorporated by reference to Exhibit 10.1 to PAA Natural Gas Storage, L.P.'s Current Report on Form 8-K filed May 4, 2010).</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10.41</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Omnibus Agreement dated May 5, 2010 by and among Plains All American GP LLC, Plains All American Pipeline, L.P., PNGS GP LLC and PAA Natural Gas Storage, L.P. (incorporated by reference to Exhibit 10.1 to PAA Natural Gas Storage, L.P.'s Current Report on Form 8-K filed May 11, 2010).</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10.42</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Form of Transaction Grant Agreement (incorporated by reference to Exhibit 10.3 to Plains All American Pipeline, L.P.'s Quarterly Report on Form 10-Q for the quarter ended September 30, 2010).</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10.43</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Form of 2010 LTIP Grant Letters (incorporated by reference to Exhibit 10.58 to Plains All American Pipeline, L.P.'s Annual Report on Form 10-K for the year ended December 31, 2010).</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10.44</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Director Compensation Summary (incorporated by reference to Exhibit 10.45 to Plains All American Pipeline, L.P.'s Annual Report on Form 10-K for the year ended December 31, 2011).</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10.45</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Form of PAA LTIP Grant Letter for Officers (February 2013) (incorporated by reference to Exhibit 10.1 to Plains All American Pipeline, L.P.'s Quarterly Report on Form 10-Q for the quarter ended March 31, 2013).</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10.46</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Second Amended and Restated Credit Agreement dated as of September 26, 2013 among Plains AAP, L.P., as Borrower, Citibank, N.A., as Administrative Agent, and the other Lenders party thereto.</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10.47</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Form of Plains GP Holdings, L.P. Long-Term Incentive Plan.</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10.48</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Form of Administrative Agreement.</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10.49</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Form of Contribution Agreement.</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10.50</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Form of Waiver Agreement between Plains All American GP LLC and Greg L. Armstrong.</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10.51</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Form of Waiver Agreement between Plains All American GP LLC and Harry N. Pefanis.</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21.1</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List of Subsidiaries of Plains GP Holdings, L.P.</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23.1</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Consent of PricewaterhouseCoopers LLP.</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23.2</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Consent of Ernst &amp; Young, LLP.</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23.3</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Consent of Vinson &amp; Elkins L.L.P. (contained in Exhibit 5.1).</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23.4</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Consent of Vinson &amp; Elkins L.L.P. (contained in Exhibit 8.1).</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23.5</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Consent of Director Nominee (Raymond).</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23.6</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Consent of Director Nominee (Sinnott).</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23.7</w:t>
            </w:r>
          </w:p>
        </w:tc>
        <w:tc>
          <w:tcPr>
            <w:tcW w:w="213" w:type="dxa"/>
            <w:tcBorders/>
            <w:shd w:fill="auto" w:val="clear"/>
          </w:tcPr>
          <w:p>
            <w:pPr>
              <w:pStyle w:val="TableContents"/>
              <w:spacing w:before="0" w:after="283"/>
              <w:rPr>
                <w:rFonts w:ascii="times" w:hAnsi="times"/>
                <w:sz w:val="20"/>
              </w:rPr>
            </w:pPr>
            <w:r>
              <w:rPr>
                <w:rFonts w:ascii="times" w:hAnsi="times"/>
                <w:sz w:val="20"/>
              </w:rPr>
              <w:t>***</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Consent of Director Nominee (Sutil).</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pPr>
            <w:r>
              <w:rPr/>
              <w:t>  </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rPr/>
            </w:pPr>
            <w:r>
              <w:rPr/>
              <w:t> </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pPr>
            <w:r>
              <w:rPr/>
              <w:t> </w:t>
            </w:r>
          </w:p>
        </w:tc>
      </w:tr>
      <w:tr>
        <w:trPr/>
        <w:tc>
          <w:tcPr>
            <w:tcW w:w="69" w:type="dxa"/>
            <w:tcBorders/>
            <w:shd w:fill="auto" w:val="clear"/>
          </w:tcPr>
          <w:p>
            <w:pPr>
              <w:pStyle w:val="TableContents"/>
              <w:spacing w:before="0" w:after="283"/>
              <w:rPr/>
            </w:pPr>
            <w:r>
              <w:rPr/>
              <w:t> </w:t>
            </w:r>
          </w:p>
        </w:tc>
        <w:tc>
          <w:tcPr>
            <w:tcW w:w="511" w:type="dxa"/>
            <w:tcBorders/>
            <w:shd w:fill="auto" w:val="clear"/>
          </w:tcPr>
          <w:p>
            <w:pPr>
              <w:pStyle w:val="TableContents"/>
              <w:spacing w:before="0" w:after="283"/>
              <w:jc w:val="right"/>
              <w:rPr>
                <w:rFonts w:ascii="times" w:hAnsi="times"/>
                <w:sz w:val="20"/>
              </w:rPr>
            </w:pPr>
            <w:r>
              <w:rPr>
                <w:rFonts w:ascii="times" w:hAnsi="times"/>
                <w:sz w:val="20"/>
              </w:rPr>
              <w:t>24.1</w:t>
            </w:r>
          </w:p>
        </w:tc>
        <w:tc>
          <w:tcPr>
            <w:tcW w:w="213" w:type="dxa"/>
            <w:tcBorders/>
            <w:shd w:fill="auto" w:val="clear"/>
          </w:tcPr>
          <w:p>
            <w:pPr>
              <w:pStyle w:val="TableContents"/>
              <w:spacing w:before="0" w:after="283"/>
              <w:rPr/>
            </w:pPr>
            <w:r>
              <w:rPr/>
              <w:t> </w:t>
            </w:r>
          </w:p>
        </w:tc>
        <w:tc>
          <w:tcPr>
            <w:tcW w:w="70" w:type="dxa"/>
            <w:tcBorders/>
            <w:shd w:fill="auto" w:val="clear"/>
          </w:tcPr>
          <w:p>
            <w:pPr>
              <w:pStyle w:val="TableContents"/>
              <w:spacing w:before="0" w:after="283"/>
              <w:rPr/>
            </w:pPr>
            <w:r>
              <w:rPr/>
              <w:t> </w:t>
            </w:r>
          </w:p>
        </w:tc>
        <w:tc>
          <w:tcPr>
            <w:tcW w:w="189" w:type="dxa"/>
            <w:tcBorders/>
            <w:shd w:fill="auto" w:val="clear"/>
          </w:tcPr>
          <w:p>
            <w:pPr>
              <w:pStyle w:val="TableContents"/>
              <w:spacing w:before="0" w:after="283"/>
              <w:jc w:val="right"/>
              <w:rPr>
                <w:rFonts w:ascii="times" w:hAnsi="times"/>
                <w:sz w:val="20"/>
              </w:rPr>
            </w:pPr>
            <w:r>
              <w:rPr>
                <w:rFonts w:ascii="times" w:hAnsi="times"/>
                <w:sz w:val="20"/>
              </w:rPr>
              <w:t></w:t>
            </w:r>
          </w:p>
        </w:tc>
        <w:tc>
          <w:tcPr>
            <w:tcW w:w="87" w:type="dxa"/>
            <w:tcBorders/>
            <w:shd w:fill="auto" w:val="clear"/>
          </w:tcPr>
          <w:p>
            <w:pPr>
              <w:pStyle w:val="TableContents"/>
              <w:spacing w:before="0" w:after="283"/>
              <w:rPr/>
            </w:pPr>
            <w:r>
              <w:rPr/>
              <w:t> </w:t>
            </w:r>
          </w:p>
        </w:tc>
        <w:tc>
          <w:tcPr>
            <w:tcW w:w="9066" w:type="dxa"/>
            <w:tcBorders/>
            <w:shd w:fill="auto" w:val="clear"/>
          </w:tcPr>
          <w:p>
            <w:pPr>
              <w:pStyle w:val="TableContents"/>
              <w:spacing w:before="0" w:after="283"/>
              <w:rPr>
                <w:rFonts w:ascii="times" w:hAnsi="times"/>
                <w:sz w:val="20"/>
              </w:rPr>
            </w:pPr>
            <w:r>
              <w:rPr>
                <w:rFonts w:ascii="times" w:hAnsi="times"/>
                <w:sz w:val="20"/>
              </w:rPr>
              <w:t>Power of Attorney (included on the signature page of this registration statement).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Filed herewith.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To be filed by amendment.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Previously filed.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Management compensatory plan or arrangement. </w:t>
      </w:r>
    </w:p>
    <w:p>
      <w:pPr>
        <w:pStyle w:val="HorizontalLine"/>
        <w:pBdr>
          <w:bottom w:val="single" w:sz="20" w:space="0" w:color="808080"/>
        </w:pBdr>
        <w:rPr/>
      </w:pPr>
      <w:r>
        <w:rPr/>
      </w:r>
      <w:r>
        <w:br w:type="page"/>
      </w:r>
    </w:p>
    <w:p>
      <w:pPr>
        <w:pStyle w:val="TextBody"/>
        <w:rPr/>
      </w:pPr>
      <w:r>
        <w:rPr/>
      </w:r>
    </w:p>
    <w:p>
      <w:pPr>
        <w:pStyle w:val="TextBody"/>
        <w:rPr/>
      </w:pPr>
      <w:r>
        <w:rPr/>
        <w:br/>
      </w:r>
      <w:bookmarkStart w:id="39" w:name="13ZBW73601_1"/>
      <w:bookmarkEnd w:id="39"/>
      <w:r>
        <w:rPr/>
        <w:t>QuickLinks</w:t>
      </w:r>
    </w:p>
    <w:p>
      <w:pPr>
        <w:pStyle w:val="TextBody"/>
        <w:rPr/>
      </w:pPr>
      <w:hyperlink w:anchor="toc_bb73601_1">
        <w:r>
          <w:rPr>
            <w:rStyle w:val="InternetLink"/>
            <w:rFonts w:ascii="times" w:hAnsi="times"/>
            <w:sz w:val="20"/>
          </w:rPr>
          <w:t>EXPLANATORY NOTE</w:t>
        </w:r>
      </w:hyperlink>
      <w:r>
        <w:rPr/>
        <w:br/>
      </w:r>
      <w:hyperlink w:anchor="toc_jv73601_1">
        <w:r>
          <w:rPr>
            <w:rStyle w:val="InternetLink"/>
            <w:rFonts w:ascii="times" w:hAnsi="times"/>
            <w:sz w:val="20"/>
          </w:rPr>
          <w:t>PART II INFORMATION REQUIRED IN THE REGISTRATION STATEMENT</w:t>
        </w:r>
      </w:hyperlink>
    </w:p>
    <w:p>
      <w:pPr>
        <w:pStyle w:val="TextBody"/>
        <w:numPr>
          <w:ilvl w:val="0"/>
          <w:numId w:val="0"/>
        </w:numPr>
        <w:ind w:left="707" w:hanging="0"/>
        <w:rPr/>
      </w:pPr>
      <w:hyperlink w:anchor="toc_jv73601_2">
        <w:r>
          <w:rPr>
            <w:rStyle w:val="InternetLink"/>
            <w:rFonts w:ascii="times" w:hAnsi="times"/>
            <w:sz w:val="20"/>
          </w:rPr>
          <w:t>Item 13. Other Expenses of Issuance and Distribution.</w:t>
        </w:r>
      </w:hyperlink>
      <w:r>
        <w:rPr/>
        <w:br/>
      </w:r>
      <w:hyperlink w:anchor="toc_jv73601_3">
        <w:r>
          <w:rPr>
            <w:rStyle w:val="InternetLink"/>
            <w:rFonts w:ascii="times" w:hAnsi="times"/>
            <w:sz w:val="20"/>
          </w:rPr>
          <w:t>Item 14. Indemnification of our General Partner's Officers and Directors.</w:t>
        </w:r>
      </w:hyperlink>
      <w:r>
        <w:rPr/>
        <w:br/>
      </w:r>
      <w:hyperlink w:anchor="toc_jv73601_4">
        <w:r>
          <w:rPr>
            <w:rStyle w:val="InternetLink"/>
            <w:rFonts w:ascii="times" w:hAnsi="times"/>
            <w:sz w:val="20"/>
          </w:rPr>
          <w:t>Item 15. Recent Sales of Unregistered Securities.</w:t>
        </w:r>
      </w:hyperlink>
      <w:r>
        <w:rPr/>
        <w:br/>
      </w:r>
      <w:hyperlink w:anchor="toc_jv73601_5">
        <w:r>
          <w:rPr>
            <w:rStyle w:val="InternetLink"/>
            <w:rFonts w:ascii="times" w:hAnsi="times"/>
            <w:sz w:val="20"/>
          </w:rPr>
          <w:t>Item 16. Exhibits.</w:t>
        </w:r>
      </w:hyperlink>
      <w:r>
        <w:rPr/>
        <w:br/>
      </w:r>
      <w:hyperlink w:anchor="toc_jv73601_6">
        <w:r>
          <w:rPr>
            <w:rStyle w:val="InternetLink"/>
            <w:rFonts w:ascii="times" w:hAnsi="times"/>
            <w:sz w:val="20"/>
          </w:rPr>
          <w:t>Item 17. Undertakings.</w:t>
        </w:r>
      </w:hyperlink>
    </w:p>
    <w:p>
      <w:pPr>
        <w:pStyle w:val="TextBody"/>
        <w:rPr/>
      </w:pPr>
      <w:hyperlink w:anchor="toc_jw73601_1">
        <w:r>
          <w:rPr>
            <w:rStyle w:val="InternetLink"/>
            <w:rFonts w:ascii="times" w:hAnsi="times"/>
            <w:sz w:val="20"/>
          </w:rPr>
          <w:t>SIGNATURES</w:t>
        </w:r>
      </w:hyperlink>
      <w:r>
        <w:rPr/>
        <w:br/>
      </w:r>
      <w:hyperlink w:anchor="toc_jx73601_1">
        <w:r>
          <w:rPr>
            <w:rStyle w:val="InternetLink"/>
            <w:rFonts w:ascii="times" w:hAnsi="times"/>
            <w:sz w:val="20"/>
          </w:rPr>
          <w:t>EXHIBIT INDEX</w:t>
        </w:r>
      </w:hyperlink>
      <w:r>
        <w:br w:type="page"/>
      </w:r>
    </w:p>
    <w:p>
      <w:pPr>
        <w:pStyle w:val="TextBody"/>
        <w:rPr/>
      </w:pPr>
      <w:r>
        <w:rPr/>
      </w:r>
      <w:bookmarkStart w:id="40" w:name="a2216857zex-1_1.htm"/>
      <w:bookmarkStart w:id="41" w:name="ksa2216857zex1_1"/>
      <w:bookmarkStart w:id="42" w:name="a2216857zex-1_1.htm"/>
      <w:bookmarkStart w:id="43" w:name="ksa2216857zex1_1"/>
      <w:bookmarkEnd w:id="42"/>
      <w:bookmarkEnd w:id="43"/>
    </w:p>
    <w:p>
      <w:pPr>
        <w:pStyle w:val="TextBody"/>
        <w:spacing w:before="0" w:after="0"/>
        <w:ind w:left="0" w:right="0" w:hanging="0"/>
        <w:jc w:val="right"/>
        <w:rPr>
          <w:rFonts w:ascii="Times New Roman" w:hAnsi="Times New Roman"/>
          <w:b/>
          <w:sz w:val="17"/>
        </w:rPr>
      </w:pPr>
      <w:r>
        <w:rPr>
          <w:rFonts w:ascii="Times New Roman" w:hAnsi="Times New Roman"/>
          <w:b/>
          <w:sz w:val="17"/>
        </w:rPr>
        <w:t>Exhibit 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GP HOLDINGS,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w:t>
      </w:r>
      <w:r>
        <w:rPr>
          <w:rFonts w:ascii="Symbol" w:hAnsi="Symbol"/>
          <w:b/>
          <w:sz w:val="17"/>
        </w:rPr>
        <w:t>·</w:t>
      </w:r>
      <w:r>
        <w:rPr>
          <w:rFonts w:ascii="Times New Roman" w:hAnsi="Times New Roman"/>
          <w:b/>
          <w:sz w:val="17"/>
        </w:rPr>
        <w:t>] Class A Shares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Representing Limited Partner Interests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UNDERWRITING AGREEMENT</w:t>
      </w:r>
    </w:p>
    <w:p>
      <w:pPr>
        <w:pStyle w:val="TextBody"/>
        <w:spacing w:before="0" w:after="0"/>
        <w:ind w:left="0" w:right="0" w:hanging="0"/>
        <w:jc w:val="center"/>
        <w:rPr/>
      </w:pPr>
      <w:r>
        <w:rPr/>
        <w:t> </w:t>
      </w:r>
    </w:p>
    <w:p>
      <w:pPr>
        <w:pStyle w:val="TextBody"/>
        <w:spacing w:before="0" w:after="0"/>
        <w:ind w:left="0" w:right="0" w:hanging="0"/>
        <w:jc w:val="right"/>
        <w:rPr>
          <w:rFonts w:ascii="Times New Roman" w:hAnsi="Times New Roman"/>
        </w:rPr>
      </w:pPr>
      <w:r>
        <w:rPr>
          <w:rFonts w:ascii="Times New Roman" w:hAnsi="Times New Roman"/>
          <w:sz w:val="17"/>
        </w:rPr>
        <w:t>[</w:t>
      </w:r>
      <w:r>
        <w:rPr>
          <w:rFonts w:ascii="Symbol" w:hAnsi="Symbol"/>
          <w:sz w:val="17"/>
        </w:rPr>
        <w:t>·</w:t>
      </w:r>
      <w:r>
        <w:rPr>
          <w:rFonts w:ascii="Times New Roman" w:hAnsi="Times New Roman"/>
          <w:sz w:val="17"/>
        </w:rPr>
        <w:t>], 2013</w:t>
      </w:r>
    </w:p>
    <w:p>
      <w:pPr>
        <w:pStyle w:val="TextBody"/>
        <w:spacing w:before="0" w:after="0"/>
        <w:ind w:left="0" w:right="0" w:hanging="0"/>
        <w:jc w:val="right"/>
        <w:rPr/>
      </w:pPr>
      <w:r>
        <w:rPr/>
        <w:t> </w:t>
      </w:r>
    </w:p>
    <w:p>
      <w:pPr>
        <w:pStyle w:val="TextBody"/>
        <w:spacing w:before="0" w:after="0"/>
        <w:ind w:left="0" w:right="0" w:hanging="0"/>
        <w:rPr>
          <w:rFonts w:ascii="Times New Roman" w:hAnsi="Times New Roman"/>
          <w:sz w:val="17"/>
        </w:rPr>
      </w:pPr>
      <w:r>
        <w:rPr>
          <w:rFonts w:ascii="Times New Roman" w:hAnsi="Times New Roman"/>
          <w:sz w:val="17"/>
        </w:rPr>
        <w:t>Barclays Capital Inc.</w:t>
        <w:br/>
        <w:t>745 Seventh Avenue</w:t>
      </w:r>
    </w:p>
    <w:p>
      <w:pPr>
        <w:pStyle w:val="TextBody"/>
        <w:spacing w:before="0" w:after="0"/>
        <w:ind w:left="0" w:right="0" w:hanging="0"/>
        <w:rPr>
          <w:rFonts w:ascii="Times New Roman" w:hAnsi="Times New Roman"/>
          <w:sz w:val="17"/>
        </w:rPr>
      </w:pPr>
      <w:r>
        <w:rPr>
          <w:rFonts w:ascii="Times New Roman" w:hAnsi="Times New Roman"/>
          <w:sz w:val="17"/>
        </w:rPr>
        <w:t>New York, New York 10019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Representative of the several Underwriters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Plains GP Holdings, L.P., a Delaware limited partnership (the </w:t>
      </w:r>
      <w:r>
        <w:rPr>
          <w:rFonts w:ascii="Times New Roman" w:hAnsi="Times New Roman"/>
          <w:b/>
          <w:sz w:val="17"/>
        </w:rPr>
        <w:t>Partnership</w:t>
      </w:r>
      <w:r>
        <w:rPr>
          <w:rFonts w:ascii="Times New Roman" w:hAnsi="Times New Roman"/>
          <w:sz w:val="17"/>
        </w:rPr>
        <w:t xml:space="preserve">), proposes to issue and sell to the several underwriters named in </w:t>
      </w:r>
      <w:r>
        <w:rPr>
          <w:rFonts w:ascii="Times New Roman" w:hAnsi="Times New Roman"/>
          <w:sz w:val="17"/>
          <w:u w:val="single"/>
        </w:rPr>
        <w:t>Schedule I</w:t>
      </w:r>
      <w:r>
        <w:rPr>
          <w:rFonts w:ascii="Times New Roman" w:hAnsi="Times New Roman"/>
          <w:sz w:val="17"/>
        </w:rPr>
        <w:t xml:space="preserve"> hereto (the </w:t>
      </w:r>
      <w:r>
        <w:rPr>
          <w:rFonts w:ascii="Times New Roman" w:hAnsi="Times New Roman"/>
          <w:b/>
          <w:sz w:val="17"/>
        </w:rPr>
        <w:t>Underwriters</w:t>
      </w:r>
      <w:r>
        <w:rPr>
          <w:rFonts w:ascii="Times New Roman" w:hAnsi="Times New Roman"/>
          <w:sz w:val="17"/>
        </w:rPr>
        <w:t>), an aggregate of [</w:t>
      </w:r>
      <w:r>
        <w:rPr>
          <w:rFonts w:ascii="Symbol" w:hAnsi="Symbol"/>
          <w:sz w:val="17"/>
        </w:rPr>
        <w:t>·</w:t>
      </w:r>
      <w:r>
        <w:rPr>
          <w:rFonts w:ascii="Times New Roman" w:hAnsi="Times New Roman"/>
          <w:sz w:val="17"/>
        </w:rPr>
        <w:t>] Class A shares (the </w:t>
      </w:r>
      <w:r>
        <w:rPr>
          <w:rFonts w:ascii="Times New Roman" w:hAnsi="Times New Roman"/>
          <w:b/>
          <w:sz w:val="17"/>
        </w:rPr>
        <w:t>Initial Shares</w:t>
      </w:r>
      <w:r>
        <w:rPr>
          <w:rFonts w:ascii="Times New Roman" w:hAnsi="Times New Roman"/>
          <w:sz w:val="17"/>
        </w:rPr>
        <w:t>) representing limited partner interests in the Partnership (the </w:t>
      </w:r>
      <w:r>
        <w:rPr>
          <w:rFonts w:ascii="Times New Roman" w:hAnsi="Times New Roman"/>
          <w:b/>
          <w:sz w:val="17"/>
        </w:rPr>
        <w:t>Class A Shares</w:t>
      </w:r>
      <w:r>
        <w:rPr>
          <w:rFonts w:ascii="Times New Roman" w:hAnsi="Times New Roman"/>
          <w:sz w:val="17"/>
        </w:rPr>
        <w:t>) for whom Barclays Capital Inc. is acting as the representative (the </w:t>
      </w:r>
      <w:r>
        <w:rPr>
          <w:rFonts w:ascii="Times New Roman" w:hAnsi="Times New Roman"/>
          <w:b/>
          <w:sz w:val="17"/>
        </w:rPr>
        <w:t>Representative</w:t>
      </w:r>
      <w:r>
        <w:rPr>
          <w:rFonts w:ascii="Times New Roman" w:hAnsi="Times New Roman"/>
          <w:sz w:val="17"/>
        </w:rPr>
        <w:t>), upon the terms and conditions set forth in Section 2 hereof.  The Partnership also proposes to grant to the Underwriters, upon the terms and conditions set forth in Section 2 hereof, an option to purchase up to an additional [</w:t>
      </w:r>
      <w:r>
        <w:rPr>
          <w:rFonts w:ascii="Symbol" w:hAnsi="Symbol"/>
          <w:sz w:val="17"/>
        </w:rPr>
        <w:t>·</w:t>
      </w:r>
      <w:r>
        <w:rPr>
          <w:rFonts w:ascii="Times New Roman" w:hAnsi="Times New Roman"/>
          <w:sz w:val="17"/>
        </w:rPr>
        <w:t>] Class A Shares (the </w:t>
      </w:r>
      <w:r>
        <w:rPr>
          <w:rFonts w:ascii="Times New Roman" w:hAnsi="Times New Roman"/>
          <w:b/>
          <w:sz w:val="17"/>
        </w:rPr>
        <w:t>Additional Shares</w:t>
      </w:r>
      <w:r>
        <w:rPr>
          <w:rFonts w:ascii="Times New Roman" w:hAnsi="Times New Roman"/>
          <w:sz w:val="17"/>
        </w:rPr>
        <w:t>). The Initial Shares and the Additional Shares, if purchased, are hereinafter collectively called the </w:t>
      </w:r>
      <w:r>
        <w:rPr>
          <w:rFonts w:ascii="Times New Roman" w:hAnsi="Times New Roman"/>
          <w:b/>
          <w:sz w:val="17"/>
        </w:rPr>
        <w:t>Shares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is to confirm the agreement among the Partnership and PAA GP Holdings LLC, a Delaware limited liability company and the general partner of the Partnership (the </w:t>
      </w:r>
      <w:r>
        <w:rPr>
          <w:rFonts w:ascii="Times New Roman" w:hAnsi="Times New Roman"/>
          <w:b/>
          <w:sz w:val="17"/>
        </w:rPr>
        <w:t>General Partner</w:t>
      </w:r>
      <w:r>
        <w:rPr>
          <w:rFonts w:ascii="Times New Roman" w:hAnsi="Times New Roman"/>
          <w:sz w:val="17"/>
        </w:rPr>
        <w:t>, and together with the Partnership, the </w:t>
      </w:r>
      <w:r>
        <w:rPr>
          <w:rFonts w:ascii="Times New Roman" w:hAnsi="Times New Roman"/>
          <w:b/>
          <w:sz w:val="17"/>
        </w:rPr>
        <w:t>Partnership Parties</w:t>
      </w:r>
      <w:r>
        <w:rPr>
          <w:rFonts w:ascii="Times New Roman" w:hAnsi="Times New Roman"/>
          <w:sz w:val="17"/>
        </w:rPr>
        <w:t>), and the Underwriters concerning the several purchases of the Shares by the Underwriters.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GP LLC, a Delaware limited liability company (</w:t>
      </w:r>
      <w:r>
        <w:rPr>
          <w:rFonts w:ascii="Times New Roman" w:hAnsi="Times New Roman"/>
          <w:b/>
          <w:sz w:val="17"/>
        </w:rPr>
        <w:t>PAA GP</w:t>
      </w:r>
      <w:r>
        <w:rPr>
          <w:rFonts w:ascii="Times New Roman" w:hAnsi="Times New Roman"/>
          <w:sz w:val="17"/>
        </w:rPr>
        <w:t>), is the general partner of Plains All American Pipeline, L.P. (</w:t>
      </w:r>
      <w:r>
        <w:rPr>
          <w:rFonts w:ascii="Times New Roman" w:hAnsi="Times New Roman"/>
          <w:b/>
          <w:sz w:val="17"/>
        </w:rPr>
        <w:t>PAA</w:t>
      </w:r>
      <w:r>
        <w:rPr>
          <w:rFonts w:ascii="Times New Roman" w:hAnsi="Times New Roman"/>
          <w:sz w:val="17"/>
        </w:rPr>
        <w:t>).  Plains AAP, L.P., a Delaware limited partnership (</w:t>
      </w:r>
      <w:r>
        <w:rPr>
          <w:rFonts w:ascii="Times New Roman" w:hAnsi="Times New Roman"/>
          <w:b/>
          <w:sz w:val="17"/>
        </w:rPr>
        <w:t>Plains AAP</w:t>
      </w:r>
      <w:r>
        <w:rPr>
          <w:rFonts w:ascii="Times New Roman" w:hAnsi="Times New Roman"/>
          <w:sz w:val="17"/>
        </w:rPr>
        <w:t>), owns a 100% membership interest in PAA GP.  Plains All American GP LLC, a Delaware limited liability company (</w:t>
      </w:r>
      <w:r>
        <w:rPr>
          <w:rFonts w:ascii="Times New Roman" w:hAnsi="Times New Roman"/>
          <w:b/>
          <w:sz w:val="17"/>
        </w:rPr>
        <w:t>GP LLC</w:t>
      </w:r>
      <w:r>
        <w:rPr>
          <w:rFonts w:ascii="Times New Roman" w:hAnsi="Times New Roman"/>
          <w:sz w:val="17"/>
        </w:rPr>
        <w:t> and, collectively with PAA GP and Plains AAP, the </w:t>
      </w:r>
      <w:r>
        <w:rPr>
          <w:rFonts w:ascii="Times New Roman" w:hAnsi="Times New Roman"/>
          <w:b/>
          <w:sz w:val="17"/>
        </w:rPr>
        <w:t>PAA GP Entities</w:t>
      </w:r>
      <w:r>
        <w:rPr>
          <w:rFonts w:ascii="Times New Roman" w:hAnsi="Times New Roman"/>
          <w:sz w:val="17"/>
        </w:rPr>
        <w:t>), is the general partner of Plains AAP.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subsidiaries of PAA listed on </w:t>
      </w:r>
      <w:r>
        <w:rPr>
          <w:rFonts w:ascii="Times New Roman" w:hAnsi="Times New Roman"/>
          <w:sz w:val="17"/>
          <w:u w:val="single"/>
        </w:rPr>
        <w:t>Schedule III</w:t>
      </w:r>
      <w:r>
        <w:rPr>
          <w:rFonts w:ascii="Times New Roman" w:hAnsi="Times New Roman"/>
          <w:sz w:val="17"/>
        </w:rPr>
        <w:t xml:space="preserve"> attached hereto are referred to herein as the </w:t>
      </w:r>
      <w:r>
        <w:rPr>
          <w:rFonts w:ascii="Times New Roman" w:hAnsi="Times New Roman"/>
          <w:b/>
          <w:sz w:val="17"/>
        </w:rPr>
        <w:t>Material Subsidiaries,</w:t>
      </w:r>
      <w:r>
        <w:rPr>
          <w:rFonts w:ascii="Times New Roman" w:hAnsi="Times New Roman"/>
          <w:sz w:val="17"/>
        </w:rPr>
        <w:t xml:space="preserve"> and the Material Subsidiaries listed on </w:t>
      </w:r>
      <w:r>
        <w:rPr>
          <w:rFonts w:ascii="Times New Roman" w:hAnsi="Times New Roman"/>
          <w:sz w:val="17"/>
          <w:u w:val="single"/>
        </w:rPr>
        <w:t>Schedule IV</w:t>
      </w:r>
      <w:r>
        <w:rPr>
          <w:rFonts w:ascii="Times New Roman" w:hAnsi="Times New Roman"/>
          <w:sz w:val="17"/>
        </w:rPr>
        <w:t xml:space="preserve"> attached hereto are referred to herein as the </w:t>
      </w:r>
      <w:r>
        <w:rPr>
          <w:rFonts w:ascii="Times New Roman" w:hAnsi="Times New Roman"/>
          <w:b/>
          <w:sz w:val="17"/>
        </w:rPr>
        <w:t>Domestic Subsidiaries</w:t>
      </w:r>
      <w:r>
        <w:rPr>
          <w:rFonts w:ascii="Times New Roman" w:hAnsi="Times New Roman"/>
          <w:sz w:val="17"/>
        </w:rPr>
        <w:t>. The Partnership Parties, the PAA GP Entities, PAA and the Material Subsidiaries are collectively called the </w:t>
      </w:r>
      <w:r>
        <w:rPr>
          <w:rFonts w:ascii="Times New Roman" w:hAnsi="Times New Roman"/>
          <w:b/>
          <w:sz w:val="17"/>
        </w:rPr>
        <w:t>Partnership Entities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It is understood and agreed to by all parties hereto that the Partnership was initially formed to acquire and own, directly or indirectly, as of each Closing Date (as defined in Section 3 hereof): (i) a 100% member interest in GP LLC, which holds a non-economic general partner interest in Plains AAP; (ii) Class A Units in Plains AAP (</w:t>
      </w:r>
      <w:r>
        <w:rPr>
          <w:rFonts w:ascii="Times New Roman" w:hAnsi="Times New Roman"/>
          <w:b/>
          <w:sz w:val="17"/>
        </w:rPr>
        <w:t>AAP Units</w:t>
      </w:r>
      <w:r>
        <w:rPr>
          <w:rFonts w:ascii="Times New Roman" w:hAnsi="Times New Roman"/>
          <w:sz w:val="17"/>
        </w:rPr>
        <w:t>); and (iii)</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membership interests in the General Partner. Plains AAP currently owns all of the incentive distribution rights in PAA (the </w:t>
      </w:r>
      <w:r>
        <w:rPr>
          <w:rFonts w:ascii="Times New Roman" w:hAnsi="Times New Roman"/>
          <w:b/>
          <w:sz w:val="17"/>
        </w:rPr>
        <w:t>Incentive Distribution Rights</w:t>
      </w:r>
      <w:r>
        <w:rPr>
          <w:rFonts w:ascii="Times New Roman" w:hAnsi="Times New Roman"/>
          <w:sz w:val="17"/>
        </w:rPr>
        <w:t>) and an indirect 2% general partner interest in PAA, as more particularly described in the most recent Preliminary Prospectus and as acquired pursuant to the Contribution Agreement (as such terms are defined 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It is further understood and agreed to by all parties that prior to the date hereof, the following transactions (the </w:t>
      </w:r>
      <w:r>
        <w:rPr>
          <w:rFonts w:ascii="Times New Roman" w:hAnsi="Times New Roman"/>
          <w:b/>
          <w:sz w:val="17"/>
        </w:rPr>
        <w:t>Prior Transactions</w:t>
      </w:r>
      <w:r>
        <w:rPr>
          <w:rFonts w:ascii="Times New Roman" w:hAnsi="Times New Roman"/>
          <w:sz w:val="17"/>
        </w:rPr>
        <w:t>) have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PAA Management, L.P., a Delaware limited partnership (</w:t>
      </w:r>
      <w:r>
        <w:rPr>
          <w:rFonts w:ascii="Times New Roman" w:hAnsi="Times New Roman"/>
          <w:b/>
          <w:sz w:val="17"/>
        </w:rPr>
        <w:t>PAA Management</w:t>
      </w:r>
      <w:r>
        <w:rPr>
          <w:rFonts w:ascii="Times New Roman" w:hAnsi="Times New Roman"/>
          <w:sz w:val="17"/>
        </w:rPr>
        <w:t>), formed the General Partner and received all of the membership interests in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General Partner and PAA Management formed the Partnership and received a non-economic general partner interest and all of the limited partner interest in the Partnership,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existing 1% general partner interest in Plains AAP currently held by GP LLC was converted into a non-economic general partner interest and a 1% limited partner interest in Plains AAP represented by [</w:t>
      </w:r>
      <w:r>
        <w:rPr>
          <w:rFonts w:ascii="Symbol" w:hAnsi="Symbol"/>
          <w:sz w:val="17"/>
        </w:rPr>
        <w:t>·</w:t>
      </w:r>
      <w:r>
        <w:rPr>
          <w:rFonts w:ascii="Times New Roman" w:hAnsi="Times New Roman"/>
          <w:sz w:val="17"/>
        </w:rPr>
        <w:t>] AAP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GP LLC [distributed] [</w:t>
      </w:r>
      <w:r>
        <w:rPr>
          <w:rFonts w:ascii="Symbol" w:hAnsi="Symbol"/>
          <w:sz w:val="17"/>
        </w:rPr>
        <w:t>·</w:t>
      </w:r>
      <w:r>
        <w:rPr>
          <w:rFonts w:ascii="Times New Roman" w:hAnsi="Times New Roman"/>
          <w:sz w:val="17"/>
        </w:rPr>
        <w:t>] AAP Units to the entities and individuals that own capital interests in Plains AAP and GP LLC as of the date of this Agreement (the </w:t>
      </w:r>
      <w:r>
        <w:rPr>
          <w:rFonts w:ascii="Times New Roman" w:hAnsi="Times New Roman"/>
          <w:b/>
          <w:sz w:val="17"/>
        </w:rPr>
        <w:t>Existing Owners</w:t>
      </w:r>
      <w:r>
        <w:rPr>
          <w:rFonts w:ascii="Times New Roman" w:hAnsi="Times New Roman"/>
          <w:sz w:val="17"/>
        </w:rPr>
        <w:t>), increasing the number of AAP Units held by the Existing Owners from [</w:t>
      </w:r>
      <w:r>
        <w:rPr>
          <w:rFonts w:ascii="Symbol" w:hAnsi="Symbol"/>
          <w:sz w:val="17"/>
        </w:rPr>
        <w:t>·</w:t>
      </w:r>
      <w:r>
        <w:rPr>
          <w:rFonts w:ascii="Times New Roman" w:hAnsi="Times New Roman"/>
          <w:sz w:val="17"/>
        </w:rPr>
        <w:t>] to [</w:t>
      </w:r>
      <w:r>
        <w:rPr>
          <w:rFonts w:ascii="Symbol" w:hAnsi="Symbol"/>
          <w:sz w:val="17"/>
        </w:rPr>
        <w: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 Existing Owners contributed 100% of the member interests of GP LLC to the General Partner in exchange for 100% of the member interests in the General Partner, and the initial interest in the General Partner held by PAA Management was canceled;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the General Partner contributed 100% of the member interests of GP LLC to the Partnership in exchange for the continuation of its non-economic general partner interest in the Partnership;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Plains AAP amended its credit agreement to increase the term loan facility from $200,000,000 to $500,000,000 and to increase the aggregate commitments under the revolving credit facility from $25,000,000 to $75,000,000 (the </w:t>
      </w:r>
      <w:r>
        <w:rPr>
          <w:rFonts w:ascii="Times New Roman" w:hAnsi="Times New Roman"/>
          <w:b/>
          <w:sz w:val="17"/>
        </w:rPr>
        <w:t>Credit Agreement Amendment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It is further understood and agreed to by all parties hereto that the following additional transactions (the </w:t>
      </w:r>
      <w:r>
        <w:rPr>
          <w:rFonts w:ascii="Times New Roman" w:hAnsi="Times New Roman"/>
          <w:b/>
          <w:sz w:val="17"/>
        </w:rPr>
        <w:t>Closing Transactions</w:t>
      </w:r>
      <w:r>
        <w:rPr>
          <w:rFonts w:ascii="Times New Roman" w:hAnsi="Times New Roman"/>
          <w:sz w:val="17"/>
        </w:rPr>
        <w:t> and together with the Prior Transactions, the </w:t>
      </w:r>
      <w:r>
        <w:rPr>
          <w:rFonts w:ascii="Times New Roman" w:hAnsi="Times New Roman"/>
          <w:b/>
          <w:sz w:val="17"/>
        </w:rPr>
        <w:t>Transactions</w:t>
      </w:r>
      <w:r>
        <w:rPr>
          <w:rFonts w:ascii="Times New Roman" w:hAnsi="Times New Roman"/>
          <w:sz w:val="17"/>
        </w:rPr>
        <w:t>) will occur on or before the Initial Delivery Date (as defined 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Plains AAP limited partnership agreement will be amended and restated (as so amended and restated, the </w:t>
      </w:r>
      <w:r>
        <w:rPr>
          <w:rFonts w:ascii="Times New Roman" w:hAnsi="Times New Roman"/>
          <w:b/>
          <w:sz w:val="17"/>
        </w:rPr>
        <w:t>AAP Partnership Agreement</w:t>
      </w:r>
      <w:r>
        <w:rPr>
          <w:rFonts w:ascii="Times New Roman" w:hAnsi="Times New Roman"/>
          <w:sz w:val="17"/>
        </w:rPr>
        <w:t>) to provide that, among other things: (A) the number of AAP Units held by each Existing Owner and the Partnership will be adjusted proportionately such that the number of AAP Units held by the Partnership equals the number of Shares issued in the Offering; (B) Plains AAP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44" w:name="15636-2-KB-01_PB_2_071925_7056"/>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will be controlled by GP LLC, its general partner; (C) each Existing Owner will have the right to exchange its AAP Units (and a like number of Class B Shares and units representing membership interests in the General Partner (</w:t>
      </w:r>
      <w:r>
        <w:rPr>
          <w:rFonts w:ascii="Times New Roman" w:hAnsi="Times New Roman"/>
          <w:b/>
          <w:sz w:val="17"/>
        </w:rPr>
        <w:t>General Partner Units</w:t>
      </w:r>
      <w:r>
        <w:rPr>
          <w:rFonts w:ascii="Times New Roman" w:hAnsi="Times New Roman"/>
          <w:sz w:val="17"/>
        </w:rPr>
        <w:t>)) for Class A Shares on a one-for-one basis (an </w:t>
      </w:r>
      <w:r>
        <w:rPr>
          <w:rFonts w:ascii="Times New Roman" w:hAnsi="Times New Roman"/>
          <w:b/>
          <w:sz w:val="17"/>
        </w:rPr>
        <w:t>Exchange Right</w:t>
      </w:r>
      <w:r>
        <w:rPr>
          <w:rFonts w:ascii="Times New Roman" w:hAnsi="Times New Roman"/>
          <w:sz w:val="17"/>
        </w:rPr>
        <w:t>); (D) the Partnership will be obligated to contribute to Plains AAP Class A Shares necessary to effect any exchange with a Existing Owner following the exercise of its Exchange Right, and will be issued a like number of AAP Units in exchange for such shares; and (E) the Plains AAP Class B units (the </w:t>
      </w:r>
      <w:r>
        <w:rPr>
          <w:rFonts w:ascii="Times New Roman" w:hAnsi="Times New Roman"/>
          <w:b/>
          <w:sz w:val="17"/>
        </w:rPr>
        <w:t>Incentive Units</w:t>
      </w:r>
      <w:r>
        <w:rPr>
          <w:rFonts w:ascii="Times New Roman" w:hAnsi="Times New Roman"/>
          <w:sz w:val="17"/>
        </w:rPr>
        <w:t>) will be modified as appropriate to facilitate the Exchange Right by the holders thereof following exchange of such Incentive Units for AAP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Partnership Parties will enter into a contribution agreement (the </w:t>
      </w:r>
      <w:r>
        <w:rPr>
          <w:rFonts w:ascii="Times New Roman" w:hAnsi="Times New Roman"/>
          <w:b/>
          <w:sz w:val="17"/>
        </w:rPr>
        <w:t>Contribution Agreement</w:t>
      </w:r>
      <w:r>
        <w:rPr>
          <w:rFonts w:ascii="Times New Roman" w:hAnsi="Times New Roman"/>
          <w:sz w:val="17"/>
        </w:rPr>
        <w:t>) with the Existing Owners, pursuant to which the Existing Owners will transfer (A) [</w:t>
      </w:r>
      <w:r>
        <w:rPr>
          <w:rFonts w:ascii="Symbol" w:hAnsi="Symbol"/>
          <w:sz w:val="17"/>
        </w:rPr>
        <w:t>·</w:t>
      </w:r>
      <w:r>
        <w:rPr>
          <w:rFonts w:ascii="Times New Roman" w:hAnsi="Times New Roman"/>
          <w:sz w:val="17"/>
        </w:rPr>
        <w:t>] AAP Units and (B) [</w:t>
      </w:r>
      <w:r>
        <w:rPr>
          <w:rFonts w:ascii="Symbol" w:hAnsi="Symbol"/>
          <w:sz w:val="17"/>
        </w:rPr>
        <w:t>·</w:t>
      </w:r>
      <w:r>
        <w:rPr>
          <w:rFonts w:ascii="Times New Roman" w:hAnsi="Times New Roman"/>
          <w:sz w:val="17"/>
        </w:rPr>
        <w:t>] General Partner Units to the Partnership in exchange for the right to receive the proceeds from the public offering of Shares contemplated hereby (the </w:t>
      </w:r>
      <w:r>
        <w:rPr>
          <w:rFonts w:ascii="Times New Roman" w:hAnsi="Times New Roman"/>
          <w:b/>
          <w:sz w:val="17"/>
        </w:rPr>
        <w:t>Offering</w:t>
      </w:r>
      <w:r>
        <w:rPr>
          <w:rFonts w:ascii="Times New Roman" w:hAnsi="Times New Roman"/>
          <w:sz w:val="17"/>
        </w:rPr>
        <w:t>) and [</w:t>
      </w:r>
      <w:r>
        <w:rPr>
          <w:rFonts w:ascii="Symbol" w:hAnsi="Symbol"/>
          <w:sz w:val="17"/>
        </w:rPr>
        <w:t>·</w:t>
      </w:r>
      <w:r>
        <w:rPr>
          <w:rFonts w:ascii="Times New Roman" w:hAnsi="Times New Roman"/>
          <w:sz w:val="17"/>
        </w:rPr>
        <w:t>] Class B shares representing limited partner interests in the Partnership (the </w:t>
      </w:r>
      <w:r>
        <w:rPr>
          <w:rFonts w:ascii="Times New Roman" w:hAnsi="Times New Roman"/>
          <w:b/>
          <w:sz w:val="17"/>
        </w:rPr>
        <w:t>Class B Shares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Offering will be consummated, and the net proceeds thereof will be distributed to the Partnership, and the initial limited partner interest in the Partnership will be canceled;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the Partnership will distribute such proceeds to the Existing Owners in accordance with the terms of the Contribution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 Partnership will file an election with the Internal Revenue Service to be treated as a corporation for federal income tax purposes;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if the Underwriters exercise their option to acquire the Additional Shares from the Partnership, the net proceeds from the sale of the Additional Shares will be used by the Partnership in accordance with the Contribution Agreement to acquire an equal number of Class B Shares, AAP Units and General Partner Units held by certain of the Existing Owners, and upon such acquisition, the Class B Shares will be canceled.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the agreement of limited partnership of the Partnership will be amended and restated (as so amended and restated, the </w:t>
      </w:r>
      <w:r>
        <w:rPr>
          <w:rFonts w:ascii="Times New Roman" w:hAnsi="Times New Roman"/>
          <w:b/>
          <w:sz w:val="17"/>
        </w:rPr>
        <w:t>Partnership Agreement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(viii)</w:t>
      </w:r>
      <w:r>
        <w:rPr>
          <w:rFonts w:ascii="Times New Roman" w:hAnsi="Times New Roman"/>
        </w:rPr>
        <w:t xml:space="preserve">                         </w:t>
      </w:r>
      <w:r>
        <w:rPr>
          <w:rFonts w:ascii="Times New Roman" w:hAnsi="Times New Roman"/>
          <w:sz w:val="17"/>
        </w:rPr>
        <w:t>the limited liability agreement of the General Partner will be amended and restated (as so amended and restated, the </w:t>
      </w:r>
      <w:r>
        <w:rPr>
          <w:rFonts w:ascii="Times New Roman" w:hAnsi="Times New Roman"/>
          <w:b/>
          <w:sz w:val="17"/>
        </w:rPr>
        <w:t>General Partner LLC Agreement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(ix)</w:t>
      </w:r>
      <w:r>
        <w:rPr>
          <w:rFonts w:ascii="Times New Roman" w:hAnsi="Times New Roman"/>
        </w:rPr>
        <w:t xml:space="preserve">                               </w:t>
      </w:r>
      <w:r>
        <w:rPr>
          <w:rFonts w:ascii="Times New Roman" w:hAnsi="Times New Roman"/>
          <w:sz w:val="17"/>
        </w:rPr>
        <w:t>the limited liability company agreement of GP LLC will be amended and restated (as so amended and restated, the </w:t>
      </w:r>
      <w:r>
        <w:rPr>
          <w:rFonts w:ascii="Times New Roman" w:hAnsi="Times New Roman"/>
          <w:b/>
          <w:sz w:val="17"/>
        </w:rPr>
        <w:t>Plains GP LLC Agreement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w:t>
      </w:r>
      <w:r>
        <w:rPr>
          <w:rFonts w:ascii="Times New Roman" w:hAnsi="Times New Roman"/>
        </w:rPr>
        <w:t xml:space="preserve">                                  </w:t>
      </w:r>
      <w:r>
        <w:rPr>
          <w:rFonts w:ascii="Times New Roman" w:hAnsi="Times New Roman"/>
          <w:sz w:val="17"/>
        </w:rPr>
        <w:t>the Partnership and the Existing Owners will enter into a registration rights agreement (the </w:t>
      </w:r>
      <w:r>
        <w:rPr>
          <w:rFonts w:ascii="Times New Roman" w:hAnsi="Times New Roman"/>
          <w:b/>
          <w:sz w:val="17"/>
        </w:rPr>
        <w:t>Registration Rights Agreement</w:t>
      </w:r>
      <w:r>
        <w:rPr>
          <w:rFonts w:ascii="Times New Roman" w:hAnsi="Times New Roman"/>
          <w:sz w:val="17"/>
        </w:rPr>
        <w:t>), to address, among other things, the registration of any shares or other Partnership securities (including Class A Shares issued pursuant to the exercise of an Exchange Right) proposed to be sold by the Existing Owners and respective affiliates or their assignees, consistent with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45" w:name="15636-2-KB-01_PB_3_071936_5335"/>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description thereof set forth in the Prospectus under the caption Certain Relationships and Related TransactionsRegistration Rights Agreement;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(xii)</w:t>
      </w:r>
      <w:r>
        <w:rPr>
          <w:rFonts w:ascii="Times New Roman" w:hAnsi="Times New Roman"/>
        </w:rPr>
        <w:t xml:space="preserve">                            </w:t>
      </w:r>
      <w:r>
        <w:rPr>
          <w:rFonts w:ascii="Times New Roman" w:hAnsi="Times New Roman"/>
          <w:sz w:val="17"/>
        </w:rPr>
        <w:t>the Partnership Parties, PAA, PAA GP and GP LLC will enter into an administrative agreement (the </w:t>
      </w:r>
      <w:r>
        <w:rPr>
          <w:rFonts w:ascii="Times New Roman" w:hAnsi="Times New Roman"/>
          <w:b/>
          <w:sz w:val="17"/>
        </w:rPr>
        <w:t>Administrative Agreement</w:t>
      </w:r>
      <w:r>
        <w:rPr>
          <w:rFonts w:ascii="Times New Roman" w:hAnsi="Times New Roman"/>
          <w:sz w:val="17"/>
        </w:rPr>
        <w:t>) to address, among other things, potential conflicts with respect to business opportunities that may arise among the Partnership, the General Partner, PAA, PAA GP and GP LLC, consistent with the description thereof set forth in the Prospectus under the caption Certain Relationships and Related TransactionsAdministrative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w:t>
      </w:r>
      <w:r>
        <w:rPr>
          <w:rFonts w:ascii="Times New Roman" w:hAnsi="Times New Roman"/>
          <w:b/>
          <w:sz w:val="17"/>
        </w:rPr>
        <w:t>Transaction Documents</w:t>
      </w:r>
      <w:r>
        <w:rPr>
          <w:rFonts w:ascii="Times New Roman" w:hAnsi="Times New Roman"/>
          <w:sz w:val="17"/>
        </w:rPr>
        <w:t> shall mean the Contribution Agreement, the Credit Agreement Amendment, the Registration Rights Agreement and the Administrative Agreement. The </w:t>
      </w:r>
      <w:r>
        <w:rPr>
          <w:rFonts w:ascii="Times New Roman" w:hAnsi="Times New Roman"/>
          <w:b/>
          <w:sz w:val="17"/>
        </w:rPr>
        <w:t>Partnership Group Organizational Agreements</w:t>
      </w:r>
      <w:r>
        <w:rPr>
          <w:rFonts w:ascii="Times New Roman" w:hAnsi="Times New Roman"/>
          <w:sz w:val="17"/>
        </w:rPr>
        <w:t>) shall mean the AAP Partnership Agreement, the Partnership Agreement, the General Partner LLC Agreement the Plains GP LLC Agreement.  The </w:t>
      </w:r>
      <w:r>
        <w:rPr>
          <w:rFonts w:ascii="Times New Roman" w:hAnsi="Times New Roman"/>
          <w:b/>
          <w:sz w:val="17"/>
        </w:rPr>
        <w:t>Operative Documents</w:t>
      </w:r>
      <w:r>
        <w:rPr>
          <w:rFonts w:ascii="Times New Roman" w:hAnsi="Times New Roman"/>
          <w:sz w:val="17"/>
        </w:rPr>
        <w:t> shall mean the Partnership Group Organizational Agreements and the Transaction Documents.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u w:val="single"/>
        </w:rPr>
        <w:t>Representations and Warranties of the Partnership Parties</w:t>
      </w:r>
      <w:r>
        <w:rPr>
          <w:rFonts w:ascii="Times New Roman" w:hAnsi="Times New Roman"/>
          <w:sz w:val="17"/>
        </w:rPr>
        <w:t>.  The Partnership Parties represent and warrant to the Underwriters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Registration</w:t>
      </w:r>
      <w:r>
        <w:rPr>
          <w:rFonts w:ascii="Times New Roman" w:hAnsi="Times New Roman"/>
          <w:sz w:val="17"/>
        </w:rPr>
        <w:t>.  A registration statement on Form S-1 relating to the Shares (File No. 333-190227) (i) has been prepared by the Partnership in conformity with the requirements of the Securities Act of 1933, as amended (the </w:t>
      </w:r>
      <w:r>
        <w:rPr>
          <w:rFonts w:ascii="Times New Roman" w:hAnsi="Times New Roman"/>
          <w:b/>
          <w:sz w:val="17"/>
        </w:rPr>
        <w:t>Securities Act</w:t>
      </w:r>
      <w:r>
        <w:rPr>
          <w:rFonts w:ascii="Times New Roman" w:hAnsi="Times New Roman"/>
          <w:sz w:val="17"/>
        </w:rPr>
        <w:t>), and the rules and regulations (the </w:t>
      </w:r>
      <w:r>
        <w:rPr>
          <w:rFonts w:ascii="Times New Roman" w:hAnsi="Times New Roman"/>
          <w:b/>
          <w:sz w:val="17"/>
        </w:rPr>
        <w:t>Rules and Regulations</w:t>
      </w:r>
      <w:r>
        <w:rPr>
          <w:rFonts w:ascii="Times New Roman" w:hAnsi="Times New Roman"/>
          <w:sz w:val="17"/>
        </w:rPr>
        <w:t>) of the Securities and Exchange Commission (the </w:t>
      </w:r>
      <w:r>
        <w:rPr>
          <w:rFonts w:ascii="Times New Roman" w:hAnsi="Times New Roman"/>
          <w:b/>
          <w:sz w:val="17"/>
        </w:rPr>
        <w:t>Commission</w:t>
      </w:r>
      <w:r>
        <w:rPr>
          <w:rFonts w:ascii="Times New Roman" w:hAnsi="Times New Roman"/>
          <w:sz w:val="17"/>
        </w:rPr>
        <w:t>) thereunder; (ii) has been filed with the Commission under the Securities Act; and (iii) is effective under the Securities Act.  Copies of such registration statement and any amendment thereto have been delivered by the Partnership to the Representative.  As used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w:t>
      </w:r>
      <w:r>
        <w:rPr>
          <w:rFonts w:ascii="Times New Roman" w:hAnsi="Times New Roman"/>
          <w:b/>
          <w:sz w:val="17"/>
        </w:rPr>
        <w:t>Applicable Time</w:t>
      </w:r>
      <w:r>
        <w:rPr>
          <w:rFonts w:ascii="Times New Roman" w:hAnsi="Times New Roman"/>
          <w:sz w:val="17"/>
        </w:rPr>
        <w:t> means [</w:t>
      </w:r>
      <w:r>
        <w:rPr>
          <w:rFonts w:ascii="Symbol" w:hAnsi="Symbol"/>
          <w:sz w:val="17"/>
        </w:rPr>
        <w:t>·</w:t>
      </w:r>
      <w:r>
        <w:rPr>
          <w:rFonts w:ascii="Times New Roman" w:hAnsi="Times New Roman"/>
          <w:sz w:val="17"/>
        </w:rPr>
        <w:t>] [a./p.]m., New York City time, on  [</w:t>
      </w:r>
      <w:r>
        <w:rPr>
          <w:rFonts w:ascii="Symbol" w:hAnsi="Symbol"/>
          <w:sz w:val="17"/>
        </w:rPr>
        <w:t>·</w:t>
      </w:r>
      <w:r>
        <w:rPr>
          <w:rFonts w:ascii="Times New Roman" w:hAnsi="Times New Roman"/>
          <w:sz w:val="17"/>
        </w:rPr>
        <w:t>], 2013, which the Underwriters have informed the Partnership and their counsel is a time prior to the first sale of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w:t>
      </w:r>
      <w:r>
        <w:rPr>
          <w:rFonts w:ascii="Times New Roman" w:hAnsi="Times New Roman"/>
          <w:b/>
          <w:sz w:val="17"/>
        </w:rPr>
        <w:t>Effective Date</w:t>
      </w:r>
      <w:r>
        <w:rPr>
          <w:rFonts w:ascii="Times New Roman" w:hAnsi="Times New Roman"/>
          <w:sz w:val="17"/>
        </w:rPr>
        <w:t> means the date and time as of which such registration statement, or the most recent post-effective amendment thereto relating to the Shares, was declared effective by the Commission;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w:t>
      </w:r>
      <w:r>
        <w:rPr>
          <w:rFonts w:ascii="Times New Roman" w:hAnsi="Times New Roman"/>
          <w:b/>
          <w:sz w:val="17"/>
        </w:rPr>
        <w:t>Issuer Free Writing Prospectus</w:t>
      </w:r>
      <w:r>
        <w:rPr>
          <w:rFonts w:ascii="Times New Roman" w:hAnsi="Times New Roman"/>
          <w:sz w:val="17"/>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w:t>
      </w:r>
      <w:r>
        <w:rPr>
          <w:rFonts w:ascii="Times New Roman" w:hAnsi="Times New Roman"/>
          <w:b/>
          <w:sz w:val="17"/>
        </w:rPr>
        <w:t>Preliminary Prospectus</w:t>
      </w:r>
      <w:r>
        <w:rPr>
          <w:rFonts w:ascii="Times New Roman" w:hAnsi="Times New Roman"/>
          <w:sz w:val="17"/>
        </w:rPr>
        <w:t> means any preliminary prospectus relating to the Shares included in such registration statement or filed with the Commission pursuant to Rule 424(b) of the Rules and Regulations;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6" w:name="15636-2-KB-01_PB_4_071948_5796"/>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w:t>
      </w:r>
      <w:r>
        <w:rPr>
          <w:rFonts w:ascii="Times New Roman" w:hAnsi="Times New Roman"/>
          <w:b/>
          <w:sz w:val="17"/>
        </w:rPr>
        <w:t>Pricing Disclosure Package</w:t>
      </w:r>
      <w:r>
        <w:rPr>
          <w:rFonts w:ascii="Times New Roman" w:hAnsi="Times New Roman"/>
          <w:sz w:val="17"/>
        </w:rPr>
        <w:t xml:space="preserve"> means, as of the Applicable Time, (A) the most recent Preliminary Prospectus together with the pricing information identified in </w:t>
      </w:r>
      <w:r>
        <w:rPr>
          <w:rFonts w:ascii="Times New Roman" w:hAnsi="Times New Roman"/>
          <w:sz w:val="17"/>
          <w:u w:val="single"/>
        </w:rPr>
        <w:t>Schedule II</w:t>
      </w:r>
      <w:r>
        <w:rPr>
          <w:rFonts w:ascii="Times New Roman" w:hAnsi="Times New Roman"/>
          <w:sz w:val="17"/>
        </w:rPr>
        <w:t xml:space="preserve"> hereto and (B) each Issuer Free Writing Prospectus filed or used by the Partnership on or before the Applicable Time, other than a road show that is an Issuer Free Writing Prospectus but is not required to be filed under Rule 433 of the Rules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w:t>
      </w:r>
      <w:r>
        <w:rPr>
          <w:rFonts w:ascii="Times New Roman" w:hAnsi="Times New Roman"/>
          <w:b/>
          <w:sz w:val="17"/>
        </w:rPr>
        <w:t>Prospectus</w:t>
      </w:r>
      <w:r>
        <w:rPr>
          <w:rFonts w:ascii="Times New Roman" w:hAnsi="Times New Roman"/>
          <w:sz w:val="17"/>
        </w:rPr>
        <w:t> means the final prospectus relating to the Shares, as filed with the Commission pursuant to Rule 424(b) of the Rules and Regulations;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w:t>
      </w:r>
      <w:r>
        <w:rPr>
          <w:rFonts w:ascii="Times New Roman" w:hAnsi="Times New Roman"/>
          <w:b/>
          <w:sz w:val="17"/>
        </w:rPr>
        <w:t>Registration Statement</w:t>
      </w:r>
      <w:r>
        <w:rPr>
          <w:rFonts w:ascii="Times New Roman" w:hAnsi="Times New Roman"/>
          <w:sz w:val="17"/>
        </w:rPr>
        <w:t> means the registration statement on Form S-1 (File No. 333-190227), as amended as of the Effective Date, including any Preliminary Prospectus or the Prospectus, all exhibits to such registration statement and including the information deemed by virtue of Rule 430A under the Securities Act to be part of such registration statement as of the Effective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reference to the </w:t>
      </w:r>
      <w:r>
        <w:rPr>
          <w:rFonts w:ascii="Times New Roman" w:hAnsi="Times New Roman"/>
          <w:b/>
          <w:sz w:val="17"/>
        </w:rPr>
        <w:t>most recent Preliminary Prospectus</w:t>
      </w:r>
      <w:r>
        <w:rPr>
          <w:rFonts w:ascii="Times New Roman" w:hAnsi="Times New Roman"/>
          <w:sz w:val="17"/>
        </w:rPr>
        <w:t> shall be deemed to refer to the latest Preliminary Prospectus included in the Registration Statement or filed pursuant to Rule 424(b) of the Rules and Regulations prior to or on the date hereof.  Any reference herein to the term Registration Statement shall be deemed to include any abbreviated registration statement to register additional shares under Rule 462(b) under the Securities Act (the </w:t>
      </w:r>
      <w:r>
        <w:rPr>
          <w:rFonts w:ascii="Times New Roman" w:hAnsi="Times New Roman"/>
          <w:b/>
          <w:sz w:val="17"/>
        </w:rPr>
        <w:t>Rule 462(b) Registration Statement</w:t>
      </w:r>
      <w:r>
        <w:rPr>
          <w:rFonts w:ascii="Times New Roman" w:hAnsi="Times New Roman"/>
          <w:sz w:val="17"/>
        </w:rPr>
        <w:t>). The Commission has not issued any order preventing or suspending the use of any Preliminary Prospectus or the Prospectus or suspending the effectiveness of the Registration Statement, and no proceeding for such purpose has been instituted or, to any of the Partnership Parties knowledge, threatened by the Commission.  The Commission has not notified any of the Partnership Parties of any objection to the use of the form of the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Partnership Not an Ineligible Issuer</w:t>
      </w:r>
      <w:r>
        <w:rPr>
          <w:rFonts w:ascii="Times New Roman" w:hAnsi="Times New Roman"/>
          <w:sz w:val="17"/>
        </w:rPr>
        <w:t xml:space="preserve">. The Partnership was not at the time of initial filing of the Registration Statement and at the earliest time thereafter that the Partnership or another offering participant made a </w:t>
      </w:r>
      <w:r>
        <w:rPr>
          <w:rFonts w:ascii="Times New Roman" w:hAnsi="Times New Roman"/>
          <w:i/>
          <w:sz w:val="17"/>
        </w:rPr>
        <w:t>bona fide</w:t>
      </w:r>
      <w:r>
        <w:rPr>
          <w:rFonts w:ascii="Times New Roman" w:hAnsi="Times New Roman"/>
          <w:sz w:val="17"/>
        </w:rPr>
        <w:t xml:space="preserve"> offer (within the meaning of Rule 164(h)(2) of the Rules and Regulations) of the Shares, and is not on the date hereof and will not be on the applicable Delivery Date, an ineligible issuer (as defined in Rule 405 of the Rules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Form of Documents</w:t>
      </w:r>
      <w:r>
        <w:rPr>
          <w:rFonts w:ascii="Times New Roman" w:hAnsi="Times New Roman"/>
          <w:sz w:val="17"/>
        </w:rPr>
        <w:t>.  The Registration Statement conformed in all material respects on the Effective Date and on each applicable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and on each applicable Delivery Date, to the requirements of the Securities Act and the Rules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i/>
          <w:sz w:val="17"/>
        </w:rPr>
        <w:t>No Material Misstatements or Omissions in Registration Statement</w:t>
      </w:r>
      <w:r>
        <w:rPr>
          <w:rFonts w:ascii="Times New Roman" w:hAnsi="Times New Roman"/>
          <w:sz w:val="17"/>
        </w:rPr>
        <w:t>.  The Registration Statement did not, as of the Effective Date, contain an untrue statement of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47" w:name="15636-2-KB-01_PB_5_071954_2897"/>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material fact or omit to state a material fact required to be stated therein or necessary to make the statements therein not misleading; </w:t>
      </w:r>
      <w:r>
        <w:rPr>
          <w:rFonts w:ascii="Times New Roman" w:hAnsi="Times New Roman"/>
          <w:sz w:val="17"/>
          <w:u w:val="single"/>
        </w:rPr>
        <w:t>provided</w:t>
      </w:r>
      <w:r>
        <w:rPr>
          <w:rFonts w:ascii="Times New Roman" w:hAnsi="Times New Roman"/>
          <w:sz w:val="17"/>
        </w:rPr>
        <w:t xml:space="preserve"> that no representation or warranty is made as to information contained in or omitted from the Registration Statement in reliance upon and in conformity with written information furnished to the Partnership through the Representative by or on behalf of any Underwriter specifically for inclusion therein, which information is specified in Section 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i/>
          <w:sz w:val="17"/>
        </w:rPr>
        <w:t>No Material Misstatements or Omissions in Prospectus</w:t>
      </w:r>
      <w:r>
        <w:rPr>
          <w:rFonts w:ascii="Times New Roman" w:hAnsi="Times New Roman"/>
          <w:sz w:val="17"/>
        </w:rPr>
        <w:t xml:space="preserve">.  The Prospectus will not, as of its date and on the applicable Delivery Date,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17"/>
          <w:u w:val="single"/>
        </w:rPr>
        <w:t>provided</w:t>
      </w:r>
      <w:r>
        <w:rPr>
          <w:rFonts w:ascii="Times New Roman" w:hAnsi="Times New Roman"/>
          <w:sz w:val="17"/>
        </w:rPr>
        <w:t xml:space="preserve"> that no representation or warranty is made as to information contained in or omitted from the Prospectus in reliance upon and in conformity with written information furnished to the Partnership through the Representative by or on behalf of any Underwriter specifically for inclusion therein, which information is specified in Section 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i/>
          <w:sz w:val="17"/>
        </w:rPr>
        <w:t>No Material Misstatements or Omissions in Pricing Disclosure Package</w:t>
      </w:r>
      <w:r>
        <w:rPr>
          <w:rFonts w:ascii="Times New Roman" w:hAnsi="Times New Roman"/>
          <w:sz w:val="17"/>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17"/>
          <w:u w:val="single"/>
        </w:rPr>
        <w:t>provided</w:t>
      </w:r>
      <w:r>
        <w:rPr>
          <w:rFonts w:ascii="Times New Roman" w:hAnsi="Times New Roman"/>
          <w:sz w:val="17"/>
        </w:rPr>
        <w:t xml:space="preserve"> that no representation or warranty is made as to information contained in or omitted from the Pricing Disclosure Package in reliance upon and in conformity with written information furnished to the Partnership through the Representative by or on behalf of any Underwriter specifically for inclusion therein, which information is specified in Section 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i/>
          <w:sz w:val="17"/>
        </w:rPr>
        <w:t>No Material Misstatements or Omissions in Issuer Free Writing Prospectus</w:t>
      </w:r>
      <w:r>
        <w:rPr>
          <w:rFonts w:ascii="Times New Roman" w:hAnsi="Times New Roman"/>
          <w:sz w:val="17"/>
        </w:rPr>
        <w:t xml:space="preserve">.  Each Issuer Free 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17"/>
          <w:u w:val="single"/>
        </w:rPr>
        <w:t>provided</w:t>
      </w:r>
      <w:r>
        <w:rPr>
          <w:rFonts w:ascii="Times New Roman" w:hAnsi="Times New Roman"/>
          <w:sz w:val="17"/>
        </w:rPr>
        <w:t>, that no representation or warranty is made as to information contained in or omitted from such Issuer Free Writing Prospectus in reliance upon and in conformity with written information furnished to the Partnership through the Representative by or on behalf of any Underwriter specifically for inclusion therein, which information is specified in Section 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i/>
          <w:sz w:val="17"/>
        </w:rPr>
        <w:t>Issuer Free Writing Prospectus Conform to the Requirements of the Securities Act</w:t>
      </w:r>
      <w:r>
        <w:rPr>
          <w:rFonts w:ascii="Times New Roman" w:hAnsi="Times New Roman"/>
          <w:sz w:val="17"/>
        </w:rPr>
        <w:t>.  Each Issuer Free Writing Prospectus conformed or will conform in all material 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Shares that would constitute an Issuer Free Writing Prospectus without the prior written consent of the Representative.  The Partnership has retained in accordance with the Rules and Regulations all Issuer Free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48" w:name="15636-2-KB-01_PB_6_072008_3020"/>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Writing Prospectuses that were not required to be filed pursuant to the Rules and Regulations.  The Partnership has taken all actions necessary so that any road show (as defined in Rule 433 of the Rules and Regulations) in connection with the offering of the Shares will not be required to be filed pursuant to the Rules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i/>
          <w:sz w:val="17"/>
        </w:rPr>
        <w:t>Formation and Qualification of Certain Entities</w:t>
      </w:r>
      <w:r>
        <w:rPr>
          <w:rFonts w:ascii="Times New Roman" w:hAnsi="Times New Roman"/>
          <w:sz w:val="17"/>
        </w:rPr>
        <w:t xml:space="preserve">.  Each of the Partnership Entities has been duly formed or incorporated and is validly existing in good standing as a limited partnership, limited liability company, corporation or unlimited liability company under the laws of its respective jurisdiction of formation or incorporation with full corporate, limited partnership, limited liability company or unlimited liability company power and authority, as the case may be, to own or lease its properties and to conduct its business, in each case in all material respects, as disclosed in the Pricing Disclosure Package and the Prospectus.  Each of the Partnership Entities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hAnsi="Times New Roman"/>
          <w:sz w:val="17"/>
          <w:u w:val="single"/>
        </w:rPr>
        <w:t>Exhibit A</w:t>
      </w:r>
      <w:r>
        <w:rPr>
          <w:rFonts w:ascii="Times New Roman" w:hAnsi="Times New Roman"/>
          <w:sz w:val="17"/>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 Parties, the PAA GP Entities, PAA and PAAs direct or indirect majority owned subsidiaries (collectively, the </w:t>
      </w:r>
      <w:r>
        <w:rPr>
          <w:rFonts w:ascii="Times New Roman" w:hAnsi="Times New Roman"/>
          <w:b/>
          <w:sz w:val="17"/>
        </w:rPr>
        <w:t>Partnership Group Entities</w:t>
      </w:r>
      <w:r>
        <w:rPr>
          <w:rFonts w:ascii="Times New Roman" w:hAnsi="Times New Roman"/>
          <w:sz w:val="17"/>
        </w:rPr>
        <w:t>), taken as a whole (a </w:t>
      </w:r>
      <w:r>
        <w:rPr>
          <w:rFonts w:ascii="Times New Roman" w:hAnsi="Times New Roman"/>
          <w:b/>
          <w:sz w:val="17"/>
        </w:rPr>
        <w:t>Material Adverse Effect</w:t>
      </w:r>
      <w:r>
        <w:rPr>
          <w:rFonts w:ascii="Times New Roman" w:hAnsi="Times New Roman"/>
          <w:sz w:val="17"/>
        </w:rPr>
        <w:t>), or (ii) subject the limited partners of the Partnership to any material liability or disability.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i/>
          <w:sz w:val="17"/>
        </w:rPr>
        <w:t>General Partners</w:t>
      </w:r>
      <w:r>
        <w:rPr>
          <w:rFonts w:ascii="Times New Roman" w:hAnsi="Times New Roman"/>
          <w:sz w:val="17"/>
        </w:rPr>
        <w:t>.  As disclosed in the Pricing Disclosure Package and the Prospectus, in each case in all material respects, each Partnership Group Entity that serves as a general partner of another Partnership Group Entity has full corporate or limited liability company power and authority, as the case may be, to serve as general partner of such Partnership Group Entity.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i/>
          <w:sz w:val="17"/>
        </w:rPr>
        <w:t>Ownership of the General Partner</w:t>
      </w:r>
      <w:r>
        <w:rPr>
          <w:rFonts w:ascii="Times New Roman" w:hAnsi="Times New Roman"/>
          <w:sz w:val="17"/>
        </w:rPr>
        <w:t>. At the applicable Delivery Date, after giving effect to the Transactions (assuming the Underwriters do not exercise their option to acquire the Additional Shares), the Existing Owners will own [</w:t>
      </w:r>
      <w:r>
        <w:rPr>
          <w:rFonts w:ascii="Symbol" w:hAnsi="Symbol"/>
          <w:sz w:val="17"/>
        </w:rPr>
        <w:t>·</w:t>
      </w:r>
      <w:r>
        <w:rPr>
          <w:rFonts w:ascii="Times New Roman" w:hAnsi="Times New Roman"/>
          <w:sz w:val="17"/>
        </w:rPr>
        <w:t>] General Partner Units, representing a [</w:t>
      </w:r>
      <w:r>
        <w:rPr>
          <w:rFonts w:ascii="Symbol" w:hAnsi="Symbol"/>
          <w:sz w:val="17"/>
        </w:rPr>
        <w:t>·</w:t>
      </w:r>
      <w:r>
        <w:rPr>
          <w:rFonts w:ascii="Times New Roman" w:hAnsi="Times New Roman"/>
          <w:sz w:val="17"/>
        </w:rPr>
        <w:t>]% membership interest in the General Partner, and the Partnership will own [</w:t>
      </w:r>
      <w:r>
        <w:rPr>
          <w:rFonts w:ascii="Symbol" w:hAnsi="Symbol"/>
          <w:sz w:val="17"/>
        </w:rPr>
        <w:t>·</w:t>
      </w:r>
      <w:r>
        <w:rPr>
          <w:rFonts w:ascii="Times New Roman" w:hAnsi="Times New Roman"/>
          <w:sz w:val="17"/>
        </w:rPr>
        <w:t>] General Partner Units, representing a [</w:t>
      </w:r>
      <w:r>
        <w:rPr>
          <w:rFonts w:ascii="Symbol" w:hAnsi="Symbol"/>
          <w:sz w:val="17"/>
        </w:rPr>
        <w:t>·</w:t>
      </w:r>
      <w:r>
        <w:rPr>
          <w:rFonts w:ascii="Times New Roman" w:hAnsi="Times New Roman"/>
          <w:sz w:val="17"/>
        </w:rPr>
        <w:t>]% membership interest in the General Partner; such General Partner Units have been duly authorized and validly issued in accordance with the General Partner LLC Agreement and are fully paid (to the extent required under the General Partner LLC Agreement) and nonassessable (except as such nonassessability may be affected by Sections 18-607 and 18-804 of the Delaware Limited Liability Company Act (the </w:t>
      </w:r>
      <w:r>
        <w:rPr>
          <w:rFonts w:ascii="Times New Roman" w:hAnsi="Times New Roman"/>
          <w:b/>
          <w:sz w:val="17"/>
        </w:rPr>
        <w:t>Delaware LLC Act</w:t>
      </w:r>
      <w:r>
        <w:rPr>
          <w:rFonts w:ascii="Times New Roman" w:hAnsi="Times New Roman"/>
          <w:sz w:val="17"/>
        </w:rPr>
        <w:t>)); and such General Partner Units are owned free and clear of all liens, encumbrances, security interests, equities, charges or claims (</w:t>
      </w:r>
      <w:r>
        <w:rPr>
          <w:rFonts w:ascii="Times New Roman" w:hAnsi="Times New Roman"/>
          <w:b/>
          <w:sz w:val="17"/>
        </w:rPr>
        <w:t>Liens</w:t>
      </w:r>
      <w:r>
        <w:rPr>
          <w:rFonts w:ascii="Times New Roman" w:hAnsi="Times New Roman"/>
          <w:sz w:val="17"/>
        </w:rPr>
        <w:t>), except (i) as disclosed in the Pricing Disclosure Package and the Prospectus or (ii) such as would not reasonably be expected to result in a change of control of the Partnership or reasonably be expected to materially adversely affect the ability of the Partnership Group Entities considered as a whole to conduct their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49" w:name="15636-2-KB-01_PB_7_072013_7748"/>
      <w:bookmarkEnd w:id="4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businesses as currently conducted and as contemplated by the Pricing Disclosure Package and the Prospectus to be conducted..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i/>
          <w:sz w:val="17"/>
        </w:rPr>
        <w:t>Ownership of the General Partner Interest in the Partnership</w:t>
      </w:r>
      <w:r>
        <w:rPr>
          <w:rFonts w:ascii="Times New Roman" w:hAnsi="Times New Roman"/>
          <w:sz w:val="17"/>
        </w:rPr>
        <w:t>. The General Partner is, and at the applicable Delivery Date, after giving effect to the Transactions, will be, the sole general partner of the Partnership, with a non-economic general partner interest in the Partnership; such general partner interest has been duly authorized and validly issued in accordance with the Partnership Agreement and the General Partner owns such general partner interest free and clear of all Liens.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i/>
          <w:sz w:val="17"/>
        </w:rPr>
        <w:t>Ownership of GP LLC</w:t>
      </w:r>
      <w:r>
        <w:rPr>
          <w:rFonts w:ascii="Times New Roman" w:hAnsi="Times New Roman"/>
          <w:sz w:val="17"/>
        </w:rPr>
        <w:t>. The Partnership owns, and at the applicable Delivery Date, after giving effect to the Transactions, will own, a 100% membership interest in GP LLC; such membership interest has been duly authorized and validly issued in accordance with the Plains GP LLC Agreement and is fully paid (to the extent required under the Plains GP LLC Agreement) and nonassessable (except as such nonassessability may be affected by Sections 18-607 and 18-804 of the Delaware LLC Act; and such membership interest is owned free and clear of all Liens, except (i) as disclosed in the Pricing Disclosure Package and the Prospectus or (ii) such as would not reasonably be expected to result in a change of control of the Partnership or reasonably be expected to materially adversely affect the ability of the Partnership Group Entities considered as a whole to conduct their businesses as currently conducted and as contemplated by the Pricing Disclosure Package and the Prospectus to be conducted.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w:t>
      </w:r>
      <w:r>
        <w:rPr>
          <w:rFonts w:ascii="Times New Roman" w:hAnsi="Times New Roman"/>
        </w:rPr>
        <w:t xml:space="preserve">                                 </w:t>
      </w:r>
      <w:r>
        <w:rPr>
          <w:rFonts w:ascii="Times New Roman" w:hAnsi="Times New Roman"/>
          <w:i/>
          <w:sz w:val="17"/>
        </w:rPr>
        <w:t>Ownership of the General Partner Interest in Plains AAP</w:t>
      </w:r>
      <w:r>
        <w:rPr>
          <w:rFonts w:ascii="Times New Roman" w:hAnsi="Times New Roman"/>
          <w:sz w:val="17"/>
        </w:rPr>
        <w:t>. GP LLC is, and at the applicable Delivery Date, after giving effect to the Transactions, will be, the sole general partner of Plains AAP, with a non-economic general partner interest in Plains AAP; such general partner interest has been duly authorized and validly issued in accordance with the AAP Partnership Agreement and GP LLC owns such general partner interest free and clear of all Liens.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w:t>
      </w:r>
      <w:r>
        <w:rPr>
          <w:rFonts w:ascii="Times New Roman" w:hAnsi="Times New Roman"/>
        </w:rPr>
        <w:t xml:space="preserve">                                 </w:t>
      </w:r>
      <w:r>
        <w:rPr>
          <w:rFonts w:ascii="Times New Roman" w:hAnsi="Times New Roman"/>
          <w:i/>
          <w:sz w:val="17"/>
        </w:rPr>
        <w:t>Ownership of PAA GP</w:t>
      </w:r>
      <w:r>
        <w:rPr>
          <w:rFonts w:ascii="Times New Roman" w:hAnsi="Times New Roman"/>
          <w:sz w:val="17"/>
        </w:rPr>
        <w:t>. Plains AAP owns, and at the applicable Delivery Date, after giving effect to the Transactions, will own, a 100% membership interest in PAA GP; such membership interest has been duly authorized and validly issued in accordance with the limited liability company agreement of PAA GP (as amended and restated to date, the </w:t>
      </w:r>
      <w:r>
        <w:rPr>
          <w:rFonts w:ascii="Times New Roman" w:hAnsi="Times New Roman"/>
          <w:b/>
          <w:sz w:val="17"/>
        </w:rPr>
        <w:t>PAA GP LLC Agreement</w:t>
      </w:r>
      <w:r>
        <w:rPr>
          <w:rFonts w:ascii="Times New Roman" w:hAnsi="Times New Roman"/>
          <w:sz w:val="17"/>
        </w:rPr>
        <w:t>) and is fully paid (to the extent required under the PAA GP LLC Agreement) and nonassessable (except as such nonassessability may be affected by Sections 18-607 and 18-804 of the Delaware LLC Act); and such membership interest is owned free and clear of all Liens, except (i) as disclosed in the Pricing Disclosure Package and the Prospectus or (ii) such as would not reasonably be expected to result in a change of control of the Partnership or reasonably be expected to materially adversely affect the ability of the Partnership Group Entities considered as a whole to conduct their businesses as currently conducted and as contemplated by the Pricing Disclosure Package and the Prospectus to be conducted.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w:t>
      </w:r>
      <w:r>
        <w:rPr>
          <w:rFonts w:ascii="Times New Roman" w:hAnsi="Times New Roman"/>
        </w:rPr>
        <w:t xml:space="preserve">                                 </w:t>
      </w:r>
      <w:r>
        <w:rPr>
          <w:rFonts w:ascii="Times New Roman" w:hAnsi="Times New Roman"/>
          <w:i/>
          <w:sz w:val="17"/>
        </w:rPr>
        <w:t>Ownership of the General Partner Interest in PAA</w:t>
      </w:r>
      <w:r>
        <w:rPr>
          <w:rFonts w:ascii="Times New Roman" w:hAnsi="Times New Roman"/>
          <w:sz w:val="17"/>
        </w:rPr>
        <w:t>. PAA GP is, and at the applicable Delivery Date, after giving effect to the Transactions, will be, the sole general partner of PAA, with a 2.0% general partner interest in PAA; such general partner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50" w:name="15636-2-KB-01_PB_8_072026_141"/>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has been duly authorized and validly issued in accordance with the PAA Partnership Agreement and PAA GP owns such general partner interest free and clear of all Liens.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(q)</w:t>
      </w:r>
      <w:r>
        <w:rPr>
          <w:rFonts w:ascii="Times New Roman" w:hAnsi="Times New Roman"/>
        </w:rPr>
        <w:t xml:space="preserve">                                 </w:t>
      </w:r>
      <w:r>
        <w:rPr>
          <w:rFonts w:ascii="Times New Roman" w:hAnsi="Times New Roman"/>
          <w:i/>
          <w:sz w:val="17"/>
        </w:rPr>
        <w:t>Ownership of the Material Subsidiaries</w:t>
      </w:r>
      <w:r>
        <w:rPr>
          <w:rFonts w:ascii="Times New Roman" w:hAnsi="Times New Roman"/>
          <w:sz w:val="17"/>
        </w:rPr>
        <w:t>.  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adopted, entered into, amended or restated prior to the applicable Delivery Date) (the </w:t>
      </w:r>
      <w:r>
        <w:rPr>
          <w:rFonts w:ascii="Times New Roman" w:hAnsi="Times New Roman"/>
          <w:b/>
          <w:sz w:val="17"/>
        </w:rPr>
        <w:t>Subsidiary Organizational Agreements</w:t>
      </w:r>
      <w:r>
        <w:rPr>
          <w:rFonts w:ascii="Times New Roman" w:hAnsi="Times New Roman"/>
          <w:sz w:val="17"/>
        </w:rPr>
        <w:t> and together with the Partnership Group Organizational Agreements, the </w:t>
      </w:r>
      <w:r>
        <w:rPr>
          <w:rFonts w:ascii="Times New Roman" w:hAnsi="Times New Roman"/>
          <w:b/>
          <w:sz w:val="17"/>
        </w:rPr>
        <w:t>Organizational Agreements</w:t>
      </w:r>
      <w:r>
        <w:rPr>
          <w:rFonts w:ascii="Times New Roman" w:hAnsi="Times New Roman"/>
          <w:sz w:val="17"/>
        </w:rPr>
        <w:t>) of such Material Subsidiary), are fully paid (in the case of an interest in a limited partnership or limited liability company, to the extent required under the Subsidiary Organizational Agreement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 w:hAnsi="Times New Roman"/>
          <w:b/>
          <w:sz w:val="17"/>
        </w:rPr>
        <w:t>Delaware LP Act</w:t>
      </w:r>
      <w:r>
        <w:rPr>
          <w:rFonts w:ascii="Times New Roman" w:hAnsi="Times New Roman"/>
          <w:sz w:val="17"/>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the portion of the limited partner interest in PAA and PAA Natural Gas Storage, L.P., a Delaware limited partnership (</w:t>
      </w:r>
      <w:r>
        <w:rPr>
          <w:rFonts w:ascii="Times New Roman" w:hAnsi="Times New Roman"/>
          <w:b/>
          <w:sz w:val="17"/>
        </w:rPr>
        <w:t>PNG</w:t>
      </w:r>
      <w:r>
        <w:rPr>
          <w:rFonts w:ascii="Times New Roman" w:hAnsi="Times New Roman"/>
          <w:sz w:val="17"/>
        </w:rPr>
        <w:t>), held by public or private investors, are owned, directly or indirectly, by the Partnership, free and clear of all Liens, except for such Liens as are not, individually or in the aggregate, material to such ownership or as described in the Pricing Disclosure Package and the Prospectus.  The direct or indirect subsidiaries of PAA other than the Material Subsidiaries did not, individually or in the aggregate, account for (i) more than 10% of the total consolidated assets of PAA as of the most recent fiscal year end or (ii) more than 10% of the consolidated net income of PAA for the most recent fiscal year end.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(r)</w:t>
      </w:r>
      <w:r>
        <w:rPr>
          <w:rFonts w:ascii="Times New Roman" w:hAnsi="Times New Roman"/>
        </w:rPr>
        <w:t xml:space="preserve">                                    </w:t>
      </w:r>
      <w:r>
        <w:rPr>
          <w:rFonts w:ascii="Times New Roman" w:hAnsi="Times New Roman"/>
          <w:i/>
          <w:sz w:val="17"/>
        </w:rPr>
        <w:t>Ownership of the Incentive Distribution Rights</w:t>
      </w:r>
      <w:r>
        <w:rPr>
          <w:rFonts w:ascii="Times New Roman" w:hAnsi="Times New Roman"/>
          <w:sz w:val="17"/>
        </w:rPr>
        <w:t>. At the applicable Delivery Date, after giving effect to the Transactions, Plains AAP will own all of the Incentive Distribution Rights; the Incentive Distribution Rights and the limited partner interests represented thereby will have been duly authorized and validly issued in accordance with the PAA Partnership Agreement and will be fully paid (to the extent required under the PAA Partnership Agreement) and nonassessable (except as such nonassessability may be affected by matters described in Sections 17-607 and 17-804 of the Delaware LP Act); and Plains AAP will own such interests free and clear of all Liens, except as disclosed in the Pricing Disclosure Package and the Prospectus.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51" w:name="15636-2-KB-01_PB_9_072036_7608"/>
      <w:bookmarkEnd w:id="51"/>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w:t>
      </w:r>
      <w:r>
        <w:rPr>
          <w:rFonts w:ascii="Times New Roman" w:hAnsi="Times New Roman"/>
        </w:rPr>
        <w:t xml:space="preserve">                                   </w:t>
      </w:r>
      <w:r>
        <w:rPr>
          <w:rFonts w:ascii="Times New Roman" w:hAnsi="Times New Roman"/>
          <w:i/>
          <w:sz w:val="17"/>
        </w:rPr>
        <w:t>Ownership of Class B Shares</w:t>
      </w:r>
      <w:r>
        <w:rPr>
          <w:rFonts w:ascii="Times New Roman" w:hAnsi="Times New Roman"/>
          <w:sz w:val="17"/>
        </w:rPr>
        <w:t>. Assuming no purchase by the Underwriters of the Additional Shares, on the Initial Delivery Date, after giving effect to the Transactions, the Class B Shares and the limited partner interests represented thereby will have been duly authorized and validly issued in accordance with the Partnership Agreement, and will be fully paid (to the extent required under the Partnership Agreement) and nonassessable (except as such nonassessability may be affected by Sections 17-607 and 17-804 of the Delaware LP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w:t>
      </w:r>
      <w:r>
        <w:rPr>
          <w:rFonts w:ascii="Times New Roman" w:hAnsi="Times New Roman"/>
        </w:rPr>
        <w:t xml:space="preserve">                                    </w:t>
      </w:r>
      <w:r>
        <w:rPr>
          <w:rFonts w:ascii="Times New Roman" w:hAnsi="Times New Roman"/>
          <w:i/>
          <w:sz w:val="17"/>
        </w:rPr>
        <w:t>Ownership of AAP Units</w:t>
      </w:r>
      <w:r>
        <w:rPr>
          <w:rFonts w:ascii="Times New Roman" w:hAnsi="Times New Roman"/>
          <w:sz w:val="17"/>
        </w:rPr>
        <w:t>. Assuming no purchase by the Underwriters of the Additional Shares, on the Initial Delivery Date, after giving effect to the Transactions, (i) the Partnership and the Existing Owners will own all of the AAP Units (other than the Incentive Units), (ii) the Partnership will own [</w:t>
      </w:r>
      <w:r>
        <w:rPr>
          <w:rFonts w:ascii="Symbol" w:hAnsi="Symbol"/>
          <w:sz w:val="17"/>
        </w:rPr>
        <w:t>·</w:t>
      </w:r>
      <w:r>
        <w:rPr>
          <w:rFonts w:ascii="Times New Roman" w:hAnsi="Times New Roman"/>
          <w:sz w:val="17"/>
        </w:rPr>
        <w:t>]% of the AAP Units (excluding the Incentive Units); (iii) the AAP Units and the limited partner interests represented thereby will have been duly authorized and validly issued in accordance with the AAP Partnership Agreement, and will be fully paid (to the extent required under the AAP Partnership Agreement) and nonassessable (except as such nonassessability may be affected by Sections 17-607 and 17-804 of the Delaware LP Act); and (iv) the Partnership will own such AAP Units free and clear of all Liens, except as disclosed in the Pricing Disclosure Package and the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(u)</w:t>
      </w:r>
      <w:r>
        <w:rPr>
          <w:rFonts w:ascii="Times New Roman" w:hAnsi="Times New Roman"/>
        </w:rPr>
        <w:t xml:space="preserve">                                 </w:t>
      </w:r>
      <w:r>
        <w:rPr>
          <w:rFonts w:ascii="Times New Roman" w:hAnsi="Times New Roman"/>
          <w:i/>
          <w:sz w:val="17"/>
        </w:rPr>
        <w:t>Capitalization of PAA</w:t>
      </w:r>
      <w:r>
        <w:rPr>
          <w:rFonts w:ascii="Times New Roman" w:hAnsi="Times New Roman"/>
          <w:sz w:val="17"/>
        </w:rPr>
        <w:t>.  As of the date hereof, the issued and outstanding limited partner interests of PAA consist of [</w:t>
      </w:r>
      <w:r>
        <w:rPr>
          <w:rFonts w:ascii="Symbol" w:hAnsi="Symbol"/>
          <w:sz w:val="17"/>
        </w:rPr>
        <w:t>·</w:t>
      </w:r>
      <w:r>
        <w:rPr>
          <w:rFonts w:ascii="Times New Roman" w:hAnsi="Times New Roman"/>
          <w:sz w:val="17"/>
        </w:rPr>
        <w:t>] common units representing limited partner interests and the Incentive Distribution Rights.  All such outstanding common units and the limited partner interests represented thereby have been duly authorized and validly issued in accordance with the PAA Partnership Agreement and are fully paid (to the extent required under the PAA Partnership Agreement) and nonassessable (except as such nonassessability may be affected by Sections 17-607 and 17-804 of the Delaware LP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i/>
          <w:sz w:val="17"/>
        </w:rPr>
        <w:t>Capitalization of the Partnership</w:t>
      </w:r>
      <w:r>
        <w:rPr>
          <w:rFonts w:ascii="Times New Roman" w:hAnsi="Times New Roman"/>
          <w:sz w:val="17"/>
        </w:rPr>
        <w:t>.  Assuming no purchase by the Underwriters of the Additional Shares, on the Initial Delivery Date, after giving effect to the Transactions, the issued and outstanding limited partner interests of the Partnership will consist of [</w:t>
      </w:r>
      <w:r>
        <w:rPr>
          <w:rFonts w:ascii="Symbol" w:hAnsi="Symbol"/>
          <w:sz w:val="17"/>
        </w:rPr>
        <w:t>·</w:t>
      </w:r>
      <w:r>
        <w:rPr>
          <w:rFonts w:ascii="Times New Roman" w:hAnsi="Times New Roman"/>
          <w:sz w:val="17"/>
        </w:rPr>
        <w:t>] Class A Shares and [</w:t>
      </w:r>
      <w:r>
        <w:rPr>
          <w:rFonts w:ascii="Symbol" w:hAnsi="Symbol"/>
          <w:sz w:val="17"/>
        </w:rPr>
        <w:t>·</w:t>
      </w:r>
      <w:r>
        <w:rPr>
          <w:rFonts w:ascii="Times New Roman" w:hAnsi="Times New Roman"/>
          <w:sz w:val="17"/>
        </w:rPr>
        <w:t>] Class B Shares.  All outstanding Class A Shares and Class B Shares and the limited partner interests represented thereby will have been duly authorized and validly issued in accordance with the Partnership Agreement and will be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w:t>
      </w:r>
      <w:r>
        <w:rPr>
          <w:rFonts w:ascii="Times New Roman" w:hAnsi="Times New Roman"/>
        </w:rPr>
        <w:t xml:space="preserve">                               </w:t>
      </w:r>
      <w:r>
        <w:rPr>
          <w:rFonts w:ascii="Times New Roman" w:hAnsi="Times New Roman"/>
          <w:i/>
          <w:sz w:val="17"/>
        </w:rPr>
        <w:t>Duly Authorized and Validly Issued Shares</w:t>
      </w:r>
      <w:r>
        <w:rPr>
          <w:rFonts w:ascii="Times New Roman" w:hAnsi="Times New Roman"/>
          <w:sz w:val="17"/>
        </w:rPr>
        <w:t>.  At the applicable Delivery Date, the Shares to be sold by the Partnership and the limited partner interests represented thereby will be duly authorized in accordance with the Partnership Agreement and, when issued and delivered to the Underwriters against payment therefor in accordance with the terms hereof, will be validly issued, fully paid (to the extent required under the Partnership Agreement) and nonassessable (except as such nonassessability may be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52" w:name="15636-2-KB-03_PB_10_072150_8146"/>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affected by Sections 17-607 and 17-804 of the Delaware LP Act). Other than the Class B Shares and any limited partner interests issued pursuant to the Partnerships long-term incentive plan, the Shares will be the only limited partner interests of the Partnership issued or outstanding at the Initial Delivery Date and at each Additional Share Delivery Date,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w:t>
      </w:r>
      <w:r>
        <w:rPr>
          <w:rFonts w:ascii="Times New Roman" w:hAnsi="Times New Roman"/>
        </w:rPr>
        <w:t xml:space="preserve">                                 </w:t>
      </w:r>
      <w:r>
        <w:rPr>
          <w:rFonts w:ascii="Times New Roman" w:hAnsi="Times New Roman"/>
          <w:i/>
          <w:sz w:val="17"/>
        </w:rPr>
        <w:t>No Preemptive or Other Rights</w:t>
      </w:r>
      <w:r>
        <w:rPr>
          <w:rFonts w:ascii="Times New Roman" w:hAnsi="Times New Roman"/>
          <w:sz w:val="17"/>
        </w:rPr>
        <w:t>.  Except as described in the Pricing Disclosure Package and the Prospectus or as provided in the Operative Documents, there are no preemptive rights or other rights to subscribe for or to purchase, nor any restriction upon the voting or transfer of, any equity securities of the Partnership pursuant to any agreement or other instrument to which the Partnership is a party or by which the Partnership may be bound. Neither the filing of the Registration Statement nor the offering or sale of the Shares as contemplated by this Agreement gives rise to any rights for or relating to the registration of any Shares or other securities of the Partnership, except such rights as have been waived or satisfied.  Except (i) as described in the Pricing Disclosure Package and the Prospectus (ii) for awards issued pursuant to the Partnerships long-term incentive plan, there are no outstanding options, warrants or other rights to purchase or exchange any securities for any Shares or other equity interests in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(y)</w:t>
      </w:r>
      <w:r>
        <w:rPr>
          <w:rFonts w:ascii="Times New Roman" w:hAnsi="Times New Roman"/>
        </w:rPr>
        <w:t xml:space="preserve">                                 </w:t>
      </w:r>
      <w:r>
        <w:rPr>
          <w:rFonts w:ascii="Times New Roman" w:hAnsi="Times New Roman"/>
          <w:i/>
          <w:sz w:val="17"/>
        </w:rPr>
        <w:t>Authority</w:t>
      </w:r>
      <w:r>
        <w:rPr>
          <w:rFonts w:ascii="Times New Roman" w:hAnsi="Times New Roman"/>
          <w:sz w:val="17"/>
        </w:rPr>
        <w:t>.  The Partnership has all requisite limited partnership power and authority to issue, sell and deliver (i) the Shares, in accordance with and upon the terms and conditions set forth in this Agreement, the Partnership Agreement, the Registration Statement, the Pricing Disclosure Package and the Prospectus and (ii) the Class B Shares, in accordance with and upon the terms and conditions set forth in this Agreement, the Partnership Agreement, the Registration Statement, the Pricing Disclosure Package and the Prospectus.  Each of the Partnership Parties has all requisite limited partnership or limited liability company power and authority to execute and deliver this Agreement and to perform its respective obligations hereunder. At the applicable Delivery Date, all action required to be taken by the Partnership Parties or any of their respective unitholders, shareholders, members or partners for (i) the due and proper authorization, execution and delivery of this Agreement, (ii) the authorization, issuance, sale and delivery of the Shares, the Class B Shares, and the execution and delivery of the Operative Documents and (iii) the consummation of the other transactions contemplated by this Agreement and the Operative Documents shall have been duly and validly taken.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(z)</w:t>
      </w:r>
      <w:r>
        <w:rPr>
          <w:rFonts w:ascii="Times New Roman" w:hAnsi="Times New Roman"/>
        </w:rPr>
        <w:t xml:space="preserve">                                  </w:t>
      </w:r>
      <w:r>
        <w:rPr>
          <w:rFonts w:ascii="Times New Roman" w:hAnsi="Times New Roman"/>
          <w:i/>
          <w:sz w:val="17"/>
        </w:rPr>
        <w:t>Authorization, Execution and Delivery of this Agreement</w:t>
      </w:r>
      <w:r>
        <w:rPr>
          <w:rFonts w:ascii="Times New Roman" w:hAnsi="Times New Roman"/>
          <w:sz w:val="17"/>
        </w:rPr>
        <w:t>.  This Agreement has been duly and validly authorized, executed and delivered by or on behalf of the Partnership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(aa)</w:t>
      </w:r>
      <w:r>
        <w:rPr>
          <w:rFonts w:ascii="Times New Roman" w:hAnsi="Times New Roman"/>
        </w:rPr>
        <w:t xml:space="preserve">                          </w:t>
      </w:r>
      <w:r>
        <w:rPr>
          <w:rFonts w:ascii="Times New Roman" w:hAnsi="Times New Roman"/>
          <w:i/>
          <w:sz w:val="17"/>
        </w:rPr>
        <w:t>Authorization, Execution and Enforceability of the Operative Documents</w:t>
      </w:r>
      <w:r>
        <w:rPr>
          <w:rFonts w:ascii="Times New Roman" w:hAnsi="Times New Roman"/>
          <w:sz w:val="17"/>
        </w:rPr>
        <w:t xml:space="preserve">.  The Operative Documents will have been duly authorized, executed and delivered by the parties thereto and each will be a valid and legally binding agreement of the parties thereto, enforceable against such parties thereto in accordance with their respective terms;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that</w:t>
      </w:r>
      <w:r>
        <w:rPr>
          <w:rFonts w:ascii="Times New Roman" w:hAnsi="Times New Roman"/>
          <w:sz w:val="17"/>
        </w:rPr>
        <w:t>, with respect to each such agreement, the enforceability thereof may be limited by applicable bankruptcy, insolvency, fraudulent transfer, reorganization, moratorium or similar laws from time to time in effect affecting creditors rights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53" w:name="15636-2-KB-03_PB_11_072201_7091"/>
      <w:bookmarkEnd w:id="5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remedies generally and by general principles of equity (regardless of whether such principles are considered in a proceeding in equity or at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(bb)</w:t>
      </w:r>
      <w:r>
        <w:rPr>
          <w:rFonts w:ascii="Times New Roman" w:hAnsi="Times New Roman"/>
        </w:rPr>
        <w:t xml:space="preserve">                          </w:t>
      </w:r>
      <w:r>
        <w:rPr>
          <w:rFonts w:ascii="Times New Roman" w:hAnsi="Times New Roman"/>
          <w:i/>
          <w:sz w:val="17"/>
        </w:rPr>
        <w:t>No Conflicts or Violations</w:t>
      </w:r>
      <w:r>
        <w:rPr>
          <w:rFonts w:ascii="Times New Roman" w:hAnsi="Times New Roman"/>
          <w:sz w:val="17"/>
        </w:rPr>
        <w:t>.  None of the (i) offering, issuance and sale by the Partnership of the Shares, (ii) the execution, delivery and performance of this Agreement or the Operative Documents by the Partnership Entities party hereto or thereto, or (iii) the consummation of the Transactions: (A) conflicts or will conflict with or constitutes or will constitute a violation of the Organizational Agreements of any of the Partnership Group Entities,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any of the Partnership Entities is a party or by which any of them or any of their respective properties may be bound, (C) violates or will violate any statute, law or regulation or any order, judgment, decree or injunction of any court or governmental agency or body directed to any of the Partnership Entities or any of their properties in a proceeding to which any of them or their property is a party or (D) results or will result in the creation or imposition of any Lien upon any property or assets of any of the Partnership Entities, which conflicts, breaches, violations, defaults or Liens, in the case of clauses (B), (C) or (D), would reasonably be expected to have a Material Adverse Effect or materially impair the ability of any of the Partnership Parties or the PAA GP Entities to consummate the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(cc)</w:t>
      </w:r>
      <w:r>
        <w:rPr>
          <w:rFonts w:ascii="Times New Roman" w:hAnsi="Times New Roman"/>
        </w:rPr>
        <w:t xml:space="preserve">                            </w:t>
      </w:r>
      <w:r>
        <w:rPr>
          <w:rFonts w:ascii="Times New Roman" w:hAnsi="Times New Roman"/>
          <w:i/>
          <w:sz w:val="17"/>
        </w:rPr>
        <w:t>No Consents</w:t>
      </w:r>
      <w:r>
        <w:rPr>
          <w:rFonts w:ascii="Times New Roman" w:hAnsi="Times New Roman"/>
          <w:sz w:val="17"/>
        </w:rPr>
        <w:t>.  No consent, approval, authorization, filing with or order of any court, governmental agency or body having jurisdiction over any of the Partnership Group Entities or any of their respective properties is required in connection with (i) the offering, issuance and sale by the Partnership of the Shares, (ii) the execution, delivery and performance of, or the consummation of this Agreement or the Transaction Documents by the Partnership Parties or the PAA GP Entities party hereto or thereto or (iii) the consummation by the Partnership Parties or the PAA GP Entities of the Transactions, except (A) such as have been obtained under the Securities Act, (B) such as may be required under the blue sky laws of any jurisdiction or the by-laws and rules of the Financial Industry Regulatory Authority, Inc. (</w:t>
      </w:r>
      <w:r>
        <w:rPr>
          <w:rFonts w:ascii="Times New Roman" w:hAnsi="Times New Roman"/>
          <w:b/>
          <w:sz w:val="17"/>
        </w:rPr>
        <w:t>FINRA</w:t>
      </w:r>
      <w:r>
        <w:rPr>
          <w:rFonts w:ascii="Times New Roman" w:hAnsi="Times New Roman"/>
          <w:sz w:val="17"/>
        </w:rPr>
        <w:t>) in connection with the purchase and distribution by the Underwriters of the Shares in the manner contemplated herein and in the Pricing Disclosure Package and the Prospectus and (iii) such that the failure to obtain or make would not reasonably be expected to have a Material Adverse Effect or materially impair the ability of any of the Partnership Parties or the PAA GP Entities to consummate the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(dd)</w:t>
      </w:r>
      <w:r>
        <w:rPr>
          <w:rFonts w:ascii="Times New Roman" w:hAnsi="Times New Roman"/>
        </w:rPr>
        <w:t xml:space="preserve">                          </w:t>
      </w:r>
      <w:r>
        <w:rPr>
          <w:rFonts w:ascii="Times New Roman" w:hAnsi="Times New Roman"/>
          <w:i/>
          <w:sz w:val="17"/>
        </w:rPr>
        <w:t>No Default</w:t>
      </w:r>
      <w:r>
        <w:rPr>
          <w:rFonts w:ascii="Times New Roman" w:hAnsi="Times New Roman"/>
          <w:sz w:val="17"/>
        </w:rPr>
        <w:t>.  None of the Partnership Entities is in (i) violation of its Organizational Agreements, as applicable, in any material respect; (ii) violation of any law, statute, ordinance, administrative or governmental rule or regulation applicable to it or of any decree of any court or governmental agency or body having jurisdiction over it; or (iii)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54" w:name="15636-2-KB-03_PB_12_072209_455"/>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which it or any of its properties may be bound, which breach, default or violation, in the case of (ii) or (iii) would, if continued, reasonably be expected to have a Material Adverse Effect or materially impair the ability of any of the Partnership Parties or the PAA GP Entities to consummate the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(ee)</w:t>
      </w:r>
      <w:r>
        <w:rPr>
          <w:rFonts w:ascii="Times New Roman" w:hAnsi="Times New Roman"/>
        </w:rPr>
        <w:t xml:space="preserve">                            </w:t>
      </w:r>
      <w:r>
        <w:rPr>
          <w:rFonts w:ascii="Times New Roman" w:hAnsi="Times New Roman"/>
          <w:i/>
          <w:sz w:val="17"/>
        </w:rPr>
        <w:t>Independent Registered Public Accounting Firm</w:t>
      </w:r>
      <w:r>
        <w:rPr>
          <w:rFonts w:ascii="Times New Roman" w:hAnsi="Times New Roman"/>
          <w:sz w:val="17"/>
        </w:rPr>
        <w:t>. PricewaterhouseCoopers LLP, which has certified the audited financial statements included in the Registration Statement, the most recent Preliminary Prospectus and the Prospectus (and any amendment or supplement thereto), are an independent registered public accounting firm with respect to the Partnership Parties and the Partnerships consolidated subsidiaries as required by the Securities Act and the Rules and Regulations and the Public Company Accounting Oversight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(ff)</w:t>
      </w:r>
      <w:r>
        <w:rPr>
          <w:rFonts w:ascii="Times New Roman" w:hAnsi="Times New Roman"/>
        </w:rPr>
        <w:t xml:space="preserve">                              </w:t>
      </w:r>
      <w:r>
        <w:rPr>
          <w:rFonts w:ascii="Times New Roman" w:hAnsi="Times New Roman"/>
          <w:i/>
          <w:sz w:val="17"/>
        </w:rPr>
        <w:t>Financial Statements</w:t>
      </w:r>
      <w:r>
        <w:rPr>
          <w:rFonts w:ascii="Times New Roman" w:hAnsi="Times New Roman"/>
          <w:sz w:val="17"/>
        </w:rPr>
        <w:t>.  As of [June 30], 2013, the Partnership had, on an as adjusted basis as indicated in the Pricing Disclosure Package and the Prospectus (and any amendment or supplement thereto), an approximate total capitalization as set forth therein. The financial statements (including the related notes and supporting schedules) and other financial information included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historical financial data included in the most recent Preliminary Prospectus under the caption SummarySummary Historical and Pro Forma Financial Data in the Registration Statement, the Pricing Disclosure Package and the Prospectus and the selected historical financial data set forth under the caption Selected Historical and Pro Forma Financial Data included in the Registration Statement, the Pricing Disclosure Package and the Prospectus (and any amendment or supplement thereto) is accurately presented in all material respects and prepared on a basis consistent with the audited and unaudited historical consolidated financial statements from which they have been derived, except as described therein.  The pro forma financial statements and other pro forma financial information included in the Registration Statement, the Pricing Disclosure Package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included in the Registration Statement, the Pricing Disclosure Package and the Prospectus (and any amendment or supplement thereto) are reasonable, and the adjustments used therein are appropriate to give effect to the transactions or circumstances referred to therein.  No other financial statements or schedules of the Partnership are required by the Securities Act or the Securities Exchange Act of 1934, as amended (the </w:t>
      </w:r>
      <w:r>
        <w:rPr>
          <w:rFonts w:ascii="Times New Roman" w:hAnsi="Times New Roman"/>
          <w:b/>
          <w:sz w:val="17"/>
        </w:rPr>
        <w:t>Exchange Act</w:t>
      </w:r>
      <w:r>
        <w:rPr>
          <w:rFonts w:ascii="Times New Roman" w:hAnsi="Times New Roman"/>
          <w:sz w:val="17"/>
        </w:rPr>
        <w:t>) to be included in the Registration Statement, the Pricing Disclosure Package or the Prospectus.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55" w:name="15636-2-KB-03_PB_13_072216_4141"/>
      <w:bookmarkEnd w:id="5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(gg)</w:t>
      </w:r>
      <w:r>
        <w:rPr>
          <w:rFonts w:ascii="Times New Roman" w:hAnsi="Times New Roman"/>
        </w:rPr>
        <w:t xml:space="preserve">                            </w:t>
      </w:r>
      <w:r>
        <w:rPr>
          <w:rFonts w:ascii="Times New Roman" w:hAnsi="Times New Roman"/>
          <w:i/>
          <w:sz w:val="17"/>
        </w:rPr>
        <w:t>No Material Adverse Change</w:t>
      </w:r>
      <w:r>
        <w:rPr>
          <w:rFonts w:ascii="Times New Roman" w:hAnsi="Times New Roman"/>
          <w:sz w:val="17"/>
        </w:rPr>
        <w:t>.  None of the Partnership Group Entities has sustained, since the date of the latest audited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there has not been (i) any Material Adverse Effect, or any development that would, individually or in the aggregate, reasonably be expected to have a Material Adverse Effect, (ii) any transaction which is material to the Partnership Group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direct or indirect majority owned subsidiary of PAA to another direct or indirect majority owned subsidiary of PAA or PAA or from a PAA GP Entity to its members or other equity owners, declared, paid or made on the security interests of any of the Partnership Group Entities, in each case other than as set forth in the Registration Statement, the Pricing Disclosure Package and the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(hh)</w:t>
      </w:r>
      <w:r>
        <w:rPr>
          <w:rFonts w:ascii="Times New Roman" w:hAnsi="Times New Roman"/>
        </w:rPr>
        <w:t xml:space="preserve">                          </w:t>
      </w:r>
      <w:r>
        <w:rPr>
          <w:rFonts w:ascii="Times New Roman" w:hAnsi="Times New Roman"/>
          <w:i/>
          <w:sz w:val="17"/>
        </w:rPr>
        <w:t>Required Disclosures and Descriptions</w:t>
      </w:r>
      <w:r>
        <w:rPr>
          <w:rFonts w:ascii="Times New Roman" w:hAnsi="Times New Roman"/>
          <w:sz w:val="17"/>
        </w:rPr>
        <w:t>. There are no legal or governmental proceedings pending or, to the knowledge of the Partnership Parties, threatened, against any of the Partnership Group Entities, or to which any of the Partnership Group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i/>
          <w:sz w:val="17"/>
        </w:rPr>
        <w:t>Title to Properties</w:t>
      </w:r>
      <w:r>
        <w:rPr>
          <w:rFonts w:ascii="Times New Roman" w:hAnsi="Times New Roman"/>
          <w:sz w:val="17"/>
        </w:rPr>
        <w:t>.  The Partnership Group Entities, directly or indirectly, have good and indefeasible title to all real property and good title to all personal property described in the Pricing Disclosure Package and the Prospectus as being owned by them, free and clear of all Liens except (i) as provided in the Third Amended and Restated Credit Agreement dated August 19, 2011, as amended (the </w:t>
      </w:r>
      <w:r>
        <w:rPr>
          <w:rFonts w:ascii="Times New Roman" w:hAnsi="Times New Roman"/>
          <w:b/>
          <w:sz w:val="17"/>
        </w:rPr>
        <w:t>Restated Facility</w:t>
      </w:r>
      <w:r>
        <w:rPr>
          <w:rFonts w:ascii="Times New Roman" w:hAnsi="Times New Roman"/>
          <w:sz w:val="17"/>
        </w:rPr>
        <w:t>), among Plains Marketing, L.P. (</w:t>
      </w:r>
      <w:r>
        <w:rPr>
          <w:rFonts w:ascii="Times New Roman" w:hAnsi="Times New Roman"/>
          <w:b/>
          <w:sz w:val="17"/>
        </w:rPr>
        <w:t>Plains Marketing</w:t>
      </w:r>
      <w:r>
        <w:rPr>
          <w:rFonts w:ascii="Times New Roman" w:hAnsi="Times New Roman"/>
          <w:sz w:val="17"/>
        </w:rPr>
        <w:t>), Bank of America, N.A., as administrative agent thereunder and the lenders from time to time party thereto, filed as an exhibit to the Registration Statement, (ii) as provided in the Amended and Restated Credit Agreement dated as of June 27, 2012 among Plains AAP, Citibank, N.A., as Administrative Agent thereunder and the other lenders party thereto, as amended by the Credit Agreement Amendment, filed as an exhibit to the Registration Statement and (iii) such as would not reasonably be expected to have, individually or in the aggregate, a Material Adverse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56" w:name="15636-2-KB-03_PB_14_072221_8627"/>
      <w:bookmarkEnd w:id="5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Effect; and all real property and buildings held under lease by the any of the Partnership Group Entities are held, directly or indirectly, under valid and subsisting and enforceable leases with such exceptions as would not reasonably be expected to have a Material Adverse Effect, as described in the Pricing Disclosure Package and the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(jj)</w:t>
      </w:r>
      <w:r>
        <w:rPr>
          <w:rFonts w:ascii="Times New Roman" w:hAnsi="Times New Roman"/>
        </w:rPr>
        <w:t xml:space="preserve">                                </w:t>
      </w:r>
      <w:r>
        <w:rPr>
          <w:rFonts w:ascii="Times New Roman" w:hAnsi="Times New Roman"/>
          <w:i/>
          <w:sz w:val="17"/>
        </w:rPr>
        <w:t>Permits</w:t>
      </w:r>
      <w:r>
        <w:rPr>
          <w:rFonts w:ascii="Times New Roman" w:hAnsi="Times New Roman"/>
          <w:sz w:val="17"/>
        </w:rPr>
        <w:t>.  Each of the Partnership Group Entities, directly or indirectly, has such permits, consents, licenses, franchises, certificates and authorizations of governmental or regulatory authorities (</w:t>
      </w:r>
      <w:r>
        <w:rPr>
          <w:rFonts w:ascii="Times New Roman" w:hAnsi="Times New Roman"/>
          <w:b/>
          <w:sz w:val="17"/>
        </w:rPr>
        <w:t>Permits</w:t>
      </w:r>
      <w:r>
        <w:rPr>
          <w:rFonts w:ascii="Times New Roman" w:hAnsi="Times New Roman"/>
          <w:sz w:val="17"/>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Partnership Group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(kk)</w:t>
      </w:r>
      <w:r>
        <w:rPr>
          <w:rFonts w:ascii="Times New Roman" w:hAnsi="Times New Roman"/>
        </w:rPr>
        <w:t xml:space="preserve">                          </w:t>
      </w:r>
      <w:r>
        <w:rPr>
          <w:rFonts w:ascii="Times New Roman" w:hAnsi="Times New Roman"/>
          <w:i/>
          <w:sz w:val="17"/>
        </w:rPr>
        <w:t>Rights-of-Way</w:t>
      </w:r>
      <w:r>
        <w:rPr>
          <w:rFonts w:ascii="Times New Roman" w:hAnsi="Times New Roman"/>
          <w:sz w:val="17"/>
        </w:rPr>
        <w:t>.  Each of the Partnership Group Entities, directly or indirectly, has such consents, easements, rights-of-way or licenses from any person (</w:t>
      </w:r>
      <w:r>
        <w:rPr>
          <w:rFonts w:ascii="Times New Roman" w:hAnsi="Times New Roman"/>
          <w:b/>
          <w:sz w:val="17"/>
        </w:rPr>
        <w:t>rights-of-way</w:t>
      </w:r>
      <w:r>
        <w:rPr>
          <w:rFonts w:ascii="Times New Roman" w:hAnsi="Times New Roman"/>
          <w:sz w:val="17"/>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Partnership Group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(ll)</w:t>
      </w:r>
      <w:r>
        <w:rPr>
          <w:rFonts w:ascii="Times New Roman" w:hAnsi="Times New Roman"/>
        </w:rPr>
        <w:t xml:space="preserve">                                  </w:t>
      </w:r>
      <w:r>
        <w:rPr>
          <w:rFonts w:ascii="Times New Roman" w:hAnsi="Times New Roman"/>
          <w:i/>
          <w:sz w:val="17"/>
        </w:rPr>
        <w:t>Investment Company</w:t>
      </w:r>
      <w:r>
        <w:rPr>
          <w:rFonts w:ascii="Times New Roman" w:hAnsi="Times New Roman"/>
          <w:sz w:val="17"/>
        </w:rPr>
        <w:t>.  None of Partnership Group Entities is now, and after sale of the Shares to be sold by the Partnership hereunder and application of the net proceeds from such sale as described in the Pricing Disclosure Package and the Prospectus under the caption Use of Proceeds, none of the Partnership Group Entities will be, (i) an investment company or a company controlled by an investment company, each within the meaning of the Investment Company Act of 1940, as amended (the </w:t>
      </w:r>
      <w:r>
        <w:rPr>
          <w:rFonts w:ascii="Times New Roman" w:hAnsi="Times New Roman"/>
          <w:b/>
          <w:sz w:val="17"/>
        </w:rPr>
        <w:t>Investment Company Act</w:t>
      </w:r>
      <w:r>
        <w:rPr>
          <w:rFonts w:ascii="Times New Roman" w:hAnsi="Times New Roman"/>
          <w:sz w:val="17"/>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57" w:name="15636-2-KB-03_PB_15_072240_7906"/>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(mm)</w:t>
      </w:r>
      <w:r>
        <w:rPr>
          <w:rFonts w:ascii="Times New Roman" w:hAnsi="Times New Roman"/>
        </w:rPr>
        <w:t xml:space="preserve">                  </w:t>
      </w:r>
      <w:r>
        <w:rPr>
          <w:rFonts w:ascii="Times New Roman" w:hAnsi="Times New Roman"/>
          <w:i/>
          <w:sz w:val="17"/>
        </w:rPr>
        <w:t>Private Placement</w:t>
      </w:r>
      <w:r>
        <w:rPr>
          <w:rFonts w:ascii="Times New Roman" w:hAnsi="Times New Roman"/>
          <w:sz w:val="17"/>
        </w:rPr>
        <w:t>. The sale and issuance of the Class B Shares are exempt from the registration requirements of the Securities Act, the Rules and Regulations and the securities laws of any state having jurisdiction with respect thereto.  The Partnership has not sold or issued any securities that would be integrated with the offering of the Shares contemplated by this Agreement pursuant to the Securities Act, the Rules and Regulations or the interpretations thereof by the Commission.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(nn)</w:t>
      </w:r>
      <w:r>
        <w:rPr>
          <w:rFonts w:ascii="Times New Roman" w:hAnsi="Times New Roman"/>
        </w:rPr>
        <w:t xml:space="preserve">                          </w:t>
      </w:r>
      <w:r>
        <w:rPr>
          <w:rFonts w:ascii="Times New Roman" w:hAnsi="Times New Roman"/>
          <w:i/>
          <w:sz w:val="17"/>
        </w:rPr>
        <w:t>Environmental Compliance</w:t>
      </w:r>
      <w:r>
        <w:rPr>
          <w:rFonts w:ascii="Times New Roman" w:hAnsi="Times New Roman"/>
          <w:sz w:val="17"/>
        </w:rPr>
        <w:t>.  Except as described in the Pricing Disclosure Package and the Prospectus, none of the Partnership Group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hAnsi="Times New Roman"/>
          <w:b/>
          <w:sz w:val="17"/>
        </w:rPr>
        <w:t>Environmental Laws</w:t>
      </w:r>
      <w:r>
        <w:rPr>
          <w:rFonts w:ascii="Times New Roman" w:hAnsi="Times New Roman"/>
          <w:sz w:val="17"/>
        </w:rPr>
        <w:t>),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(oo)</w:t>
      </w:r>
      <w:r>
        <w:rPr>
          <w:rFonts w:ascii="Times New Roman" w:hAnsi="Times New Roman"/>
        </w:rPr>
        <w:t xml:space="preserve">                          </w:t>
      </w:r>
      <w:r>
        <w:rPr>
          <w:rFonts w:ascii="Times New Roman" w:hAnsi="Times New Roman"/>
          <w:i/>
          <w:sz w:val="17"/>
        </w:rPr>
        <w:t>No Labor Disputes</w:t>
      </w:r>
      <w:r>
        <w:rPr>
          <w:rFonts w:ascii="Times New Roman" w:hAnsi="Times New Roman"/>
          <w:sz w:val="17"/>
        </w:rPr>
        <w:t>.  No labor dispute with the employees of any of the Partnership Group Entities exists or, to the knowledge of the Partnership Parties, is imminent, that would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(pp)</w:t>
      </w:r>
      <w:r>
        <w:rPr>
          <w:rFonts w:ascii="Times New Roman" w:hAnsi="Times New Roman"/>
        </w:rPr>
        <w:t xml:space="preserve">                          </w:t>
      </w:r>
      <w:r>
        <w:rPr>
          <w:rFonts w:ascii="Times New Roman" w:hAnsi="Times New Roman"/>
          <w:i/>
          <w:sz w:val="17"/>
        </w:rPr>
        <w:t>Insurance</w:t>
      </w:r>
      <w:r>
        <w:rPr>
          <w:rFonts w:ascii="Times New Roman" w:hAnsi="Times New Roman"/>
          <w:sz w:val="17"/>
        </w:rPr>
        <w:t>.  The Partnership Group Entities maintain or are entitled to the benefits of insurance covering their properties, operations, personnel and businesses against such losses and risks as are reasonably adequate to protect them and their businesses in a manner consistent with other businesses similarly situated. All such insurance is outstanding and duly in force on the date hereof and will be outstanding and duly in force on each applicable Delivery Date, except for such insurance for which the failure to be outstanding and duly in force would not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(qq)</w:t>
      </w:r>
      <w:r>
        <w:rPr>
          <w:rFonts w:ascii="Times New Roman" w:hAnsi="Times New Roman"/>
        </w:rPr>
        <w:t xml:space="preserve">                          </w:t>
      </w:r>
      <w:r>
        <w:rPr>
          <w:rFonts w:ascii="Times New Roman" w:hAnsi="Times New Roman"/>
          <w:i/>
          <w:sz w:val="17"/>
        </w:rPr>
        <w:t>No Legal Actions</w:t>
      </w:r>
      <w:r>
        <w:rPr>
          <w:rFonts w:ascii="Times New Roman" w:hAnsi="Times New Roman"/>
          <w:sz w:val="17"/>
        </w:rPr>
        <w:t>.  Except as described in the Pricing Disclosure Package and the Prospectus, there is (i) no action, suit or proceeding before or by any court, arbitrator or governmental agency, body or official, domestic or foreign, now pending or, to the knowledge of the Partnership Parties, threatened, to which any of the Partnership Group Entities is or may be a party or to which the business or property of any of the Partnership Group Entities is or may be subject, and (ii) no injunction, restraining order or order of any nature issued by a federal or state court or foreign court of competent jurisdiction to which any of the Partnership Group Entities is or may be subject, that, in the case of clauses (i) and (ii) above, would reasonably be expected to have, individually or in the aggregate, a Material Adverse Effect or prevent or result in the suspension of the offering and issuance of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(rr)</w:t>
      </w:r>
      <w:r>
        <w:rPr>
          <w:rFonts w:ascii="Times New Roman" w:hAnsi="Times New Roman"/>
        </w:rPr>
        <w:t xml:space="preserve">                                </w:t>
      </w:r>
      <w:r>
        <w:rPr>
          <w:rFonts w:ascii="Times New Roman" w:hAnsi="Times New Roman"/>
          <w:i/>
          <w:sz w:val="17"/>
        </w:rPr>
        <w:t>Distribution Restrictions</w:t>
      </w:r>
      <w:r>
        <w:rPr>
          <w:rFonts w:ascii="Times New Roman" w:hAnsi="Times New Roman"/>
          <w:sz w:val="17"/>
        </w:rPr>
        <w:t>.  None of PAA, Plains AAP or any direct or indirect majority owned subsidiary of PAA is currently prohibited, directly or indirectly, from making any distributions to any Partnership Group Entity, as applicable, from making any other distribution on such entitys equity interests, from repaying to 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58" w:name="15636-2-KB-03_PB_16_072251_3736"/>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Partnership Group Entity any loans or advances to such entity from the Partnership Group Entities or from transferring any of such entitys property or assets to the Partnership Group Entities, except (i) as described in or contemplated by the Pricing Disclosure Package and the Prospectus (exclusive of any amendment or supplement thereto), (ii) as provided in the Credit Agreement dated August 19, 2011 (the </w:t>
      </w:r>
      <w:r>
        <w:rPr>
          <w:rFonts w:ascii="Times New Roman" w:hAnsi="Times New Roman"/>
          <w:b/>
          <w:sz w:val="17"/>
        </w:rPr>
        <w:t>PNG Facility</w:t>
      </w:r>
      <w:r>
        <w:rPr>
          <w:rFonts w:ascii="Times New Roman" w:hAnsi="Times New Roman"/>
          <w:sz w:val="17"/>
        </w:rPr>
        <w:t>) among PNG, Bank of America, N.A. and the other lenders from time to time party thereto, as amended, (iii) such prohibitions mandated by the laws of each such entitys state of formation and the terms of the Operative Documents and (iv) where such prohibition would not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(ss)</w:t>
      </w:r>
      <w:r>
        <w:rPr>
          <w:rFonts w:ascii="Times New Roman" w:hAnsi="Times New Roman"/>
        </w:rPr>
        <w:t xml:space="preserve">                              </w:t>
      </w:r>
      <w:r>
        <w:rPr>
          <w:rFonts w:ascii="Times New Roman" w:hAnsi="Times New Roman"/>
          <w:i/>
          <w:sz w:val="17"/>
        </w:rPr>
        <w:t>No Distribution of Other Offering Materials</w:t>
      </w:r>
      <w:r>
        <w:rPr>
          <w:rFonts w:ascii="Times New Roman" w:hAnsi="Times New Roman"/>
          <w:sz w:val="17"/>
        </w:rPr>
        <w:t>.  None of the Partnership Group Entities has distributed and, prior to the later to occur of (i) any Delivery Date and (ii) completion of the distribution of the Initial Shares or Additional Shares, as the case may be, will not distribute, any prospectus (as defined under the Securities Act) in connection with the offering and sale of the Shares other than any Preliminary Prospectus, the Prospectus, any Issuer Free Writing Prospectus, subject to the conditions in Section 1(i) of this Agreement, or other materials, if any, permitted by the Securities Act, including Rule 134 of the Rules and Regulations and, in connection with the Directed Share Program described in Section 4, the enrollment materials prepared by Morgan Stanley &amp; Co. LLC on behalf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(tt)</w:t>
      </w:r>
      <w:r>
        <w:rPr>
          <w:rFonts w:ascii="Times New Roman" w:hAnsi="Times New Roman"/>
        </w:rPr>
        <w:t xml:space="preserve">                                </w:t>
      </w:r>
      <w:r>
        <w:rPr>
          <w:rFonts w:ascii="Times New Roman" w:hAnsi="Times New Roman"/>
          <w:i/>
          <w:sz w:val="17"/>
        </w:rPr>
        <w:t>NYSE Listing of Shares</w:t>
      </w:r>
      <w:r>
        <w:rPr>
          <w:rFonts w:ascii="Times New Roman" w:hAnsi="Times New Roman"/>
          <w:sz w:val="17"/>
        </w:rPr>
        <w:t>.  The Shares have been approved for listing, subject only to official notice of issuance, on the New York Stock Exchange (the </w:t>
      </w:r>
      <w:r>
        <w:rPr>
          <w:rFonts w:ascii="Times New Roman" w:hAnsi="Times New Roman"/>
          <w:b/>
          <w:sz w:val="17"/>
        </w:rPr>
        <w:t>NYSE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(uu)</w:t>
      </w:r>
      <w:r>
        <w:rPr>
          <w:rFonts w:ascii="Times New Roman" w:hAnsi="Times New Roman"/>
        </w:rPr>
        <w:t xml:space="preserve">                          </w:t>
      </w:r>
      <w:r>
        <w:rPr>
          <w:rFonts w:ascii="Times New Roman" w:hAnsi="Times New Roman"/>
          <w:i/>
          <w:sz w:val="17"/>
        </w:rPr>
        <w:t>Books and Records; Accounting Controls</w:t>
      </w:r>
      <w:r>
        <w:rPr>
          <w:rFonts w:ascii="Times New Roman" w:hAnsi="Times New Roman"/>
          <w:sz w:val="17"/>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(vv)</w:t>
      </w:r>
      <w:r>
        <w:rPr>
          <w:rFonts w:ascii="Times New Roman" w:hAnsi="Times New Roman"/>
        </w:rPr>
        <w:t xml:space="preserve">                          </w:t>
      </w:r>
      <w:r>
        <w:rPr>
          <w:rFonts w:ascii="Times New Roman" w:hAnsi="Times New Roman"/>
          <w:i/>
          <w:sz w:val="17"/>
        </w:rPr>
        <w:t>Sarbanes-Oxley Act</w:t>
      </w:r>
      <w:r>
        <w:rPr>
          <w:rFonts w:ascii="Times New Roman" w:hAnsi="Times New Roman"/>
          <w:sz w:val="17"/>
        </w:rPr>
        <w:t>.  The Partnership and, to the knowledge of the Partnership Parties, the directors and officers of the General Partner in their capacities as such, are in compliance in all material respects with all applicable and effective provisions of the Sarbanes-Oxley Act of 2002 and the rules and regulations promulgated thereunder.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(ww)</w:t>
      </w:r>
      <w:r>
        <w:rPr>
          <w:rFonts w:ascii="Times New Roman" w:hAnsi="Times New Roman"/>
        </w:rPr>
        <w:t xml:space="preserve">                      </w:t>
      </w:r>
      <w:r>
        <w:rPr>
          <w:rFonts w:ascii="Times New Roman" w:hAnsi="Times New Roman"/>
          <w:i/>
          <w:sz w:val="17"/>
        </w:rPr>
        <w:t>Disclosure Controls</w:t>
      </w:r>
      <w:r>
        <w:rPr>
          <w:rFonts w:ascii="Times New Roman" w:hAnsi="Times New Roman"/>
          <w:sz w:val="17"/>
        </w:rPr>
        <w:t>.  The Partnership maintains disclosure controls and procedures (to the extent required by and as such term is 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59" w:name="15636-2-KB-03_PB_17_072302_9621"/>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 Partner to allow for timely decisions regarding required disclosure, particularly during the periods in which the periodic reports required under the Exchange Act are being prepared; and (ii) are effective in all material respects to perform the functions for which they are established.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(xx)</w:t>
      </w:r>
      <w:r>
        <w:rPr>
          <w:rFonts w:ascii="Times New Roman" w:hAnsi="Times New Roman"/>
        </w:rPr>
        <w:t xml:space="preserve">                          </w:t>
      </w:r>
      <w:r>
        <w:rPr>
          <w:rFonts w:ascii="Times New Roman" w:hAnsi="Times New Roman"/>
          <w:i/>
          <w:sz w:val="17"/>
        </w:rPr>
        <w:t>No Deficiency in Internal Controls</w:t>
      </w:r>
      <w:r>
        <w:rPr>
          <w:rFonts w:ascii="Times New Roman" w:hAnsi="Times New Roman"/>
          <w:sz w:val="17"/>
        </w:rPr>
        <w:t>.  Since the date of the most recent balance sheet of GP LLC and its consolidated subsidiaries reviewed or audited by PricewaterhouseCoopers LLP, the Partnership has not become aware of (i) any significant deficiency or material weakness in the design or operation of internal controls over financial reporting that are likely to adversely affect their ability to record, process, summarize and report financial data; or (ii) any fraud, whether or not material, that involves management or other employees who have a significant role in the internal controls over financial reporting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(yy)</w:t>
      </w:r>
      <w:r>
        <w:rPr>
          <w:rFonts w:ascii="Times New Roman" w:hAnsi="Times New Roman"/>
        </w:rPr>
        <w:t xml:space="preserve">                          </w:t>
      </w:r>
      <w:r>
        <w:rPr>
          <w:rFonts w:ascii="Times New Roman" w:hAnsi="Times New Roman"/>
          <w:i/>
          <w:sz w:val="17"/>
        </w:rPr>
        <w:t>FCPA</w:t>
      </w:r>
      <w:r>
        <w:rPr>
          <w:rFonts w:ascii="Times New Roman" w:hAnsi="Times New Roman"/>
          <w:sz w:val="17"/>
        </w:rPr>
        <w:t>.  None of the Partnership Group Entities nor, to the knowledge of the Partnership Parties, any director, officer, agent or employee of the Partnership Group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(zz)</w:t>
      </w:r>
      <w:r>
        <w:rPr>
          <w:rFonts w:ascii="Times New Roman" w:hAnsi="Times New Roman"/>
        </w:rPr>
        <w:t xml:space="preserve">                            </w:t>
      </w:r>
      <w:r>
        <w:rPr>
          <w:rFonts w:ascii="Times New Roman" w:hAnsi="Times New Roman"/>
          <w:i/>
          <w:sz w:val="17"/>
        </w:rPr>
        <w:t>Money Laundering Laws</w:t>
      </w:r>
      <w:r>
        <w:rPr>
          <w:rFonts w:ascii="Times New Roman" w:hAnsi="Times New Roman"/>
          <w:sz w:val="17"/>
        </w:rPr>
        <w:t>.  No action, suit or proceeding by or before any court or governmental agency, authority or body or any arbitrator involving the Partnership Group Entities that involve allegations of money laundering is pending or, to the knowledge of the Partnership, threatened.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(aaa)</w:t>
      </w:r>
      <w:r>
        <w:rPr>
          <w:rFonts w:ascii="Times New Roman" w:hAnsi="Times New Roman"/>
        </w:rPr>
        <w:t xml:space="preserve">                   </w:t>
      </w:r>
      <w:r>
        <w:rPr>
          <w:rFonts w:ascii="Times New Roman" w:hAnsi="Times New Roman"/>
          <w:i/>
          <w:sz w:val="17"/>
        </w:rPr>
        <w:t>Directed Share Program</w:t>
      </w:r>
      <w:r>
        <w:rPr>
          <w:rFonts w:ascii="Times New Roman" w:hAnsi="Times New Roman"/>
          <w:sz w:val="17"/>
        </w:rPr>
        <w:t>. None of the Directed Shares distributed in connection with the Directed Share Program (each as defined in Section 4) will be offered or sold outside of the United States.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(bbb)</w:t>
      </w:r>
      <w:r>
        <w:rPr>
          <w:rFonts w:ascii="Times New Roman" w:hAnsi="Times New Roman"/>
        </w:rPr>
        <w:t xml:space="preserve">                   </w:t>
      </w:r>
      <w:r>
        <w:rPr>
          <w:rFonts w:ascii="Times New Roman" w:hAnsi="Times New Roman"/>
          <w:i/>
          <w:sz w:val="17"/>
        </w:rPr>
        <w:t>Directed Unit Sales</w:t>
      </w:r>
      <w:r>
        <w:rPr>
          <w:rFonts w:ascii="Times New Roman" w:hAnsi="Times New Roman"/>
          <w:sz w:val="17"/>
        </w:rPr>
        <w:t>. The Partnership has not offered, or caused Morgan Stanley &amp; Co. LLC to offer, Directed Shares (as defined in Section 4), to any person pursuant to the Directed Share Program with the specific intent to unlawfully influence (i) a customer or supplier of the Partnership Group Entities to alter the customers or suppliers level or type of business with the Partnership Group Entities or (ii) a trade journalist or publication to write or publish favorable information about the Partnership Group Entities, their business or their products.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(ccc)</w:t>
      </w:r>
      <w:r>
        <w:rPr>
          <w:rFonts w:ascii="Times New Roman" w:hAnsi="Times New Roman"/>
        </w:rPr>
        <w:t xml:space="preserve">                      </w:t>
      </w:r>
      <w:r>
        <w:rPr>
          <w:rFonts w:ascii="Times New Roman" w:hAnsi="Times New Roman"/>
          <w:i/>
          <w:sz w:val="17"/>
        </w:rPr>
        <w:t>OFAC</w:t>
      </w:r>
      <w:r>
        <w:rPr>
          <w:rFonts w:ascii="Times New Roman" w:hAnsi="Times New Roman"/>
          <w:sz w:val="17"/>
        </w:rPr>
        <w:t>.  None of Partnership Group Entities nor, to the knowledge of the Partnership Parties, any director, officer or employee of the Partnership Group Entities (in their capacity as director, officer or employee) has received notice that it is subject to any sanctions administered by the Office of Foreign Assets Control of the U.S. Treasury Department.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applicable statements made in the certificates described in Sections 7(i) and 7(l) shall be deemed representations and warranties by the Partnership, as to matters covered thereby, to the Underwriters.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60" w:name="15636-2-KB-03_PB_18_072314_8715"/>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u w:val="single"/>
        </w:rPr>
        <w:t>Purchase and Sale</w:t>
      </w:r>
      <w:r>
        <w:rPr>
          <w:rFonts w:ascii="Times New Roman" w:hAnsi="Times New Roman"/>
          <w:sz w:val="17"/>
        </w:rPr>
        <w:t>.  (a) Subject to the terms and conditions and in reliance upon the representations and warranties herein set forth, the Partnership agrees to sell to each Underwriter, and each Underwriter agrees, severally and not jointly, to purchase from the Partnership, at a purchase price of $[</w:t>
      </w:r>
      <w:r>
        <w:rPr>
          <w:rFonts w:ascii="Symbol" w:hAnsi="Symbol"/>
          <w:sz w:val="17"/>
        </w:rPr>
        <w:t>·</w:t>
      </w:r>
      <w:r>
        <w:rPr>
          <w:rFonts w:ascii="Times New Roman" w:hAnsi="Times New Roman"/>
          <w:sz w:val="17"/>
        </w:rPr>
        <w:t xml:space="preserve">] per Share, the number of Initial Shares set forth opposite such Underwriters name on </w:t>
      </w:r>
      <w:r>
        <w:rPr>
          <w:rFonts w:ascii="Times New Roman" w:hAnsi="Times New Roman"/>
          <w:sz w:val="17"/>
          <w:u w:val="single"/>
        </w:rPr>
        <w:t>Schedule I</w:t>
      </w:r>
      <w:r>
        <w:rPr>
          <w:rFonts w:ascii="Times New Roman" w:hAnsi="Times New Roman"/>
          <w:sz w:val="17"/>
        </w:rPr>
        <w:t xml:space="preserve"> hereto, subject to adjustment as set forth in Section 9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Subject to the terms and conditions and in reliance upon the representations and warranties herein set forth, the Partnership hereby grants an option to the several Underwriters to purchase, severally and not jointly, up to [</w:t>
      </w:r>
      <w:r>
        <w:rPr>
          <w:rFonts w:ascii="Symbol" w:hAnsi="Symbol"/>
          <w:sz w:val="17"/>
        </w:rPr>
        <w:t>·</w:t>
      </w:r>
      <w:r>
        <w:rPr>
          <w:rFonts w:ascii="Times New Roman" w:hAnsi="Times New Roman"/>
          <w:sz w:val="17"/>
        </w:rPr>
        <w:t xml:space="preserve">] Additional Shares at the same purchase price per Share as the Underwriters shall pay for the Initial Shares set forth on </w:t>
      </w:r>
      <w:r>
        <w:rPr>
          <w:rFonts w:ascii="Times New Roman" w:hAnsi="Times New Roman"/>
          <w:sz w:val="17"/>
          <w:u w:val="single"/>
        </w:rPr>
        <w:t>Schedule I</w:t>
      </w:r>
      <w:r>
        <w:rPr>
          <w:rFonts w:ascii="Times New Roman" w:hAnsi="Times New Roman"/>
          <w:sz w:val="17"/>
        </w:rPr>
        <w:t xml:space="preserve"> hereto.  Said option may be exercised in whole or in part at any time and from time to time on or before the 30th day after the date of the Prospectus upon written or telegraphic notice by the Representative to the Partnership setting forth the number of Additional Shares as to which the several Underwriters are exercising the option and the settlement date.  The number of Additional Shares to be purchased by each Underwriter shall be the same percentage of the total number of Additional Shares to be purchased by the several Underwriters as such Underwriter is purchasing of the Initial Shares, subject to (i) such adjustments as the Representative in their absolute discretion shall make to eliminate any fractional shares and (ii) adjustment as set forth in Section 9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u w:val="single"/>
        </w:rPr>
        <w:t>Delivery and Payment</w:t>
      </w:r>
      <w:r>
        <w:rPr>
          <w:rFonts w:ascii="Times New Roman" w:hAnsi="Times New Roman"/>
          <w:sz w:val="17"/>
        </w:rPr>
        <w:t>.  Delivery of and payment for the Initial Shares and the Additional Shares (if the option provided for in Section 2(b) hereof shall have been exercised on or before the third business day prior to the Initial Delivery Date) shall be made at the office of Vinson &amp; Elkins L.L.P., 1001 Fannin, Houston, Texas 77002 at 9:00 a.m., Houston time, on [</w:t>
      </w:r>
      <w:r>
        <w:rPr>
          <w:rFonts w:ascii="Symbol" w:hAnsi="Symbol"/>
          <w:sz w:val="17"/>
        </w:rPr>
        <w:t>·</w:t>
      </w:r>
      <w:r>
        <w:rPr>
          <w:rFonts w:ascii="Times New Roman" w:hAnsi="Times New Roman"/>
          <w:sz w:val="17"/>
        </w:rPr>
        <w:t>], 2013, or at such time on such later date not more than three business days after the foregoing date as the Representative shall designate, which date and time may be postponed by agreement between the Representative and the Partnership or as provided in Section 9 hereof (such date and time of delivery and payment for the Shares being herein called the </w:t>
      </w:r>
      <w:r>
        <w:rPr>
          <w:rFonts w:ascii="Times New Roman" w:hAnsi="Times New Roman"/>
          <w:b/>
          <w:sz w:val="17"/>
        </w:rPr>
        <w:t>Initial Delivery Date</w:t>
      </w:r>
      <w:r>
        <w:rPr>
          <w:rFonts w:ascii="Times New Roman" w:hAnsi="Times New Roman"/>
          <w:sz w:val="17"/>
        </w:rPr>
        <w:t>).  Delivery of the Shares shall be made to the Underwriters for the respective accounts of the several Underwriters against payment by the several Underwriters of the purchase price thereof to or upon the order of the Partnership by wire transfer payable in same-day funds to an account specified by the Partnership.  Delivery of the Initial Shares and the Additional Shares shall be made through the facilities of The Depository Trust Company unless the Representative shall otherwise instruct.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the option provided for in Section 2(b) hereof is exercised after the third business day prior to the Initial Delivery Date, the Partnership will deliver the Additional Shares (at the expense of the Partnership) to the Representative on the date (an </w:t>
      </w:r>
      <w:r>
        <w:rPr>
          <w:rFonts w:ascii="Times New Roman" w:hAnsi="Times New Roman"/>
          <w:b/>
          <w:sz w:val="17"/>
        </w:rPr>
        <w:t>Additional Shares Delivery Date</w:t>
      </w:r>
      <w:r>
        <w:rPr>
          <w:rFonts w:ascii="Times New Roman" w:hAnsi="Times New Roman"/>
          <w:sz w:val="17"/>
        </w:rPr>
        <w:t>) specified by the Underwriters (which shall be within three business days after each exercise of said option), for the respective accounts of the several Underwriters, against payment by the several Underwriters of the purchase price thereof to or upon the order of the Partnership by wire transfer payable in same-day funds to an account specified by the Partnership.  If settlement for the Additional Shares occurs after the Initial Delivery Date, the Partnership will deliver to the Underwriters on the Additional Shares Delivery Date for the Additional Shares, and the obligation of the Underwriters to purchase the Additional Shares shall be conditioned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61" w:name="15636-2-KB-03_PB_19_072323_563"/>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receipt of, supplemental opinions, certificates and letters confirming as of such date the opinions, certificates and letters delivered on the Initial Delivery Date pursuant to Section 7 hereof.  The Initial Delivery Date and any Additional Shares Delivery Date are each sometimes referred to as a </w:t>
      </w:r>
      <w:r>
        <w:rPr>
          <w:rFonts w:ascii="Times New Roman" w:hAnsi="Times New Roman"/>
          <w:b/>
          <w:sz w:val="17"/>
        </w:rPr>
        <w:t>Delivery Date.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u w:val="single"/>
        </w:rPr>
        <w:t>Offering by the Underwriters.</w:t>
      </w:r>
      <w:r>
        <w:rPr>
          <w:rFonts w:ascii="Times New Roman" w:hAnsi="Times New Roman"/>
        </w:rPr>
        <w:t xml:space="preserve">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It is understood that the several Underwriters propose to offer the Shares for sale to the public as set forth in the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It is understood that approximately [</w:t>
      </w:r>
      <w:r>
        <w:rPr>
          <w:rFonts w:ascii="Symbol" w:hAnsi="Symbol"/>
          <w:sz w:val="17"/>
        </w:rPr>
        <w:t>·</w:t>
      </w:r>
      <w:r>
        <w:rPr>
          <w:rFonts w:ascii="Times New Roman" w:hAnsi="Times New Roman"/>
          <w:sz w:val="17"/>
        </w:rPr>
        <w:t>] of the Initial Shares (the </w:t>
      </w:r>
      <w:r>
        <w:rPr>
          <w:rFonts w:ascii="Times New Roman" w:hAnsi="Times New Roman"/>
          <w:b/>
          <w:sz w:val="17"/>
        </w:rPr>
        <w:t>Directed Shares</w:t>
      </w:r>
      <w:r>
        <w:rPr>
          <w:rFonts w:ascii="Times New Roman" w:hAnsi="Times New Roman"/>
          <w:sz w:val="17"/>
        </w:rPr>
        <w:t>) will initially be reserved by the several Underwriters for offer and sale upon the terms and conditions to be set forth in the most recent Preliminary Prospectus and in accordance with the rules and regulations of FINRA to [the officers, directors, and employees] of the General Partner [and PAA and certain other persons associated with the Partnership] who have heretofore delivered to Morgan Stanley &amp; Co. LLC offers [or indications of interest] to purchase Directed Shares in form satisfactory to Morgan Stanley &amp; Co. LLC (such program, the </w:t>
      </w:r>
      <w:r>
        <w:rPr>
          <w:rFonts w:ascii="Times New Roman" w:hAnsi="Times New Roman"/>
          <w:b/>
          <w:sz w:val="17"/>
        </w:rPr>
        <w:t>Directed Share Program</w:t>
      </w:r>
      <w:r>
        <w:rPr>
          <w:rFonts w:ascii="Times New Roman" w:hAnsi="Times New Roman"/>
          <w:sz w:val="17"/>
        </w:rPr>
        <w:t>) and that any allocation of such Directed Shares among such persons will be made in accordance with timely directions received by Morgan Stanley &amp; Co. LLC from the Partnership; provided that under no circumstances will Morgan Stanley &amp; Co. LLC or any Underwriter be liable to the Partnership Parties or to any such person for any action taken or omitted in good faith in connection with such Directed Share Program.  It is further understood that any Directed Shares not affirmatively reconfirmed for purchase by any participant in the Directed Share Program by [</w:t>
      </w:r>
      <w:r>
        <w:rPr>
          <w:rFonts w:ascii="Symbol" w:hAnsi="Symbol"/>
          <w:sz w:val="17"/>
        </w:rPr>
        <w:t>·</w:t>
      </w:r>
      <w:r>
        <w:rPr>
          <w:rFonts w:ascii="Times New Roman" w:hAnsi="Times New Roman"/>
          <w:sz w:val="17"/>
        </w:rPr>
        <w:t>]:00 A.M., New York City time, on the [date hereof / first business day following the date hereof] or otherwise not purchased by such persons will be offered by the Underwriters to the public upon the terms and conditions set forth in the Prospectus.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agrees to pay all fees and disbursements incurred by the Underwriters in connection with the Directed Share Program and any stamp duties or other taxes incurred by the Underwriters in connection with the Directed Share Program.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u w:val="single"/>
        </w:rPr>
        <w:t>Agreements of the Partnership</w:t>
      </w:r>
      <w:r>
        <w:rPr>
          <w:rFonts w:ascii="Times New Roman" w:hAnsi="Times New Roman"/>
          <w:sz w:val="17"/>
        </w:rPr>
        <w:t>.  The Partnership Parties acknowledge and agree with the Underwriters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Post-Effective Amendments</w:t>
      </w:r>
      <w:r>
        <w:rPr>
          <w:rFonts w:ascii="Times New Roman" w:hAnsi="Times New Roman"/>
          <w:sz w:val="17"/>
        </w:rPr>
        <w:t>.  If, at the Applicable Time, it is necessary for a post-effective amendment to the Registration Statement to be declared effective before the offering of the Shares may commence, the Partnership will endeavor to cause such post-effective amendment to become effective as soon as possible and will advise the Representative promptly and, if requested by the Representative, will confirm such advice in writing when such post-effective amendment has become effective.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Preparation of Prospectus and Registration Statement</w:t>
      </w:r>
      <w:r>
        <w:rPr>
          <w:rFonts w:ascii="Times New Roman" w:hAnsi="Times New Roman"/>
          <w:sz w:val="17"/>
        </w:rPr>
        <w:t>.  The Partnership will advise the Representative promptly and, if requested by the Representative,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62" w:name="15636-2-KB-03_PB_20_072335_9497"/>
      <w:bookmarkEnd w:id="62"/>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of qualification of the Shares for offering or sale in any jurisdiction or the initiation of any proceeding for such purpose; and (iii) within the period of time referred to in paragraph (d) below, of any change in the condition (financial or other), business, prospects, properties, net worth or results of operations of the Partnership Group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Copies of Registration Statement</w:t>
      </w:r>
      <w:r>
        <w:rPr>
          <w:rFonts w:ascii="Times New Roman" w:hAnsi="Times New Roman"/>
          <w:sz w:val="17"/>
        </w:rPr>
        <w:t>.  The Partnership will furnish to the Underwriters, without charge, (i) one copy of the manually signed copy of the registration statement corresponding to the Commissions electronic data gathering, analysis and retrieval system (</w:t>
      </w:r>
      <w:r>
        <w:rPr>
          <w:rFonts w:ascii="Times New Roman" w:hAnsi="Times New Roman"/>
          <w:b/>
          <w:sz w:val="17"/>
        </w:rPr>
        <w:t>EDGAR</w:t>
      </w:r>
      <w:r>
        <w:rPr>
          <w:rFonts w:ascii="Times New Roman" w:hAnsi="Times New Roman"/>
          <w:sz w:val="17"/>
        </w:rPr>
        <w:t>) version filed with the Commission and of each amendment thereto, including financial statements and all exhibits to the registration statement and (ii) such number of conformed copies of the registration statement as originally filed and of each amendment thereto, but without exhibits, as the Underwriters or the Underwriters counsel may reasonably request.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i/>
          <w:sz w:val="17"/>
        </w:rPr>
        <w:t>Filing of Amendment or Supplement</w:t>
      </w:r>
      <w:r>
        <w:rPr>
          <w:rFonts w:ascii="Times New Roman" w:hAnsi="Times New Roman"/>
          <w:sz w:val="17"/>
        </w:rPr>
        <w:t>.  For such period as in the opinion of counsel for the Underwriters a prospectus is required by the Securities Act to be delivered in connection with sales by any Underwriter or dealer, the Partnership will not file any amendment to the Registration Statement, supplement to the Prospectus (or any other prospectus relating to the Shares filed pursuant to Rule 424(b) of the Rules and Regulations that differs from the Prospectus as filed pursuant to such Rule 424(b)), or any Preliminary Prospectus or Issuer Free Writing Prospectus of which the Representative shall not previously have been advised or to which the Representative shall have reasonably objected in writing after being so advised unless the Partnership shall have determined based upon the advice of counsel that such amendment, supplement or other filing is required by law; and the Partnership will promptly notify the Representative after it shall have received notice thereof of the time when any amendment to the Registration Statement becomes effective or when any supplement to the Prospectus has been filed.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i/>
          <w:sz w:val="17"/>
        </w:rPr>
        <w:t>Copies of Documents to the Underwriters</w:t>
      </w:r>
      <w:r>
        <w:rPr>
          <w:rFonts w:ascii="Times New Roman" w:hAnsi="Times New Roman"/>
          <w:sz w:val="17"/>
        </w:rPr>
        <w:t>.  As soon after the Applicable Time as possible and thereafter from time to time for such period as in the opinion of counsel for the Underwriters a prospectus is required by the Securities Act to be delivered in connection with sales by any Underwriter or dealer, the Partnership will expeditiously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63" w:name="15636-2-KB-05_PB_21_072449_3641"/>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Shares by any Underwriter or dealer.  The Partnership consents to the use of the Prospectus (and of any amendment or supplement thereto) in accordance with the provisions of the Securities Act and with the securities or Blue Sky laws of the jurisdictions in which the Shares are offered by the Underwriters and by all dealers to whom Shares may be sold, both in connection with the offering and sale of the Shares and for such period of time thereafter as the Prospectus is required by the Securities Act to be delivered in connection with sales by any Underwriter or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to comply with the Securities Act or any other law, the Partnership will forthwith prepare and, subject to the provisions of paragraph (d)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 agree that the Prospectus should be amended or supplemented, the Partnership, if requested by the Representative,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i/>
          <w:sz w:val="17"/>
        </w:rPr>
        <w:t>Blue Sky Laws</w:t>
      </w:r>
      <w:r>
        <w:rPr>
          <w:rFonts w:ascii="Times New Roman" w:hAnsi="Times New Roman"/>
          <w:sz w:val="17"/>
        </w:rPr>
        <w:t>.  The Partnership will cooperate with the Representative and with counsel for the Underwriters in connection with the registration or qualification of the Shares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provided that in no event shall any Partnership Group Entity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  The Partnership will promptly notify the Representative of the receipt by the Partnership of any notification with respect to the suspension of the qualification of the Shares for sale in any jurisdiction or the initiation or threatening of any proceeding for such purpose.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64" w:name="15636-2-KB-05_PB_22_072457_5250"/>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i/>
          <w:sz w:val="17"/>
        </w:rPr>
        <w:t>Reports to Security Holders</w:t>
      </w:r>
      <w:r>
        <w:rPr>
          <w:rFonts w:ascii="Times New Roman" w:hAnsi="Times New Roman"/>
          <w:sz w:val="17"/>
        </w:rPr>
        <w:t>.  In accordance with Section 11(a) of the Securities Act and Rule 158 of the Rules and Regulations, 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Rules and Regulations) of the Registration Statement as soon as practicable after the end of such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i/>
          <w:sz w:val="17"/>
        </w:rPr>
        <w:t>Termination Expenses</w:t>
      </w:r>
      <w:r>
        <w:rPr>
          <w:rFonts w:ascii="Times New Roman" w:hAnsi="Times New Roman"/>
          <w:sz w:val="17"/>
        </w:rPr>
        <w:t>.  If this Agreement shall terminate or shall be terminated after execution pursuant to any provisions hereof (otherwise than pursuant to Section 9 hereof or Section 10 hereof (except pursuant to the first clause of Section 10(i))) or if this Agreement shall be terminated by the Underwriters because of any failure or refusal on the part of the Partnership Parties to comply with the terms or fulfill any of the conditions of this Agreement, the Partnership Parties agree to reimburse the Underwriters for all reasonable out-of-pocket expenses (including reasonable fees and expenses of counsel for the Underwriters) incurred by the Underwriters in connection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i/>
          <w:sz w:val="17"/>
        </w:rPr>
        <w:t>Application of Proceeds</w:t>
      </w:r>
      <w:r>
        <w:rPr>
          <w:rFonts w:ascii="Times New Roman" w:hAnsi="Times New Roman"/>
          <w:sz w:val="17"/>
        </w:rPr>
        <w:t>.  The Partnership will apply the net proceeds from the sale of the Shares in accordance with the description set forth under the caption Use of Proceeds in the Pricing Disclosure Package and the Prospectus.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i/>
          <w:sz w:val="17"/>
        </w:rPr>
        <w:t>Filing of Prospectus</w:t>
      </w:r>
      <w:r>
        <w:rPr>
          <w:rFonts w:ascii="Times New Roman" w:hAnsi="Times New Roman"/>
          <w:sz w:val="17"/>
        </w:rPr>
        <w:t>.  The Partnership will timely file the Prospectus, and any amendment or supplement thereto, pursuant to Rule 424(b) of the Rules and Regulations and will advise the Underwriters of the time and manner of such filing.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i/>
          <w:sz w:val="17"/>
        </w:rPr>
        <w:t>Lock-Up Period</w:t>
      </w:r>
      <w:r>
        <w:rPr>
          <w:rFonts w:ascii="Times New Roman" w:hAnsi="Times New Roman"/>
          <w:sz w:val="17"/>
        </w:rPr>
        <w:t>.  Except as provided in this Agreement, the Partnership will not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Shares or any securities that are convertible into, or exercisable or exchangeable for, or that represent the right to receive, Shares or any securities that are senior to or pari passu with Shares, or publicly announce an intention to effect any such transaction or (ii) grant any options or warrants to purchase Shares for a period of 180 days after the date of the Prospectus (the </w:t>
      </w:r>
      <w:r>
        <w:rPr>
          <w:rFonts w:ascii="Times New Roman" w:hAnsi="Times New Roman"/>
          <w:b/>
          <w:sz w:val="17"/>
        </w:rPr>
        <w:t>Lock-Up Period</w:t>
      </w:r>
      <w:r>
        <w:rPr>
          <w:rFonts w:ascii="Times New Roman" w:hAnsi="Times New Roman"/>
          <w:sz w:val="17"/>
        </w:rPr>
        <w:t>) without the prior written consent of Barclays Capital Inc., except that (A) the Partnership may issue the Shares, (B) the Partnership may issue Shares or any securities convertible or exchangeable into Shares as payment of any part of the purchase price for businesses that are acquired by the Partnership and its affiliates or any third parties, provided that any recipient of such Shares must agree in writing to be bound by the terms of this Section 5(l) for the remaining term of the Lock-Up Period, (C) the Partnership may issue and sell Shares or securities convertible into or exchangeable for Shares pursuant to any existing long-term</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65" w:name="15636-2-KB-05_PB_23_072505_7672"/>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incentive plan, employee share option plan, share ownership plan or distribution reinvestment plan of the Partnership in effect at the Applicable Time and (D) the Partnership may issue or deliver Shares issuable upon the conversion, vesting or exercise of securities (including long-term incentive plan awards, options and warrants) outstanding at the Applicable Time; notwithstanding the foregoing, if (x) during the last 17 days of the Lock-Up Period, the Partnership issues an earnings release or material news or a material event relating to the Partnership occurs, or (y) prior to the expiration of the Lock-Up Period, the Partnership announces that it will release earnings results during the 16-day period beginning on the last day of the Lock-Up Period, then, in each case, to the extent that the Partnership is not then an emerging growth company, as defined in Section 2(a) of the Securities Act, the restrictions imposed in this paragraph shall continue to apply until the expiration of the 18-day period beginning on the issuance of the earnings release or the announcement of the material news or the occurrence of the material event, unless Barclays Capital Inc., on behalf of the Underwriters, agrees to not require such extension in writing.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i/>
          <w:sz w:val="17"/>
        </w:rPr>
        <w:t>Lock-Up Agreements</w:t>
      </w:r>
      <w:r>
        <w:rPr>
          <w:rFonts w:ascii="Times New Roman" w:hAnsi="Times New Roman"/>
          <w:sz w:val="17"/>
        </w:rPr>
        <w:t xml:space="preserve">. The Partnership Parties agree to cause each person and entity set forth on </w:t>
      </w:r>
      <w:r>
        <w:rPr>
          <w:rFonts w:ascii="Times New Roman" w:hAnsi="Times New Roman"/>
          <w:sz w:val="17"/>
          <w:u w:val="single"/>
        </w:rPr>
        <w:t>Exhibit B-1</w:t>
      </w:r>
      <w:r>
        <w:rPr>
          <w:rFonts w:ascii="Times New Roman" w:hAnsi="Times New Roman"/>
          <w:sz w:val="17"/>
        </w:rPr>
        <w:t xml:space="preserve"> hereto (the </w:t>
      </w:r>
      <w:r>
        <w:rPr>
          <w:rFonts w:ascii="Times New Roman" w:hAnsi="Times New Roman"/>
          <w:b/>
          <w:sz w:val="17"/>
        </w:rPr>
        <w:t>Lock-Up Parties</w:t>
      </w:r>
      <w:r>
        <w:rPr>
          <w:rFonts w:ascii="Times New Roman" w:hAnsi="Times New Roman"/>
          <w:sz w:val="17"/>
        </w:rPr>
        <w:t xml:space="preserve">) to furnish to the Representative, prior to the Initial Delivery Date, a letter, substantially in the form of </w:t>
      </w:r>
      <w:r>
        <w:rPr>
          <w:rFonts w:ascii="Times New Roman" w:hAnsi="Times New Roman"/>
          <w:sz w:val="17"/>
          <w:u w:val="single"/>
        </w:rPr>
        <w:t>Exhibit B</w:t>
      </w:r>
      <w:r>
        <w:rPr>
          <w:rFonts w:ascii="Times New Roman" w:hAnsi="Times New Roman"/>
          <w:sz w:val="17"/>
        </w:rPr>
        <w:t xml:space="preserve"> hereto (the </w:t>
      </w:r>
      <w:r>
        <w:rPr>
          <w:rFonts w:ascii="Times New Roman" w:hAnsi="Times New Roman"/>
          <w:b/>
          <w:sz w:val="17"/>
        </w:rPr>
        <w:t>Lock-Up Agreements</w:t>
      </w:r>
      <w:r>
        <w:rPr>
          <w:rFonts w:ascii="Times New Roman" w:hAnsi="Times New Roman"/>
          <w:sz w:val="17"/>
        </w:rPr>
        <w:t xml:space="preserve">). If Barclays Capital Inc., in its sole discretion, agrees to release or waive the restrictions set forth in a Lock-Up Agreement for any Lock-Up Party and provides the Partnership with notice of the impending release or waiver at least three business days before the effective date of the release or waiver, the Partnership agrees to announce the impending release or waiver by issuing a press release substantially in the form of </w:t>
      </w:r>
      <w:r>
        <w:rPr>
          <w:rFonts w:ascii="Times New Roman" w:hAnsi="Times New Roman"/>
          <w:sz w:val="17"/>
          <w:u w:val="single"/>
        </w:rPr>
        <w:t>Exhibit D</w:t>
      </w:r>
      <w:r>
        <w:rPr>
          <w:rFonts w:ascii="Times New Roman" w:hAnsi="Times New Roman"/>
          <w:sz w:val="17"/>
        </w:rPr>
        <w:t xml:space="preserve"> hereto, and containing such other information as Barclays Capital Inc. may require with respect to the circumstances of the release or waiver and/or the identity of the Lock-Up Party with respect to which the release or waiver applies, through a major news service at least two business days before the effective date of the release or waiver.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i/>
          <w:sz w:val="17"/>
        </w:rPr>
        <w:t>Directed Share Program Lock-Up.</w:t>
      </w:r>
      <w:r>
        <w:rPr>
          <w:rFonts w:ascii="Times New Roman" w:hAnsi="Times New Roman"/>
        </w:rPr>
        <w:t xml:space="preserve"> </w:t>
      </w:r>
      <w:r>
        <w:rPr>
          <w:rFonts w:ascii="Times New Roman" w:hAnsi="Times New Roman"/>
          <w:sz w:val="17"/>
        </w:rPr>
        <w:t>The Partnership Parties agree, in connection with the Directed Share Program, to ensure the Directed Shares will be restricted from sale, transfer, assignment, pledge or hypothecation to the same extent as sales and dispositions of Shares by the Partnership Parties are restricted pursuant to Section 5(l)(i) for 25 days, and Morgan Stanley &amp; Co. LLC will notify the Partnership as to which participants in the  Directed Share Program (</w:t>
      </w:r>
      <w:r>
        <w:rPr>
          <w:rFonts w:ascii="Times New Roman" w:hAnsi="Times New Roman"/>
          <w:b/>
          <w:sz w:val="17"/>
        </w:rPr>
        <w:t>Directed Share Participants</w:t>
      </w:r>
      <w:r>
        <w:rPr>
          <w:rFonts w:ascii="Times New Roman" w:hAnsi="Times New Roman"/>
          <w:sz w:val="17"/>
        </w:rPr>
        <w:t>) will need to be so restricted.  At the request of Morgan Stanley &amp; Co. LLC, the Partnership will direct the transfer agent to place stop transfer restrictions upon such securities for such period of time as is consistent with this Section 5(n).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w:t>
      </w:r>
      <w:r>
        <w:rPr>
          <w:rFonts w:ascii="Times New Roman" w:hAnsi="Times New Roman"/>
        </w:rPr>
        <w:t xml:space="preserve">                                 </w:t>
      </w:r>
      <w:r>
        <w:rPr>
          <w:rFonts w:ascii="Times New Roman" w:hAnsi="Times New Roman"/>
          <w:i/>
          <w:sz w:val="17"/>
        </w:rPr>
        <w:t>Stabilization</w:t>
      </w:r>
      <w:r>
        <w:rPr>
          <w:rFonts w:ascii="Times New Roman" w:hAnsi="Times New Roman"/>
          <w:sz w:val="17"/>
        </w:rPr>
        <w:t>.  Except as stated in this Agreement and the Prospectus, the Partnership has not taken, nor will it take, directly or indirectly, any action designed to or that might reasonably be expected to cause or result in stabilization or manipulation of the price of the Shares to facilitate the sale or resale of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w:t>
      </w:r>
      <w:r>
        <w:rPr>
          <w:rFonts w:ascii="Times New Roman" w:hAnsi="Times New Roman"/>
        </w:rPr>
        <w:t xml:space="preserve">                                 </w:t>
      </w:r>
      <w:r>
        <w:rPr>
          <w:rFonts w:ascii="Times New Roman" w:hAnsi="Times New Roman"/>
          <w:i/>
          <w:sz w:val="17"/>
        </w:rPr>
        <w:t>Investment Company</w:t>
      </w:r>
      <w:r>
        <w:rPr>
          <w:rFonts w:ascii="Times New Roman" w:hAnsi="Times New Roman"/>
          <w:sz w:val="17"/>
        </w:rPr>
        <w:t>.  The Partnership Parties will take such steps as shall be necessary to ensure that none of the Partnership Group Entities shall become 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66" w:name="15636-2-KB-05_PB_24_072515_536"/>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investment company within the meaning of such term under the Investment Company Act of 1940, as amended, and the rules and regulations of the Commission thereunder.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w:t>
      </w:r>
      <w:r>
        <w:rPr>
          <w:rFonts w:ascii="Times New Roman" w:hAnsi="Times New Roman"/>
        </w:rPr>
        <w:t xml:space="preserve">                                 </w:t>
      </w:r>
      <w:r>
        <w:rPr>
          <w:rFonts w:ascii="Times New Roman" w:hAnsi="Times New Roman"/>
          <w:i/>
          <w:sz w:val="17"/>
        </w:rPr>
        <w:t>Exchange Act Reports</w:t>
      </w:r>
      <w:r>
        <w:rPr>
          <w:rFonts w:ascii="Times New Roman" w:hAnsi="Times New Roman"/>
          <w:sz w:val="17"/>
        </w:rPr>
        <w:t>.  The Partnership, during the period when the Prospectus is required to be delivered under the Securities Act, will file all documents required to be filed with the Commission pursuant to the Exchange Act within the time periods required by the Exchange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(q)</w:t>
      </w:r>
      <w:r>
        <w:rPr>
          <w:rFonts w:ascii="Times New Roman" w:hAnsi="Times New Roman"/>
        </w:rPr>
        <w:t xml:space="preserve">                                 </w:t>
      </w:r>
      <w:r>
        <w:rPr>
          <w:rFonts w:ascii="Times New Roman" w:hAnsi="Times New Roman"/>
          <w:i/>
          <w:sz w:val="17"/>
        </w:rPr>
        <w:t>Free Writing Prospectuses</w:t>
      </w:r>
      <w:r>
        <w:rPr>
          <w:rFonts w:ascii="Times New Roman" w:hAnsi="Times New Roman"/>
          <w:sz w:val="17"/>
        </w:rPr>
        <w:t>.  The Partnership has complied and will comply with the requirements of Rule 433 under the Securities Act applicable to any Issuer Free 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 and, if requested by the Representative, will prepare and furnish without charge to each Underwriter an Issuer Free Writing Prospectus or other document that will correct such conflict, statement or omission; provided, however, that this representation and warranty shall not apply to any statements or omissions in an Issuer Free Writing Prospectus made in reliance upon and in conformity with information furnished in writing to the Partnership by an Underwriter through the Representative expressly for use therein, which information is specified in Section 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(r)</w:t>
      </w:r>
      <w:r>
        <w:rPr>
          <w:rFonts w:ascii="Times New Roman" w:hAnsi="Times New Roman"/>
        </w:rPr>
        <w:t xml:space="preserve">                                    </w:t>
      </w:r>
      <w:r>
        <w:rPr>
          <w:rFonts w:ascii="Times New Roman" w:hAnsi="Times New Roman"/>
          <w:i/>
          <w:sz w:val="17"/>
        </w:rPr>
        <w:t>Transfer Agent</w:t>
      </w:r>
      <w:r>
        <w:rPr>
          <w:rFonts w:ascii="Times New Roman" w:hAnsi="Times New Roman"/>
          <w:sz w:val="17"/>
        </w:rPr>
        <w:t>. The Partnership will maintain a transfer agent and, if necessary under the jurisdiction of formation of the Partnership, a registrar for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sz w:val="17"/>
          <w:u w:val="single"/>
        </w:rPr>
        <w:t>Indemnification and Contribution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Partnership Parties, jointly and severally, agree to indemnify and hold harmless each Underwriter, the directors, officers, employees and agents of each Underwriter, each affiliate of any Underwriter who has participated in the distribution of the Shares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(A) the Registration Statement, any Preliminary Prospectus, the Prospectus, (B) any Issuer Free Writing Prospectus or in 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67" w:name="15636-2-KB-05_PB_25_072526_5926"/>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amendment or supplement thereto, (C) any materials or information provided to investors by, or with the approval of, the Partnership in connection with the marketing of the offering of the Shares, including any road show (as defined in Rule 433 of the Rules and Regulations) not constituting an Issuer Free Writing Prospectus (</w:t>
      </w:r>
      <w:r>
        <w:rPr>
          <w:rFonts w:ascii="Times New Roman" w:hAnsi="Times New Roman"/>
          <w:b/>
          <w:sz w:val="17"/>
        </w:rPr>
        <w:t>Marketing Materials</w:t>
      </w:r>
      <w:r>
        <w:rPr>
          <w:rFonts w:ascii="Times New Roman" w:hAnsi="Times New Roman"/>
          <w:sz w:val="17"/>
        </w:rPr>
        <w:t xml:space="preserve">) or (ii) the omission or alleged omission to state in the Registration Statement, any Preliminary Prospectus, the Prospectus, any Issuer Free Writing Prospectus or in any amendment or supplement thereto or in any Marketing Materials,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the Partnership Parties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Marketing Materials, in reliance upon and in conformity with written information concerning such Underwriter furnished to the Partnership through the Representative by or on behalf of any Underwriter specifically for inclusion therein, which information consists solely of the information specified in Section 12.  The foregoing indemnity agreement is in addition to any liability that the Partnership Parties may otherwise have to any Underwriter or to any director, officer, employee or controlling person of that Underwriter.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any action, suit or proceeding shall be brought against any Underwriter, any director, officer, employee or agent of any Underwriter or any person controlling any Underwriter in respect of which indemnity may be sought against the Partnership Parties, such Underwriter or such director, officer, employee, agent or controlling person shall promptly notify the Partnership in writing, and the Partnership Parties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Partnership Parties have agreed in writing to pay such fees and expenses, (ii) the Partnership Parties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Parties (in which case the Partnership Parties shall not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68" w:name="15636-2-KB-05_PB_26_072537_4688"/>
      <w:bookmarkEnd w:id="6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have the right to direct the defense of such action, suit or proceeding on behalf of the indemnified party or parties), in any of which events the Partnership Parties shall pay the reasonable fees and expenses of such counsel as such fees and expenses are incurred (it being understood, however, that the Partnership Parties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Each Underwriter agrees, severally and not jointly, to indemnify and hold harmless the Partnership, the General Partners directors and the officers who sign the Registration Statement, and any person who controls the Partnership within the meaning of Section 15 of the Securities Act or Section 20 of the Exchange Act, to the same extent as the foregoing indemnity from the Partnership Parties to each Underwriter, but only with respect to information furnished in writing by or on behalf of such Underwriter through the Representative expressly for use in the Registration Statement, any Preliminary Prospectus, the Prospectus, any Issuer Free Writing Prospectus or in any amendment or supplement thereto or in any Marketing Materials, which information is limited to the information set forth in Section 12.  If any action, suit or proceeding shall be brought against the Partnership, any of such directors and officers of the General Partner or any such controlling person based on the Registration Statement, any Preliminary Prospectus, the Prospectus, any Issuer Free Writing Prospectus or in any amendment or supplement thereto or in any Marketing Materials, and in respect of which indemnity may be sought against any Underwriter pursuant to this paragraph (c), such Underwriter shall have the rights and duties given to the Partnership Parties by paragraph (b) above (except that if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Partnership Parties, any of such directors and officers of the General Partner and any such controlling person shall have the rights and duties given to the Underwriters by paragraph (b) above.  The foregoing indemnity agreement shall be in addition to any liability that the Underwriters may otherwise have.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Parties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Partnership Parties on the one hand and the Underwriters on the other in connection with the statements or omissions that resulted in such losses, claims, damages, liabilities or expenses, as well as any other relevant equitable considerations.  The relative benefits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69" w:name="15636-2-KB-05_PB_27_072545_2983"/>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received by the Partnership Parties on the one hand and the Underwriters on the other shall be deemed to be in the same proportion as the total net proceeds from the offering (before deducting expenses) received by the Partnership Parties bear to the total underwriting discounts and commissions received by the Underwriters, in each case as set forth in the table on the cover page of the Prospectus.  The relative fault of the Partnership Parties on the one hand and the Underwriters on the other hand shall be determined by reference to, among other things, whether the untrue or alleged untrue statement of a material fact or the omission or alleged omission to state a material fact relates to information supplied by the Partnership Parties or any affiliate of the Partnership Parties on the one hand, or by the Underwriters on the other hand, and the parties relative intent, knowledge, access to information and opportunity to correct or prevent such statement or omission.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Partnership Parties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No indemnifying party shall (i)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70" w:name="15636-2-KB-05_PB_28_072550_6228"/>
      <w:bookmarkEnd w:id="7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Partnership Parties set forth in this Agreement shall remain operative and in full force and effect, regardless of (i) any investigation made by or on behalf of any Underwriter or any person controlling any Underwriter, the Partnership or any of the General Partners directors or officers or any person controlling the Partnership Parties, (ii) acceptance of any Shares and payment therefor in accordance with the terms of this Agreement, and (iii) any termination of this Agreement.  A successor to any Underwriter or any person controlling any Underwriter, or to the Partnership Parties or any of the General Partners directors or officers or any person controlling the Partnership Parties shall be entitled to the benefits of the indemnity, contribution and reimbursement agreements contained in this Section 6.</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The Partnership Parties, jointly and severally, agree to indemnify and hold harmless Morgan Stanley &amp; Co. LLC (including its affiliates, directors, officers and employees) and each person, if any, who controls Morgan Stanley &amp; Co. LLC within the meaning of Section 15 of the Securities Act or Section 20 of the Exchange Act (</w:t>
      </w:r>
      <w:r>
        <w:rPr>
          <w:rFonts w:ascii="Times New Roman" w:hAnsi="Times New Roman"/>
          <w:b/>
          <w:sz w:val="17"/>
        </w:rPr>
        <w:t>Morgan Stanley Entities</w:t>
      </w:r>
      <w:r>
        <w:rPr>
          <w:rFonts w:ascii="Times New Roman" w:hAnsi="Times New Roman"/>
          <w:sz w:val="17"/>
        </w:rPr>
        <w:t>), from and against any loss, claim, damage or liability or any action in respect thereof to which any of the Morgan Stanley Entities may become subject, under the Securities Act or otherwise, insofar as such loss, claim, damage, liability or action (i) arises out of, or is based upon, any untrue statement or alleged untrue statement of a material fact contained in any material prepared by or with the approval of the Partnership Parties for distribution to Directed Share Participants in connection with the Directed Share Program or any omission or alleged omission to state therein a material fact required to be stated therein or necessary to make the statements therein not misleading, (ii) arises out of, or is based upon, the failure of the Directed Share Participant to pay for and accept delivery of Directed Shares that the Directed Share Participant agreed to purchase, or (iii) is otherwise related to the Directed Share Program; provided that the Partnership Parties shall not be liable under this clause (iii) for any loss, claim, damage, liability or action that is determined in a final judgment by a court of competent jurisdiction to have resulted from the gross negligence or willful misconduct of the Morgan Stanley Entities.  The Partnership Parties shall reimburse the Morgan Stanley Entities promptly upon demand for any legal or other expenses reasonably incurred by them in connection with investigating or defending or preparing to defend against any such loss, claim, damage, liability or action as such expenses are incurred.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sz w:val="17"/>
          <w:u w:val="single"/>
        </w:rPr>
        <w:t>Conditions to the Obligations of the Underwriters</w:t>
      </w:r>
      <w:r>
        <w:rPr>
          <w:rFonts w:ascii="Times New Roman" w:hAnsi="Times New Roman"/>
          <w:sz w:val="17"/>
        </w:rPr>
        <w:t>.  The several obligations of the Underwriters to purchase the Initial Shares and the Additional Shares, as the case may be, hereunder are subject to the following conditions: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filings required by Rule 424 of the Rules and Regulations shall have been made.  All material required to be filed by the Partnership pursuant to Rule 433(d) under the Securities Act shall have been filed with the Commission within the applicable time period prescribed for such filing by Rule 433 under the Securities Act.  No stop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71" w:name="15636-2-KB-05_PB_29_072603_6479"/>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Shares, or (ii) any event or development relating to or involving any of the Partnership Group Entities or any executive officer or director of any of such entities that makes any statement made in the Prospectus untrue or 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 opinion, materially adversely affect the market for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The Representative shall have received on each applicable Delivery Date, an opinion of Vinson &amp; Elkins L.L.P., counsel for the Partnership, dated the applicable Delivery Date and addressed to the Underwriters, in form and substance reasonably satisfactory to the Representatives, substantially in the form set forth in </w:t>
      </w:r>
      <w:r>
        <w:rPr>
          <w:rFonts w:ascii="Times New Roman" w:hAnsi="Times New Roman"/>
          <w:sz w:val="17"/>
          <w:u w:val="single"/>
        </w:rPr>
        <w:t>Exhibit E</w:t>
      </w:r>
      <w:r>
        <w:rPr>
          <w:rFonts w:ascii="Times New Roman" w:hAnsi="Times New Roman"/>
          <w:sz w:val="17"/>
        </w:rPr>
        <w:t xml:space="preserve">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Representative shall have received on each applicable Delivery Date an opinion of Richard McGee, general counsel for the General Partner, dated the applicable Delivery Date and addressed to the Underwriters, in form and substance reasonably satisfactory to the Representatives, substantially in the form set forth in </w:t>
      </w:r>
      <w:r>
        <w:rPr>
          <w:rFonts w:ascii="Times New Roman" w:hAnsi="Times New Roman"/>
          <w:sz w:val="17"/>
          <w:u w:val="single"/>
        </w:rPr>
        <w:t>Exhibit F</w:t>
      </w:r>
      <w:r>
        <w:rPr>
          <w:rFonts w:ascii="Times New Roman" w:hAnsi="Times New Roman"/>
          <w:sz w:val="17"/>
        </w:rPr>
        <w:t xml:space="preserve">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The Representative shall have received on each applicable Delivery Date, an opinion of special internal Canadian counsel of the Partnership with respect to the Province of Alberta and the federal laws of Canada, dated the Closing Date and addressed to the Underwriters, substantially in the form set forth in </w:t>
      </w:r>
      <w:r>
        <w:rPr>
          <w:rFonts w:ascii="Times New Roman" w:hAnsi="Times New Roman"/>
          <w:sz w:val="17"/>
          <w:u w:val="single"/>
        </w:rPr>
        <w:t>Exhibit G</w:t>
      </w:r>
      <w:r>
        <w:rPr>
          <w:rFonts w:ascii="Times New Roman" w:hAnsi="Times New Roman"/>
          <w:sz w:val="17"/>
        </w:rPr>
        <w:t xml:space="preserve">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The Representative shall have received on each applicable Delivery Date an opinion of Baker Botts L.L.P., counsel for the Underwriters, dated the applicable Delivery Date and addressed to the Underwriters, with respect to the offering, issuance and sale of the Shares, the Registration Statement, the Pricing Disclosure Package, the Prospectus (together with any amendment or supplement thereto) and other related matters the Underwriters may reasonably require.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At the time of the execution of this Agreement, the Representative shall have received from each of PricewaterhouseCoopers LLP, independent public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72" w:name="15636-2-KB-05_PB_30_072613_2639"/>
      <w:bookmarkEnd w:id="72"/>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accountants, and Ernst &amp; Young, LLP, independent registered public accountants, letters dated such date, in form and substance satisfactory to the Representative, together with signed or reproduced copies of such letters for each of the other Underwriters,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letters shall be a date not more than five days prior to the date of such letter.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On each applicable the Delivery Date, the Representative shall have received from each of PricewaterhouseCoopers LLP and Ernst &amp; Young, LLP a letter, dated as of each such Delivery Date, to the effect that they reaffirm the statements made in the letters furnished pursuant to paragraph (g) of this Section 7, except that the date referred to in the proviso in Section 7(g) hereof shall be a date not more than three business days prior to each such Delivery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Partnership Parties shall have furnished to the Representative at each applicable Delivery Date a certificate of the Partnership, signed on behalf of the Partnership by the President or any Vice President and the Chief Financial Officer of the General Partner, dated the applicable Delivery Date, to the effect that the signers of such certificate have examined the Registration Statement, the Pricing Disclosure Package, the Prospectus and any amendment or supplement thereto, and this Agreement and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representations and warranties of the Partnership Parties in this Agreement are true and correct on and as of the applicable Delivery Date with the same effect as if made on the applicable Delivery Date and the Partnership Parties have complied in all material respects with all the agreements and satisfied all the conditions on its part to be performed or satisfied at or prior to the applicable Delivery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 stop order suspending the effectiveness of the Registration Statement or any notice objecting to its use has been issued and no proceedings for that purpose have been instituted or, to the Partnership Parties knowledge, threatened;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 the Registration Statement, as of the Effective Date, (ii) the Prospectus, as of its date and on the applicable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The NYSE shall have approved the Shares for listing, subject only to official notice of issuance and evidence of satisfactory distribution.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73" w:name="15636-2-KB-07_PB_31_072732_2794"/>
      <w:bookmarkEnd w:id="7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FINRA shall not have raised any objection with respect to the fairness or reasonableness of the underwriting, or other arrangements of the issuance and sale of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sz w:val="17"/>
        </w:rPr>
        <w:t xml:space="preserve">On or prior to the date hereof, the Partnership Parties shall have furnished to the Underwriters a letter substantially in the form of </w:t>
      </w:r>
      <w:r>
        <w:rPr>
          <w:rFonts w:ascii="Times New Roman" w:hAnsi="Times New Roman"/>
          <w:sz w:val="17"/>
          <w:u w:val="single"/>
        </w:rPr>
        <w:t>Exhibit B</w:t>
      </w:r>
      <w:r>
        <w:rPr>
          <w:rFonts w:ascii="Times New Roman" w:hAnsi="Times New Roman"/>
          <w:sz w:val="17"/>
        </w:rPr>
        <w:t xml:space="preserve"> hereto from each person named in </w:t>
      </w:r>
      <w:r>
        <w:rPr>
          <w:rFonts w:ascii="Times New Roman" w:hAnsi="Times New Roman"/>
          <w:sz w:val="17"/>
          <w:u w:val="single"/>
        </w:rPr>
        <w:t>Exhibit B-1</w:t>
      </w:r>
      <w:r>
        <w:rPr>
          <w:rFonts w:ascii="Times New Roman" w:hAnsi="Times New Roman"/>
          <w:sz w:val="17"/>
        </w:rPr>
        <w:t xml:space="preserve">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sz w:val="17"/>
        </w:rPr>
        <w:t xml:space="preserve">At the time of the execution of this Agreement, the Representative shall have received from the Partnership a certificate substantially in the form of </w:t>
      </w:r>
      <w:r>
        <w:rPr>
          <w:rFonts w:ascii="Times New Roman" w:hAnsi="Times New Roman"/>
          <w:sz w:val="17"/>
          <w:u w:val="single"/>
        </w:rPr>
        <w:t>Exhibit H</w:t>
      </w:r>
      <w:r>
        <w:rPr>
          <w:rFonts w:ascii="Times New Roman" w:hAnsi="Times New Roman"/>
          <w:sz w:val="17"/>
        </w:rPr>
        <w:t xml:space="preserve"> hereto and signed by the chief financial officer of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such opinions, certificates, letters and other documents referred to in this Section 7 will be in compliance with the provisions hereof only if they are reasonably satisfactory in form and substance to the Representative and counsel for the Underwriters.  The Partnership shall furnish to the Underwriters conformed copies of such opinions, certificates, letters and other documents in such number as they shall reasonably request.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several obligations of the Underwriters to purchase Additional Shares hereunder are subject to the satisfaction on and as of any Additional Shares Delivery Date of the conditions set forth in this Section 7, except that, if any Additional Shares Delivery Date is other than the Initial Delivery Date, (i) the certificates, opinions and letters referred to in paragraphs (c) through (f), (h) and (i) shall be dated the Additional Shares Delivery Date in question, (ii) the opinions called for by paragraphs (c), (d), (e) and (f), as applicable, shall be revised to reflect the sale of Additional Shares and (iii) any references in Section 7 to the Initial Delivery Date shall be deemed to be such Additional Shares Delivery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applicable Delivery Date by the Underwriters.  Notice of such cancellation shall be given to the Partnership in writing or by telephone or facsimile confirmed in writing.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sz w:val="17"/>
          <w:u w:val="single"/>
        </w:rPr>
        <w:t>Expenses</w:t>
      </w:r>
      <w:r>
        <w:rPr>
          <w:rFonts w:ascii="Times New Roman" w:hAnsi="Times New Roman"/>
          <w:sz w:val="17"/>
        </w:rPr>
        <w:t xml:space="preserve">.  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Shares; (iii) the preparation, printing, authentication, issuance and delivery of certificates for the Shares, including any stamp taxes in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74" w:name="15636-2-KB-07_PB_32_072742_8299"/>
      <w:bookmarkEnd w:id="7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connection with the original issuance and sale of the Shares; (iv) the printing (or reproduction) and delivery of this Agreement, the preliminary and supplemental Blue Sky Memoranda, and all other agreements or documents printed (or reproduced) and delivered in connection with the offering of the Shares; (v) the registration of the Shares under the Exchange Act and the listing of the Shares on the NYSE and any applicable listing or other similar fees; (vi) the registration or qualification of the Shares for offer and sale under the securities or Blue Sky laws of the several states as provided in Section 5(f)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offer and sale of the Directed Shares by the Underwriters in connection with the Directed Share Program, including the fees and disbursements of counsel to the Underwriters related thereto, the costs and expenses of preparation, printing and distribution of the Directed Share Program materials and all stamp duties or other taxes incurred by the Underwriters in connection with the Directed Share Program; (ix) costs and expenses related to investor presentations on any road show undertaken in connection with the marketing of the Shares, including, without limitation, expenses associated with any electronic road show, travel and lodging expenses of the Representative and officers and employees of the Partnership Parties; provided, however, that the Partnership is obligated to pay only 50% of the costs and expenses of any aircraft that is chartered in connection with the road show; and (x) the fees and expenses of the Partnerships accountants and the fees and expenses of counsel (including local and special counsel) for the Partnership Group Entities; (xi) all expenses in connection with the qualification of the Shares for offering and sale in any Province or Territory in Canada, including the reasonable fees, disbursements and expenses of counsel for the Underwriters in connection therewith; (xii) the costs and expenses of qualifying the Shares for inclusion in the book-entry settlement system of the DTC; and (xiii) services provided by the transfer agent and registrar.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It is understood, however, that except as otherwise provided in this Section 8 or Section 5(i) hereof, the Underwriters will pay all of their own costs and expenses, including the fees of their counsel, transfer taxes on any resale of the Shares by any Underwriter, any advertising expenses connected with any offers they may make and the transportation and other expenses incurred by the Underwriters on their own behalf in connection with presentations to prospective purchasers of the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sz w:val="17"/>
          <w:u w:val="single"/>
        </w:rPr>
        <w:t>Default by an Underwriter</w:t>
      </w:r>
      <w:r>
        <w:rPr>
          <w:rFonts w:ascii="Times New Roman" w:hAnsi="Times New Roman"/>
          <w:sz w:val="17"/>
        </w:rPr>
        <w:t xml:space="preserve">.  If any one or more of the Underwriters shall fail or refuse to purchase Shares that it or they are obligated to purchase hereunder on the Initial Delivery Date, and the aggregate number of Shares that such defaulting Underwriter or Underwriters are obligated but fail or refuse to purchase is not more than one-tenth of the aggregate number of the Shares that the Underwriters are obligated to purchase on the Initial Delivery Date, each non-defaulting Underwriter shall be obligated, severally, in the proportion that the number of Initial Shares set forth opposite its name in </w:t>
      </w:r>
      <w:r>
        <w:rPr>
          <w:rFonts w:ascii="Times New Roman" w:hAnsi="Times New Roman"/>
          <w:sz w:val="17"/>
          <w:u w:val="single"/>
        </w:rPr>
        <w:t>Schedule I</w:t>
      </w:r>
      <w:r>
        <w:rPr>
          <w:rFonts w:ascii="Times New Roman" w:hAnsi="Times New Roman"/>
          <w:sz w:val="17"/>
        </w:rPr>
        <w:t xml:space="preserve"> hereto bears to the aggregate number of Initial Shares set forth opposite the names of all non-defaulting Underwriters or in such other proportion as the Representative may specify in accordance with the Agreement Among Underwriters of Barclays Capital Inc. to purchase the Shares that such defaulting Underwriter or Underwriters are obligated, but fail or refuse, to purchase.  If any one or more of the Underwriters shall fail or refuse to purchase Shares that it or they are obligated to purchase on the Initial Delivery Date and the aggregate number of Shares with respect to which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75" w:name="15636-2-KB-07_PB_33_072750_8247"/>
      <w:bookmarkEnd w:id="7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such default occurs is more than one-tenth of the aggregate number of Shares that the Underwriters are obligated to purchase on the Initial Delivery Date and arrangements satisfactory to the Representative and the Partnership for the purchase of such Shares by one or more non-defaulting Underwriters or other party or parties approved by the Representative and the Partnership are not made within five business days after such default, this Agreement will terminate without liability on the part of any party hereto (other than the defaulting Underwriter).  In any such case that does not result in termination of this Agreement, either the Representative or the Partnership shall have the right to postpone the Initial Delivery Date, but in no event for longer than seven days, in order that the required changes, if any, in the Registration Statement and the Prospectus or any other documents or arrangements may be effected.  If any one or more of the Underwriters shall fail or refuse to purchase Additional Shares that it or they are obligated to purchase hereunder on the Additional Shares Delivery Date, each non-defaulting Underwriter shall be obligated, severally, in the proportion that the number of Initial Shares set forth opposite its name in </w:t>
      </w:r>
      <w:r>
        <w:rPr>
          <w:rFonts w:ascii="Times New Roman" w:hAnsi="Times New Roman"/>
          <w:sz w:val="17"/>
          <w:u w:val="single"/>
        </w:rPr>
        <w:t>Schedule I</w:t>
      </w:r>
      <w:r>
        <w:rPr>
          <w:rFonts w:ascii="Times New Roman" w:hAnsi="Times New Roman"/>
          <w:sz w:val="17"/>
        </w:rPr>
        <w:t xml:space="preserve"> hereto bears to the aggregate number of Initial Shares set forth opposite the names of all non-defaulting Underwriters or in such other proportion as the Representative may specify in accordance with the Agreement Among Underwriters of Barclays Capital Inc., to purchase the Additional Shares that such defaulting Underwriter or Underwriters are obligated, but fail or refuse, to purchase.  Any action taken under this paragraph shall not relieve any defaulting Underwriter from liability in respect of any such default of any such Underwriter under this Agreement.  The term </w:t>
      </w:r>
      <w:r>
        <w:rPr>
          <w:rFonts w:ascii="Times New Roman" w:hAnsi="Times New Roman"/>
          <w:b/>
          <w:sz w:val="17"/>
        </w:rPr>
        <w:t>Underwriter</w:t>
      </w:r>
      <w:r>
        <w:rPr>
          <w:rFonts w:ascii="Times New Roman" w:hAnsi="Times New Roman"/>
          <w:sz w:val="17"/>
        </w:rPr>
        <w:t xml:space="preserve"> as used in this Agreement includes, for all purposes of this Agreement, any party not listed in </w:t>
      </w:r>
      <w:r>
        <w:rPr>
          <w:rFonts w:ascii="Times New Roman" w:hAnsi="Times New Roman"/>
          <w:sz w:val="17"/>
          <w:u w:val="single"/>
        </w:rPr>
        <w:t>Schedule I</w:t>
      </w:r>
      <w:r>
        <w:rPr>
          <w:rFonts w:ascii="Times New Roman" w:hAnsi="Times New Roman"/>
          <w:sz w:val="17"/>
        </w:rPr>
        <w:t xml:space="preserve"> hereto who, with the Representative approval and the approval of the Partnership, purchases Shares that a defaulting Underwriter is obligated, but fails or refuses, to purchase.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notice under this Section 9 may be given by telegram, telecopy or telephone but shall be subsequently confirmed by letter.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sz w:val="17"/>
          <w:u w:val="single"/>
        </w:rPr>
        <w:t>Termination of Agreement</w:t>
      </w:r>
      <w:r>
        <w:rPr>
          <w:rFonts w:ascii="Times New Roman" w:hAnsi="Times New Roman"/>
          <w:sz w:val="17"/>
        </w:rPr>
        <w:t>.  This Agreement shall be subject to termination in the Representatives absolute discretion, without liability on the part of any Underwriters to the Partnership, by notice to the Partnership, if prior to the Initial Delivery Date or any Additional Shares Delivery Date (if different from the Initial Delivery Date and then only as to the Additional Shares), as the case may be, (i) trading in the Shares or the common units representing limited partner interests in PAA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Shares as contemplated by the Prospectus (exclusive of any amendment or supplement thereto).  Notice of such termination may be given to the Partnership by telegram, telecopy or telephone and shall be subsequently confirmed by letter.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76" w:name="15636-2-KB-07_PB_34_072803_5893"/>
      <w:bookmarkEnd w:id="7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w:t>
      </w:r>
      <w:r>
        <w:rPr>
          <w:rFonts w:ascii="Times New Roman" w:hAnsi="Times New Roman"/>
        </w:rPr>
        <w:t xml:space="preserve">                               </w:t>
      </w:r>
      <w:r>
        <w:rPr>
          <w:rFonts w:ascii="Times New Roman" w:hAnsi="Times New Roman"/>
          <w:sz w:val="17"/>
          <w:u w:val="single"/>
        </w:rPr>
        <w:t>Notice; Successors</w:t>
      </w:r>
      <w:r>
        <w:rPr>
          <w:rFonts w:ascii="Times New Roman" w:hAnsi="Times New Roman"/>
          <w:sz w:val="17"/>
        </w:rPr>
        <w:t>.  Except as otherwise provided in Sections 5, 9 and 10 hereof, all communications hereunder will be in writing and effective only on receipt, and, if sent to the Underwriters, will be mailed, delivered or telefaxed to the Representative c/o Barclays Capital Inc., Attention: Syndicate Registration, 745 Seventh Avenue, New York, New York 10019 (fax: 646-834-8133); or, if sent to the Partnership, will be mailed, delivered or telefaxed to (713) 646-4313 and confirmed to it at 333 Clay St., Suite 1600, Houston, Texas 77002, Attention: General Counsel.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has been and is made solely for the benefit of the several Underwriters and their directors, officers, employees, agents and other controlling persons referred to in Section 6 hereof and the Partnership and the General Partners directors and the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w:t>
      </w:r>
      <w:r>
        <w:rPr>
          <w:rFonts w:ascii="Times New Roman" w:hAnsi="Times New Roman"/>
          <w:b/>
          <w:sz w:val="17"/>
        </w:rPr>
        <w:t>successor</w:t>
      </w:r>
      <w:r>
        <w:rPr>
          <w:rFonts w:ascii="Times New Roman" w:hAnsi="Times New Roman"/>
          <w:sz w:val="17"/>
        </w:rPr>
        <w:t> nor the term </w:t>
      </w:r>
      <w:r>
        <w:rPr>
          <w:rFonts w:ascii="Times New Roman" w:hAnsi="Times New Roman"/>
          <w:b/>
          <w:sz w:val="17"/>
        </w:rPr>
        <w:t>successors and assigns</w:t>
      </w:r>
      <w:r>
        <w:rPr>
          <w:rFonts w:ascii="Times New Roman" w:hAnsi="Times New Roman"/>
          <w:sz w:val="17"/>
        </w:rPr>
        <w:t> as used in this Agreement shall include a purchaser from any Underwriter of any of the Shares in his status as such purchaser.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12.</w:t>
      </w:r>
      <w:r>
        <w:rPr>
          <w:rFonts w:ascii="Times New Roman" w:hAnsi="Times New Roman"/>
        </w:rPr>
        <w:t xml:space="preserve">                               </w:t>
      </w:r>
      <w:r>
        <w:rPr>
          <w:rFonts w:ascii="Times New Roman" w:hAnsi="Times New Roman"/>
          <w:sz w:val="17"/>
          <w:u w:val="single"/>
        </w:rPr>
        <w:t>Information Furnished by the Underwriters</w:t>
      </w:r>
      <w:r>
        <w:rPr>
          <w:rFonts w:ascii="Times New Roman" w:hAnsi="Times New Roman"/>
          <w:sz w:val="17"/>
        </w:rPr>
        <w:t>.  The Partnership Parties acknowledge that the following statements set forth in the most recent Preliminary Prospectus and the Prospectus constitute the only information furnished by or on behalf of the Underwriters through the Representative as such information is referred to in Sections 1(e), 1(f), 1(g), 1(h), 5(p), 6(a) and 6(c) hereof: (A) the names of the Underwriters, (B) the table under the first paragraph under the heading Underwriting, (C) the sentence in the second paragraph under the heading UnderwritingCommissions and Expenses related to selling concessions and (D) the paragraphs under the heading UnderwritingStabilization, Short Positions and Penalty Bids.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13.</w:t>
      </w:r>
      <w:r>
        <w:rPr>
          <w:rFonts w:ascii="Times New Roman" w:hAnsi="Times New Roman"/>
        </w:rPr>
        <w:t xml:space="preserve">                               </w:t>
      </w:r>
      <w:r>
        <w:rPr>
          <w:rFonts w:ascii="Times New Roman" w:hAnsi="Times New Roman"/>
          <w:sz w:val="17"/>
          <w:u w:val="single"/>
        </w:rPr>
        <w:t>Research Analyst Independence</w:t>
      </w:r>
      <w:r>
        <w:rPr>
          <w:rFonts w:ascii="Times New Roman" w:hAnsi="Times New Roman"/>
          <w:sz w:val="17"/>
        </w:rPr>
        <w:t>.  The Partnership Parties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Partnership Parties hereby waive and release, to the fullest extent permitted by law, any claims that the Partnership Parties may have against the Underwriters with respect to any conflict of interest that may arise from the fact that the views expressed by their independent research analysts and research departments may be different from or inconsistent with the views or advice communicated to the Partnership Parties by such Underwriters investment banking divisions.  The Partnership Parties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14.</w:t>
      </w:r>
      <w:r>
        <w:rPr>
          <w:rFonts w:ascii="Times New Roman" w:hAnsi="Times New Roman"/>
        </w:rPr>
        <w:t xml:space="preserve">                               </w:t>
      </w:r>
      <w:r>
        <w:rPr>
          <w:rFonts w:ascii="Times New Roman" w:hAnsi="Times New Roman"/>
          <w:sz w:val="17"/>
          <w:u w:val="single"/>
        </w:rPr>
        <w:t>Integration</w:t>
      </w:r>
      <w:r>
        <w:rPr>
          <w:rFonts w:ascii="Times New Roman" w:hAnsi="Times New Roman"/>
          <w:sz w:val="17"/>
        </w:rPr>
        <w:t>.  This Agreement supersedes all prior agreements and understandings (whether written or oral) between the Partnership Parties and the Underwriters, or any of them, with respect to the subject matter hereof.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77" w:name="15636-2-KB-07_PB_35_072812_9862"/>
      <w:bookmarkEnd w:id="7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15.</w:t>
      </w:r>
      <w:r>
        <w:rPr>
          <w:rFonts w:ascii="Times New Roman" w:hAnsi="Times New Roman"/>
        </w:rPr>
        <w:t xml:space="preserve">                               </w:t>
      </w:r>
      <w:r>
        <w:rPr>
          <w:rFonts w:ascii="Times New Roman" w:hAnsi="Times New Roman"/>
          <w:sz w:val="17"/>
          <w:u w:val="single"/>
        </w:rPr>
        <w:t>Headings</w:t>
      </w:r>
      <w:r>
        <w:rPr>
          <w:rFonts w:ascii="Times New Roman" w:hAnsi="Times New Roman"/>
          <w:sz w:val="17"/>
        </w:rPr>
        <w:t>.  The Section headings used herein are for convenience only and shall not affect the construction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16.</w:t>
      </w:r>
      <w:r>
        <w:rPr>
          <w:rFonts w:ascii="Times New Roman" w:hAnsi="Times New Roman"/>
        </w:rPr>
        <w:t xml:space="preserve">                               </w:t>
      </w:r>
      <w:r>
        <w:rPr>
          <w:rFonts w:ascii="Times New Roman" w:hAnsi="Times New Roman"/>
          <w:sz w:val="17"/>
          <w:u w:val="single"/>
        </w:rPr>
        <w:t>Effective Date of Agreement</w:t>
      </w:r>
      <w:r>
        <w:rPr>
          <w:rFonts w:ascii="Times New Roman" w:hAnsi="Times New Roman"/>
          <w:sz w:val="17"/>
        </w:rPr>
        <w:t>.  This Agreement shall become effective upon the execution and delivery hereof by the parties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17.</w:t>
      </w:r>
      <w:r>
        <w:rPr>
          <w:rFonts w:ascii="Times New Roman" w:hAnsi="Times New Roman"/>
        </w:rPr>
        <w:t xml:space="preserve">                               </w:t>
      </w:r>
      <w:r>
        <w:rPr>
          <w:rFonts w:ascii="Times New Roman" w:hAnsi="Times New Roman"/>
          <w:sz w:val="17"/>
          <w:u w:val="single"/>
        </w:rPr>
        <w:t>No Fiduciary Duty</w:t>
      </w:r>
      <w:r>
        <w:rPr>
          <w:rFonts w:ascii="Times New Roman" w:hAnsi="Times New Roman"/>
          <w:sz w:val="17"/>
        </w:rPr>
        <w:t>.  The Partnership Parties acknowledge and agree that in connection with this offering and sale of the Shares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Partnership Parties and any other person, on the one hand, and the Underwriters, on the other hand, exists; (ii) the Underwriters are not acting as advisors, expert or otherwise, to the Partnership Parties, including, without limitation, with respect to the determination of the public offering price of the Shares, and such relationship between the Partnership Parties , on the one hand, and the Underwriters, on the other, is entirely and solely commercial, based on arms-length negotiations; (iii) any duties and obligations that the Underwriters may have to the Partnership Parties shall be limited to those duties and obligations specifically stated herein; and (iv) the Underwriters and their respective affiliates may have interests that differ from those of the Partnership Parties.  The Partnership Parties hereby waive any claims that they may have against the Underwriters with respect to any breach of fiduciary duty in connection with this offering.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18.</w:t>
      </w:r>
      <w:r>
        <w:rPr>
          <w:rFonts w:ascii="Times New Roman" w:hAnsi="Times New Roman"/>
        </w:rPr>
        <w:t xml:space="preserve">                               </w:t>
      </w:r>
      <w:r>
        <w:rPr>
          <w:rFonts w:ascii="Times New Roman" w:hAnsi="Times New Roman"/>
          <w:sz w:val="17"/>
          <w:u w:val="single"/>
        </w:rPr>
        <w:t>Applicable Law; Counterparts</w:t>
      </w:r>
      <w:r>
        <w:rPr>
          <w:rFonts w:ascii="Times New Roman" w:hAnsi="Times New Roman"/>
          <w:sz w:val="17"/>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19.</w:t>
      </w:r>
      <w:r>
        <w:rPr>
          <w:rFonts w:ascii="Times New Roman" w:hAnsi="Times New Roman"/>
        </w:rPr>
        <w:t xml:space="preserve">                               </w:t>
      </w:r>
      <w:r>
        <w:rPr>
          <w:rFonts w:ascii="Times New Roman" w:hAnsi="Times New Roman"/>
          <w:sz w:val="17"/>
          <w:u w:val="single"/>
        </w:rPr>
        <w:t>Patriot Act</w:t>
      </w:r>
      <w:r>
        <w:rPr>
          <w:rFonts w:ascii="Times New Roman" w:hAnsi="Times New Roman"/>
          <w:sz w:val="17"/>
        </w:rPr>
        <w:t>.  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Pages Follow]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78" w:name="15636-2-KB-07_PB_36_072823_9111"/>
      <w:bookmarkEnd w:id="7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Please confirm that the foregoing correctly sets forth the agreement among the Partnership and the Underwriters.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91"/>
        <w:gridCol w:w="542"/>
        <w:gridCol w:w="455"/>
        <w:gridCol w:w="4117"/>
      </w:tblGrid>
      <w:tr>
        <w:trPr/>
        <w:tc>
          <w:tcPr>
            <w:tcW w:w="5091" w:type="dxa"/>
            <w:tcBorders/>
            <w:shd w:fill="auto" w:val="clear"/>
          </w:tcPr>
          <w:p>
            <w:pPr>
              <w:pStyle w:val="TableContents"/>
              <w:spacing w:before="0" w:after="0"/>
              <w:ind w:left="0" w:right="0" w:hanging="0"/>
              <w:rPr/>
            </w:pPr>
            <w:r>
              <w:rPr/>
              <w:t> </w:t>
            </w:r>
          </w:p>
        </w:tc>
        <w:tc>
          <w:tcPr>
            <w:tcW w:w="511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5091" w:type="dxa"/>
            <w:tcBorders/>
            <w:shd w:fill="auto" w:val="clear"/>
          </w:tcPr>
          <w:p>
            <w:pPr>
              <w:pStyle w:val="TableContents"/>
              <w:spacing w:before="0" w:after="0"/>
              <w:ind w:left="0" w:right="0" w:hanging="0"/>
              <w:rPr/>
            </w:pPr>
            <w:r>
              <w:rPr/>
              <w:t> </w:t>
            </w:r>
          </w:p>
        </w:tc>
        <w:tc>
          <w:tcPr>
            <w:tcW w:w="5114" w:type="dxa"/>
            <w:gridSpan w:val="3"/>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3"/>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GP HOLDINGS, L.P.</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pPr>
            <w:r>
              <w:rPr/>
              <w:t> </w:t>
            </w:r>
          </w:p>
        </w:tc>
        <w:tc>
          <w:tcPr>
            <w:tcW w:w="4572"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7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pPr>
            <w:r>
              <w:rPr/>
              <w:t> </w:t>
            </w:r>
          </w:p>
        </w:tc>
        <w:tc>
          <w:tcPr>
            <w:tcW w:w="457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pPr>
            <w:r>
              <w:rPr/>
              <w:t> </w:t>
            </w:r>
          </w:p>
        </w:tc>
        <w:tc>
          <w:tcPr>
            <w:tcW w:w="4572"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pPr>
            <w:r>
              <w:rPr/>
              <w:t> </w:t>
            </w:r>
          </w:p>
        </w:tc>
        <w:tc>
          <w:tcPr>
            <w:tcW w:w="4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17"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pPr>
            <w:r>
              <w:rPr/>
              <w:t> </w:t>
            </w:r>
          </w:p>
        </w:tc>
        <w:tc>
          <w:tcPr>
            <w:tcW w:w="455" w:type="dxa"/>
            <w:tcBorders/>
            <w:shd w:fill="auto" w:val="clear"/>
          </w:tcPr>
          <w:p>
            <w:pPr>
              <w:pStyle w:val="TableContents"/>
              <w:spacing w:before="0" w:after="0"/>
              <w:ind w:left="0" w:right="0" w:hanging="0"/>
              <w:rPr/>
            </w:pPr>
            <w:r>
              <w:rPr/>
              <w:t> </w:t>
            </w:r>
          </w:p>
        </w:tc>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pPr>
            <w:r>
              <w:rPr/>
              <w:t> </w:t>
            </w:r>
          </w:p>
        </w:tc>
        <w:tc>
          <w:tcPr>
            <w:tcW w:w="455" w:type="dxa"/>
            <w:tcBorders/>
            <w:shd w:fill="auto" w:val="clear"/>
          </w:tcPr>
          <w:p>
            <w:pPr>
              <w:pStyle w:val="TableContents"/>
              <w:spacing w:before="0" w:after="0"/>
              <w:ind w:left="0" w:right="0" w:hanging="0"/>
              <w:rPr/>
            </w:pPr>
            <w:r>
              <w:rPr/>
              <w:t> </w:t>
            </w:r>
          </w:p>
        </w:tc>
        <w:tc>
          <w:tcPr>
            <w:tcW w:w="41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091" w:type="dxa"/>
            <w:tcBorders/>
            <w:shd w:fill="auto" w:val="clear"/>
          </w:tcPr>
          <w:p>
            <w:pPr>
              <w:pStyle w:val="TableContents"/>
              <w:spacing w:before="0" w:after="0"/>
              <w:ind w:left="0" w:right="0" w:hanging="0"/>
              <w:rPr/>
            </w:pPr>
            <w:r>
              <w:rPr/>
              <w:t> </w:t>
            </w:r>
          </w:p>
        </w:tc>
        <w:tc>
          <w:tcPr>
            <w:tcW w:w="5114" w:type="dxa"/>
            <w:gridSpan w:val="3"/>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GP HOLDINGS LLC</w:t>
            </w:r>
          </w:p>
        </w:tc>
      </w:tr>
      <w:tr>
        <w:trPr/>
        <w:tc>
          <w:tcPr>
            <w:tcW w:w="5091" w:type="dxa"/>
            <w:tcBorders/>
            <w:shd w:fill="auto" w:val="clear"/>
          </w:tcPr>
          <w:p>
            <w:pPr>
              <w:pStyle w:val="TableContents"/>
              <w:spacing w:before="0" w:after="0"/>
              <w:ind w:left="0" w:right="0" w:hanging="0"/>
              <w:rPr/>
            </w:pPr>
            <w:r>
              <w:rPr/>
              <w:t> </w:t>
            </w:r>
          </w:p>
        </w:tc>
        <w:tc>
          <w:tcPr>
            <w:tcW w:w="5114" w:type="dxa"/>
            <w:gridSpan w:val="3"/>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72"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pPr>
            <w:r>
              <w:rPr/>
              <w:t> </w:t>
            </w:r>
          </w:p>
        </w:tc>
        <w:tc>
          <w:tcPr>
            <w:tcW w:w="4572" w:type="dxa"/>
            <w:gridSpan w:val="2"/>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091" w:type="dxa"/>
            <w:tcBorders/>
            <w:shd w:fill="auto" w:val="clear"/>
          </w:tcPr>
          <w:p>
            <w:pPr>
              <w:pStyle w:val="TableContents"/>
              <w:spacing w:before="0" w:after="0"/>
              <w:ind w:left="0" w:right="0" w:hanging="0"/>
              <w:rPr/>
            </w:pPr>
            <w:r>
              <w:rPr/>
              <w:t> </w:t>
            </w:r>
          </w:p>
        </w:tc>
        <w:tc>
          <w:tcPr>
            <w:tcW w:w="542" w:type="dxa"/>
            <w:tcBorders/>
            <w:shd w:fill="auto" w:val="clear"/>
          </w:tcPr>
          <w:p>
            <w:pPr>
              <w:pStyle w:val="TableContents"/>
              <w:spacing w:before="0" w:after="0"/>
              <w:ind w:left="0" w:right="0" w:hanging="0"/>
              <w:rPr/>
            </w:pPr>
            <w:r>
              <w:rPr/>
              <w:t> </w:t>
            </w:r>
          </w:p>
        </w:tc>
        <w:tc>
          <w:tcPr>
            <w:tcW w:w="457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79" w:name="15636-2-KB-07_PB_37_073244_2270"/>
      <w:bookmarkEnd w:id="7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Agreement is hereby confirmed and accepted as of the date first above written.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Barclays Capital Inc.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Representative of the several underwriters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1"/>
        <w:gridCol w:w="412"/>
        <w:gridCol w:w="4226"/>
        <w:gridCol w:w="5156"/>
      </w:tblGrid>
      <w:tr>
        <w:trPr/>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Barclays Capital Inc.</w:t>
            </w:r>
          </w:p>
        </w:tc>
        <w:tc>
          <w:tcPr>
            <w:tcW w:w="5156" w:type="dxa"/>
            <w:tcBorders/>
            <w:shd w:fill="auto" w:val="clear"/>
          </w:tcPr>
          <w:p>
            <w:pPr>
              <w:pStyle w:val="TableContents"/>
              <w:spacing w:before="0" w:after="0"/>
              <w:ind w:left="0" w:right="0" w:hanging="0"/>
              <w:rPr/>
            </w:pPr>
            <w:r>
              <w:rPr/>
              <w:t> </w:t>
            </w:r>
          </w:p>
        </w:tc>
      </w:tr>
      <w:tr>
        <w:trPr/>
        <w:tc>
          <w:tcPr>
            <w:tcW w:w="411" w:type="dxa"/>
            <w:tcBorders/>
            <w:shd w:fill="auto" w:val="clear"/>
          </w:tcPr>
          <w:p>
            <w:pPr>
              <w:pStyle w:val="TableContents"/>
              <w:spacing w:before="0" w:after="0"/>
              <w:ind w:left="0" w:right="0" w:hanging="0"/>
              <w:rPr/>
            </w:pPr>
            <w:r>
              <w:rPr/>
              <w:t> </w:t>
            </w:r>
          </w:p>
        </w:tc>
        <w:tc>
          <w:tcPr>
            <w:tcW w:w="4638" w:type="dxa"/>
            <w:gridSpan w:val="2"/>
            <w:tcBorders/>
            <w:shd w:fill="auto" w:val="clear"/>
          </w:tcPr>
          <w:p>
            <w:pPr>
              <w:pStyle w:val="TableContents"/>
              <w:spacing w:before="0" w:after="0"/>
              <w:ind w:left="0" w:right="0" w:hanging="0"/>
              <w:rPr/>
            </w:pPr>
            <w:r>
              <w:rPr/>
              <w:t> </w:t>
            </w:r>
          </w:p>
        </w:tc>
        <w:tc>
          <w:tcPr>
            <w:tcW w:w="5156" w:type="dxa"/>
            <w:tcBorders/>
            <w:shd w:fill="auto" w:val="clear"/>
          </w:tcPr>
          <w:p>
            <w:pPr>
              <w:pStyle w:val="TableContents"/>
              <w:spacing w:before="0" w:after="0"/>
              <w:ind w:left="0" w:right="0" w:hanging="0"/>
              <w:rPr/>
            </w:pPr>
            <w:r>
              <w:rPr/>
              <w:t> </w:t>
            </w:r>
          </w:p>
        </w:tc>
      </w:tr>
      <w:tr>
        <w:trPr/>
        <w:tc>
          <w:tcPr>
            <w:tcW w:w="41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26"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5156" w:type="dxa"/>
            <w:tcBorders/>
            <w:shd w:fill="auto" w:val="clear"/>
          </w:tcPr>
          <w:p>
            <w:pPr>
              <w:pStyle w:val="TableContents"/>
              <w:spacing w:before="0" w:after="0"/>
              <w:ind w:left="0" w:right="0" w:hanging="0"/>
              <w:rPr/>
            </w:pPr>
            <w:r>
              <w:rPr/>
              <w:t> </w:t>
            </w:r>
          </w:p>
        </w:tc>
      </w:tr>
      <w:tr>
        <w:trPr/>
        <w:tc>
          <w:tcPr>
            <w:tcW w:w="41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2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5156" w:type="dxa"/>
            <w:tcBorders/>
            <w:shd w:fill="auto" w:val="clear"/>
          </w:tcPr>
          <w:p>
            <w:pPr>
              <w:pStyle w:val="TableContents"/>
              <w:spacing w:before="0" w:after="0"/>
              <w:ind w:left="0" w:right="0" w:hanging="0"/>
              <w:rPr/>
            </w:pPr>
            <w:r>
              <w:rPr/>
              <w:t> </w:t>
            </w:r>
          </w:p>
        </w:tc>
      </w:tr>
      <w:tr>
        <w:trPr/>
        <w:tc>
          <w:tcPr>
            <w:tcW w:w="41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22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5156"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Underwriting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I</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Plains GP Holdings, L.P.</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7631"/>
        <w:gridCol w:w="203"/>
        <w:gridCol w:w="2371"/>
      </w:tblGrid>
      <w:tr>
        <w:trPr/>
        <w:tc>
          <w:tcPr>
            <w:tcW w:w="763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Underwriter</w:t>
            </w:r>
          </w:p>
        </w:tc>
        <w:tc>
          <w:tcPr>
            <w:tcW w:w="203" w:type="dxa"/>
            <w:tcBorders/>
            <w:shd w:fill="auto" w:val="clear"/>
            <w:tcMar>
              <w:bottom w:w="0" w:type="dxa"/>
            </w:tcMar>
            <w:vAlign w:val="bottom"/>
          </w:tcPr>
          <w:p>
            <w:pPr>
              <w:pStyle w:val="TableContents"/>
              <w:spacing w:before="0" w:after="0"/>
              <w:ind w:left="0" w:right="0" w:hanging="0"/>
              <w:jc w:val="center"/>
              <w:rPr/>
            </w:pPr>
            <w:r>
              <w:rPr/>
              <w:t> </w:t>
            </w:r>
          </w:p>
        </w:tc>
        <w:tc>
          <w:tcPr>
            <w:tcW w:w="2371"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Number of</w:t>
              <w:br/>
              <w:t>Initial</w:t>
              <w:br/>
              <w:t>Shares</w:t>
            </w:r>
            <w:r>
              <w:rPr>
                <w:b/>
                <w:sz w:val="13"/>
              </w:rPr>
              <w:br/>
              <w:t>to be</w:t>
              <w:br/>
              <w:t>Purchased</w:t>
            </w:r>
          </w:p>
        </w:tc>
      </w:tr>
      <w:tr>
        <w:trPr/>
        <w:tc>
          <w:tcPr>
            <w:tcW w:w="763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Barclays Capital Inc.</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2371" w:type="dxa"/>
            <w:tcBorders/>
            <w:shd w:fill="CCEEFF" w:val="clear"/>
            <w:tcMar>
              <w:bottom w:w="0" w:type="dxa"/>
            </w:tcMar>
          </w:tcPr>
          <w:p>
            <w:pPr>
              <w:pStyle w:val="TableContents"/>
              <w:spacing w:before="0" w:after="0"/>
              <w:ind w:left="0" w:right="0" w:hanging="0"/>
              <w:rPr/>
            </w:pPr>
            <w:r>
              <w:rPr/>
              <w:t> </w:t>
            </w:r>
          </w:p>
        </w:tc>
      </w:tr>
      <w:tr>
        <w:trPr/>
        <w:tc>
          <w:tcPr>
            <w:tcW w:w="763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Goldman, Sachs &amp; Co.</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763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J.P. Morgan Securities LLC</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2371" w:type="dxa"/>
            <w:tcBorders/>
            <w:shd w:fill="CCEEFF" w:val="clear"/>
            <w:tcMar>
              <w:bottom w:w="0" w:type="dxa"/>
            </w:tcMar>
          </w:tcPr>
          <w:p>
            <w:pPr>
              <w:pStyle w:val="TableContents"/>
              <w:spacing w:before="0" w:after="0"/>
              <w:ind w:left="0" w:right="0" w:hanging="0"/>
              <w:rPr/>
            </w:pPr>
            <w:r>
              <w:rPr/>
              <w:t> </w:t>
            </w:r>
          </w:p>
        </w:tc>
      </w:tr>
      <w:tr>
        <w:trPr/>
        <w:tc>
          <w:tcPr>
            <w:tcW w:w="763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Merrill Lynch, Pierce, Fenner &amp; Smith Incorporated</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763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Citigroup Global Markets Inc.</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2371" w:type="dxa"/>
            <w:tcBorders/>
            <w:shd w:fill="CCEEFF" w:val="clear"/>
            <w:tcMar>
              <w:bottom w:w="0" w:type="dxa"/>
            </w:tcMar>
          </w:tcPr>
          <w:p>
            <w:pPr>
              <w:pStyle w:val="TableContents"/>
              <w:spacing w:before="0" w:after="0"/>
              <w:ind w:left="0" w:right="0" w:hanging="0"/>
              <w:rPr/>
            </w:pPr>
            <w:r>
              <w:rPr/>
              <w:t> </w:t>
            </w:r>
          </w:p>
        </w:tc>
      </w:tr>
      <w:tr>
        <w:trPr/>
        <w:tc>
          <w:tcPr>
            <w:tcW w:w="763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UBS Securities LLC</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371" w:type="dxa"/>
            <w:tcBorders/>
            <w:shd w:fill="auto" w:val="clear"/>
            <w:tcMar>
              <w:bottom w:w="0" w:type="dxa"/>
            </w:tcMar>
          </w:tcPr>
          <w:p>
            <w:pPr>
              <w:pStyle w:val="TableContents"/>
              <w:spacing w:before="0" w:after="0"/>
              <w:ind w:left="0" w:right="0" w:hanging="0"/>
              <w:rPr/>
            </w:pPr>
            <w:r>
              <w:rPr/>
              <w:t> </w:t>
            </w:r>
          </w:p>
        </w:tc>
      </w:tr>
      <w:tr>
        <w:trPr/>
        <w:tc>
          <w:tcPr>
            <w:tcW w:w="763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Wells Fargo Securities, LLC</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2371" w:type="dxa"/>
            <w:tcBorders/>
            <w:shd w:fill="CCEEFF" w:val="clear"/>
            <w:tcMar>
              <w:bottom w:w="0" w:type="dxa"/>
            </w:tcMar>
          </w:tcPr>
          <w:p>
            <w:pPr>
              <w:pStyle w:val="TableContents"/>
              <w:spacing w:before="0" w:after="0"/>
              <w:ind w:left="0" w:right="0" w:hanging="0"/>
              <w:rPr/>
            </w:pPr>
            <w:r>
              <w:rPr/>
              <w:t> </w:t>
            </w:r>
          </w:p>
        </w:tc>
      </w:tr>
      <w:tr>
        <w:trPr/>
        <w:tc>
          <w:tcPr>
            <w:tcW w:w="7631"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vAlign w:val="bottom"/>
          </w:tcPr>
          <w:p>
            <w:pPr>
              <w:pStyle w:val="TableContents"/>
              <w:spacing w:before="0" w:after="0"/>
              <w:ind w:left="0" w:right="0" w:hanging="0"/>
              <w:rPr/>
            </w:pPr>
            <w:r>
              <w:rPr/>
              <w:t> </w:t>
            </w:r>
          </w:p>
        </w:tc>
        <w:tc>
          <w:tcPr>
            <w:tcW w:w="2371" w:type="dxa"/>
            <w:tcBorders>
              <w:bottom w:val="single" w:sz="8" w:space="0" w:color="000000"/>
            </w:tcBorders>
            <w:shd w:fill="auto" w:val="clear"/>
          </w:tcPr>
          <w:p>
            <w:pPr>
              <w:pStyle w:val="TableContents"/>
              <w:spacing w:before="0" w:after="0"/>
              <w:ind w:left="0" w:right="0" w:hanging="0"/>
              <w:rPr/>
            </w:pPr>
            <w:r>
              <w:rPr/>
              <w:t> </w:t>
            </w:r>
          </w:p>
        </w:tc>
      </w:tr>
      <w:tr>
        <w:trPr/>
        <w:tc>
          <w:tcPr>
            <w:tcW w:w="763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3" w:type="dxa"/>
            <w:tcBorders/>
            <w:shd w:fill="CCEEFF" w:val="clear"/>
            <w:tcMar>
              <w:bottom w:w="0" w:type="dxa"/>
            </w:tcMar>
            <w:vAlign w:val="bottom"/>
          </w:tcPr>
          <w:p>
            <w:pPr>
              <w:pStyle w:val="TableContents"/>
              <w:spacing w:before="0" w:after="0"/>
              <w:ind w:left="0" w:right="0" w:hanging="0"/>
              <w:rPr/>
            </w:pPr>
            <w:r>
              <w:rPr/>
              <w:t> </w:t>
            </w:r>
          </w:p>
        </w:tc>
        <w:tc>
          <w:tcPr>
            <w:tcW w:w="2371" w:type="dxa"/>
            <w:tcBorders>
              <w:bottom w:val="double" w:sz="6" w:space="0" w:color="000000"/>
            </w:tcBorders>
            <w:shd w:fill="CCEEFF"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Schedule I to Underwriting Agreement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II</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Additional Pricing Disclosure Package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Pricing Information: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15"/>
        <w:gridCol w:w="207"/>
        <w:gridCol w:w="7083"/>
      </w:tblGrid>
      <w:tr>
        <w:trPr/>
        <w:tc>
          <w:tcPr>
            <w:tcW w:w="29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Number of Shares:</w:t>
            </w:r>
          </w:p>
        </w:tc>
        <w:tc>
          <w:tcPr>
            <w:tcW w:w="207" w:type="dxa"/>
            <w:tcBorders/>
            <w:shd w:fill="auto" w:val="clear"/>
            <w:vAlign w:val="bottom"/>
          </w:tcPr>
          <w:p>
            <w:pPr>
              <w:pStyle w:val="TableContents"/>
              <w:spacing w:before="0" w:after="0"/>
              <w:ind w:left="0" w:right="0" w:hanging="0"/>
              <w:rPr/>
            </w:pPr>
            <w:r>
              <w:rPr/>
              <w:t> </w:t>
            </w:r>
          </w:p>
        </w:tc>
        <w:tc>
          <w:tcPr>
            <w:tcW w:w="7083" w:type="dxa"/>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 Initial Shares or, if the Underwriters exercise in full their option to purchase [</w:t>
            </w:r>
            <w:r>
              <w:rPr>
                <w:rFonts w:ascii="Symbol" w:hAnsi="Symbol"/>
                <w:sz w:val="17"/>
              </w:rPr>
              <w:t>·</w:t>
            </w:r>
            <w:r>
              <w:rPr>
                <w:sz w:val="17"/>
              </w:rPr>
              <w:t>] Additional Shares granted in Section 2 hereof, [</w:t>
            </w:r>
            <w:r>
              <w:rPr>
                <w:rFonts w:ascii="Symbol" w:hAnsi="Symbol"/>
                <w:sz w:val="17"/>
              </w:rPr>
              <w:t>·</w:t>
            </w:r>
            <w:r>
              <w:rPr>
                <w:sz w:val="17"/>
              </w:rPr>
              <w:t>] Shares</w:t>
            </w:r>
          </w:p>
        </w:tc>
      </w:tr>
      <w:tr>
        <w:trPr/>
        <w:tc>
          <w:tcPr>
            <w:tcW w:w="2915"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7083" w:type="dxa"/>
            <w:tcBorders/>
            <w:shd w:fill="auto" w:val="clear"/>
          </w:tcPr>
          <w:p>
            <w:pPr>
              <w:pStyle w:val="TableContents"/>
              <w:spacing w:before="0" w:after="0"/>
              <w:ind w:left="0" w:right="0" w:hanging="0"/>
              <w:rPr/>
            </w:pPr>
            <w:r>
              <w:rPr/>
              <w:t> </w:t>
            </w:r>
          </w:p>
        </w:tc>
      </w:tr>
      <w:tr>
        <w:trPr/>
        <w:tc>
          <w:tcPr>
            <w:tcW w:w="29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Public offering price for the Shares:</w:t>
            </w:r>
          </w:p>
        </w:tc>
        <w:tc>
          <w:tcPr>
            <w:tcW w:w="207" w:type="dxa"/>
            <w:tcBorders/>
            <w:shd w:fill="auto" w:val="clear"/>
            <w:vAlign w:val="bottom"/>
          </w:tcPr>
          <w:p>
            <w:pPr>
              <w:pStyle w:val="TableContents"/>
              <w:spacing w:before="0" w:after="0"/>
              <w:ind w:left="0" w:right="0" w:hanging="0"/>
              <w:rPr/>
            </w:pPr>
            <w:r>
              <w:rPr/>
              <w:t> </w:t>
            </w:r>
          </w:p>
        </w:tc>
        <w:tc>
          <w:tcPr>
            <w:tcW w:w="7083" w:type="dxa"/>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 per Share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Schedule II to Underwriting Agreement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III</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Material Subsidiaries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Marketing, L.P.</w:t>
      </w:r>
    </w:p>
    <w:p>
      <w:pPr>
        <w:pStyle w:val="TextBody"/>
        <w:spacing w:before="0" w:after="0"/>
        <w:ind w:left="0" w:right="0" w:hanging="0"/>
        <w:rPr>
          <w:rFonts w:ascii="Times New Roman" w:hAnsi="Times New Roman"/>
          <w:sz w:val="17"/>
        </w:rPr>
      </w:pPr>
      <w:r>
        <w:rPr>
          <w:rFonts w:ascii="Times New Roman" w:hAnsi="Times New Roman"/>
          <w:sz w:val="17"/>
        </w:rPr>
        <w:t>Plains Pipeline, L.P.</w:t>
      </w:r>
    </w:p>
    <w:p>
      <w:pPr>
        <w:pStyle w:val="TextBody"/>
        <w:spacing w:before="0" w:after="0"/>
        <w:ind w:left="0" w:right="0" w:hanging="0"/>
        <w:rPr>
          <w:rFonts w:ascii="Times New Roman" w:hAnsi="Times New Roman"/>
          <w:sz w:val="17"/>
        </w:rPr>
      </w:pPr>
      <w:r>
        <w:rPr>
          <w:rFonts w:ascii="Times New Roman" w:hAnsi="Times New Roman"/>
          <w:sz w:val="17"/>
        </w:rPr>
        <w:t>Pacific Pipeline System LLC</w:t>
      </w:r>
    </w:p>
    <w:p>
      <w:pPr>
        <w:pStyle w:val="TextBody"/>
        <w:spacing w:before="0" w:after="0"/>
        <w:ind w:left="0" w:right="0" w:hanging="0"/>
        <w:rPr>
          <w:rFonts w:ascii="Times New Roman" w:hAnsi="Times New Roman"/>
          <w:sz w:val="17"/>
        </w:rPr>
      </w:pPr>
      <w:r>
        <w:rPr>
          <w:rFonts w:ascii="Times New Roman" w:hAnsi="Times New Roman"/>
          <w:sz w:val="17"/>
        </w:rPr>
        <w:t>Plains Products Terminals LLC</w:t>
      </w:r>
    </w:p>
    <w:p>
      <w:pPr>
        <w:pStyle w:val="TextBody"/>
        <w:spacing w:before="0" w:after="0"/>
        <w:ind w:left="0" w:right="0" w:hanging="0"/>
        <w:rPr>
          <w:rFonts w:ascii="Times New Roman" w:hAnsi="Times New Roman"/>
          <w:sz w:val="17"/>
        </w:rPr>
      </w:pPr>
      <w:r>
        <w:rPr>
          <w:rFonts w:ascii="Times New Roman" w:hAnsi="Times New Roman"/>
          <w:sz w:val="17"/>
        </w:rPr>
        <w:t>Plains Midstream Canada ULC</w:t>
      </w:r>
    </w:p>
    <w:p>
      <w:pPr>
        <w:pStyle w:val="TextBody"/>
        <w:spacing w:before="0" w:after="0"/>
        <w:ind w:left="0" w:right="0" w:hanging="0"/>
        <w:rPr>
          <w:rFonts w:ascii="Times New Roman" w:hAnsi="Times New Roman"/>
          <w:sz w:val="17"/>
        </w:rPr>
      </w:pPr>
      <w:r>
        <w:rPr>
          <w:rFonts w:ascii="Times New Roman" w:hAnsi="Times New Roman"/>
          <w:sz w:val="17"/>
        </w:rPr>
        <w:t>Plains West Coast Terminals LLC</w:t>
      </w:r>
    </w:p>
    <w:p>
      <w:pPr>
        <w:pStyle w:val="TextBody"/>
        <w:spacing w:before="0" w:after="0"/>
        <w:ind w:left="0" w:right="0" w:hanging="0"/>
        <w:rPr>
          <w:rFonts w:ascii="Times New Roman" w:hAnsi="Times New Roman"/>
          <w:sz w:val="17"/>
        </w:rPr>
      </w:pPr>
      <w:r>
        <w:rPr>
          <w:rFonts w:ascii="Times New Roman" w:hAnsi="Times New Roman"/>
          <w:sz w:val="17"/>
        </w:rPr>
        <w:t>Rocky Mountain Pipeline System LLC</w:t>
      </w:r>
    </w:p>
    <w:p>
      <w:pPr>
        <w:pStyle w:val="TextBody"/>
        <w:spacing w:before="0" w:after="0"/>
        <w:ind w:left="0" w:right="0" w:hanging="0"/>
        <w:rPr>
          <w:rFonts w:ascii="Times New Roman" w:hAnsi="Times New Roman"/>
          <w:sz w:val="17"/>
        </w:rPr>
      </w:pPr>
      <w:r>
        <w:rPr>
          <w:rFonts w:ascii="Times New Roman" w:hAnsi="Times New Roman"/>
          <w:sz w:val="17"/>
        </w:rPr>
        <w:t>Pine Prairie Energy Center, LLC</w:t>
      </w:r>
    </w:p>
    <w:p>
      <w:pPr>
        <w:pStyle w:val="TextBody"/>
        <w:spacing w:before="0" w:after="0"/>
        <w:ind w:left="0" w:right="0" w:hanging="0"/>
        <w:rPr>
          <w:rFonts w:ascii="Times New Roman" w:hAnsi="Times New Roman"/>
          <w:sz w:val="17"/>
        </w:rPr>
      </w:pPr>
      <w:r>
        <w:rPr>
          <w:rFonts w:ascii="Times New Roman" w:hAnsi="Times New Roman"/>
          <w:sz w:val="17"/>
        </w:rPr>
        <w:t>SG Resources Mississippi LLC</w:t>
      </w:r>
    </w:p>
    <w:p>
      <w:pPr>
        <w:pStyle w:val="TextBody"/>
        <w:spacing w:before="0" w:after="0"/>
        <w:ind w:left="0" w:right="0" w:hanging="0"/>
        <w:rPr>
          <w:rFonts w:ascii="Times New Roman" w:hAnsi="Times New Roman"/>
          <w:sz w:val="17"/>
        </w:rPr>
      </w:pPr>
      <w:r>
        <w:rPr>
          <w:rFonts w:ascii="Times New Roman" w:hAnsi="Times New Roman"/>
          <w:sz w:val="17"/>
        </w:rPr>
        <w:t>Plains LPG Services LP</w:t>
      </w:r>
    </w:p>
    <w:p>
      <w:pPr>
        <w:pStyle w:val="TextBody"/>
        <w:spacing w:before="0" w:after="0"/>
        <w:ind w:left="0" w:right="0" w:hanging="0"/>
        <w:rPr>
          <w:rFonts w:ascii="Times New Roman" w:hAnsi="Times New Roman"/>
          <w:sz w:val="17"/>
        </w:rPr>
      </w:pPr>
      <w:r>
        <w:rPr>
          <w:rFonts w:ascii="Times New Roman" w:hAnsi="Times New Roman"/>
          <w:sz w:val="17"/>
        </w:rPr>
        <w:t>Plains South Texas Gathering LLC</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Schedule III to Underwriting Agreement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IV</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Domestic Subsidiaries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Marketing, L.P.</w:t>
      </w:r>
    </w:p>
    <w:p>
      <w:pPr>
        <w:pStyle w:val="TextBody"/>
        <w:spacing w:before="0" w:after="0"/>
        <w:ind w:left="0" w:right="0" w:hanging="0"/>
        <w:rPr>
          <w:rFonts w:ascii="Times New Roman" w:hAnsi="Times New Roman"/>
          <w:sz w:val="17"/>
        </w:rPr>
      </w:pPr>
      <w:r>
        <w:rPr>
          <w:rFonts w:ascii="Times New Roman" w:hAnsi="Times New Roman"/>
          <w:sz w:val="17"/>
        </w:rPr>
        <w:t>Plains Pipeline, L.P.</w:t>
      </w:r>
    </w:p>
    <w:p>
      <w:pPr>
        <w:pStyle w:val="TextBody"/>
        <w:spacing w:before="0" w:after="0"/>
        <w:ind w:left="0" w:right="0" w:hanging="0"/>
        <w:rPr>
          <w:rFonts w:ascii="Times New Roman" w:hAnsi="Times New Roman"/>
          <w:sz w:val="17"/>
        </w:rPr>
      </w:pPr>
      <w:r>
        <w:rPr>
          <w:rFonts w:ascii="Times New Roman" w:hAnsi="Times New Roman"/>
          <w:sz w:val="17"/>
        </w:rPr>
        <w:t>Pacific Pipeline System LLC</w:t>
      </w:r>
    </w:p>
    <w:p>
      <w:pPr>
        <w:pStyle w:val="TextBody"/>
        <w:spacing w:before="0" w:after="0"/>
        <w:ind w:left="0" w:right="0" w:hanging="0"/>
        <w:rPr>
          <w:rFonts w:ascii="Times New Roman" w:hAnsi="Times New Roman"/>
          <w:sz w:val="17"/>
        </w:rPr>
      </w:pPr>
      <w:r>
        <w:rPr>
          <w:rFonts w:ascii="Times New Roman" w:hAnsi="Times New Roman"/>
          <w:sz w:val="17"/>
        </w:rPr>
        <w:t>Plains Products Terminals LLC</w:t>
      </w:r>
    </w:p>
    <w:p>
      <w:pPr>
        <w:pStyle w:val="TextBody"/>
        <w:spacing w:before="0" w:after="0"/>
        <w:ind w:left="0" w:right="0" w:hanging="0"/>
        <w:rPr>
          <w:rFonts w:ascii="Times New Roman" w:hAnsi="Times New Roman"/>
          <w:sz w:val="17"/>
        </w:rPr>
      </w:pPr>
      <w:r>
        <w:rPr>
          <w:rFonts w:ascii="Times New Roman" w:hAnsi="Times New Roman"/>
          <w:sz w:val="17"/>
        </w:rPr>
        <w:t>Plains West Coast Terminals LLC</w:t>
      </w:r>
    </w:p>
    <w:p>
      <w:pPr>
        <w:pStyle w:val="TextBody"/>
        <w:spacing w:before="0" w:after="0"/>
        <w:ind w:left="0" w:right="0" w:hanging="0"/>
        <w:rPr>
          <w:rFonts w:ascii="Times New Roman" w:hAnsi="Times New Roman"/>
          <w:sz w:val="17"/>
        </w:rPr>
      </w:pPr>
      <w:r>
        <w:rPr>
          <w:rFonts w:ascii="Times New Roman" w:hAnsi="Times New Roman"/>
          <w:sz w:val="17"/>
        </w:rPr>
        <w:t>Rocky Mountain Pipeline System LLC</w:t>
      </w:r>
    </w:p>
    <w:p>
      <w:pPr>
        <w:pStyle w:val="TextBody"/>
        <w:spacing w:before="0" w:after="0"/>
        <w:ind w:left="0" w:right="0" w:hanging="0"/>
        <w:rPr>
          <w:rFonts w:ascii="Times New Roman" w:hAnsi="Times New Roman"/>
          <w:sz w:val="17"/>
        </w:rPr>
      </w:pPr>
      <w:r>
        <w:rPr>
          <w:rFonts w:ascii="Times New Roman" w:hAnsi="Times New Roman"/>
          <w:sz w:val="17"/>
        </w:rPr>
        <w:t>Pine Prairie Energy Center, LLC</w:t>
      </w:r>
    </w:p>
    <w:p>
      <w:pPr>
        <w:pStyle w:val="TextBody"/>
        <w:spacing w:before="0" w:after="0"/>
        <w:ind w:left="0" w:right="0" w:hanging="0"/>
        <w:rPr>
          <w:rFonts w:ascii="Times New Roman" w:hAnsi="Times New Roman"/>
          <w:sz w:val="17"/>
        </w:rPr>
      </w:pPr>
      <w:r>
        <w:rPr>
          <w:rFonts w:ascii="Times New Roman" w:hAnsi="Times New Roman"/>
          <w:sz w:val="17"/>
        </w:rPr>
        <w:t>SG Resources Mississippi LLC</w:t>
      </w:r>
    </w:p>
    <w:p>
      <w:pPr>
        <w:pStyle w:val="TextBody"/>
        <w:spacing w:before="0" w:after="0"/>
        <w:ind w:left="0" w:right="0" w:hanging="0"/>
        <w:rPr>
          <w:rFonts w:ascii="Times New Roman" w:hAnsi="Times New Roman"/>
          <w:sz w:val="17"/>
        </w:rPr>
      </w:pPr>
      <w:r>
        <w:rPr>
          <w:rFonts w:ascii="Times New Roman" w:hAnsi="Times New Roman"/>
          <w:sz w:val="17"/>
        </w:rPr>
        <w:t>Plains LPG Services LP</w:t>
      </w:r>
    </w:p>
    <w:p>
      <w:pPr>
        <w:pStyle w:val="TextBody"/>
        <w:spacing w:before="0" w:after="0"/>
        <w:ind w:left="0" w:right="0" w:hanging="0"/>
        <w:rPr>
          <w:rFonts w:ascii="Times New Roman" w:hAnsi="Times New Roman"/>
          <w:sz w:val="17"/>
        </w:rPr>
      </w:pPr>
      <w:r>
        <w:rPr>
          <w:rFonts w:ascii="Times New Roman" w:hAnsi="Times New Roman"/>
          <w:sz w:val="17"/>
        </w:rPr>
        <w:t>Plains South Texas Gathering LLC</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Schedule IV to Underwriting Agreement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A</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228"/>
        <w:gridCol w:w="208"/>
        <w:gridCol w:w="1769"/>
        <w:gridCol w:w="208"/>
        <w:gridCol w:w="4792"/>
      </w:tblGrid>
      <w:tr>
        <w:trPr/>
        <w:tc>
          <w:tcPr>
            <w:tcW w:w="3228"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Subsidiary</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1769" w:type="dxa"/>
            <w:tcBorders>
              <w:bottom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t>Formation/</w:t>
            </w:r>
            <w:r>
              <w:rPr>
                <w:b/>
                <w:sz w:val="13"/>
              </w:rPr>
              <w:br/>
              <w:t>Organization</w:t>
            </w:r>
          </w:p>
        </w:tc>
        <w:tc>
          <w:tcPr>
            <w:tcW w:w="208" w:type="dxa"/>
            <w:tcBorders/>
            <w:shd w:fill="auto" w:val="clear"/>
            <w:tcMar>
              <w:bottom w:w="0" w:type="dxa"/>
            </w:tcMar>
            <w:vAlign w:val="bottom"/>
          </w:tcPr>
          <w:p>
            <w:pPr>
              <w:pStyle w:val="TableContents"/>
              <w:spacing w:before="0" w:after="0"/>
              <w:ind w:left="0" w:right="0" w:hanging="0"/>
              <w:jc w:val="center"/>
              <w:rPr/>
            </w:pPr>
            <w:r>
              <w:rPr/>
              <w:t> </w:t>
            </w:r>
          </w:p>
        </w:tc>
        <w:tc>
          <w:tcPr>
            <w:tcW w:w="479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Foreign Qualifications</w:t>
            </w:r>
          </w:p>
        </w:tc>
      </w:tr>
      <w:tr>
        <w:trPr/>
        <w:tc>
          <w:tcPr>
            <w:tcW w:w="322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GP LLC</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7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479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TX</w:t>
            </w:r>
          </w:p>
        </w:tc>
      </w:tr>
      <w:tr>
        <w:trPr/>
        <w:tc>
          <w:tcPr>
            <w:tcW w:w="322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Pacific Pipeline System LLC</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76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479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w:t>
            </w:r>
          </w:p>
        </w:tc>
      </w:tr>
      <w:tr>
        <w:trPr/>
        <w:tc>
          <w:tcPr>
            <w:tcW w:w="322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Pine Prairie Energy Center, LLC</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7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479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LA</w:t>
            </w:r>
          </w:p>
        </w:tc>
      </w:tr>
      <w:tr>
        <w:trPr/>
        <w:tc>
          <w:tcPr>
            <w:tcW w:w="322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76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479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TX</w:t>
            </w:r>
          </w:p>
        </w:tc>
      </w:tr>
      <w:tr>
        <w:trPr/>
        <w:tc>
          <w:tcPr>
            <w:tcW w:w="322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7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479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 IL, LA, OK, TX</w:t>
            </w:r>
          </w:p>
        </w:tc>
      </w:tr>
      <w:tr>
        <w:trPr/>
        <w:tc>
          <w:tcPr>
            <w:tcW w:w="322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76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479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TX</w:t>
            </w:r>
          </w:p>
        </w:tc>
      </w:tr>
      <w:tr>
        <w:trPr/>
        <w:tc>
          <w:tcPr>
            <w:tcW w:w="322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LPG Services LP</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7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479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 IL, OK</w:t>
            </w:r>
          </w:p>
        </w:tc>
      </w:tr>
      <w:tr>
        <w:trPr/>
        <w:tc>
          <w:tcPr>
            <w:tcW w:w="322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Marketing, L.P.</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76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479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 IL, LA, OK</w:t>
            </w:r>
          </w:p>
        </w:tc>
      </w:tr>
      <w:tr>
        <w:trPr/>
        <w:tc>
          <w:tcPr>
            <w:tcW w:w="322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Midstream Canada ULC</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7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British Columbia</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479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Alberta, Manitoba, New Brunswick, Nova Scotia, Quebec, Saskatchewan</w:t>
            </w:r>
          </w:p>
        </w:tc>
      </w:tr>
      <w:tr>
        <w:trPr/>
        <w:tc>
          <w:tcPr>
            <w:tcW w:w="322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Pipeline, L.P.</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76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479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 IL, LA, OK</w:t>
            </w:r>
          </w:p>
        </w:tc>
      </w:tr>
      <w:tr>
        <w:trPr/>
        <w:tc>
          <w:tcPr>
            <w:tcW w:w="322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Products Terminals LLC</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7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479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w:t>
            </w:r>
          </w:p>
        </w:tc>
      </w:tr>
      <w:tr>
        <w:trPr/>
        <w:tc>
          <w:tcPr>
            <w:tcW w:w="322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South Texas Gathering LLC</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76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Texas</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479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OK</w:t>
            </w:r>
          </w:p>
        </w:tc>
      </w:tr>
      <w:tr>
        <w:trPr/>
        <w:tc>
          <w:tcPr>
            <w:tcW w:w="322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West Coast Terminals LLC</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7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479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w:t>
            </w:r>
          </w:p>
        </w:tc>
      </w:tr>
      <w:tr>
        <w:trPr/>
        <w:tc>
          <w:tcPr>
            <w:tcW w:w="322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Rocky Mountain Pipeline System LLC</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176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auto" w:val="clear"/>
            <w:tcMar>
              <w:bottom w:w="0" w:type="dxa"/>
            </w:tcMar>
            <w:vAlign w:val="bottom"/>
          </w:tcPr>
          <w:p>
            <w:pPr>
              <w:pStyle w:val="TableContents"/>
              <w:spacing w:before="0" w:after="0"/>
              <w:ind w:left="0" w:right="0" w:hanging="0"/>
              <w:rPr/>
            </w:pPr>
            <w:r>
              <w:rPr/>
              <w:t> </w:t>
            </w:r>
          </w:p>
        </w:tc>
        <w:tc>
          <w:tcPr>
            <w:tcW w:w="479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UT</w:t>
            </w:r>
          </w:p>
        </w:tc>
      </w:tr>
      <w:tr>
        <w:trPr/>
        <w:tc>
          <w:tcPr>
            <w:tcW w:w="322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SG Resources Mississippi LLC</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176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Delaware</w:t>
            </w:r>
          </w:p>
        </w:tc>
        <w:tc>
          <w:tcPr>
            <w:tcW w:w="208" w:type="dxa"/>
            <w:tcBorders/>
            <w:shd w:fill="CCEEFF" w:val="clear"/>
            <w:tcMar>
              <w:bottom w:w="0" w:type="dxa"/>
            </w:tcMar>
            <w:vAlign w:val="bottom"/>
          </w:tcPr>
          <w:p>
            <w:pPr>
              <w:pStyle w:val="TableContents"/>
              <w:spacing w:before="0" w:after="0"/>
              <w:ind w:left="0" w:right="0" w:hanging="0"/>
              <w:rPr/>
            </w:pPr>
            <w:r>
              <w:rPr/>
              <w:t> </w:t>
            </w:r>
          </w:p>
        </w:tc>
        <w:tc>
          <w:tcPr>
            <w:tcW w:w="479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AL, MS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Exhibit A-1</w:t>
      </w:r>
      <w:bookmarkStart w:id="80" w:name="15636-2-KB-09_PB_1_074006_6952"/>
      <w:bookmarkEnd w:id="8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B</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sz w:val="17"/>
        </w:rPr>
        <w:t>[                ] [</w:t>
      </w:r>
      <w:r>
        <w:rPr>
          <w:rFonts w:ascii="Symbol" w:hAnsi="Symbol"/>
          <w:sz w:val="17"/>
        </w:rPr>
        <w:t>·</w:t>
      </w:r>
      <w:r>
        <w:rPr>
          <w:rFonts w:ascii="Times New Roman" w:hAnsi="Times New Roman"/>
          <w:sz w:val="17"/>
        </w:rPr>
        <w:t>],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Plains GP Holdings, L.P.</w:t>
        <w:br/>
      </w:r>
      <w:r>
        <w:rPr>
          <w:rFonts w:ascii="Times New Roman" w:hAnsi="Times New Roman"/>
          <w:sz w:val="17"/>
          <w:u w:val="single"/>
        </w:rPr>
        <w:t>Public Offering of Class A Shares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Barclays Capital Inc.</w:t>
      </w:r>
    </w:p>
    <w:p>
      <w:pPr>
        <w:pStyle w:val="TextBody"/>
        <w:spacing w:before="0" w:after="0"/>
        <w:ind w:left="0" w:right="0" w:hanging="0"/>
        <w:rPr>
          <w:rFonts w:ascii="Times New Roman" w:hAnsi="Times New Roman"/>
          <w:sz w:val="17"/>
        </w:rPr>
      </w:pPr>
      <w:r>
        <w:rPr>
          <w:rFonts w:ascii="Times New Roman" w:hAnsi="Times New Roman"/>
          <w:sz w:val="17"/>
        </w:rPr>
        <w:t>745 Seventh Avenue</w:t>
      </w:r>
    </w:p>
    <w:p>
      <w:pPr>
        <w:pStyle w:val="TextBody"/>
        <w:spacing w:before="0" w:after="0"/>
        <w:ind w:left="0" w:right="0" w:hanging="0"/>
        <w:rPr>
          <w:rFonts w:ascii="Times New Roman" w:hAnsi="Times New Roman"/>
          <w:sz w:val="17"/>
        </w:rPr>
      </w:pPr>
      <w:r>
        <w:rPr>
          <w:rFonts w:ascii="Times New Roman" w:hAnsi="Times New Roman"/>
          <w:sz w:val="17"/>
        </w:rPr>
        <w:t>New York, New York 10019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Representative of the several underwriters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undersigned understands that you and certain other firms (the </w:t>
      </w:r>
      <w:r>
        <w:rPr>
          <w:rFonts w:ascii="Times New Roman" w:hAnsi="Times New Roman"/>
          <w:b/>
          <w:sz w:val="17"/>
        </w:rPr>
        <w:t>Underwriters</w:t>
      </w:r>
      <w:r>
        <w:rPr>
          <w:rFonts w:ascii="Times New Roman" w:hAnsi="Times New Roman"/>
          <w:sz w:val="17"/>
        </w:rPr>
        <w:t>) propose to enter into an Underwriting Agreement (the </w:t>
      </w:r>
      <w:r>
        <w:rPr>
          <w:rFonts w:ascii="Times New Roman" w:hAnsi="Times New Roman"/>
          <w:b/>
          <w:sz w:val="17"/>
        </w:rPr>
        <w:t>Underwriting Agreement</w:t>
      </w:r>
      <w:r>
        <w:rPr>
          <w:rFonts w:ascii="Times New Roman" w:hAnsi="Times New Roman"/>
          <w:sz w:val="17"/>
        </w:rPr>
        <w:t>) with Plains GP Holdings, L.P., a Delaware limited partnership (the </w:t>
      </w:r>
      <w:r>
        <w:rPr>
          <w:rFonts w:ascii="Times New Roman" w:hAnsi="Times New Roman"/>
          <w:b/>
          <w:sz w:val="17"/>
        </w:rPr>
        <w:t>Partnership</w:t>
      </w:r>
      <w:r>
        <w:rPr>
          <w:rFonts w:ascii="Times New Roman" w:hAnsi="Times New Roman"/>
          <w:sz w:val="17"/>
        </w:rPr>
        <w:t>), and PAA GP Holdings LLC, a Delaware limited liability company (the </w:t>
      </w:r>
      <w:r>
        <w:rPr>
          <w:rFonts w:ascii="Times New Roman" w:hAnsi="Times New Roman"/>
          <w:b/>
          <w:sz w:val="17"/>
        </w:rPr>
        <w:t>General Partner</w:t>
      </w:r>
      <w:r>
        <w:rPr>
          <w:rFonts w:ascii="Times New Roman" w:hAnsi="Times New Roman"/>
          <w:sz w:val="17"/>
        </w:rPr>
        <w:t>) providing for the purchase by the Underwriters of Class A Shares of the Partnership (the </w:t>
      </w:r>
      <w:r>
        <w:rPr>
          <w:rFonts w:ascii="Times New Roman" w:hAnsi="Times New Roman"/>
          <w:b/>
          <w:sz w:val="17"/>
        </w:rPr>
        <w:t>Shares</w:t>
      </w:r>
      <w:r>
        <w:rPr>
          <w:rFonts w:ascii="Times New Roman" w:hAnsi="Times New Roman"/>
          <w:sz w:val="17"/>
        </w:rPr>
        <w:t>) and that the Underwriters propose to reoffer the Shares to the public (the </w:t>
      </w:r>
      <w:r>
        <w:rPr>
          <w:rFonts w:ascii="Times New Roman" w:hAnsi="Times New Roman"/>
          <w:b/>
          <w:sz w:val="17"/>
        </w:rPr>
        <w:t>Offering</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consideration of the execution of the Underwriting Agreement by the Underwriters, and for other good and valuable consideration, the undersigned hereby irrevocably agrees that, without the prior written consent of Barclays Capital Inc., on behalf of the Underwriters, the undersigned will not, directly or indirectly, (1) offer for sale, sell, pledge, or otherwise dispose of (or enter into any transaction or device that is designed to, or could be expected to, result in the disposition by any person at any time in the future of) any Shares (including, without limitation, Shares that may be deemed to be beneficially owned by the undersigned in accordance with the rules and regulations of the Securities and Exchange Commission and Shares that may be issued upon exercise of any options or warrants), (2) enter into any swap or other derivatives transaction that transfers to another, in whole or in part, any of the economic benefits or risks of ownership of Shares, whether any such transaction described in clause (1) or (2) above is to be settled by delivery of Shares or other securities, in cash or otherwise, (3) make any demand for or exercise any right or cause to be filed a registration statement, including any amendments thereto, with respect to the registration of any Shares or securities convertible into or exercisable or exchangeable for Shares or any other securities of the Partnership, or (4) publicly disclose the intention to do any of the foregoing for a period commencing on the date hereof and ending on the 180th day after the date of the Prospectus relating to the Offering (such 180-day period, the </w:t>
      </w:r>
      <w:r>
        <w:rPr>
          <w:rFonts w:ascii="Times New Roman" w:hAnsi="Times New Roman"/>
          <w:b/>
          <w:sz w:val="17"/>
        </w:rPr>
        <w:t>Lock-Up Period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foregoing paragraph shall not apply to (a) bona fide gifts or charitable donations of Shares, (b) sales to pay tax liabilities associated with the vesting of awards under the Partnerships long-term incentive plan; or (c) private transfers of Class B Shares, AAP Units or General Partner Units (as such terms are defined in the Underwriting Agreement); </w:t>
      </w:r>
      <w:r>
        <w:rPr>
          <w:rFonts w:ascii="Times New Roman" w:hAnsi="Times New Roman"/>
          <w:i/>
          <w:sz w:val="17"/>
        </w:rPr>
        <w:t>provided</w:t>
      </w:r>
      <w:r>
        <w:rPr>
          <w:rFonts w:ascii="Times New Roman" w:hAnsi="Times New Roman"/>
          <w:sz w:val="17"/>
        </w:rPr>
        <w:t xml:space="preserve"> that it shall be a condition to any transfer pursuant to this paragraph that the transferee/donee agrees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Exhibit B-1</w:t>
      </w:r>
      <w:bookmarkStart w:id="81" w:name="15636-2-KB-09_PB_1_074038_9801"/>
      <w:bookmarkEnd w:id="8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be bound by the terms of this letter agreement to the same extent as if the transferee/donee were a party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the undersigned is an officer or director of the General Partner, (i) the undersigned agrees that the foregoing provisions shall be equally applicable to any issuer-directed Shares, as referred to in FINRA Rule 5131(d)(2)(A) that the undersigned may purchase in the Offering pursuant to an allocation of Shares that is directed in writing by the Partnership, (ii)  Barclays Capital Inc. agrees that, at least three business days before the effective date of any release or waiver of the foregoing restrictions in connection with a transfer of Shares, Barclays Capital Inc. will notify the Partnership of the impending release or waiver, and (iii) the Partnership has agreed in the Underwriting Agreement to announce the impending release or waiver by issuing a press release through a major news service (as referred to in FINRA Rule 5131(d)(2)(B)) at least two business days before the effective date of the release or waiver.  Any release or waiver granted by Barclays Capital Inc.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that are applicable to the transferor, to the extent and for the duration that such terms remain in effect at the time of the transfer.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Notwithstanding the foregoing, if (1) during the last 17 days of the Lock-Up Period, the Partnership issues an earnings release or material news or a material event relating to the Partnership occurs or (2) prior to the expiration of the Lock-Up Period, the Partnership announces that it will release earnings results during the 16-day period beginning on the last day of the Lock-Up Period, then the restrictions imposed by this letter shall continue to apply until the expiration of the 18-day period beginning on the issuance of the earnings release or the announcement of the material news or the occurrence of the material event, unless waive such extension in writing.  The undersigned hereby further agrees that, prior to engaging in any transaction or taking any other action that is subject to the terms of this letter during the period from the date of this letter to and including the 34</w:t>
      </w:r>
      <w:r>
        <w:rPr>
          <w:rFonts w:ascii="Times New Roman" w:hAnsi="Times New Roman"/>
          <w:sz w:val="11"/>
        </w:rPr>
        <w:t>th</w:t>
      </w:r>
      <w:r>
        <w:rPr>
          <w:rFonts w:ascii="Times New Roman" w:hAnsi="Times New Roman"/>
        </w:rPr>
        <w:t> </w:t>
      </w:r>
      <w:r>
        <w:rPr>
          <w:rFonts w:ascii="Times New Roman" w:hAnsi="Times New Roman"/>
          <w:sz w:val="17"/>
        </w:rPr>
        <w:t>day following the expiration of the Lock-Up Period, it will give notice thereof to the Partnership and will not consummate such transaction or take any such action unless it has received written confirmation from the Partnership that the Lock-Up Period (as such may have been extended pursuant to this paragraph) has expired.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for any reason the Underwriting Agreement is terminated before the applicable Delivery Date (as defined in the Underwriting Agreement), the agreement set forth above shall likewise be terminated.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Yours very truly,</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Exhibit B-2</w:t>
      </w:r>
      <w:bookmarkStart w:id="82" w:name="15636-2-KB-09_PB_2_074128_2440"/>
      <w:bookmarkEnd w:id="8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B-1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LIST OF PARTIES TO EXECUTE LOCK UP AGREEMENTS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[PAA Management, L.P.</w:t>
      </w:r>
    </w:p>
    <w:p>
      <w:pPr>
        <w:pStyle w:val="TextBody"/>
        <w:spacing w:before="0" w:after="0"/>
        <w:ind w:left="0" w:right="0" w:hanging="0"/>
        <w:rPr>
          <w:rFonts w:ascii="Times New Roman" w:hAnsi="Times New Roman"/>
          <w:sz w:val="17"/>
        </w:rPr>
      </w:pPr>
      <w:r>
        <w:rPr>
          <w:rFonts w:ascii="Times New Roman" w:hAnsi="Times New Roman"/>
          <w:sz w:val="17"/>
        </w:rPr>
        <w:t>Oxy Holding Company (Pipeline), Inc.</w:t>
      </w:r>
    </w:p>
    <w:p>
      <w:pPr>
        <w:pStyle w:val="TextBody"/>
        <w:spacing w:before="0" w:after="0"/>
        <w:ind w:left="0" w:right="0" w:hanging="0"/>
        <w:rPr>
          <w:rFonts w:ascii="Times New Roman" w:hAnsi="Times New Roman"/>
          <w:sz w:val="17"/>
        </w:rPr>
      </w:pPr>
      <w:r>
        <w:rPr>
          <w:rFonts w:ascii="Times New Roman" w:hAnsi="Times New Roman"/>
          <w:sz w:val="17"/>
        </w:rPr>
        <w:t>EMG Investment, LLC</w:t>
      </w:r>
    </w:p>
    <w:p>
      <w:pPr>
        <w:pStyle w:val="TextBody"/>
        <w:spacing w:before="0" w:after="0"/>
        <w:ind w:left="0" w:right="0" w:hanging="0"/>
        <w:rPr>
          <w:rFonts w:ascii="Times New Roman" w:hAnsi="Times New Roman"/>
          <w:sz w:val="17"/>
        </w:rPr>
      </w:pPr>
      <w:r>
        <w:rPr>
          <w:rFonts w:ascii="Times New Roman" w:hAnsi="Times New Roman"/>
          <w:sz w:val="17"/>
        </w:rPr>
        <w:t>KAFU Holdings, L.P.</w:t>
      </w:r>
    </w:p>
    <w:p>
      <w:pPr>
        <w:pStyle w:val="TextBody"/>
        <w:spacing w:before="0" w:after="0"/>
        <w:ind w:left="0" w:right="0" w:hanging="0"/>
        <w:rPr>
          <w:rFonts w:ascii="Times New Roman" w:hAnsi="Times New Roman"/>
          <w:sz w:val="17"/>
        </w:rPr>
      </w:pPr>
      <w:r>
        <w:rPr>
          <w:rFonts w:ascii="Times New Roman" w:hAnsi="Times New Roman"/>
          <w:sz w:val="17"/>
        </w:rPr>
        <w:t>KA First Reserve XII, LLC</w:t>
      </w:r>
    </w:p>
    <w:p>
      <w:pPr>
        <w:pStyle w:val="TextBody"/>
        <w:spacing w:before="0" w:after="0"/>
        <w:ind w:left="0" w:right="0" w:hanging="0"/>
        <w:rPr>
          <w:rFonts w:ascii="Times New Roman" w:hAnsi="Times New Roman"/>
          <w:sz w:val="17"/>
        </w:rPr>
      </w:pPr>
      <w:r>
        <w:rPr>
          <w:rFonts w:ascii="Times New Roman" w:hAnsi="Times New Roman"/>
          <w:sz w:val="17"/>
        </w:rPr>
        <w:t>Strome PAA, L.P.</w:t>
      </w:r>
    </w:p>
    <w:p>
      <w:pPr>
        <w:pStyle w:val="TextBody"/>
        <w:spacing w:before="0" w:after="0"/>
        <w:ind w:left="0" w:right="0" w:hanging="0"/>
        <w:rPr>
          <w:rFonts w:ascii="Times New Roman" w:hAnsi="Times New Roman"/>
          <w:sz w:val="17"/>
        </w:rPr>
      </w:pPr>
      <w:r>
        <w:rPr>
          <w:rFonts w:ascii="Times New Roman" w:hAnsi="Times New Roman"/>
          <w:sz w:val="17"/>
        </w:rPr>
        <w:t>Mark E. Strome Living Trust</w:t>
      </w:r>
    </w:p>
    <w:p>
      <w:pPr>
        <w:pStyle w:val="TextBody"/>
        <w:spacing w:before="0" w:after="0"/>
        <w:ind w:left="0" w:right="0" w:hanging="0"/>
        <w:rPr>
          <w:rFonts w:ascii="Times New Roman" w:hAnsi="Times New Roman"/>
          <w:sz w:val="17"/>
        </w:rPr>
      </w:pPr>
      <w:r>
        <w:rPr>
          <w:rFonts w:ascii="Times New Roman" w:hAnsi="Times New Roman"/>
          <w:sz w:val="17"/>
        </w:rPr>
        <w:t>Windy, L.L.C.</w:t>
      </w:r>
    </w:p>
    <w:p>
      <w:pPr>
        <w:pStyle w:val="TextBody"/>
        <w:spacing w:before="0" w:after="0"/>
        <w:ind w:left="0" w:right="0" w:hanging="0"/>
        <w:rPr>
          <w:rFonts w:ascii="Times New Roman" w:hAnsi="Times New Roman"/>
          <w:sz w:val="17"/>
        </w:rPr>
      </w:pPr>
      <w:r>
        <w:rPr>
          <w:rFonts w:ascii="Times New Roman" w:hAnsi="Times New Roman"/>
          <w:sz w:val="17"/>
        </w:rPr>
        <w:t>Lynx Holdings I, LLC</w:t>
      </w:r>
    </w:p>
    <w:p>
      <w:pPr>
        <w:pStyle w:val="TextBody"/>
        <w:spacing w:before="0" w:after="0"/>
        <w:ind w:left="0" w:right="0" w:hanging="0"/>
        <w:rPr>
          <w:rFonts w:ascii="Times New Roman" w:hAnsi="Times New Roman"/>
          <w:sz w:val="17"/>
        </w:rPr>
      </w:pPr>
      <w:r>
        <w:rPr>
          <w:rFonts w:ascii="Times New Roman" w:hAnsi="Times New Roman"/>
          <w:sz w:val="17"/>
        </w:rPr>
        <w:t>KAFU Holdings II, L.P.</w:t>
      </w:r>
    </w:p>
    <w:p>
      <w:pPr>
        <w:pStyle w:val="TextBody"/>
        <w:spacing w:before="0" w:after="0"/>
        <w:ind w:left="0" w:right="0" w:hanging="0"/>
        <w:rPr>
          <w:rFonts w:ascii="Times New Roman" w:hAnsi="Times New Roman"/>
          <w:sz w:val="17"/>
        </w:rPr>
      </w:pPr>
      <w:r>
        <w:rPr>
          <w:rFonts w:ascii="Times New Roman" w:hAnsi="Times New Roman"/>
          <w:sz w:val="17"/>
        </w:rPr>
        <w:t>Kayne Anderson MLP Investment Company</w:t>
      </w:r>
    </w:p>
    <w:p>
      <w:pPr>
        <w:pStyle w:val="TextBody"/>
        <w:spacing w:before="0" w:after="0"/>
        <w:ind w:left="0" w:right="0" w:hanging="0"/>
        <w:rPr>
          <w:rFonts w:ascii="Times New Roman" w:hAnsi="Times New Roman"/>
          <w:sz w:val="17"/>
        </w:rPr>
      </w:pPr>
      <w:r>
        <w:rPr>
          <w:rFonts w:ascii="Times New Roman" w:hAnsi="Times New Roman"/>
          <w:sz w:val="17"/>
        </w:rPr>
        <w:t>Kayne Anderson Energy Development Company</w:t>
      </w:r>
    </w:p>
    <w:p>
      <w:pPr>
        <w:pStyle w:val="TextBody"/>
        <w:spacing w:before="0" w:after="0"/>
        <w:ind w:left="0" w:right="0" w:hanging="0"/>
        <w:rPr>
          <w:rFonts w:ascii="Times New Roman" w:hAnsi="Times New Roman"/>
          <w:sz w:val="17"/>
        </w:rPr>
      </w:pPr>
      <w:r>
        <w:rPr>
          <w:rFonts w:ascii="Times New Roman" w:hAnsi="Times New Roman"/>
          <w:sz w:val="17"/>
        </w:rPr>
        <w:t>Kayne Anderson Midstream/Energy Fund, Inc.</w:t>
      </w:r>
    </w:p>
    <w:p>
      <w:pPr>
        <w:pStyle w:val="TextBody"/>
        <w:spacing w:before="0" w:after="0"/>
        <w:ind w:left="0" w:right="0" w:hanging="0"/>
        <w:rPr>
          <w:rFonts w:ascii="Times New Roman" w:hAnsi="Times New Roman"/>
          <w:sz w:val="17"/>
        </w:rPr>
      </w:pPr>
      <w:r>
        <w:rPr>
          <w:rFonts w:ascii="Times New Roman" w:hAnsi="Times New Roman"/>
          <w:sz w:val="17"/>
        </w:rPr>
        <w:t>Jay Chernosky</w:t>
      </w:r>
    </w:p>
    <w:p>
      <w:pPr>
        <w:pStyle w:val="TextBody"/>
        <w:spacing w:before="0" w:after="0"/>
        <w:ind w:left="0" w:right="0" w:hanging="0"/>
        <w:rPr>
          <w:rFonts w:ascii="Times New Roman" w:hAnsi="Times New Roman"/>
          <w:sz w:val="17"/>
        </w:rPr>
      </w:pPr>
      <w:r>
        <w:rPr>
          <w:rFonts w:ascii="Times New Roman" w:hAnsi="Times New Roman"/>
          <w:sz w:val="17"/>
        </w:rPr>
        <w:t>Paul N. Riddle</w:t>
      </w:r>
    </w:p>
    <w:p>
      <w:pPr>
        <w:pStyle w:val="TextBody"/>
        <w:spacing w:before="0" w:after="0"/>
        <w:ind w:left="0" w:right="0" w:hanging="0"/>
        <w:rPr>
          <w:rFonts w:ascii="Times New Roman" w:hAnsi="Times New Roman"/>
          <w:sz w:val="17"/>
        </w:rPr>
      </w:pPr>
      <w:r>
        <w:rPr>
          <w:rFonts w:ascii="Times New Roman" w:hAnsi="Times New Roman"/>
          <w:sz w:val="17"/>
        </w:rPr>
        <w:t>Russell T. Clingman</w:t>
      </w:r>
    </w:p>
    <w:p>
      <w:pPr>
        <w:pStyle w:val="TextBody"/>
        <w:spacing w:before="0" w:after="0"/>
        <w:ind w:left="0" w:right="0" w:hanging="0"/>
        <w:rPr>
          <w:rFonts w:ascii="Times New Roman" w:hAnsi="Times New Roman"/>
          <w:sz w:val="17"/>
        </w:rPr>
      </w:pPr>
      <w:r>
        <w:rPr>
          <w:rFonts w:ascii="Times New Roman" w:hAnsi="Times New Roman"/>
          <w:sz w:val="17"/>
        </w:rPr>
        <w:t>David E. Humphreys</w:t>
      </w:r>
    </w:p>
    <w:p>
      <w:pPr>
        <w:pStyle w:val="TextBody"/>
        <w:spacing w:before="0" w:after="0"/>
        <w:ind w:left="0" w:right="0" w:hanging="0"/>
        <w:rPr>
          <w:rFonts w:ascii="Times New Roman" w:hAnsi="Times New Roman"/>
          <w:sz w:val="17"/>
        </w:rPr>
      </w:pPr>
      <w:r>
        <w:rPr>
          <w:rFonts w:ascii="Times New Roman" w:hAnsi="Times New Roman"/>
          <w:sz w:val="17"/>
        </w:rPr>
        <w:t>Phillip J. Trinder</w:t>
      </w:r>
    </w:p>
    <w:p>
      <w:pPr>
        <w:pStyle w:val="TextBody"/>
        <w:spacing w:before="0" w:after="0"/>
        <w:ind w:left="0" w:right="0" w:hanging="0"/>
        <w:rPr>
          <w:rFonts w:ascii="Times New Roman" w:hAnsi="Times New Roman"/>
          <w:sz w:val="17"/>
        </w:rPr>
      </w:pPr>
      <w:r>
        <w:rPr>
          <w:rFonts w:ascii="Times New Roman" w:hAnsi="Times New Roman"/>
          <w:sz w:val="17"/>
        </w:rPr>
        <w:t>Kipp PAA Trust</w:t>
      </w:r>
    </w:p>
    <w:p>
      <w:pPr>
        <w:pStyle w:val="TextBody"/>
        <w:spacing w:before="0" w:after="0"/>
        <w:ind w:left="0" w:right="0" w:hanging="0"/>
        <w:rPr>
          <w:rFonts w:ascii="Times New Roman" w:hAnsi="Times New Roman"/>
          <w:sz w:val="17"/>
        </w:rPr>
      </w:pPr>
      <w:r>
        <w:rPr>
          <w:rFonts w:ascii="Times New Roman" w:hAnsi="Times New Roman"/>
          <w:sz w:val="17"/>
        </w:rPr>
        <w:t>Robert V. Sinnot</w:t>
      </w:r>
    </w:p>
    <w:p>
      <w:pPr>
        <w:pStyle w:val="TextBody"/>
        <w:spacing w:before="0" w:after="0"/>
        <w:ind w:left="0" w:right="0" w:hanging="0"/>
        <w:rPr>
          <w:rFonts w:ascii="Times New Roman" w:hAnsi="Times New Roman"/>
          <w:sz w:val="17"/>
        </w:rPr>
      </w:pPr>
      <w:r>
        <w:rPr>
          <w:rFonts w:ascii="Times New Roman" w:hAnsi="Times New Roman"/>
          <w:sz w:val="17"/>
        </w:rPr>
        <w:t>Greg L. Armstrong</w:t>
      </w:r>
    </w:p>
    <w:p>
      <w:pPr>
        <w:pStyle w:val="TextBody"/>
        <w:spacing w:before="0" w:after="0"/>
        <w:ind w:left="0" w:right="0" w:hanging="0"/>
        <w:rPr>
          <w:rFonts w:ascii="Times New Roman" w:hAnsi="Times New Roman"/>
          <w:sz w:val="17"/>
        </w:rPr>
      </w:pPr>
      <w:r>
        <w:rPr>
          <w:rFonts w:ascii="Times New Roman" w:hAnsi="Times New Roman"/>
          <w:sz w:val="17"/>
        </w:rPr>
        <w:t>Harry N. Pefanis</w:t>
      </w:r>
    </w:p>
    <w:p>
      <w:pPr>
        <w:pStyle w:val="TextBody"/>
        <w:spacing w:before="0" w:after="0"/>
        <w:ind w:left="0" w:right="0" w:hanging="0"/>
        <w:rPr>
          <w:rFonts w:ascii="Times New Roman" w:hAnsi="Times New Roman"/>
          <w:sz w:val="17"/>
        </w:rPr>
      </w:pPr>
      <w:r>
        <w:rPr>
          <w:rFonts w:ascii="Times New Roman" w:hAnsi="Times New Roman"/>
          <w:sz w:val="17"/>
        </w:rPr>
        <w:t>Mark J. Gorman</w:t>
      </w:r>
    </w:p>
    <w:p>
      <w:pPr>
        <w:pStyle w:val="TextBody"/>
        <w:spacing w:before="0" w:after="0"/>
        <w:ind w:left="0" w:right="0" w:hanging="0"/>
        <w:rPr>
          <w:rFonts w:ascii="Times New Roman" w:hAnsi="Times New Roman"/>
          <w:sz w:val="17"/>
        </w:rPr>
      </w:pPr>
      <w:r>
        <w:rPr>
          <w:rFonts w:ascii="Times New Roman" w:hAnsi="Times New Roman"/>
          <w:sz w:val="17"/>
        </w:rPr>
        <w:t>Phillip D. Kramer</w:t>
      </w:r>
    </w:p>
    <w:p>
      <w:pPr>
        <w:pStyle w:val="TextBody"/>
        <w:spacing w:before="0" w:after="0"/>
        <w:ind w:left="0" w:right="0" w:hanging="0"/>
        <w:rPr>
          <w:rFonts w:ascii="Times New Roman" w:hAnsi="Times New Roman"/>
          <w:sz w:val="17"/>
        </w:rPr>
      </w:pPr>
      <w:r>
        <w:rPr>
          <w:rFonts w:ascii="Times New Roman" w:hAnsi="Times New Roman"/>
          <w:sz w:val="17"/>
        </w:rPr>
        <w:t>Richard K. McGee</w:t>
      </w:r>
    </w:p>
    <w:p>
      <w:pPr>
        <w:pStyle w:val="TextBody"/>
        <w:spacing w:before="0" w:after="0"/>
        <w:ind w:left="0" w:right="0" w:hanging="0"/>
        <w:rPr>
          <w:rFonts w:ascii="Times New Roman" w:hAnsi="Times New Roman"/>
          <w:sz w:val="17"/>
        </w:rPr>
      </w:pPr>
      <w:r>
        <w:rPr>
          <w:rFonts w:ascii="Times New Roman" w:hAnsi="Times New Roman"/>
          <w:sz w:val="17"/>
        </w:rPr>
        <w:t>John R. Rutherford</w:t>
      </w:r>
    </w:p>
    <w:p>
      <w:pPr>
        <w:pStyle w:val="TextBody"/>
        <w:spacing w:before="0" w:after="0"/>
        <w:ind w:left="0" w:right="0" w:hanging="0"/>
        <w:rPr>
          <w:rFonts w:ascii="Times New Roman" w:hAnsi="Times New Roman"/>
          <w:sz w:val="17"/>
        </w:rPr>
      </w:pPr>
      <w:r>
        <w:rPr>
          <w:rFonts w:ascii="Times New Roman" w:hAnsi="Times New Roman"/>
          <w:sz w:val="17"/>
        </w:rPr>
        <w:t>Al Swanson</w:t>
      </w:r>
    </w:p>
    <w:p>
      <w:pPr>
        <w:pStyle w:val="TextBody"/>
        <w:spacing w:before="0" w:after="0"/>
        <w:ind w:left="0" w:right="0" w:hanging="0"/>
        <w:rPr>
          <w:rFonts w:ascii="Times New Roman" w:hAnsi="Times New Roman"/>
          <w:sz w:val="17"/>
        </w:rPr>
      </w:pPr>
      <w:r>
        <w:rPr>
          <w:rFonts w:ascii="Times New Roman" w:hAnsi="Times New Roman"/>
          <w:sz w:val="17"/>
        </w:rPr>
        <w:t>W. David Duckett</w:t>
      </w:r>
    </w:p>
    <w:p>
      <w:pPr>
        <w:pStyle w:val="TextBody"/>
        <w:spacing w:before="0" w:after="0"/>
        <w:ind w:left="0" w:right="0" w:hanging="0"/>
        <w:rPr>
          <w:rFonts w:ascii="Times New Roman" w:hAnsi="Times New Roman"/>
          <w:sz w:val="17"/>
        </w:rPr>
      </w:pPr>
      <w:r>
        <w:rPr>
          <w:rFonts w:ascii="Times New Roman" w:hAnsi="Times New Roman"/>
          <w:sz w:val="17"/>
        </w:rPr>
        <w:t>John P. vonBerg</w:t>
      </w:r>
    </w:p>
    <w:p>
      <w:pPr>
        <w:pStyle w:val="TextBody"/>
        <w:spacing w:before="0" w:after="0"/>
        <w:ind w:left="0" w:right="0" w:hanging="0"/>
        <w:rPr>
          <w:rFonts w:ascii="Times New Roman" w:hAnsi="Times New Roman"/>
          <w:sz w:val="17"/>
        </w:rPr>
      </w:pPr>
      <w:r>
        <w:rPr>
          <w:rFonts w:ascii="Times New Roman" w:hAnsi="Times New Roman"/>
          <w:sz w:val="17"/>
        </w:rPr>
        <w:t>Chris Herbold</w:t>
      </w:r>
    </w:p>
    <w:p>
      <w:pPr>
        <w:pStyle w:val="TextBody"/>
        <w:spacing w:before="0" w:after="0"/>
        <w:ind w:left="0" w:right="0" w:hanging="0"/>
        <w:rPr>
          <w:rFonts w:ascii="Times New Roman" w:hAnsi="Times New Roman"/>
          <w:sz w:val="17"/>
        </w:rPr>
      </w:pPr>
      <w:r>
        <w:rPr>
          <w:rFonts w:ascii="Times New Roman" w:hAnsi="Times New Roman"/>
          <w:sz w:val="17"/>
        </w:rPr>
        <w:t>John T. Raymond</w:t>
      </w:r>
    </w:p>
    <w:p>
      <w:pPr>
        <w:pStyle w:val="TextBody"/>
        <w:spacing w:before="0" w:after="0"/>
        <w:ind w:left="0" w:right="0" w:hanging="0"/>
        <w:rPr>
          <w:rFonts w:ascii="Times New Roman" w:hAnsi="Times New Roman"/>
          <w:sz w:val="17"/>
        </w:rPr>
      </w:pPr>
      <w:r>
        <w:rPr>
          <w:rFonts w:ascii="Times New Roman" w:hAnsi="Times New Roman"/>
          <w:sz w:val="17"/>
        </w:rPr>
        <w:t>Vicky Sutil]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Exhibit B-1-1</w:t>
      </w:r>
      <w:bookmarkStart w:id="83" w:name="15636-2-KB-09_PB_1_074219_5340"/>
      <w:bookmarkEnd w:id="8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WAIVER OF LOCK-UP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[Letterhead of Barclays Capital Inc.]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GP Holdings, L.P.</w:t>
        <w:br/>
        <w:t>Public Offering of Class A Shares</w:t>
      </w:r>
    </w:p>
    <w:p>
      <w:pPr>
        <w:pStyle w:val="TextBody"/>
        <w:spacing w:before="0" w:after="0"/>
        <w:ind w:left="0" w:right="0" w:hanging="0"/>
        <w:jc w:val="center"/>
        <w:rPr/>
      </w:pPr>
      <w:r>
        <w:rPr/>
        <w:t> </w:t>
      </w:r>
    </w:p>
    <w:p>
      <w:pPr>
        <w:pStyle w:val="TextBody"/>
        <w:spacing w:before="0" w:after="0"/>
        <w:ind w:left="0" w:right="0" w:hanging="0"/>
        <w:jc w:val="right"/>
        <w:rPr>
          <w:rFonts w:ascii="Times New Roman" w:hAnsi="Times New Roman"/>
          <w:sz w:val="17"/>
        </w:rPr>
      </w:pPr>
      <w:r>
        <w:rPr>
          <w:rFonts w:ascii="Times New Roman" w:hAnsi="Times New Roman"/>
          <w:sz w:val="17"/>
        </w:rPr>
        <w:t>[</w:t>
      </w:r>
      <w:r>
        <w:rPr>
          <w:rFonts w:ascii="Times New Roman" w:hAnsi="Times New Roman"/>
          <w:i/>
          <w:sz w:val="17"/>
        </w:rPr>
        <w:t>Insert date</w:t>
      </w:r>
      <w:r>
        <w:rPr>
          <w:rFonts w:ascii="Times New Roman" w:hAnsi="Times New Roman"/>
          <w:sz w:val="17"/>
        </w:rPr>
        <w:t>]*</w:t>
      </w:r>
    </w:p>
    <w:p>
      <w:pPr>
        <w:pStyle w:val="TextBody"/>
        <w:spacing w:before="0" w:after="0"/>
        <w:ind w:left="0" w:right="0" w:hanging="0"/>
        <w:jc w:val="right"/>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 xml:space="preserve">Insert Name and Address of </w:t>
        <w:br/>
        <w:t xml:space="preserve">Officer or Director </w:t>
        <w:br/>
        <w:t>Requesting Waiver</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Dear Mr./Ms. [</w:t>
      </w:r>
      <w:r>
        <w:rPr>
          <w:rFonts w:ascii="Times New Roman" w:hAnsi="Times New Roman"/>
          <w:i/>
          <w:sz w:val="17"/>
        </w:rPr>
        <w:t>Insert Name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This letter is being delivered to you in connection with the offering by Plains GP Holdings, L.P. (the </w:t>
      </w:r>
      <w:r>
        <w:rPr>
          <w:rFonts w:ascii="Times New Roman" w:hAnsi="Times New Roman"/>
          <w:i/>
          <w:sz w:val="17"/>
        </w:rPr>
        <w:t>Partnership</w:t>
      </w:r>
      <w:r>
        <w:rPr>
          <w:rFonts w:ascii="Times New Roman" w:hAnsi="Times New Roman"/>
          <w:sz w:val="17"/>
        </w:rPr>
        <w:t>) of [</w:t>
      </w:r>
      <w:r>
        <w:rPr>
          <w:rFonts w:ascii="Symbol" w:hAnsi="Symbol"/>
          <w:sz w:val="17"/>
        </w:rPr>
        <w:t>·</w:t>
      </w:r>
      <w:r>
        <w:rPr>
          <w:rFonts w:ascii="Times New Roman" w:hAnsi="Times New Roman"/>
          <w:sz w:val="17"/>
        </w:rPr>
        <w:t>] Class A shares of the Partnership (the </w:t>
      </w:r>
      <w:r>
        <w:rPr>
          <w:rFonts w:ascii="Times New Roman" w:hAnsi="Times New Roman"/>
          <w:i/>
          <w:sz w:val="17"/>
        </w:rPr>
        <w:t>Class A Shares</w:t>
      </w:r>
      <w:r>
        <w:rPr>
          <w:rFonts w:ascii="Times New Roman" w:hAnsi="Times New Roman"/>
          <w:sz w:val="17"/>
        </w:rPr>
        <w:t>) and the lock-up letter agreement dated [</w:t>
      </w:r>
      <w:r>
        <w:rPr>
          <w:rFonts w:ascii="Times New Roman" w:hAnsi="Times New Roman"/>
          <w:i/>
          <w:sz w:val="17"/>
        </w:rPr>
        <w:t>insert date</w:t>
      </w:r>
      <w:r>
        <w:rPr>
          <w:rFonts w:ascii="Times New Roman" w:hAnsi="Times New Roman"/>
          <w:sz w:val="17"/>
        </w:rPr>
        <w:t>] (the </w:t>
      </w:r>
      <w:r>
        <w:rPr>
          <w:rFonts w:ascii="Times New Roman" w:hAnsi="Times New Roman"/>
          <w:i/>
          <w:sz w:val="17"/>
        </w:rPr>
        <w:t>Lock-Up Agreement</w:t>
      </w:r>
      <w:r>
        <w:rPr>
          <w:rFonts w:ascii="Times New Roman" w:hAnsi="Times New Roman"/>
          <w:sz w:val="17"/>
        </w:rPr>
        <w:t>), executed by you in connection with such offering, and your request for a [waiver] [release] dated [</w:t>
      </w:r>
      <w:r>
        <w:rPr>
          <w:rFonts w:ascii="Times New Roman" w:hAnsi="Times New Roman"/>
          <w:i/>
          <w:sz w:val="17"/>
        </w:rPr>
        <w:t>insert date</w:t>
      </w:r>
      <w:r>
        <w:rPr>
          <w:rFonts w:ascii="Times New Roman" w:hAnsi="Times New Roman"/>
          <w:sz w:val="17"/>
        </w:rPr>
        <w:t>] with respect to [</w:t>
      </w:r>
      <w:r>
        <w:rPr>
          <w:rFonts w:ascii="Symbol" w:hAnsi="Symbol"/>
          <w:sz w:val="17"/>
        </w:rPr>
        <w:t>·</w:t>
      </w:r>
      <w:r>
        <w:rPr>
          <w:rFonts w:ascii="Times New Roman" w:hAnsi="Times New Roman"/>
          <w:sz w:val="17"/>
        </w:rPr>
        <w:t>] Class A Shares (the </w:t>
      </w:r>
      <w:r>
        <w:rPr>
          <w:rFonts w:ascii="Times New Roman" w:hAnsi="Times New Roman"/>
          <w:i/>
          <w:sz w:val="17"/>
        </w:rPr>
        <w:t>Shares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Barclays Capital Inc., as representative of the Underwriters (as defined in the Lock-Up Agreement) hereby agrees (subject to the proviso below) to [waive] [release] the transfer restrictions set forth in the Lock-Up Agreement, but only with respect to the Shares, effective [</w:t>
      </w:r>
      <w:r>
        <w:rPr>
          <w:rFonts w:ascii="Times New Roman" w:hAnsi="Times New Roman"/>
          <w:i/>
          <w:sz w:val="17"/>
        </w:rPr>
        <w:t>insert date</w:t>
      </w:r>
      <w:r>
        <w:rPr>
          <w:rFonts w:ascii="Times New Roman" w:hAnsi="Times New Roman"/>
          <w:sz w:val="17"/>
        </w:rPr>
        <w:t>] (the </w:t>
      </w:r>
      <w:r>
        <w:rPr>
          <w:rFonts w:ascii="Times New Roman" w:hAnsi="Times New Roman"/>
          <w:i/>
          <w:sz w:val="17"/>
        </w:rPr>
        <w:t>Anticipated Effective Date</w:t>
      </w:r>
      <w:r>
        <w:rPr>
          <w:rFonts w:ascii="Times New Roman" w:hAnsi="Times New Roman"/>
          <w:sz w:val="17"/>
        </w:rPr>
        <w:t>); provided, however, that such [waiver] [release] is expressly conditioned on the Partnership announcing the impending [waiver] [release] by issuing a press release through a major news service at least two business days before the Anticipated Effective Date.  This letter will serve as notice to the Partnership of the impending [waiver] [release].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expressly [waived] [released] hereby, the Lock-Up Agreement shall remain in full force and effect.</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Yours very truly,</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cc: [</w:t>
            </w:r>
            <w:r>
              <w:rPr>
                <w:rFonts w:ascii="Times New Roman" w:hAnsi="Times New Roman"/>
                <w:i/>
                <w:sz w:val="17"/>
              </w:rPr>
              <w:t>Insert name of issuer</w:t>
            </w:r>
            <w:r>
              <w:rPr>
                <w:rFonts w:ascii="Times New Roman" w:hAnsi="Times New Roman"/>
                <w:sz w:val="17"/>
              </w:rPr>
              <w:t>]</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PRESS RELEASE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GP Holdings, L.P.</w:t>
        <w:br/>
        <w:t>[</w:t>
      </w:r>
      <w:r>
        <w:rPr>
          <w:rFonts w:ascii="Times New Roman" w:hAnsi="Times New Roman"/>
          <w:i/>
          <w:sz w:val="17"/>
        </w:rPr>
        <w:t>Insert date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Plains GP Holdings, L.P., (the </w:t>
      </w:r>
      <w:r>
        <w:rPr>
          <w:rFonts w:ascii="Times New Roman" w:hAnsi="Times New Roman"/>
          <w:b/>
          <w:sz w:val="17"/>
        </w:rPr>
        <w:t>Partnership</w:t>
      </w:r>
      <w:r>
        <w:rPr>
          <w:rFonts w:ascii="Times New Roman" w:hAnsi="Times New Roman"/>
          <w:sz w:val="17"/>
        </w:rPr>
        <w:t>) announced today that Barclays Capital Inc., the lead book-running manager in the Companys recent public sale of [</w:t>
      </w:r>
      <w:r>
        <w:rPr>
          <w:rFonts w:ascii="Symbol" w:hAnsi="Symbol"/>
          <w:sz w:val="17"/>
        </w:rPr>
        <w:t>·</w:t>
      </w:r>
      <w:r>
        <w:rPr>
          <w:rFonts w:ascii="Times New Roman" w:hAnsi="Times New Roman"/>
          <w:sz w:val="17"/>
        </w:rPr>
        <w:t>] Class A shares representing limited partner interests (</w:t>
      </w:r>
      <w:r>
        <w:rPr>
          <w:rFonts w:ascii="Times New Roman" w:hAnsi="Times New Roman"/>
          <w:b/>
          <w:sz w:val="17"/>
        </w:rPr>
        <w:t>Shares</w:t>
      </w:r>
      <w:r>
        <w:rPr>
          <w:rFonts w:ascii="Times New Roman" w:hAnsi="Times New Roman"/>
          <w:sz w:val="17"/>
        </w:rPr>
        <w:t>) [and the other underwriters of such offering whose consent is required][is][are][waiving] [releasing] a lock-up restriction with respect to [</w:t>
      </w:r>
      <w:r>
        <w:rPr>
          <w:rFonts w:ascii="Symbol" w:hAnsi="Symbol"/>
          <w:sz w:val="17"/>
        </w:rPr>
        <w:t>·</w:t>
      </w:r>
      <w:r>
        <w:rPr>
          <w:rFonts w:ascii="Times New Roman" w:hAnsi="Times New Roman"/>
          <w:sz w:val="17"/>
        </w:rPr>
        <w:t>] Shares held by [certain officers or directors] [an officer or director]* of the Partnership.**  The [waiver] [release] will take effect on [</w:t>
      </w:r>
      <w:r>
        <w:rPr>
          <w:rFonts w:ascii="Times New Roman" w:hAnsi="Times New Roman"/>
          <w:i/>
          <w:sz w:val="17"/>
        </w:rPr>
        <w:t>insert date</w:t>
      </w:r>
      <w:r>
        <w:rPr>
          <w:rFonts w:ascii="Times New Roman" w:hAnsi="Times New Roman"/>
          <w:sz w:val="17"/>
        </w:rPr>
        <w:t>], and the Shares may be sold or otherwise disposed of on or after such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If Barclays Capital Inc. so requests in writing (either in or accompanying the notice to the Partnership about the impending release or waiver), the Partnership will include in the press release such other information as Barclays Capital Inc. may require regarding the circumstances of the release or waiver and/or the identity of the officer(s) or director(s) with respect to which the release or waiver applies.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Note to Draft:  Depending on the circumstances, Barclays Capital Inc. may wish to consider whether it may be appropriate to include the names of the specific officers/directors for which a waiver or release has been granted.</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E</w:t>
        <w:br/>
        <w:t>FORM OF OPINION OF VINSON &amp; ELKINS, L.L.P.</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F</w:t>
        <w:br/>
        <w:t xml:space="preserve">FORM OF OPINION OF GENERAL COUNSEL </w:t>
        <w:br/>
        <w:t>OF THE PARTNERSHIP</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G</w:t>
        <w:br/>
        <w:t xml:space="preserve">OPINION OF SPECIAL INTERNAL CANADIAN COUNSEL </w:t>
        <w:br/>
        <w:t>OF THE PARTNERSHIP</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H</w:t>
        <w:br/>
        <w:t>CHIEF FINANCIAL OFFICERS CERTIFICATE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sz w:val="17"/>
        </w:rPr>
        <w:t>[              ] [</w:t>
      </w:r>
      <w:r>
        <w:rPr>
          <w:rFonts w:ascii="Symbol" w:hAnsi="Symbol"/>
          <w:sz w:val="17"/>
        </w:rPr>
        <w:t>·</w:t>
      </w:r>
      <w:r>
        <w:rPr>
          <w:rFonts w:ascii="Times New Roman" w:hAnsi="Times New Roman"/>
          <w:sz w:val="17"/>
        </w:rPr>
        <w:t>], 2013</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The undersigned, in his capacity as the Chief Financial Officer of PAA GP Holdings LLC, a Delaware limited liability company and the general partner (the </w:t>
      </w:r>
      <w:r>
        <w:rPr>
          <w:rFonts w:ascii="Times New Roman" w:hAnsi="Times New Roman"/>
          <w:b/>
          <w:sz w:val="17"/>
        </w:rPr>
        <w:t>General Partner</w:t>
      </w:r>
      <w:r>
        <w:rPr>
          <w:rFonts w:ascii="Times New Roman" w:hAnsi="Times New Roman"/>
          <w:sz w:val="17"/>
        </w:rPr>
        <w:t>) of Plains GP Holdings, L.P., a Delaware limited partnership (the </w:t>
      </w:r>
      <w:r>
        <w:rPr>
          <w:rFonts w:ascii="Times New Roman" w:hAnsi="Times New Roman"/>
          <w:b/>
          <w:sz w:val="17"/>
        </w:rPr>
        <w:t>Partnership</w:t>
      </w:r>
      <w:r>
        <w:rPr>
          <w:rFonts w:ascii="Times New Roman" w:hAnsi="Times New Roman"/>
          <w:sz w:val="17"/>
        </w:rPr>
        <w:t>),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                ] [</w:t>
      </w:r>
      <w:r>
        <w:rPr>
          <w:rFonts w:ascii="Symbol" w:hAnsi="Symbol"/>
          <w:sz w:val="17"/>
        </w:rPr>
        <w:t>·</w:t>
      </w:r>
      <w:r>
        <w:rPr>
          <w:rFonts w:ascii="Times New Roman" w:hAnsi="Times New Roman"/>
          <w:sz w:val="17"/>
        </w:rPr>
        <w:t>], 2013.  In addition, as of the date of this certificate, the total debt of the Partnership and its consolidated subsidiaries is approximately $[</w:t>
      </w:r>
      <w:r>
        <w:rPr>
          <w:rFonts w:ascii="Symbol" w:hAnsi="Symbol"/>
          <w:sz w:val="17"/>
        </w:rPr>
        <w:t>·</w:t>
      </w:r>
      <w:r>
        <w:rPr>
          <w:rFonts w:ascii="Times New Roman" w:hAnsi="Times New Roman"/>
          <w:sz w:val="17"/>
        </w:rPr>
        <w:t>] billion.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Capitalized terms used but not defined herein have the meanings assigned to them in the Underwriting Agreement dated as of the date hereof by and among the Partnership and the General Partner and Barclays Capital Inc., [                    ] as the representative of the several Underwriters.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certificate is to assist the Underwriters in conducting and documenting their investigation of the affairs of the Partnership in connection with the offering of the Shares covered by the Registration Statement, the Pricing Disclosure Package and the Prospectus.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Follows]</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undersigned has hereunto affixed his signature as of the date first written above.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Executive Vice President and</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Chief Financial Officer</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84" w:name="a2216857zex-3_7.htm"/>
      <w:bookmarkStart w:id="85" w:name="ksa2216857zex3_7"/>
      <w:bookmarkStart w:id="86" w:name="a2216857zex-3_7.htm"/>
      <w:bookmarkStart w:id="87" w:name="ksa2216857zex3_7"/>
      <w:bookmarkEnd w:id="86"/>
      <w:bookmarkEnd w:id="87"/>
    </w:p>
    <w:p>
      <w:pPr>
        <w:pStyle w:val="TextBody"/>
        <w:spacing w:before="0" w:after="0"/>
        <w:ind w:left="0" w:right="0" w:hanging="0"/>
        <w:jc w:val="right"/>
        <w:rPr>
          <w:rFonts w:ascii="Times New Roman" w:hAnsi="Times New Roman"/>
          <w:b/>
          <w:sz w:val="17"/>
        </w:rPr>
      </w:pPr>
      <w:r>
        <w:rPr>
          <w:rFonts w:ascii="Times New Roman" w:hAnsi="Times New Roman"/>
          <w:b/>
          <w:sz w:val="17"/>
        </w:rPr>
        <w:t>Exhibit 3.7</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SIXTH AMENDED AND RESTATED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LIMITED LIABILITY COMPANY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sz w:val="17"/>
        </w:rPr>
        <w:t>dated as of [</w:t>
      </w:r>
      <w:r>
        <w:rPr>
          <w:rFonts w:ascii="Symbol" w:hAnsi="Symbol"/>
          <w:sz w:val="17"/>
        </w:rPr>
        <w:t>·</w:t>
      </w:r>
      <w:r>
        <w:rPr>
          <w:rFonts w:ascii="Times New Roman" w:hAnsi="Times New Roman"/>
          <w:sz w:val="17"/>
        </w:rPr>
        <w:t>], 2013</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237"/>
        <w:gridCol w:w="8453"/>
        <w:gridCol w:w="515"/>
      </w:tblGrid>
      <w:tr>
        <w:trPr/>
        <w:tc>
          <w:tcPr>
            <w:tcW w:w="1237" w:type="dxa"/>
            <w:tcBorders/>
            <w:shd w:fill="auto" w:val="clear"/>
            <w:vAlign w:val="bottom"/>
          </w:tcPr>
          <w:p>
            <w:pPr>
              <w:pStyle w:val="TableContents"/>
              <w:spacing w:before="0" w:after="0"/>
              <w:ind w:left="0" w:right="0" w:hanging="0"/>
              <w:rPr/>
            </w:pPr>
            <w:r>
              <w:rPr/>
              <w:t> </w:t>
            </w:r>
          </w:p>
        </w:tc>
        <w:tc>
          <w:tcPr>
            <w:tcW w:w="8453" w:type="dxa"/>
            <w:tcBorders/>
            <w:shd w:fill="auto" w:val="clear"/>
            <w:vAlign w:val="bottom"/>
          </w:tcPr>
          <w:p>
            <w:pPr>
              <w:pStyle w:val="TableContents"/>
              <w:spacing w:before="0" w:after="0"/>
              <w:ind w:left="0" w:right="0" w:hanging="0"/>
              <w:jc w:val="center"/>
              <w:rPr/>
            </w:pPr>
            <w:r>
              <w:rPr/>
              <w:t> </w:t>
            </w:r>
          </w:p>
        </w:tc>
        <w:tc>
          <w:tcPr>
            <w:tcW w:w="5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1  DEFINITIONS</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2  GENERAL</w:t>
            </w:r>
          </w:p>
        </w:tc>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2.2</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Office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Registered Office and Registered Agent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Purpose of the Company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of Dissolution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2.6</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Qualification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Sole Member</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2.8</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Reliance by Third Parties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3  CAPITALIZATION OF THE COMPANY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 Contributions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Loans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4  DISTRIBUTIONS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 on Distributions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5  MANAGEMENT AND CONTROL</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Authority; Board of Directors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Meetings of the Board</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Quorum and Acts of the Board</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Communications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5.5</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Committees of Directors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Compensation of Directors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5.7</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Directors as Agents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5.8</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Officers; Agents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5.9</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Matters Requiring Sole Member Approval</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5.10</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Actions Requiring Consent of Oxy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5.11</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Matters Requiring Board Approval</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1237" w:type="dxa"/>
            <w:tcBorders/>
            <w:shd w:fill="auto" w:val="clear"/>
          </w:tcPr>
          <w:p>
            <w:pPr>
              <w:pStyle w:val="TableContents"/>
              <w:spacing w:before="0" w:after="0"/>
              <w:ind w:left="0" w:right="0" w:hanging="0"/>
              <w:rPr/>
            </w:pPr>
            <w:r>
              <w:rPr/>
              <w:t> </w:t>
            </w:r>
          </w:p>
        </w:tc>
        <w:tc>
          <w:tcPr>
            <w:tcW w:w="8453"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6  LIABILITY AND INDEMNIFICATION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6.1</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 on Liability of Members, Directors and Officers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Indemnification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7  DISSOLUTION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Dissolution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8 MISCELLANEOUS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of Default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8.2</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8.3</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Third Party Rights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8.4</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Severability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2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Nature of Interest in the Company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bookmarkStart w:id="88" w:name="15636-2-LE-01_PB_i_033342_7056"/>
      <w:bookmarkEnd w:id="8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236"/>
        <w:gridCol w:w="8453"/>
        <w:gridCol w:w="516"/>
      </w:tblGrid>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8.6</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Binding Agreement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8.7</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Headings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8.8</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Word Meanings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8.9</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Counterparts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8.10</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Entire Agreement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2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8.11</w:t>
            </w:r>
          </w:p>
        </w:tc>
        <w:tc>
          <w:tcPr>
            <w:tcW w:w="84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Governing Law; Consent to Jurisdiction and Venue</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bookmarkStart w:id="89" w:name="15636-2-LE-01_PB_ii_033350_5335"/>
      <w:bookmarkEnd w:id="8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SIXTH AMENDED AND RESTATED</w:t>
        <w:br/>
        <w:t>LIMITED LIABILITY COMPANY AGREEMENT</w:t>
        <w:br/>
        <w:t>OF</w:t>
        <w:br/>
        <w:t>PLAINS ALL AMERICAN GP LLC</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THIS SIXTH AMENDED AND RESTATED LIMITED LIABILITY COMPANY AGREEMENT (this </w:t>
      </w:r>
      <w:r>
        <w:rPr>
          <w:rFonts w:ascii="Times New Roman" w:hAnsi="Times New Roman"/>
          <w:b/>
          <w:i/>
          <w:sz w:val="17"/>
        </w:rPr>
        <w:t>Agreement</w:t>
      </w:r>
      <w:r>
        <w:rPr>
          <w:rFonts w:ascii="Times New Roman" w:hAnsi="Times New Roman"/>
          <w:sz w:val="17"/>
        </w:rPr>
        <w:t>) of Plains All American GP LLC, a Delaware limited liability company (the </w:t>
      </w:r>
      <w:r>
        <w:rPr>
          <w:rFonts w:ascii="Times New Roman" w:hAnsi="Times New Roman"/>
          <w:b/>
          <w:i/>
          <w:sz w:val="17"/>
        </w:rPr>
        <w:t>Company</w:t>
      </w:r>
      <w:r>
        <w:rPr>
          <w:rFonts w:ascii="Times New Roman" w:hAnsi="Times New Roman"/>
          <w:sz w:val="17"/>
        </w:rPr>
        <w:t>), is made and entered into as of [</w:t>
      </w:r>
      <w:r>
        <w:rPr>
          <w:rFonts w:ascii="Symbol" w:hAnsi="Symbol"/>
          <w:sz w:val="17"/>
        </w:rPr>
        <w:t>·</w:t>
      </w:r>
      <w:r>
        <w:rPr>
          <w:rFonts w:ascii="Times New Roman" w:hAnsi="Times New Roman"/>
          <w:sz w:val="17"/>
        </w:rPr>
        <w:t>], 2013, by Plains GP Holdings, L.P., a Delaware limited partnership (</w:t>
      </w:r>
      <w:r>
        <w:rPr>
          <w:rFonts w:ascii="Times New Roman" w:hAnsi="Times New Roman"/>
          <w:b/>
          <w:i/>
          <w:sz w:val="17"/>
        </w:rPr>
        <w:t>PAGP</w:t>
      </w:r>
      <w:r>
        <w:rPr>
          <w:rFonts w:ascii="Times New Roman" w:hAnsi="Times New Roman"/>
          <w:sz w:val="17"/>
        </w:rPr>
        <w:t>) and the sole member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Company was formed on May 21, 2001 as a limited liability company under the Delaware Limited Liability Company Act by the filing of a certificate of formation of the Company with the Delaware Secretary of State;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in connection with the transactions contemplated by the Contribution Agreement (as defined herein), 100% of the membership interests of the Company have been contributed to PAGP;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as a result of the transactions contemplated by the Contribution Agreement, the Company holds a non-economic general partner interest in Plains AAP, L.P., a Delaware limited partnership (</w:t>
      </w:r>
      <w:r>
        <w:rPr>
          <w:rFonts w:ascii="Times New Roman" w:hAnsi="Times New Roman"/>
          <w:b/>
          <w:i/>
          <w:sz w:val="17"/>
        </w:rPr>
        <w:t>AAP</w:t>
      </w:r>
      <w:r>
        <w:rPr>
          <w:rFonts w:ascii="Times New Roman" w:hAnsi="Times New Roman"/>
          <w:sz w:val="17"/>
        </w:rPr>
        <w:t>);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PAGP desires to amend and restate the Fifth Amended and Restated Limited Liability Company Agreement of the Company in its entirety with the terms and conditions set forth 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in consideration of the premises and the mutual agreements contained herein, the parties agree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w:t>
        <w:br/>
        <w:t>DEFINITIONS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used herein, the following terms shall have the following meanings, unless the context otherwise requires: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w:t>
      </w:r>
      <w:r>
        <w:rPr>
          <w:rFonts w:ascii="Times New Roman" w:hAnsi="Times New Roman"/>
          <w:sz w:val="17"/>
        </w:rPr>
        <w:t> has the meaning set forth in the preamble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 Credit Facility</w:t>
      </w:r>
      <w:r>
        <w:rPr>
          <w:rFonts w:ascii="Times New Roman" w:hAnsi="Times New Roman"/>
          <w:sz w:val="17"/>
        </w:rPr>
        <w:t> means the Second Amended and Restated Credit Agreement, dated as of September 26, 2013, among AAP, the Lenders (as defined therein) and Citibank, N.A., as Administrative Agent (as defined therein) ,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 Partnership Agreement</w:t>
      </w:r>
      <w:r>
        <w:rPr>
          <w:rFonts w:ascii="Times New Roman" w:hAnsi="Times New Roman"/>
          <w:sz w:val="17"/>
        </w:rPr>
        <w:t> means the Seventh Amended and Restated Limited Partnership Agreement of AAP, dated as of the date hereof,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Act</w:t>
      </w:r>
      <w:r>
        <w:rPr>
          <w:rFonts w:ascii="Times New Roman" w:hAnsi="Times New Roman"/>
          <w:sz w:val="17"/>
        </w:rPr>
        <w:t> means the Delaware Limited Liability Company Act, 6 Del. C. Section 18-101, et seq., as amended from time to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90" w:name="15636-2-LE-01_PB_1_033412_2897"/>
      <w:bookmarkEnd w:id="9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Agreement</w:t>
      </w:r>
      <w:r>
        <w:rPr>
          <w:rFonts w:ascii="Times New Roman" w:hAnsi="Times New Roman"/>
          <w:sz w:val="17"/>
        </w:rPr>
        <w:t> has the meaning set forth in the preamble hereof, as such may be amended, modified, supplemented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Board</w:t>
      </w:r>
      <w:r>
        <w:rPr>
          <w:rFonts w:ascii="Times New Roman" w:hAnsi="Times New Roman"/>
          <w:sz w:val="17"/>
        </w:rPr>
        <w:t> means the Board of Directors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Certificate</w:t>
      </w:r>
      <w:r>
        <w:rPr>
          <w:rFonts w:ascii="Times New Roman" w:hAnsi="Times New Roman"/>
          <w:sz w:val="17"/>
        </w:rPr>
        <w:t> means the Certificate of Formation of the Company filed with the Secretary of State of Delaware, as amended, modified, supplemented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Closing Date</w:t>
      </w:r>
      <w:r>
        <w:rPr>
          <w:rFonts w:ascii="Times New Roman" w:hAnsi="Times New Roman"/>
          <w:sz w:val="17"/>
        </w:rPr>
        <w:t> means the date of the closing of the Initial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Commission</w:t>
      </w:r>
      <w:r>
        <w:rPr>
          <w:rFonts w:ascii="Times New Roman" w:hAnsi="Times New Roman"/>
          <w:sz w:val="17"/>
        </w:rPr>
        <w:t> means the United States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Company</w:t>
      </w:r>
      <w:r>
        <w:rPr>
          <w:rFonts w:ascii="Times New Roman" w:hAnsi="Times New Roman"/>
          <w:sz w:val="17"/>
        </w:rPr>
        <w:t> has the meaning set forth in the preamble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Company Affiliate</w:t>
      </w:r>
      <w:r>
        <w:rPr>
          <w:rFonts w:ascii="Times New Roman" w:hAnsi="Times New Roman"/>
          <w:sz w:val="17"/>
        </w:rPr>
        <w:t xml:space="preserve"> has the meaning set forth in </w:t>
      </w:r>
      <w:r>
        <w:rPr>
          <w:rFonts w:ascii="Times New Roman" w:hAnsi="Times New Roman"/>
          <w:sz w:val="17"/>
          <w:u w:val="single"/>
        </w:rPr>
        <w:t>Section 6.2(a)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Company Group</w:t>
      </w:r>
      <w:r>
        <w:rPr>
          <w:rFonts w:ascii="Times New Roman" w:hAnsi="Times New Roman"/>
          <w:sz w:val="17"/>
        </w:rPr>
        <w:t> means each of the Company and its Subsidiaries, but excluding the MLP and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Contribution Agreement</w:t>
      </w:r>
      <w:r>
        <w:rPr>
          <w:rFonts w:ascii="Times New Roman" w:hAnsi="Times New Roman"/>
          <w:sz w:val="17"/>
        </w:rPr>
        <w:t> means the Contribution and Conveyance Agreement, dated as of the Closing Date, among the Company, AAP and certain other parties, together with the additional conveyance documents and instruments contemplated or referenced thereunder, as such may be amended, supplemented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Designated Director</w:t>
      </w:r>
      <w:r>
        <w:rPr>
          <w:rFonts w:ascii="Times New Roman" w:hAnsi="Times New Roman"/>
          <w:sz w:val="17"/>
        </w:rPr>
        <w:t xml:space="preserve"> has the meaning set forth in </w:t>
      </w:r>
      <w:r>
        <w:rPr>
          <w:rFonts w:ascii="Times New Roman" w:hAnsi="Times New Roman"/>
          <w:sz w:val="17"/>
          <w:u w:val="single"/>
        </w:rPr>
        <w:t>Section 5.1(a)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Designating Member</w:t>
      </w:r>
      <w:r>
        <w:rPr>
          <w:rFonts w:ascii="Times New Roman" w:hAnsi="Times New Roman"/>
          <w:sz w:val="17"/>
        </w:rPr>
        <w:t> has the meaning set forth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Directors</w:t>
      </w:r>
      <w:r>
        <w:rPr>
          <w:rFonts w:ascii="Times New Roman" w:hAnsi="Times New Roman"/>
          <w:sz w:val="17"/>
        </w:rPr>
        <w:t xml:space="preserve"> has the meaning set forth in </w:t>
      </w:r>
      <w:r>
        <w:rPr>
          <w:rFonts w:ascii="Times New Roman" w:hAnsi="Times New Roman"/>
          <w:sz w:val="17"/>
          <w:u w:val="single"/>
        </w:rPr>
        <w:t>Section 5.1(a)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Act</w:t>
      </w:r>
      <w:r>
        <w:rPr>
          <w:rFonts w:ascii="Times New Roman" w:hAnsi="Times New Roman"/>
          <w:sz w:val="17"/>
        </w:rPr>
        <w:t> means the Securities Exchange Act of 1934, as amended, and the rules and regulations promulgated thereunder.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Existing Owners</w:t>
      </w:r>
      <w:r>
        <w:rPr>
          <w:rFonts w:ascii="Times New Roman" w:hAnsi="Times New Roman"/>
          <w:sz w:val="17"/>
        </w:rPr>
        <w:t> means each of the owners of membership interests in Holdings GP as of the date of this Agreement, in each case for so long as they continue to own any membership interests in Holdings 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Group Member</w:t>
      </w:r>
      <w:r>
        <w:rPr>
          <w:rFonts w:ascii="Times New Roman" w:hAnsi="Times New Roman"/>
          <w:sz w:val="17"/>
        </w:rPr>
        <w:t> means a member of the Company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w:t>
      </w:r>
      <w:r>
        <w:rPr>
          <w:rFonts w:ascii="Times New Roman" w:hAnsi="Times New Roman"/>
          <w:sz w:val="17"/>
        </w:rPr>
        <w:t> means PAA GP Holdings LLC, a Delaware limited liability company and the general partner of PAGP.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 Board</w:t>
      </w:r>
      <w:r>
        <w:rPr>
          <w:rFonts w:ascii="Times New Roman" w:hAnsi="Times New Roman"/>
          <w:sz w:val="17"/>
        </w:rPr>
        <w:t> means the Board of Directors of Holdings GP.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b/>
          <w:i/>
          <w:sz w:val="17"/>
        </w:rPr>
        <w:t>Holdings GP LLC Agreement</w:t>
      </w:r>
      <w:r>
        <w:rPr>
          <w:rFonts w:ascii="Times New Roman" w:hAnsi="Times New Roman"/>
          <w:sz w:val="17"/>
        </w:rPr>
        <w:t> means the Amended and Restated Limited Liability Company Agreement of Holdings GP, dated as of [</w:t>
      </w:r>
      <w:r>
        <w:rPr>
          <w:rFonts w:ascii="Symbol" w:hAnsi="Symbol"/>
          <w:sz w:val="17"/>
        </w:rPr>
        <w:t>·</w:t>
      </w:r>
      <w:r>
        <w:rPr>
          <w:rFonts w:ascii="Times New Roman" w:hAnsi="Times New Roman"/>
          <w:sz w:val="17"/>
        </w:rPr>
        <w:t>], 2013, and as such may be further amended, modified, supplemented or restated from time to time in accordance with the terms thereof.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91" w:name="15636-2-LE-01_PB_2_033424_3020"/>
      <w:bookmarkEnd w:id="9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Indemnitee</w:t>
      </w:r>
      <w:r>
        <w:rPr>
          <w:rFonts w:ascii="Times New Roman" w:hAnsi="Times New Roman"/>
          <w:sz w:val="17"/>
        </w:rPr>
        <w:t xml:space="preserve"> means (a) the Sole Member, (b) any Existing Owner, (c) any Qualifying Interest Holder, (d) any Person who is or was an Affiliate of the Sole Member, any Existing Owner or any Qualifying Interest Holder, (e) any Person who is or was a managing member, manager, general partner, director, officer, fiduciary, agent or trustee of any Group Member, the Sole Member, any Existing Owner or any Qualifying Interest Holder or any Affiliate of any Group Member, the Sole Member, any Existing Owner or any Qualifying Interest Holder, (f) any Person who is or was serving at the request of the Sole Member, any Existing Owner or any Qualifying Interest Holder or any Affiliate of the Sole Member, any Existing Owner or any Qualifying Interest Holder as a member, manager, partner, director, officer, fiduciary, agent or trustee of another Person in furtherance of the business of any Group Member; </w:t>
      </w:r>
      <w:r>
        <w:rPr>
          <w:rFonts w:ascii="Times New Roman" w:hAnsi="Times New Roman"/>
          <w:i/>
          <w:sz w:val="17"/>
        </w:rPr>
        <w:t>provided</w:t>
      </w:r>
      <w:r>
        <w:rPr>
          <w:rFonts w:ascii="Times New Roman" w:hAnsi="Times New Roman"/>
          <w:sz w:val="17"/>
        </w:rPr>
        <w:t>, that a Person shall not be an Indemnitee by reason of providing, on a fee-for-services basis, trustee, fiduciary or custodial services, and (g) any Person the Sole Member designates as an Indemnitee for purposes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Independent Director</w:t>
      </w:r>
      <w:r>
        <w:rPr>
          <w:rFonts w:ascii="Times New Roman" w:hAnsi="Times New Roman"/>
          <w:sz w:val="17"/>
        </w:rPr>
        <w:t> means a Director who is eligible to serve on the Boards Audit Committee (in accordance with the applicable requirements of the Commission and any National Securities Exchange on which the MLPs common units are listed or admitted for trading).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 xml:space="preserve">Initial Designating Member </w:t>
      </w:r>
      <w:r>
        <w:rPr>
          <w:rFonts w:ascii="Times New Roman" w:hAnsi="Times New Roman"/>
          <w:sz w:val="17"/>
        </w:rPr>
        <w:t> has the meaning set forth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Offering</w:t>
      </w:r>
      <w:r>
        <w:rPr>
          <w:rFonts w:ascii="Times New Roman" w:hAnsi="Times New Roman"/>
          <w:sz w:val="17"/>
        </w:rPr>
        <w:t> means the initial offering and sale of the Class A Shares of PAGP to the public.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Membership Interest</w:t>
      </w:r>
      <w:r>
        <w:rPr>
          <w:rFonts w:ascii="Times New Roman" w:hAnsi="Times New Roman"/>
          <w:sz w:val="17"/>
        </w:rPr>
        <w:t> means the entire limited liability company interest of the Sole Member in the Company and all rights and interests in the Company associated therewith, all as provided in this Agreement and the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w:t>
      </w:r>
      <w:r>
        <w:rPr>
          <w:rFonts w:ascii="Times New Roman" w:hAnsi="Times New Roman"/>
          <w:sz w:val="17"/>
        </w:rPr>
        <w:t> means Plains All American Pipeline, L.P., a Delaware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Partnership Agreement</w:t>
      </w:r>
      <w:r>
        <w:rPr>
          <w:rFonts w:ascii="Times New Roman" w:hAnsi="Times New Roman"/>
          <w:sz w:val="17"/>
        </w:rPr>
        <w:t> means the Fourth Amended and Restated Agreement of Limited Partnership of the MLP, dated as of May 17, 2012, as amended on October 1, 2012,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National Securities Exchange</w:t>
      </w:r>
      <w:r>
        <w:rPr>
          <w:rFonts w:ascii="Times New Roman" w:hAnsi="Times New Roman"/>
          <w:sz w:val="17"/>
        </w:rPr>
        <w:t> means an exchange registered with the Commission under Section 6(a) of the Securities Exchange Act, any successor to such statute, or the Nasdaq Stock Market or any successor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Officer</w:t>
      </w:r>
      <w:r>
        <w:rPr>
          <w:rFonts w:ascii="Times New Roman" w:hAnsi="Times New Roman"/>
          <w:sz w:val="17"/>
        </w:rPr>
        <w:t xml:space="preserve"> has the meaning set forth in </w:t>
      </w:r>
      <w:r>
        <w:rPr>
          <w:rFonts w:ascii="Times New Roman" w:hAnsi="Times New Roman"/>
          <w:sz w:val="17"/>
          <w:u w:val="single"/>
        </w:rPr>
        <w:t>Section 5.8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Organizational Documents</w:t>
      </w:r>
      <w:r>
        <w:rPr>
          <w:rFonts w:ascii="Times New Roman" w:hAnsi="Times New Roman"/>
          <w:sz w:val="17"/>
        </w:rPr>
        <w:t> means any certificate of formation, certificate of limited partnership, limited liability company agreement, limited partnership agreement or similar governing documents.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Oxy</w:t>
      </w:r>
      <w:r>
        <w:rPr>
          <w:rFonts w:ascii="Times New Roman" w:hAnsi="Times New Roman"/>
          <w:sz w:val="17"/>
        </w:rPr>
        <w:t> means Occidental Holding (Pipeline), Inc.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Observer</w:t>
      </w:r>
      <w:r>
        <w:rPr>
          <w:rFonts w:ascii="Times New Roman" w:hAnsi="Times New Roman"/>
          <w:sz w:val="17"/>
        </w:rPr>
        <w:t xml:space="preserve"> has the meaning set forth in </w:t>
      </w:r>
      <w:r>
        <w:rPr>
          <w:rFonts w:ascii="Times New Roman" w:hAnsi="Times New Roman"/>
          <w:sz w:val="17"/>
          <w:u w:val="single"/>
        </w:rPr>
        <w:t>Section 5.1(c)</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92" w:name="15636-2-LE-01_PB_3_033443_7748"/>
      <w:bookmarkEnd w:id="9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Person</w:t>
      </w:r>
      <w:r>
        <w:rPr>
          <w:rFonts w:ascii="Times New Roman" w:hAnsi="Times New Roman"/>
          <w:sz w:val="17"/>
        </w:rPr>
        <w:t> means any individual, partnership, corporation, limited liability company, trust, incorporated or unincorporated organization or other legal entity of any kind.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GP</w:t>
      </w:r>
      <w:r>
        <w:rPr>
          <w:rFonts w:ascii="Times New Roman" w:hAnsi="Times New Roman"/>
          <w:sz w:val="17"/>
        </w:rPr>
        <w:t> means PAA GP LLC, a Delaware limited liability company and the general partner of the MLP.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w:t>
      </w:r>
      <w:r>
        <w:rPr>
          <w:rFonts w:ascii="Times New Roman" w:hAnsi="Times New Roman"/>
          <w:sz w:val="17"/>
        </w:rPr>
        <w:t> has the meaning set forth in the preamble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b/>
          <w:i/>
          <w:sz w:val="17"/>
        </w:rPr>
        <w:t>PAGP LP Agreement</w:t>
      </w:r>
      <w:r>
        <w:rPr>
          <w:rFonts w:ascii="Times New Roman" w:hAnsi="Times New Roman"/>
          <w:sz w:val="17"/>
        </w:rPr>
        <w:t> means the Amended and Restated Agreement of Limited Partnership of PAGP, dated as of [</w:t>
      </w:r>
      <w:r>
        <w:rPr>
          <w:rFonts w:ascii="Symbol" w:hAnsi="Symbol"/>
          <w:sz w:val="17"/>
        </w:rPr>
        <w:t>·</w:t>
      </w:r>
      <w:r>
        <w:rPr>
          <w:rFonts w:ascii="Times New Roman" w:hAnsi="Times New Roman"/>
          <w:sz w:val="17"/>
        </w:rPr>
        <w:t>], 2013,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Property</w:t>
      </w:r>
      <w:r>
        <w:rPr>
          <w:rFonts w:ascii="Times New Roman" w:hAnsi="Times New Roman"/>
          <w:sz w:val="17"/>
        </w:rPr>
        <w:t> means all assets, real or intangible, that the Company may own or otherwise have an interest in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Qualifying Interest Holder</w:t>
      </w:r>
      <w:r>
        <w:rPr>
          <w:rFonts w:ascii="Times New Roman" w:hAnsi="Times New Roman"/>
          <w:sz w:val="17"/>
        </w:rPr>
        <w:t> means a Person holding a 10% or greater Qualifying Interest (as such term is defined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Significant Subsidiary</w:t>
      </w:r>
      <w:r>
        <w:rPr>
          <w:rFonts w:ascii="Times New Roman" w:hAnsi="Times New Roman"/>
          <w:sz w:val="17"/>
        </w:rPr>
        <w:t> means any Significant Subsidiary (as defined in Rule 1-02(w) of Regulation S-X promulgated by the Commission, as the same may be amended) of any member of the Company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Sole Member</w:t>
      </w:r>
      <w:r>
        <w:rPr>
          <w:rFonts w:ascii="Times New Roman" w:hAnsi="Times New Roman"/>
          <w:sz w:val="17"/>
        </w:rPr>
        <w:t> means PAGP, its successors or assigns.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Subsidiary</w:t>
      </w:r>
      <w:r>
        <w:rPr>
          <w:rFonts w:ascii="Times New Roman" w:hAnsi="Times New Roman"/>
          <w:sz w:val="17"/>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and except as otherwise noted, the MLP and its Subsidiaries shall be Subsidiaries of the Company Group.</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2</w:t>
        <w:br/>
        <w:t>GENERAL</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2.1</w:t>
      </w:r>
      <w:r>
        <w:rPr>
          <w:rFonts w:ascii="Times New Roman" w:hAnsi="Times New Roman"/>
        </w:rPr>
        <w:t xml:space="preserve">                               </w:t>
      </w:r>
      <w:r>
        <w:rPr>
          <w:rFonts w:ascii="Times New Roman" w:hAnsi="Times New Roman"/>
          <w:sz w:val="17"/>
          <w:u w:val="single"/>
        </w:rPr>
        <w:t>Formation</w:t>
      </w:r>
      <w:r>
        <w:rPr>
          <w:rFonts w:ascii="Times New Roman" w:hAnsi="Times New Roman"/>
          <w:sz w:val="17"/>
        </w:rPr>
        <w:t>.  The name of the Company is Plains All American GP LLC.  The rights and liabilities of the Sole Member shall be as provided in the Act for members except as provided herein.  To the extent that the rights or obligations of the Sole Member are different by reason of any provision of this Agreement than they would be in the absence of such provision, to the extent permitted by the Act, this Agreement shall control.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3" w:name="15636-2-LE-01_PB_4_033500_141"/>
      <w:bookmarkEnd w:id="9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2.2</w:t>
      </w:r>
      <w:r>
        <w:rPr>
          <w:rFonts w:ascii="Times New Roman" w:hAnsi="Times New Roman"/>
        </w:rPr>
        <w:t xml:space="preserve">                               </w:t>
      </w:r>
      <w:r>
        <w:rPr>
          <w:rFonts w:ascii="Times New Roman" w:hAnsi="Times New Roman"/>
          <w:sz w:val="17"/>
          <w:u w:val="single"/>
        </w:rPr>
        <w:t>Principal Office</w:t>
      </w:r>
      <w:r>
        <w:rPr>
          <w:rFonts w:ascii="Times New Roman" w:hAnsi="Times New Roman"/>
          <w:sz w:val="17"/>
        </w:rPr>
        <w:t>.  The principal office of the Company shall be located at 333 Clay Street, Suite 1600, Houston, Texas 77002 or at such other place(s) as the Board may determine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2.3</w:t>
      </w:r>
      <w:r>
        <w:rPr>
          <w:rFonts w:ascii="Times New Roman" w:hAnsi="Times New Roman"/>
        </w:rPr>
        <w:t xml:space="preserve">                               </w:t>
      </w:r>
      <w:r>
        <w:rPr>
          <w:rFonts w:ascii="Times New Roman" w:hAnsi="Times New Roman"/>
          <w:sz w:val="17"/>
          <w:u w:val="single"/>
        </w:rPr>
        <w:t>Registered Office and Registered Agent</w:t>
      </w:r>
      <w:r>
        <w:rPr>
          <w:rFonts w:ascii="Times New Roman" w:hAnsi="Times New Roman"/>
          <w:sz w:val="17"/>
        </w:rPr>
        <w:t>.  The location of the registered office and the name of the registered agent of the Company in the State of Delaware shall be as stated in the Certificate or as determined from time to time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2.4</w:t>
      </w:r>
      <w:r>
        <w:rPr>
          <w:rFonts w:ascii="Times New Roman" w:hAnsi="Times New Roman"/>
        </w:rPr>
        <w:t xml:space="preserve">                               </w:t>
      </w:r>
      <w:r>
        <w:rPr>
          <w:rFonts w:ascii="Times New Roman" w:hAnsi="Times New Roman"/>
          <w:sz w:val="17"/>
          <w:u w:val="single"/>
        </w:rPr>
        <w:t>Purpose of the Company</w:t>
      </w:r>
      <w:r>
        <w:rPr>
          <w:rFonts w:ascii="Times New Roman" w:hAnsi="Times New Roman"/>
          <w:sz w:val="17"/>
        </w:rPr>
        <w:t>.  The Companys purposes, and the nature of the business to be conducted and promoted by the Company, are (a) to act as the general partner of AAP in accordance with the terms of the AAP Partnership Agreement and (b) to engage in any and all activities necessary, advisable, convenient or incidental to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2.5</w:t>
      </w:r>
      <w:r>
        <w:rPr>
          <w:rFonts w:ascii="Times New Roman" w:hAnsi="Times New Roman"/>
        </w:rPr>
        <w:t xml:space="preserve">                               </w:t>
      </w:r>
      <w:r>
        <w:rPr>
          <w:rFonts w:ascii="Times New Roman" w:hAnsi="Times New Roman"/>
          <w:sz w:val="17"/>
          <w:u w:val="single"/>
        </w:rPr>
        <w:t>Date of Dissolution</w:t>
      </w:r>
      <w:r>
        <w:rPr>
          <w:rFonts w:ascii="Times New Roman" w:hAnsi="Times New Roman"/>
          <w:sz w:val="17"/>
        </w:rPr>
        <w:t xml:space="preserve">.  The Company shall have perpetual existence unless the Company is dissolved pursuant to </w:t>
      </w:r>
      <w:r>
        <w:rPr>
          <w:rFonts w:ascii="Times New Roman" w:hAnsi="Times New Roman"/>
          <w:sz w:val="17"/>
          <w:u w:val="single"/>
        </w:rPr>
        <w:t>Article 8</w:t>
      </w:r>
      <w:r>
        <w:rPr>
          <w:rFonts w:ascii="Times New Roman" w:hAnsi="Times New Roman"/>
          <w:sz w:val="17"/>
        </w:rPr>
        <w:t xml:space="preserve"> hereof.  The existence of the Company as a separate legal entity shall continue until cancellation of the Certificate in the manner required by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2.6</w:t>
      </w:r>
      <w:r>
        <w:rPr>
          <w:rFonts w:ascii="Times New Roman" w:hAnsi="Times New Roman"/>
        </w:rPr>
        <w:t xml:space="preserve">                               </w:t>
      </w:r>
      <w:r>
        <w:rPr>
          <w:rFonts w:ascii="Times New Roman" w:hAnsi="Times New Roman"/>
          <w:sz w:val="17"/>
          <w:u w:val="single"/>
        </w:rPr>
        <w:t>Qualification</w:t>
      </w:r>
      <w:r>
        <w:rPr>
          <w:rFonts w:ascii="Times New Roman" w:hAnsi="Times New Roman"/>
          <w:sz w:val="17"/>
        </w:rPr>
        <w:t>.  The President and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2.7</w:t>
      </w:r>
      <w:r>
        <w:rPr>
          <w:rFonts w:ascii="Times New Roman" w:hAnsi="Times New Roman"/>
        </w:rPr>
        <w:t xml:space="preserve">                               </w:t>
      </w:r>
      <w:r>
        <w:rPr>
          <w:rFonts w:ascii="Times New Roman" w:hAnsi="Times New Roman"/>
          <w:sz w:val="17"/>
          <w:u w:val="single"/>
        </w:rPr>
        <w:t>Sole Member</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Powers of Sole Member</w:t>
      </w:r>
      <w:r>
        <w:rPr>
          <w:rFonts w:ascii="Times New Roman" w:hAnsi="Times New Roman"/>
          <w:sz w:val="17"/>
        </w:rPr>
        <w:t>.  The Sole Member shall have the power to exercise any and all rights or powers granted to the Sole Member pursuant to the express terms of this Agreement.  Except as expressly provided herein, the Sole Member shall have no power to bind the Company and no authority to act on behalf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Resignation</w:t>
      </w:r>
      <w:r>
        <w:rPr>
          <w:rFonts w:ascii="Times New Roman" w:hAnsi="Times New Roman"/>
          <w:sz w:val="17"/>
        </w:rPr>
        <w:t>.  The Sole Member may not resign from the Company prior to the dissolution and winding up of the Company.  The Sole Member will cease to be the Sole Member only upon:  (i) the transfer of all of the Sole Members Membership Interest and the transferees admission as a substitute Sole Member, or (ii) completion of dissolution and winding up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u w:val="single"/>
        </w:rPr>
        <w:t>Ownership</w:t>
      </w:r>
      <w:r>
        <w:rPr>
          <w:rFonts w:ascii="Times New Roman" w:hAnsi="Times New Roman"/>
          <w:sz w:val="17"/>
        </w:rPr>
        <w:t>.  The Membership Interest shall correspond to a limited liability company interest as is provided in the Act.  The Company shall be the owner of the Property.  The Sole Member shall not have any ownership interest or right in the Property, including Property conveyed by the Sole Member to the Company, except indirectly by virtue of the Sole Members ownership of the Membership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2.8</w:t>
      </w:r>
      <w:r>
        <w:rPr>
          <w:rFonts w:ascii="Times New Roman" w:hAnsi="Times New Roman"/>
        </w:rPr>
        <w:t xml:space="preserve">                               </w:t>
      </w:r>
      <w:r>
        <w:rPr>
          <w:rFonts w:ascii="Times New Roman" w:hAnsi="Times New Roman"/>
          <w:sz w:val="17"/>
          <w:u w:val="single"/>
        </w:rPr>
        <w:t>Reliance by Third Parties</w:t>
      </w:r>
      <w:r>
        <w:rPr>
          <w:rFonts w:ascii="Times New Roman" w:hAnsi="Times New Roman"/>
          <w:sz w:val="17"/>
        </w:rPr>
        <w:t>.  Persons dealing with the Company shall be entitled to rely conclusively upon the power and authority of an Officer.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94" w:name="15636-2-LE-01_PB_5_033508_7608"/>
      <w:bookmarkEnd w:id="94"/>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3</w:t>
        <w:br/>
        <w:t>CAPITALIZATION OF THE COMPANY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3.1</w:t>
      </w:r>
      <w:r>
        <w:rPr>
          <w:rFonts w:ascii="Times New Roman" w:hAnsi="Times New Roman"/>
        </w:rPr>
        <w:t xml:space="preserve">                               </w:t>
      </w:r>
      <w:r>
        <w:rPr>
          <w:rFonts w:ascii="Times New Roman" w:hAnsi="Times New Roman"/>
          <w:sz w:val="17"/>
          <w:u w:val="single"/>
        </w:rPr>
        <w:t>Capital Contributions</w:t>
      </w:r>
      <w:r>
        <w:rPr>
          <w:rFonts w:ascii="Times New Roman" w:hAnsi="Times New Roman"/>
          <w:sz w:val="17"/>
        </w:rPr>
        <w:t>.  The Sole Member shall not be required to make any capital contributions to the capital of the Company and shall be admitted to the Company as its sole member concurrently with the closing of the transactions contemplated by the Contribution Agreement.  The Sole Member shall hold the Membership Interest following such capital contribution.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3.2</w:t>
      </w:r>
      <w:r>
        <w:rPr>
          <w:rFonts w:ascii="Times New Roman" w:hAnsi="Times New Roman"/>
        </w:rPr>
        <w:t xml:space="preserve">                               </w:t>
      </w:r>
      <w:r>
        <w:rPr>
          <w:rFonts w:ascii="Times New Roman" w:hAnsi="Times New Roman"/>
          <w:sz w:val="17"/>
          <w:u w:val="single"/>
        </w:rPr>
        <w:t>Loans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Sole Member shall not be obligated to loan funds to the Company.  Loans by the Sole Member to the Company shall not be considered capital contributions.  The amount of any such loan shall be a debt of the Company owed to the Sole Member in accordance with the terms and conditions upon which such loan is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Sole Member may (but shall not be obligated to) guarantee a loan made to the Company.  If the Sole Member guarantees a loan made to the Company and is required to make payment pursuant to such guarantee to the maker of the loan, then the amounts so paid to the maker of the loan shall be treated as a loan by the Sole Member to the Company and not as a capital contribution.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4</w:t>
        <w:br/>
        <w:t>DISTRIBUTIONS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4.1</w:t>
      </w:r>
      <w:r>
        <w:rPr>
          <w:rFonts w:ascii="Times New Roman" w:hAnsi="Times New Roman"/>
        </w:rPr>
        <w:t xml:space="preserve">                               </w:t>
      </w:r>
      <w:r>
        <w:rPr>
          <w:rFonts w:ascii="Times New Roman" w:hAnsi="Times New Roman"/>
          <w:sz w:val="17"/>
          <w:u w:val="single"/>
        </w:rPr>
        <w:t>Distributions</w:t>
      </w:r>
      <w:r>
        <w:rPr>
          <w:rFonts w:ascii="Times New Roman" w:hAnsi="Times New Roman"/>
          <w:sz w:val="17"/>
        </w:rPr>
        <w:t>.  The Board shall have sole discretion to determine the timing of any distribution and the aggregate amounts available for such distribution.  Any distribution declared by the Board shall be paid to the Sole Member.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4.2</w:t>
      </w:r>
      <w:r>
        <w:rPr>
          <w:rFonts w:ascii="Times New Roman" w:hAnsi="Times New Roman"/>
        </w:rPr>
        <w:t xml:space="preserve">                               </w:t>
      </w:r>
      <w:r>
        <w:rPr>
          <w:rFonts w:ascii="Times New Roman" w:hAnsi="Times New Roman"/>
          <w:sz w:val="17"/>
          <w:u w:val="single"/>
        </w:rPr>
        <w:t>Limitation on Distributions</w:t>
      </w:r>
      <w:r>
        <w:rPr>
          <w:rFonts w:ascii="Times New Roman" w:hAnsi="Times New Roman"/>
          <w:sz w:val="17"/>
        </w:rPr>
        <w:t>.  Notwithstanding any provision of this Agreement to the contrary, no distribution hereunder shall be permitted if such distribution would violate Section 18-607 of the Act or other applicable law.</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5</w:t>
        <w:br/>
        <w:t>MANAGEMENT AND CONTROL</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5.1</w:t>
      </w:r>
      <w:r>
        <w:rPr>
          <w:rFonts w:ascii="Times New Roman" w:hAnsi="Times New Roman"/>
        </w:rPr>
        <w:t xml:space="preserve">                               </w:t>
      </w:r>
      <w:r>
        <w:rPr>
          <w:rFonts w:ascii="Times New Roman" w:hAnsi="Times New Roman"/>
          <w:sz w:val="17"/>
          <w:u w:val="single"/>
        </w:rPr>
        <w:t>Authority; Board of Directors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Except as otherwise provided hereunder, (i) the business and affairs of the Company shall be managed by or under the direction of the Board and (ii) the power and authority granted to the Board hereunder shall include all those necessary or convenient for the furtherance of the purposes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w:t>
      </w:r>
      <w:r>
        <w:rPr>
          <w:rFonts w:ascii="Times New Roman" w:hAnsi="Times New Roman"/>
        </w:rPr>
        <w:t xml:space="preserve">                                     </w:t>
      </w:r>
      <w:r>
        <w:rPr>
          <w:rFonts w:ascii="Times New Roman" w:hAnsi="Times New Roman"/>
          <w:sz w:val="17"/>
        </w:rPr>
        <w:t xml:space="preserve">The Board shall, subject to the provisions of this </w:t>
      </w:r>
      <w:r>
        <w:rPr>
          <w:rFonts w:ascii="Times New Roman" w:hAnsi="Times New Roman"/>
          <w:sz w:val="17"/>
          <w:u w:val="single"/>
        </w:rPr>
        <w:t>Section 5.1(b)</w:t>
      </w:r>
      <w:r>
        <w:rPr>
          <w:rFonts w:ascii="Times New Roman" w:hAnsi="Times New Roman"/>
          <w:sz w:val="17"/>
        </w:rPr>
        <w:t>, consist of eight individuals designated as directors of the Company (the </w:t>
      </w:r>
      <w:r>
        <w:rPr>
          <w:rFonts w:ascii="Times New Roman" w:hAnsi="Times New Roman"/>
          <w:b/>
          <w:i/>
          <w:sz w:val="17"/>
        </w:rPr>
        <w:t>Directors</w:t>
      </w:r>
      <w:r>
        <w:rPr>
          <w:rFonts w:ascii="Times New Roman" w:hAnsi="Times New Roman"/>
          <w:sz w:val="17"/>
        </w:rPr>
        <w:t>) as follows: (A) each of the three or fewer individuals designated by the Designating Members pursuant to Section 6.1(a) of the Holdings GP LLC Agreement to serve as a member of the Holdings GP Board, and any individual appointed or designated as a replacement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95" w:name="15636-2-LE-03_PB_6_033617_7091"/>
      <w:bookmarkEnd w:id="9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any such initial designee (each, a </w:t>
      </w:r>
      <w:r>
        <w:rPr>
          <w:rFonts w:ascii="Times New Roman" w:hAnsi="Times New Roman"/>
          <w:b/>
          <w:i/>
          <w:sz w:val="17"/>
        </w:rPr>
        <w:t>Designated Director</w:t>
      </w:r>
      <w:r>
        <w:rPr>
          <w:rFonts w:ascii="Times New Roman" w:hAnsi="Times New Roman"/>
          <w:sz w:val="17"/>
        </w:rPr>
        <w:t xml:space="preserve">), (B) the Sole Member, acting through the Holdings GP Board, shall elect (1) three Independent Directors, at least two of whom shall also meet the requirements for service on the Conflicts Committee (as defined and provided for in the MLP Partnership Agreement), and (2) another one or more Directors none of whom shall be required to be an Independent Director, such that the total number of Directors on the Board is eight (taking into account </w:t>
      </w:r>
      <w:r>
        <w:rPr>
          <w:rFonts w:ascii="Times New Roman" w:hAnsi="Times New Roman"/>
          <w:sz w:val="17"/>
          <w:u w:val="single"/>
        </w:rPr>
        <w:t>Section 5.1(b)(i)(A)</w:t>
      </w:r>
      <w:r>
        <w:rPr>
          <w:rFonts w:ascii="Times New Roman" w:hAnsi="Times New Roman"/>
          <w:sz w:val="17"/>
        </w:rPr>
        <w:t xml:space="preserve"> and </w:t>
      </w:r>
      <w:r>
        <w:rPr>
          <w:rFonts w:ascii="Times New Roman" w:hAnsi="Times New Roman"/>
          <w:sz w:val="17"/>
          <w:u w:val="single"/>
        </w:rPr>
        <w:t>Section 5.1(b)(i)(C)</w:t>
      </w:r>
      <w:r>
        <w:rPr>
          <w:rFonts w:ascii="Times New Roman" w:hAnsi="Times New Roman"/>
          <w:sz w:val="17"/>
        </w:rPr>
        <w:t xml:space="preserve">), and (C) (1) the Chief Executive Officer of the Company as of the date hereof shall be a Director and shall serve as Chairman of the Board and (2) the successor to such individual as Chief Executive Officer of the Company shall be a Director and, unless the Board otherwise determines by a majority vote of the other Directors, shall serve as Chairman of the Board; </w:t>
      </w:r>
      <w:r>
        <w:rPr>
          <w:rFonts w:ascii="Times New Roman" w:hAnsi="Times New Roman"/>
          <w:i/>
          <w:sz w:val="17"/>
        </w:rPr>
        <w:t>provided</w:t>
      </w:r>
      <w:r>
        <w:rPr>
          <w:rFonts w:ascii="Times New Roman" w:hAnsi="Times New Roman"/>
          <w:sz w:val="17"/>
        </w:rPr>
        <w:t>, however, that if at any time there shall be fewer than the number of Independent Directors required by the Commission or National Securities Exchange on which the common units of the MLP are listed or admitted for trading, the Board shall take such actions as may be necessary to cause the Board to re-establish the required number of Independent Directors.  In connection therewith, the Board may exercise its Director removal and appointment rights hereunder and may, to the extent required, increase the size of the Board and appoint one or more new Independent Directors to fill the resulting vacancies.  The Designated Directors shall be appointed to the Board automatically upon their designation to the Holdings GP Board, without further action of the Board or the Sole Member.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Each Director shall hold office until his or her successor is appointed or designated pursuant to this </w:t>
      </w:r>
      <w:r>
        <w:rPr>
          <w:rFonts w:ascii="Times New Roman" w:hAnsi="Times New Roman"/>
          <w:sz w:val="17"/>
          <w:u w:val="single"/>
        </w:rPr>
        <w:t>Section 5.1(b)</w:t>
      </w:r>
      <w:r>
        <w:rPr>
          <w:rFonts w:ascii="Times New Roman" w:hAnsi="Times New Roman"/>
          <w:sz w:val="17"/>
        </w:rPr>
        <w:t> or until his or her earlier death, resignation or removal.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If for any reason (including death, resignation or removal) a Designated Director ceases to serve as a member of the Holdings GP Board, such Designated Director shall simultaneously and automatically be removed as a member of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 xml:space="preserve">Persons appointed pursuant to </w:t>
      </w:r>
      <w:r>
        <w:rPr>
          <w:rFonts w:ascii="Times New Roman" w:hAnsi="Times New Roman"/>
          <w:sz w:val="17"/>
          <w:u w:val="single"/>
        </w:rPr>
        <w:t>Section 5.1(b)(i)(B)</w:t>
      </w:r>
      <w:r>
        <w:rPr>
          <w:rFonts w:ascii="Times New Roman" w:hAnsi="Times New Roman"/>
          <w:sz w:val="17"/>
        </w:rPr>
        <w:t> by the Sole Member may be removed at any time, with or without cause, by the Sole Member, acting through the Holdings GP Board.  In the event of the death, resignation or removal of any such Director, the Sole Member acting through the Holdings GP Board may designate a replacement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Subject to the terms and conditions set forth below, for so long as an Initial Designating Member has designated an individual to serve as an observer to the Holdings GP Board pursuant to the terms of the Holdings GP LLC agreement, that same individual (an </w:t>
      </w:r>
      <w:r>
        <w:rPr>
          <w:rFonts w:ascii="Times New Roman" w:hAnsi="Times New Roman"/>
          <w:b/>
          <w:i/>
          <w:sz w:val="17"/>
        </w:rPr>
        <w:t>Observer</w:t>
      </w:r>
      <w:r>
        <w:rPr>
          <w:rFonts w:ascii="Times New Roman" w:hAnsi="Times New Roman"/>
          <w:sz w:val="17"/>
        </w:rPr>
        <w:t>) shall have the right to receive notice of and attend meetings of the Board in an observer capacity until such Observer ceases to serve as an observer to the Holdings GP Board or such Initial Designating Member rescinds its request to receive such information in writing, the Observer shall be entitled to receive copies of information routinely provided to the Directors;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96" w:name="15636-2-LE-03_PB_7_033627_455"/>
      <w:bookmarkEnd w:id="9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provided</w:t>
      </w:r>
      <w:r>
        <w:rPr>
          <w:rFonts w:ascii="Times New Roman" w:hAnsi="Times New Roman"/>
          <w:sz w:val="17"/>
        </w:rPr>
        <w:t>, that the failure to give any such notice or documents or information shall not affect the validity of any action taken by the Board.  The following terms and conditions shall apply to any service by an Observer in an observer capacity: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The Initial Designating Member who designated such Observer agrees to treat any and all such information, whether written or oral, as confidential information in the same manner as set forth in </w:t>
      </w:r>
      <w:r>
        <w:rPr>
          <w:rFonts w:ascii="Times New Roman" w:hAnsi="Times New Roman"/>
          <w:sz w:val="17"/>
          <w:u w:val="single"/>
        </w:rPr>
        <w:t>Section 10.4</w:t>
      </w:r>
      <w:r>
        <w:rPr>
          <w:rFonts w:ascii="Times New Roman" w:hAnsi="Times New Roman"/>
          <w:sz w:val="17"/>
        </w:rPr>
        <w:t xml:space="preserve"> of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In recognition that the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written materials may be redacted or withheld from the Initial Designating Member or the Observer if the Board, the Chairman, the Chief Executive Officer or the general counsel of the Company reasonably believes that providing such information could result in the competitive positioning of the Company Group or the MLP and its Subsidiaries being compromised.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Written materials may be redacted or withheld from the Initial Designating Member or the Observer, if the Board, the Chairman, the Chief Executive Officer or the general counsel of the Company reasonably believe that providing such information (1) would result in a potential breach of confidentiality agreements between third parties and the Company Group or the MLP and its Subsidiaries; (2) may otherwise disadvantage the Company Group, the MLP or any of their respective Subsidiaries in ongoing commercial dealings with the Initial Designating Member or any of its affiliates or (3) is necessary or advisable for the protection and retention of any attorney-client privilege.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At the discretion of a majority of the Directors (or any committee of the Board) then in attendance, the Observer may be excluded from relevant portions of the Board meetings or committee meetings if such majority reasonably believes that, the Observers attendance (1) would result in a potential breach of confidentiality agreements between third parties and the Company Group or the MLP and its Subsidiaries; (2) may otherwise disadvantage the Company Group, the MLP or any of their respective Subsidiaries in ongoing commercial dealings with the Initial Designating Member or any of its affiliates; (3) is necessary or advisable for the protection and retention of any attorney-client privilege; or (4) could result in in the competitive positioning of the Company Group or the MLP and its Subsidiaries being compromised;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 Initial Designating Member may eliminate the foregoing restrictions in clauses (ii), (iii) and (iv) above by requesting information or requesting that its Observer not be excluded and, if applicable, agreeing in writing to be bound by any applicable confidentiality agreements that would permit disclosure of the information being redacted or withheld, unless such disclosure or presence of the Observer would (1) adversely affect the retention of any attorney-client privilege or (2) disadvantage the Company Group, the MLP or any of their respective Subsidiaries in ongoing commercial dealings with the Initial Designating Member or any of its affiliates.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97" w:name="15636-2-LE-03_PB_8_033637_4141"/>
      <w:bookmarkEnd w:id="9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 xml:space="preserve">With respect to materials provided to the Initial Designating Member pursuant to </w:t>
      </w:r>
      <w:r>
        <w:rPr>
          <w:rFonts w:ascii="Times New Roman" w:hAnsi="Times New Roman"/>
          <w:sz w:val="17"/>
          <w:u w:val="single"/>
        </w:rPr>
        <w:t>Section 5.1(b)(ii)</w:t>
      </w:r>
      <w:r>
        <w:rPr>
          <w:rFonts w:ascii="Times New Roman" w:hAnsi="Times New Roman"/>
          <w:sz w:val="17"/>
        </w:rPr>
        <w:t xml:space="preserve"> or otherwise provided by the Company Group without solicitation by the Initial Designating Member, the Initial Designating Member shall not be presumed to have misused such information solely because its Observer may have retained a mental impression of such information in connection with the Initial Designating Members participation in activities competitive the Company Group or the MLP and its Subsidiaries.  This </w:t>
      </w:r>
      <w:r>
        <w:rPr>
          <w:rFonts w:ascii="Times New Roman" w:hAnsi="Times New Roman"/>
          <w:sz w:val="17"/>
          <w:u w:val="single"/>
        </w:rPr>
        <w:t>Section 5.1(b)(vi)</w:t>
      </w:r>
      <w:r>
        <w:rPr>
          <w:rFonts w:ascii="Times New Roman" w:hAnsi="Times New Roman"/>
          <w:sz w:val="17"/>
        </w:rPr>
        <w:t xml:space="preserve"> shall not apply with respect to information provided to the Initial Designating Member pursuant to </w:t>
      </w:r>
      <w:r>
        <w:rPr>
          <w:rFonts w:ascii="Times New Roman" w:hAnsi="Times New Roman"/>
          <w:sz w:val="17"/>
          <w:u w:val="single"/>
        </w:rPr>
        <w:t>Section 5.2(b)(v)</w:t>
      </w:r>
      <w:r>
        <w:rPr>
          <w:rFonts w:ascii="Times New Roman" w:hAnsi="Times New Roman"/>
          <w:sz w:val="17"/>
        </w:rPr>
        <w:t> or otherwise provided upon the Initial Designating Members request.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An Observer shall not have any voting rights.  No consent or approval of an Observer shall be required for any action taken by the Board.  The attendance or participation of an Observer at a meeting shall not be required for action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individuals comprising the initial Directors of the Board as of the date of the execution of this Agreement are listed on </w:t>
      </w:r>
      <w:r>
        <w:rPr>
          <w:rFonts w:ascii="Times New Roman" w:hAnsi="Times New Roman"/>
          <w:sz w:val="17"/>
          <w:u w:val="single"/>
        </w:rPr>
        <w:t>Schedule 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5.2</w:t>
      </w:r>
      <w:r>
        <w:rPr>
          <w:rFonts w:ascii="Times New Roman" w:hAnsi="Times New Roman"/>
        </w:rPr>
        <w:t xml:space="preserve">                               </w:t>
      </w:r>
      <w:r>
        <w:rPr>
          <w:rFonts w:ascii="Times New Roman" w:hAnsi="Times New Roman"/>
          <w:sz w:val="17"/>
          <w:u w:val="single"/>
        </w:rPr>
        <w:t>Meetings of the Board</w:t>
      </w:r>
      <w:r>
        <w:rPr>
          <w:rFonts w:ascii="Times New Roman" w:hAnsi="Times New Roman"/>
          <w:sz w:val="17"/>
        </w:rPr>
        <w:t>.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5.3</w:t>
      </w:r>
      <w:r>
        <w:rPr>
          <w:rFonts w:ascii="Times New Roman" w:hAnsi="Times New Roman"/>
        </w:rPr>
        <w:t xml:space="preserve">                               </w:t>
      </w:r>
      <w:r>
        <w:rPr>
          <w:rFonts w:ascii="Times New Roman" w:hAnsi="Times New Roman"/>
          <w:sz w:val="17"/>
          <w:u w:val="single"/>
        </w:rPr>
        <w:t>Quorum and Acts of the Board</w:t>
      </w:r>
      <w:r>
        <w:rPr>
          <w:rFonts w:ascii="Times New Roman" w:hAnsi="Times New Roman"/>
          <w:sz w:val="17"/>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5.4</w:t>
      </w:r>
      <w:r>
        <w:rPr>
          <w:rFonts w:ascii="Times New Roman" w:hAnsi="Times New Roman"/>
        </w:rPr>
        <w:t xml:space="preserve">                               </w:t>
      </w:r>
      <w:r>
        <w:rPr>
          <w:rFonts w:ascii="Times New Roman" w:hAnsi="Times New Roman"/>
          <w:sz w:val="17"/>
          <w:u w:val="single"/>
        </w:rPr>
        <w:t>Communications</w:t>
      </w:r>
      <w:r>
        <w:rPr>
          <w:rFonts w:ascii="Times New Roman" w:hAnsi="Times New Roman"/>
          <w:sz w:val="17"/>
        </w:rPr>
        <w:t>.  Members of the Board, or any committee designated by the Board, may participate in a meeting of the Board or any committee thereof by means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8" w:name="15636-2-LE-03_PB_9_033643_8627"/>
      <w:bookmarkEnd w:id="9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5.5</w:t>
      </w:r>
      <w:r>
        <w:rPr>
          <w:rFonts w:ascii="Times New Roman" w:hAnsi="Times New Roman"/>
        </w:rPr>
        <w:t xml:space="preserve">                               </w:t>
      </w:r>
      <w:r>
        <w:rPr>
          <w:rFonts w:ascii="Times New Roman" w:hAnsi="Times New Roman"/>
          <w:sz w:val="17"/>
          <w:u w:val="single"/>
        </w:rPr>
        <w:t>Committees of Directors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Board, by unanimous resolution of all Directors present and voting at a duly constituted meeting of the Board or by unanimous written consent, may designate one (1)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In addition to any other committees established by the Board pursuant to </w:t>
      </w:r>
      <w:r>
        <w:rPr>
          <w:rFonts w:ascii="Times New Roman" w:hAnsi="Times New Roman"/>
          <w:sz w:val="17"/>
          <w:u w:val="single"/>
        </w:rPr>
        <w:t>Section 5.5(a)</w:t>
      </w:r>
      <w:r>
        <w:rPr>
          <w:rFonts w:ascii="Times New Roman" w:hAnsi="Times New Roman"/>
          <w:sz w:val="17"/>
        </w:rPr>
        <w:t>, the Board may, as necessary, convene a Conflicts Committee, which shall be composed of at least two Independent Directors, each of whom shall meet the requirements set forth in the MLP Partnership Agreement. The Conflicts Committee shall be responsible for (A) approving or disapproving, as the case may be, any matters regarding the business and affairs of the MLP submitted to such Conflicts Committee by the Board and (B) performing such other functions as the Board may assign from time to time or as may be specified in a specific delegation to the Conflicts Committee.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In addition to any other committees established by the Board pursuant to </w:t>
      </w:r>
      <w:r>
        <w:rPr>
          <w:rFonts w:ascii="Times New Roman" w:hAnsi="Times New Roman"/>
          <w:sz w:val="17"/>
          <w:u w:val="single"/>
        </w:rPr>
        <w:t>Section 5.5(a)</w:t>
      </w:r>
      <w:r>
        <w:rPr>
          <w:rFonts w:ascii="Times New Roman" w:hAnsi="Times New Roman"/>
          <w:sz w:val="17"/>
        </w:rPr>
        <w:t xml:space="preserve">, the Board shall maintain an Audit Committee, which shall be composed of at least three Independent Directors at all times, subject to </w:t>
      </w:r>
      <w:r>
        <w:rPr>
          <w:rFonts w:ascii="Times New Roman" w:hAnsi="Times New Roman"/>
          <w:sz w:val="17"/>
          <w:u w:val="single"/>
        </w:rPr>
        <w:t>Section 5.1(a)(i)</w:t>
      </w:r>
      <w:r>
        <w:rPr>
          <w:rFonts w:ascii="Times New Roman" w:hAnsi="Times New Roman"/>
          <w:sz w:val="17"/>
        </w:rPr>
        <w:t>. The Audit Committee shall be responsible for such matters as the Board may assign from time to time or as may be specified in a written charter for the Audit Committee adopted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5.6</w:t>
      </w:r>
      <w:r>
        <w:rPr>
          <w:rFonts w:ascii="Times New Roman" w:hAnsi="Times New Roman"/>
        </w:rPr>
        <w:t xml:space="preserve">                               </w:t>
      </w:r>
      <w:r>
        <w:rPr>
          <w:rFonts w:ascii="Times New Roman" w:hAnsi="Times New Roman"/>
          <w:sz w:val="17"/>
          <w:u w:val="single"/>
        </w:rPr>
        <w:t>Compensation of Directors</w:t>
      </w:r>
      <w:r>
        <w:rPr>
          <w:rFonts w:ascii="Times New Roman" w:hAnsi="Times New Roman"/>
          <w:sz w:val="17"/>
        </w:rPr>
        <w:t>.  Each Director shall be entitled to reimbursement from the Company for all reasonable direct out-of-pocket expenses incurred by such Director in connection with attending Board meetings and such compensation as may be approved by the Sole Member.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5.7</w:t>
      </w:r>
      <w:r>
        <w:rPr>
          <w:rFonts w:ascii="Times New Roman" w:hAnsi="Times New Roman"/>
        </w:rPr>
        <w:t xml:space="preserve">                               </w:t>
      </w:r>
      <w:r>
        <w:rPr>
          <w:rFonts w:ascii="Times New Roman" w:hAnsi="Times New Roman"/>
          <w:sz w:val="17"/>
          <w:u w:val="single"/>
        </w:rPr>
        <w:t>Directors as Agents</w:t>
      </w:r>
      <w:r>
        <w:rPr>
          <w:rFonts w:ascii="Times New Roman" w:hAnsi="Times New Roman"/>
          <w:sz w:val="17"/>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5.8</w:t>
      </w:r>
      <w:r>
        <w:rPr>
          <w:rFonts w:ascii="Times New Roman" w:hAnsi="Times New Roman"/>
        </w:rPr>
        <w:t xml:space="preserve">                               </w:t>
      </w:r>
      <w:r>
        <w:rPr>
          <w:rFonts w:ascii="Times New Roman" w:hAnsi="Times New Roman"/>
          <w:sz w:val="17"/>
          <w:u w:val="single"/>
        </w:rPr>
        <w:t>Officers; Agents</w:t>
      </w:r>
      <w:r>
        <w:rPr>
          <w:rFonts w:ascii="Times New Roman" w:hAnsi="Times New Roman"/>
          <w:sz w:val="17"/>
        </w:rPr>
        <w:t>.  The Board shall have the power to appoint any Person or Persons as the Companys officers (the </w:t>
      </w:r>
      <w:r>
        <w:rPr>
          <w:rFonts w:ascii="Times New Roman" w:hAnsi="Times New Roman"/>
          <w:b/>
          <w:i/>
          <w:sz w:val="17"/>
        </w:rPr>
        <w:t>Officers</w:t>
      </w:r>
      <w:r>
        <w:rPr>
          <w:rFonts w:ascii="Times New Roman" w:hAnsi="Times New Roman"/>
          <w:sz w:val="17"/>
        </w:rPr>
        <w:t>) to act for the Company and to delegate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99" w:name="15636-2-LE-03_PB_10_033653_7906"/>
      <w:bookmarkEnd w:id="9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The Officers of the Company as of the date hereof shall continue in office in accordance with the terms hereof.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a majority of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5.9</w:t>
      </w:r>
      <w:r>
        <w:rPr>
          <w:rFonts w:ascii="Times New Roman" w:hAnsi="Times New Roman"/>
        </w:rPr>
        <w:t xml:space="preserve">                               </w:t>
      </w:r>
      <w:r>
        <w:rPr>
          <w:rFonts w:ascii="Times New Roman" w:hAnsi="Times New Roman"/>
          <w:sz w:val="17"/>
          <w:u w:val="single"/>
        </w:rPr>
        <w:t>Matters Requiring Sole Member Approval</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Without the prior written consent of the Sole Member, acting through the Holdings GP Board, the Company shall not effect or authorize through the Board or the Officers 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merger, consolidation or share exchange into or with any other Person (unless such Person is a member of the Company Group), or any other similar business combination transaction involving any member of Company Group or financial restructuring of any member of the Company Group;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voluntary filing for bankruptcy, liquidation, dissolution or winding up of any member of the Company Group or any Significant Subsidiary or any event that would cause a dissolution or winding up of any member of the Company Group or any Significant Subsidiary or any consent by any member of the Company Group or any Significant Subsidiary to any action brought by any other Person relating to any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 xml:space="preserve">amendment or repeal of the Organizational Documents of any member of the Company Group; </w:t>
      </w:r>
      <w:r>
        <w:rPr>
          <w:rFonts w:ascii="Times New Roman" w:hAnsi="Times New Roman"/>
          <w:i/>
          <w:sz w:val="17"/>
        </w:rPr>
        <w:t>provided</w:t>
      </w:r>
      <w:r>
        <w:rPr>
          <w:rFonts w:ascii="Times New Roman" w:hAnsi="Times New Roman"/>
          <w:sz w:val="17"/>
        </w:rPr>
        <w:t xml:space="preserve"> that this requirement will not supersede any requirement that any other Persons approval is required to amend any Organizational Document pursuant to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sale, lease, transfer, pledge or other disposition of all or substantially all of the properties or assets of the Company, any member of the Company Group or the Company Group taken as a whole, other than sales, leases, transfers, pledges or other dispositions of assets in the ordinary course of business;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00" w:name="15636-2-LE-03_PB_11_033704_3736"/>
      <w:bookmarkEnd w:id="10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any modification, amendment, waiver or other action affecting the 2% general partner interest or incentive distribution rights provided for in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any declaration or payment of any dividends or other distributions on the Membership Interest or other debt or equity securities of any member of the Company Group, including, without limitation, any dividend or other distribution by means of a redemption or repurchase of such securities;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 xml:space="preserve">other than equity securities issued upon exercise of convertible or exchangeable securities authorized or outstanding on the date hereof or subsequently approved pursuant to this </w:t>
      </w:r>
      <w:r>
        <w:rPr>
          <w:rFonts w:ascii="Times New Roman" w:hAnsi="Times New Roman"/>
          <w:sz w:val="17"/>
          <w:u w:val="single"/>
        </w:rPr>
        <w:t>Section 5.9</w:t>
      </w:r>
      <w:r>
        <w:rPr>
          <w:rFonts w:ascii="Times New Roman" w:hAnsi="Times New Roman"/>
          <w:sz w:val="17"/>
        </w:rPr>
        <w:t>, the authorization, sale and/or issuance by any member of the Company Group of any of its limited liability company interests, partnership interests or other equity securities, whether in a private or public offering, including an initial public offering, or the grant, sale or issuance of other securities (including rights, warrants and options) convertible into, exchangeable for or exercisable for any of their respective limited liability company interests, partnership interests or other equity securities, whether or not presently convertible, exchangeable or exercisable;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(viii)</w:t>
      </w:r>
      <w:r>
        <w:rPr>
          <w:rFonts w:ascii="Times New Roman" w:hAnsi="Times New Roman"/>
        </w:rPr>
        <w:t xml:space="preserve">                        </w:t>
      </w:r>
      <w:r>
        <w:rPr>
          <w:rFonts w:ascii="Times New Roman" w:hAnsi="Times New Roman"/>
          <w:sz w:val="17"/>
        </w:rPr>
        <w:t>other than borrowings under the AAP Credit Facility (as in effect on the date hereof), (A) the incurrence of any indebtedness by any member of the Company Group, (B) the assumption, incurrence, or undertaking by any member of the Company Group of, or the grant by any member of the Company Group of any security (other than a pledge of substantially all of the properties or assets of any member of the Company Group or the Company Group taken as a whole for the benefit of the lenders under the AAP Credit Facility) for, any financial commitment of any type whatsoever, including without limitation, any purchase, sale, lease, loan, contract, borrowing or expenditure, or (C) the lending of money by any member of the Company Group to, or the guarantee by any member of the Company Group of the debts of, any other Person;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(ix)</w:t>
      </w:r>
      <w:r>
        <w:rPr>
          <w:rFonts w:ascii="Times New Roman" w:hAnsi="Times New Roman"/>
        </w:rPr>
        <w:t xml:space="preserve">                              </w:t>
      </w:r>
      <w:r>
        <w:rPr>
          <w:rFonts w:ascii="Times New Roman" w:hAnsi="Times New Roman"/>
          <w:sz w:val="17"/>
        </w:rPr>
        <w:t>any repurchase or redemption by any member of the Company Group of any debt or equity securities other than pursuant to and in accordance with Section 7.9 of the AAP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w:t>
      </w:r>
      <w:r>
        <w:rPr>
          <w:rFonts w:ascii="Times New Roman" w:hAnsi="Times New Roman"/>
        </w:rPr>
        <w:t xml:space="preserve">                                 </w:t>
      </w:r>
      <w:r>
        <w:rPr>
          <w:rFonts w:ascii="Times New Roman" w:hAnsi="Times New Roman"/>
          <w:sz w:val="17"/>
        </w:rPr>
        <w:t>Transfer (as defined in the AAP Partnership Agreement) of its general partner interest in AAP, withdrawal as general partner of AAP or issuance of any additional general partner interest in AAP.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5.10</w:t>
      </w:r>
      <w:r>
        <w:rPr>
          <w:rFonts w:ascii="Times New Roman" w:hAnsi="Times New Roman"/>
        </w:rPr>
        <w:t xml:space="preserve">                        </w:t>
      </w:r>
      <w:r>
        <w:rPr>
          <w:rFonts w:ascii="Times New Roman" w:hAnsi="Times New Roman"/>
          <w:sz w:val="17"/>
          <w:u w:val="single"/>
        </w:rPr>
        <w:t>Actions Requiring Consent of Oxy</w:t>
      </w:r>
      <w:r>
        <w:rPr>
          <w:rFonts w:ascii="Times New Roman" w:hAnsi="Times New Roman"/>
          <w:sz w:val="17"/>
        </w:rPr>
        <w:t>.  Until Oxy and its Affiliates (i) do not have a Qualifying Interest (as such term is defined in the Holdings GP LLC Agreement) of at least 5% and (ii) beneficially own less than 5% of the outstanding Shares (as such term is defined in the PAGP LP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01" w:name="15636-2-LE-03_PB_12_033713_9621"/>
      <w:bookmarkEnd w:id="101"/>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5.11</w:t>
      </w:r>
      <w:r>
        <w:rPr>
          <w:rFonts w:ascii="Times New Roman" w:hAnsi="Times New Roman"/>
        </w:rPr>
        <w:t xml:space="preserve">                        </w:t>
      </w:r>
      <w:r>
        <w:rPr>
          <w:rFonts w:ascii="Times New Roman" w:hAnsi="Times New Roman"/>
          <w:sz w:val="17"/>
          <w:u w:val="single"/>
        </w:rPr>
        <w:t>Matters Requiring Board Approval</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Without the prior approval of the Board, the Company shall not effect or authorize 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merger, consolidation or share exchange into or with any Person, or any other similar business combination transaction (other than a transaction between the MLP or any of its Subsidiaries or among any of them) involving the MLP and any of its Significant Subsidiaries, or financial restructuring of the MLP or any of its Significant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repeal or significant amendment of the Organizational Documents of the MLP; </w:t>
      </w:r>
      <w:r>
        <w:rPr>
          <w:rFonts w:ascii="Times New Roman" w:hAnsi="Times New Roman"/>
          <w:i/>
          <w:sz w:val="17"/>
        </w:rPr>
        <w:t>provided,</w:t>
      </w:r>
      <w:r>
        <w:rPr>
          <w:rFonts w:ascii="Times New Roman" w:hAnsi="Times New Roman"/>
          <w:sz w:val="17"/>
        </w:rPr>
        <w:t xml:space="preserve"> that this requirement will not supersede any requirement that any other Persons approval is required to amend any Organizational Document pursuant to the terms thereof;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sale, lease, transfer, pledge or other disposition of all or substantially all of the properties or assets of the MLP or any of its Significant Subsidiaries or the MLP and its Subsidiaries taken as a whole, other than sales, leases, transfers, pledges or other dispositions of properties or assets in the ordinary course of business.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6</w:t>
        <w:br/>
        <w:t>LIABILITY AND INDEMNIFICATION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6.1</w:t>
      </w:r>
      <w:r>
        <w:rPr>
          <w:rFonts w:ascii="Times New Roman" w:hAnsi="Times New Roman"/>
        </w:rPr>
        <w:t xml:space="preserve">                               </w:t>
      </w:r>
      <w:r>
        <w:rPr>
          <w:rFonts w:ascii="Times New Roman" w:hAnsi="Times New Roman"/>
          <w:sz w:val="17"/>
          <w:u w:val="single"/>
        </w:rPr>
        <w:t>Limitation on Liability of Members, Directors and Officers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Subject to, and as limited by, the provisions of this Agreement, the Sole Member and the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Times New Roman" w:hAnsi="Times New Roman"/>
          <w:i/>
          <w:sz w:val="17"/>
        </w:rPr>
        <w:t>provided, however</w:t>
      </w:r>
      <w:r>
        <w:rPr>
          <w:rFonts w:ascii="Times New Roman" w:hAnsi="Times New Roman"/>
          <w:sz w:val="17"/>
        </w:rPr>
        <w:t xml:space="preserve">, that for the avoidance of doubt nothing set forth herein shall be deemed to limit the obligations of the General Partner under the MLP Partnership Agreement.  Notwithstanding anything to the contrary set forth in this Agreement, no Indemnitee shall be liable for monetary damages to the Company or the Sole Member,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Designated Director, in performing his or her obligations under this Agreement, shall be entitled to act or omit to act at the direction of the Designating Member who designated such Director, considering only such factors, including the separate interests of such Designating Member, as such Director or Designating Member chooses to consider, and any action of a Director or failure to act, taken or omitted in good faith reliance on the foregoing provisions of this </w:t>
      </w:r>
      <w:r>
        <w:rPr>
          <w:rFonts w:ascii="Times New Roman" w:hAnsi="Times New Roman"/>
          <w:sz w:val="17"/>
          <w:u w:val="single"/>
        </w:rPr>
        <w:t>Section 6.1</w:t>
      </w:r>
      <w:r>
        <w:rPr>
          <w:rFonts w:ascii="Times New Roman" w:hAnsi="Times New Roman"/>
          <w:sz w:val="17"/>
        </w:rPr>
        <w:t xml:space="preserve"> shall not constitute a breach of any duty including any fiduciary duty on the part of the Director or Designating Member to the Company or the Sole Member or any other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102" w:name="15636-2-LE-05_PB_13_033830_8715"/>
      <w:bookmarkEnd w:id="10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Company solely by reason of being an Indemnitee. The provisions of this Agreement, to the extent that they restrict, eliminate or otherwise modify the duties and liabilities, including fiduciary duties, of any Indemnitee otherwise existing at law or in equity, are agreed by Sole Member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or on behalf of the Sole Member challenging any such action or inaction of, or determination made by, any Indemnitee, the Person bringing or prosecuting such proceeding shall have the burden of overcoming such presumption.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No amendment, modification or repeal of this </w:t>
      </w:r>
      <w:r>
        <w:rPr>
          <w:rFonts w:ascii="Times New Roman" w:hAnsi="Times New Roman"/>
          <w:sz w:val="17"/>
          <w:u w:val="single"/>
        </w:rPr>
        <w:t>Section 6.1</w:t>
      </w:r>
      <w:r>
        <w:rPr>
          <w:rFonts w:ascii="Times New Roman" w:hAnsi="Times New Roman"/>
          <w:sz w:val="17"/>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hAnsi="Times New Roman"/>
          <w:sz w:val="17"/>
          <w:u w:val="single"/>
        </w:rPr>
        <w:t>Section 6.1</w:t>
      </w:r>
      <w:r>
        <w:rPr>
          <w:rFonts w:ascii="Times New Roman" w:hAnsi="Times New Roman"/>
          <w:sz w:val="17"/>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6.2</w:t>
      </w:r>
      <w:r>
        <w:rPr>
          <w:rFonts w:ascii="Times New Roman" w:hAnsi="Times New Roman"/>
        </w:rPr>
        <w:t xml:space="preserve">                               </w:t>
      </w:r>
      <w:r>
        <w:rPr>
          <w:rFonts w:ascii="Times New Roman" w:hAnsi="Times New Roman"/>
          <w:sz w:val="17"/>
          <w:u w:val="single"/>
        </w:rPr>
        <w:t>Indemnification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Expenses incurred by an Indemnitee in defending any claim, demand, action, suit or proceeding subject to </w:t>
      </w:r>
      <w:r>
        <w:rPr>
          <w:rFonts w:ascii="Times New Roman" w:hAnsi="Times New Roman"/>
          <w:sz w:val="17"/>
          <w:u w:val="single"/>
        </w:rPr>
        <w:t>Section 6.2(a)</w:t>
      </w:r>
      <w:r>
        <w:rPr>
          <w:rFonts w:ascii="Times New Roman" w:hAnsi="Times New Roman"/>
          <w:sz w:val="17"/>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Times New Roman" w:hAnsi="Times New Roman"/>
          <w:sz w:val="17"/>
          <w:u w:val="single"/>
        </w:rPr>
        <w:t>Section 6.2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The indemnification provided by this </w:t>
      </w:r>
      <w:r>
        <w:rPr>
          <w:rFonts w:ascii="Times New Roman" w:hAnsi="Times New Roman"/>
          <w:sz w:val="17"/>
          <w:u w:val="single"/>
        </w:rPr>
        <w:t>Section 6.2</w:t>
      </w:r>
      <w:r>
        <w:rPr>
          <w:rFonts w:ascii="Times New Roman" w:hAnsi="Times New Roman"/>
          <w:sz w:val="17"/>
        </w:rPr>
        <w:t xml:space="preserve"> shall be in addition to any other rights to which an Indemnitee may be entitled pursuant to any approval of the Board, as a matter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103" w:name="15636-2-LE-05_PB_14_033839_563"/>
      <w:bookmarkEnd w:id="10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of law or equity, or otherwise, and shall continue as to an Indemnitee who has ceased to hold the status with respect to which it was an Indemnitee and shall inure to the benefit of the heirs, successors, assigns, and administrators of such Indemnitee; </w:t>
      </w:r>
      <w:r>
        <w:rPr>
          <w:rFonts w:ascii="Times New Roman" w:hAnsi="Times New Roman"/>
          <w:i/>
          <w:sz w:val="17"/>
        </w:rPr>
        <w:t>provided, however</w:t>
      </w:r>
      <w:r>
        <w:rPr>
          <w:rFonts w:ascii="Times New Roman" w:hAnsi="Times New Roman"/>
          <w:sz w:val="17"/>
        </w:rPr>
        <w:t xml:space="preserve">, that in the event such Indemnitee is also an Affiliate of a Designating Member, the vote of the Designated Director designated by such Designating Member shall be disregarded for purposes of the Boards vote pursuant to this </w:t>
      </w:r>
      <w:r>
        <w:rPr>
          <w:rFonts w:ascii="Times New Roman" w:hAnsi="Times New Roman"/>
          <w:sz w:val="17"/>
          <w:u w:val="single"/>
        </w:rPr>
        <w:t>Section 6.2(c)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Company may purchase and maintain directors and officers insurance or similar coverage for its Directors and Officers in such amounts and with such deductibles or self-insured retentions as determined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Any indemnification hereunder shall be satisfied only out of the assets of the Company, and the Sole Member shall not be subject to personal liability by reason of the indemnification provisions under this </w:t>
      </w:r>
      <w:r>
        <w:rPr>
          <w:rFonts w:ascii="Times New Roman" w:hAnsi="Times New Roman"/>
          <w:sz w:val="17"/>
          <w:u w:val="single"/>
        </w:rPr>
        <w:t>Section 6.2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An Indemnitee shall not be denied indemnification in whole or in part under this </w:t>
      </w:r>
      <w:r>
        <w:rPr>
          <w:rFonts w:ascii="Times New Roman" w:hAnsi="Times New Roman"/>
          <w:sz w:val="17"/>
          <w:u w:val="single"/>
        </w:rPr>
        <w:t>Section 6.2</w:t>
      </w:r>
      <w:r>
        <w:rPr>
          <w:rFonts w:ascii="Times New Roman" w:hAnsi="Times New Roman"/>
          <w:sz w:val="17"/>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 xml:space="preserve">Subject to </w:t>
      </w:r>
      <w:r>
        <w:rPr>
          <w:rFonts w:ascii="Times New Roman" w:hAnsi="Times New Roman"/>
          <w:sz w:val="17"/>
          <w:u w:val="single"/>
        </w:rPr>
        <w:t>Section 6.2(c)</w:t>
      </w:r>
      <w:r>
        <w:rPr>
          <w:rFonts w:ascii="Times New Roman" w:hAnsi="Times New Roman"/>
          <w:sz w:val="17"/>
        </w:rPr>
        <w:t xml:space="preserve">, the provisions of this </w:t>
      </w:r>
      <w:r>
        <w:rPr>
          <w:rFonts w:ascii="Times New Roman" w:hAnsi="Times New Roman"/>
          <w:sz w:val="17"/>
          <w:u w:val="single"/>
        </w:rPr>
        <w:t>Section 6.2</w:t>
      </w:r>
      <w:r>
        <w:rPr>
          <w:rFonts w:ascii="Times New Roman" w:hAnsi="Times New Roman"/>
          <w:sz w:val="17"/>
        </w:rPr>
        <w:t xml:space="preserve"> are for the benefit of the Indemnitees and the heirs, successors, assigns and administrators of the Indemnitees and shall not be deemed to create any rights for the benefit of any other Persons.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 xml:space="preserve">No amendment, modification or repeal of this </w:t>
      </w:r>
      <w:r>
        <w:rPr>
          <w:rFonts w:ascii="Times New Roman" w:hAnsi="Times New Roman"/>
          <w:sz w:val="17"/>
          <w:u w:val="single"/>
        </w:rPr>
        <w:t>Section 6.2</w:t>
      </w:r>
      <w:r>
        <w:rPr>
          <w:rFonts w:ascii="Times New Roman" w:hAnsi="Times New Roman"/>
          <w:sz w:val="17"/>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Times New Roman" w:hAnsi="Times New Roman"/>
          <w:sz w:val="17"/>
          <w:u w:val="single"/>
        </w:rPr>
        <w:t>Section 6.2</w:t>
      </w:r>
      <w:r>
        <w:rPr>
          <w:rFonts w:ascii="Times New Roman" w:hAnsi="Times New Roman"/>
          <w:sz w:val="17"/>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7</w:t>
        <w:br/>
        <w:t>DISSOLUTION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7.1</w:t>
      </w:r>
      <w:r>
        <w:rPr>
          <w:rFonts w:ascii="Times New Roman" w:hAnsi="Times New Roman"/>
        </w:rPr>
        <w:t xml:space="preserve">                               </w:t>
      </w:r>
      <w:r>
        <w:rPr>
          <w:rFonts w:ascii="Times New Roman" w:hAnsi="Times New Roman"/>
          <w:sz w:val="17"/>
          <w:u w:val="single"/>
        </w:rPr>
        <w:t>Dissolution</w:t>
      </w:r>
      <w:r>
        <w:rPr>
          <w:rFonts w:ascii="Times New Roman" w:hAnsi="Times New Roman"/>
          <w:sz w:val="17"/>
        </w:rPr>
        <w:t>.  The Company shall dissolve and its affairs shall be wound up at such time, if any, as the Sole Member may elect.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8</w:t>
        <w:br/>
        <w:t>MISCELLANEOUS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8.1</w:t>
      </w:r>
      <w:r>
        <w:rPr>
          <w:rFonts w:ascii="Times New Roman" w:hAnsi="Times New Roman"/>
        </w:rPr>
        <w:t xml:space="preserve">                               </w:t>
      </w:r>
      <w:r>
        <w:rPr>
          <w:rFonts w:ascii="Times New Roman" w:hAnsi="Times New Roman"/>
          <w:sz w:val="17"/>
          <w:u w:val="single"/>
        </w:rPr>
        <w:t>Waiver of Default</w:t>
      </w:r>
      <w:r>
        <w:rPr>
          <w:rFonts w:ascii="Times New Roman" w:hAnsi="Times New Roman"/>
          <w:sz w:val="17"/>
        </w:rPr>
        <w:t>.  No consent or waiver, express or implied, by the Company or the Sole Member with respect to any breach or default by the Company or the Sole Member hereunder shall be deemed or construed to be a consent or waiver with respect to any other breach or default by any party of the same provision or any other provision of this Agreement.  Failure on the part of the Company or the Sole Member to complain of any act or failure to act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104" w:name="15636-2-LE-05_PB_15_033850_9497"/>
      <w:bookmarkEnd w:id="10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Company or the Sole Member or to declare such party in default shall not be deemed or constitute a waiver by the Company or the Sole Member of any rights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8.2</w:t>
      </w:r>
      <w:r>
        <w:rPr>
          <w:rFonts w:ascii="Times New Roman" w:hAnsi="Times New Roman"/>
        </w:rPr>
        <w:t xml:space="preserve">                               </w:t>
      </w:r>
      <w:r>
        <w:rPr>
          <w:rFonts w:ascii="Times New Roman" w:hAnsi="Times New Roman"/>
          <w:sz w:val="17"/>
          <w:u w:val="single"/>
        </w:rPr>
        <w:t>Amendment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Except as otherwise expressly provided elsewhere in this Agreement, this Agreement shall not be altered, modified or changed except by an amendment approved by the Sole Member, acting through the Holdings GP Board; </w:t>
      </w:r>
      <w:r>
        <w:rPr>
          <w:rFonts w:ascii="Times New Roman" w:hAnsi="Times New Roman"/>
          <w:i/>
          <w:sz w:val="17"/>
        </w:rPr>
        <w:t>provided, however</w:t>
      </w:r>
      <w:r>
        <w:rPr>
          <w:rFonts w:ascii="Times New Roman" w:hAnsi="Times New Roman"/>
          <w:sz w:val="17"/>
        </w:rPr>
        <w:t xml:space="preserve">, that (i) no amendment of this Agreement that would (A) except as expressly provided for hereunder, increase the size of the Board, (B) grant any Person the right to designate more than one Director, or (C) improve the designation right of a Designating Member (as such term is defined in the Holdings GP LLC Agreement) disproportionately with respect to any or all of the other Designating Members shall be effective without the prior written consent of the effected Designating Member or Designating Members, as applicable; (ii) no amendment that adversely affects the rights of an Initial Designating Member under </w:t>
      </w:r>
      <w:r>
        <w:rPr>
          <w:rFonts w:ascii="Times New Roman" w:hAnsi="Times New Roman"/>
          <w:sz w:val="17"/>
          <w:u w:val="single"/>
        </w:rPr>
        <w:t>Section 5.1(c)</w:t>
      </w:r>
      <w:r>
        <w:rPr>
          <w:rFonts w:ascii="Times New Roman" w:hAnsi="Times New Roman"/>
          <w:sz w:val="17"/>
        </w:rPr>
        <w:t xml:space="preserve"> shall be effective without the prior written consent of such Initial Designating member; (iii) no amendment that adversely affects the rights of Oxy under </w:t>
      </w:r>
      <w:r>
        <w:rPr>
          <w:rFonts w:ascii="Times New Roman" w:hAnsi="Times New Roman"/>
          <w:sz w:val="17"/>
          <w:u w:val="single"/>
        </w:rPr>
        <w:t>Section 5.10</w:t>
      </w:r>
      <w:r>
        <w:rPr>
          <w:rFonts w:ascii="Times New Roman" w:hAnsi="Times New Roman"/>
          <w:sz w:val="17"/>
        </w:rPr>
        <w:t xml:space="preserve"> shall be effective without the prior written consent of Oxy; and (iv) no amendment of the provisos of this </w:t>
      </w:r>
      <w:r>
        <w:rPr>
          <w:rFonts w:ascii="Times New Roman" w:hAnsi="Times New Roman"/>
          <w:sz w:val="17"/>
          <w:u w:val="single"/>
        </w:rPr>
        <w:t>Section 8.2(a)</w:t>
      </w:r>
      <w:r>
        <w:rPr>
          <w:rFonts w:ascii="Times New Roman" w:hAnsi="Times New Roman"/>
          <w:sz w:val="17"/>
        </w:rPr>
        <w:t xml:space="preserve"> shall be effective without the prior written consent of (A) each Designating Member, if any, (B) to the extent that, immediately prior to giving effect to such amendment, one or more Initial Designating Members retains any rights under </w:t>
      </w:r>
      <w:r>
        <w:rPr>
          <w:rFonts w:ascii="Times New Roman" w:hAnsi="Times New Roman"/>
          <w:sz w:val="17"/>
          <w:u w:val="single"/>
        </w:rPr>
        <w:t>Section 5.1(c)</w:t>
      </w:r>
      <w:r>
        <w:rPr>
          <w:rFonts w:ascii="Times New Roman" w:hAnsi="Times New Roman"/>
          <w:sz w:val="17"/>
        </w:rPr>
        <w:t xml:space="preserve">, each affected Initial Designating Member, and (C) to the extent that, immediately prior to giving effect to such amendment, Oxy retains any rights </w:t>
      </w:r>
      <w:r>
        <w:rPr>
          <w:rFonts w:ascii="Times New Roman" w:hAnsi="Times New Roman"/>
          <w:sz w:val="17"/>
          <w:u w:val="single"/>
        </w:rPr>
        <w:t>Section 5.10</w:t>
      </w:r>
      <w:r>
        <w:rPr>
          <w:rFonts w:ascii="Times New Roman" w:hAnsi="Times New Roman"/>
          <w:sz w:val="17"/>
        </w:rPr>
        <w:t>, Oxy.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Board shall cause to be prepared and filed any amendment to the Certificate that may be required to be filed under the Act as a consequence of any amendment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Any modification or amendment to this Agreement or the Certificate made in accordance with this </w:t>
      </w:r>
      <w:r>
        <w:rPr>
          <w:rFonts w:ascii="Times New Roman" w:hAnsi="Times New Roman"/>
          <w:sz w:val="17"/>
          <w:u w:val="single"/>
        </w:rPr>
        <w:t>Section 8.2</w:t>
      </w:r>
      <w:r>
        <w:rPr>
          <w:rFonts w:ascii="Times New Roman" w:hAnsi="Times New Roman"/>
          <w:sz w:val="17"/>
        </w:rPr>
        <w:t xml:space="preserve"> shall be binding on the Sole Member and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8.3</w:t>
      </w:r>
      <w:r>
        <w:rPr>
          <w:rFonts w:ascii="Times New Roman" w:hAnsi="Times New Roman"/>
        </w:rPr>
        <w:t xml:space="preserve">                               </w:t>
      </w:r>
      <w:r>
        <w:rPr>
          <w:rFonts w:ascii="Times New Roman" w:hAnsi="Times New Roman"/>
          <w:sz w:val="17"/>
          <w:u w:val="single"/>
        </w:rPr>
        <w:t>No Third Party Rights</w:t>
      </w:r>
      <w:r>
        <w:rPr>
          <w:rFonts w:ascii="Times New Roman" w:hAnsi="Times New Roman"/>
          <w:sz w:val="17"/>
        </w:rPr>
        <w:t xml:space="preserve">.  Except as provided in </w:t>
      </w:r>
      <w:r>
        <w:rPr>
          <w:rFonts w:ascii="Times New Roman" w:hAnsi="Times New Roman"/>
          <w:sz w:val="17"/>
          <w:u w:val="single"/>
        </w:rPr>
        <w:t>Section 5.1(c)</w:t>
      </w:r>
      <w:r>
        <w:rPr>
          <w:rFonts w:ascii="Times New Roman" w:hAnsi="Times New Roman"/>
          <w:sz w:val="17"/>
        </w:rPr>
        <w:t xml:space="preserve">, </w:t>
      </w:r>
      <w:r>
        <w:rPr>
          <w:rFonts w:ascii="Times New Roman" w:hAnsi="Times New Roman"/>
          <w:sz w:val="17"/>
          <w:u w:val="single"/>
        </w:rPr>
        <w:t>Section 5.10</w:t>
      </w:r>
      <w:r>
        <w:rPr>
          <w:rFonts w:ascii="Times New Roman" w:hAnsi="Times New Roman"/>
          <w:sz w:val="17"/>
        </w:rPr>
        <w:t xml:space="preserve">, </w:t>
      </w:r>
      <w:r>
        <w:rPr>
          <w:rFonts w:ascii="Times New Roman" w:hAnsi="Times New Roman"/>
          <w:sz w:val="17"/>
          <w:u w:val="single"/>
        </w:rPr>
        <w:t>Section 8.2</w:t>
      </w:r>
      <w:r>
        <w:rPr>
          <w:rFonts w:ascii="Times New Roman" w:hAnsi="Times New Roman"/>
          <w:sz w:val="17"/>
        </w:rPr>
        <w:t xml:space="preserve"> and </w:t>
      </w:r>
      <w:r>
        <w:rPr>
          <w:rFonts w:ascii="Times New Roman" w:hAnsi="Times New Roman"/>
          <w:sz w:val="17"/>
          <w:u w:val="single"/>
        </w:rPr>
        <w:t>Article 6</w:t>
      </w:r>
      <w:r>
        <w:rPr>
          <w:rFonts w:ascii="Times New Roman" w:hAnsi="Times New Roman"/>
          <w:sz w:val="17"/>
        </w:rPr>
        <w:t>, none of the provisions contained in this Agreement shall be for the benefit of or enforceable by any third parties, including creditors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8.4</w:t>
      </w:r>
      <w:r>
        <w:rPr>
          <w:rFonts w:ascii="Times New Roman" w:hAnsi="Times New Roman"/>
        </w:rPr>
        <w:t xml:space="preserve">                               </w:t>
      </w:r>
      <w:r>
        <w:rPr>
          <w:rFonts w:ascii="Times New Roman" w:hAnsi="Times New Roman"/>
          <w:sz w:val="17"/>
          <w:u w:val="single"/>
        </w:rPr>
        <w:t>Severability</w:t>
      </w:r>
      <w:r>
        <w:rPr>
          <w:rFonts w:ascii="Times New Roman" w:hAnsi="Times New Roman"/>
          <w:sz w:val="17"/>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8.5</w:t>
      </w:r>
      <w:r>
        <w:rPr>
          <w:rFonts w:ascii="Times New Roman" w:hAnsi="Times New Roman"/>
        </w:rPr>
        <w:t xml:space="preserve">                               </w:t>
      </w:r>
      <w:r>
        <w:rPr>
          <w:rFonts w:ascii="Times New Roman" w:hAnsi="Times New Roman"/>
          <w:sz w:val="17"/>
          <w:u w:val="single"/>
        </w:rPr>
        <w:t>Nature of Interest in the Company</w:t>
      </w:r>
      <w:r>
        <w:rPr>
          <w:rFonts w:ascii="Times New Roman" w:hAnsi="Times New Roman"/>
          <w:sz w:val="17"/>
        </w:rPr>
        <w:t>.  The Sole Members Membership Interest shall be personal property for all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8.6</w:t>
      </w:r>
      <w:r>
        <w:rPr>
          <w:rFonts w:ascii="Times New Roman" w:hAnsi="Times New Roman"/>
        </w:rPr>
        <w:t xml:space="preserve">                               </w:t>
      </w:r>
      <w:r>
        <w:rPr>
          <w:rFonts w:ascii="Times New Roman" w:hAnsi="Times New Roman"/>
          <w:sz w:val="17"/>
          <w:u w:val="single"/>
        </w:rPr>
        <w:t>Binding Agreement</w:t>
      </w:r>
      <w:r>
        <w:rPr>
          <w:rFonts w:ascii="Times New Roman" w:hAnsi="Times New Roman"/>
          <w:sz w:val="17"/>
        </w:rPr>
        <w:t>.  The provisions of this Agreement shall be binding upon, and inure to the benefit of, the parties hereto and their respective heirs, personal representatives, successors and permitted assigns.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105" w:name="15636-2-LE-05_PB_16_033900_3641"/>
      <w:bookmarkEnd w:id="10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8.7</w:t>
      </w:r>
      <w:r>
        <w:rPr>
          <w:rFonts w:ascii="Times New Roman" w:hAnsi="Times New Roman"/>
        </w:rPr>
        <w:t xml:space="preserve">                               </w:t>
      </w:r>
      <w:r>
        <w:rPr>
          <w:rFonts w:ascii="Times New Roman" w:hAnsi="Times New Roman"/>
          <w:sz w:val="17"/>
          <w:u w:val="single"/>
        </w:rPr>
        <w:t>Headings</w:t>
      </w:r>
      <w:r>
        <w:rPr>
          <w:rFonts w:ascii="Times New Roman" w:hAnsi="Times New Roman"/>
          <w:sz w:val="17"/>
        </w:rPr>
        <w:t>.  The headings of the sections of this Agreement are for convenience only and shall not be considered in construing or interpreting any of the terms or provisions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8.8</w:t>
      </w:r>
      <w:r>
        <w:rPr>
          <w:rFonts w:ascii="Times New Roman" w:hAnsi="Times New Roman"/>
        </w:rPr>
        <w:t xml:space="preserve">                               </w:t>
      </w:r>
      <w:r>
        <w:rPr>
          <w:rFonts w:ascii="Times New Roman" w:hAnsi="Times New Roman"/>
          <w:sz w:val="17"/>
          <w:u w:val="single"/>
        </w:rPr>
        <w:t>Word Meanings</w:t>
      </w:r>
      <w:r>
        <w:rPr>
          <w:rFonts w:ascii="Times New Roman" w:hAnsi="Times New Roman"/>
          <w:sz w:val="17"/>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8.9</w:t>
      </w:r>
      <w:r>
        <w:rPr>
          <w:rFonts w:ascii="Times New Roman" w:hAnsi="Times New Roman"/>
        </w:rPr>
        <w:t xml:space="preserve">                               </w:t>
      </w:r>
      <w:r>
        <w:rPr>
          <w:rFonts w:ascii="Times New Roman" w:hAnsi="Times New Roman"/>
          <w:sz w:val="17"/>
          <w:u w:val="single"/>
        </w:rPr>
        <w:t>Counterparts</w:t>
      </w:r>
      <w:r>
        <w:rPr>
          <w:rFonts w:ascii="Times New Roman" w:hAnsi="Times New Roman"/>
          <w:sz w:val="17"/>
        </w:rPr>
        <w:t>.  This Agreement may be executed in several counterparts, all of which together shall constitute one agreement binding on all parties hereto, notwithstanding that all the parties have not signed the same counterpart.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8.10</w:t>
      </w:r>
      <w:r>
        <w:rPr>
          <w:rFonts w:ascii="Times New Roman" w:hAnsi="Times New Roman"/>
        </w:rPr>
        <w:t xml:space="preserve">                        </w:t>
      </w:r>
      <w:r>
        <w:rPr>
          <w:rFonts w:ascii="Times New Roman" w:hAnsi="Times New Roman"/>
          <w:sz w:val="17"/>
          <w:u w:val="single"/>
        </w:rPr>
        <w:t>Entire Agreement</w:t>
      </w:r>
      <w:r>
        <w:rPr>
          <w:rFonts w:ascii="Times New Roman" w:hAnsi="Times New Roman"/>
          <w:sz w:val="17"/>
        </w:rPr>
        <w:t>.  This Agreement contains the entire agreement between the parties hereto and thereto and supersedes all prior writings or agreements with respect to the subject matter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8.11</w:t>
      </w:r>
      <w:r>
        <w:rPr>
          <w:rFonts w:ascii="Times New Roman" w:hAnsi="Times New Roman"/>
        </w:rPr>
        <w:t xml:space="preserve">                        </w:t>
      </w:r>
      <w:r>
        <w:rPr>
          <w:rFonts w:ascii="Times New Roman" w:hAnsi="Times New Roman"/>
          <w:sz w:val="17"/>
          <w:u w:val="single"/>
        </w:rPr>
        <w:t>Governing Law; Consent to Jurisdiction and Venue</w:t>
      </w:r>
      <w:r>
        <w:rPr>
          <w:rFonts w:ascii="Times New Roman" w:hAnsi="Times New Roman"/>
          <w:sz w:val="17"/>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the Sole Member may, at their option, enforce their rights hereunder in such courts.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106" w:name="15636-2-LE-05_PB_17_033908_5250"/>
      <w:bookmarkEnd w:id="10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Sole Member has caused this Agreement to be duly executed as of the date first written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408"/>
        <w:gridCol w:w="4695"/>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 its general partner</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95"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08" w:type="dxa"/>
            <w:tcBorders/>
            <w:shd w:fill="auto" w:val="clear"/>
          </w:tcPr>
          <w:p>
            <w:pPr>
              <w:pStyle w:val="TableContents"/>
              <w:spacing w:before="0" w:after="0"/>
              <w:ind w:left="0" w:right="0" w:hanging="0"/>
              <w:rPr/>
            </w:pPr>
            <w:r>
              <w:rPr/>
              <w:t> </w:t>
            </w:r>
          </w:p>
        </w:tc>
        <w:tc>
          <w:tcPr>
            <w:tcW w:w="46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02" w:type="dxa"/>
            <w:tcBorders/>
            <w:shd w:fill="auto" w:val="clear"/>
          </w:tcPr>
          <w:p>
            <w:pPr>
              <w:pStyle w:val="TableContents"/>
              <w:spacing w:before="0" w:after="0"/>
              <w:ind w:left="0" w:right="0" w:hanging="0"/>
              <w:rPr/>
            </w:pPr>
            <w:r>
              <w:rPr/>
              <w:t> </w:t>
            </w:r>
          </w:p>
        </w:tc>
        <w:tc>
          <w:tcPr>
            <w:tcW w:w="408" w:type="dxa"/>
            <w:tcBorders/>
            <w:shd w:fill="auto" w:val="clear"/>
          </w:tcPr>
          <w:p>
            <w:pPr>
              <w:pStyle w:val="TableContents"/>
              <w:spacing w:before="0" w:after="0"/>
              <w:ind w:left="0" w:right="0" w:hanging="0"/>
              <w:rPr/>
            </w:pPr>
            <w:r>
              <w:rPr/>
              <w:t> </w:t>
            </w:r>
          </w:p>
        </w:tc>
        <w:tc>
          <w:tcPr>
            <w:tcW w:w="46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Sixth Amended and Restated</w:t>
        <w:br/>
        <w:t>Limited Liability Company Agreement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SCHEDULE 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i/>
          <w:sz w:val="17"/>
        </w:rPr>
      </w:pPr>
      <w:r>
        <w:rPr>
          <w:rFonts w:ascii="Times New Roman" w:hAnsi="Times New Roman"/>
          <w:b/>
          <w:i/>
          <w:sz w:val="17"/>
        </w:rPr>
        <w:t>Directors</w:t>
      </w:r>
    </w:p>
    <w:p>
      <w:pPr>
        <w:pStyle w:val="TextBody"/>
        <w:spacing w:before="0" w:after="0"/>
        <w:ind w:left="0" w:right="0" w:hanging="0"/>
        <w:rPr/>
      </w:pPr>
      <w:r>
        <w:rPr/>
        <w:t> </w:t>
      </w:r>
    </w:p>
    <w:tbl>
      <w:tblPr>
        <w:tblW w:w="5000" w:type="pct"/>
        <w:jc w:val="left"/>
        <w:tblInd w:w="0" w:type="dxa"/>
        <w:shd w:fill="FFFFFF" w:val="clear"/>
        <w:tblCellMar>
          <w:top w:w="0" w:type="dxa"/>
          <w:left w:w="0" w:type="dxa"/>
          <w:bottom w:w="0" w:type="dxa"/>
          <w:right w:w="0" w:type="dxa"/>
        </w:tblCellMar>
      </w:tblPr>
      <w:tblGrid>
        <w:gridCol w:w="5669"/>
        <w:gridCol w:w="4536"/>
      </w:tblGrid>
      <w:tr>
        <w:trPr/>
        <w:tc>
          <w:tcPr>
            <w:tcW w:w="5669"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Designated Directors</w:t>
            </w:r>
          </w:p>
        </w:tc>
        <w:tc>
          <w:tcPr>
            <w:tcW w:w="4536"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John T. Raymond</w:t>
            </w:r>
          </w:p>
        </w:tc>
      </w:tr>
      <w:tr>
        <w:trPr/>
        <w:tc>
          <w:tcPr>
            <w:tcW w:w="5669" w:type="dxa"/>
            <w:tcBorders/>
            <w:shd w:fill="FFFFFF" w:val="clear"/>
          </w:tcPr>
          <w:p>
            <w:pPr>
              <w:pStyle w:val="TableContents"/>
              <w:spacing w:before="0" w:after="0"/>
              <w:ind w:left="0" w:right="0" w:hanging="0"/>
              <w:rPr/>
            </w:pPr>
            <w:r>
              <w:rPr/>
              <w:t> </w:t>
            </w:r>
          </w:p>
        </w:tc>
        <w:tc>
          <w:tcPr>
            <w:tcW w:w="4536"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Robert V. Sinnott</w:t>
            </w:r>
          </w:p>
        </w:tc>
      </w:tr>
      <w:tr>
        <w:trPr/>
        <w:tc>
          <w:tcPr>
            <w:tcW w:w="5669" w:type="dxa"/>
            <w:tcBorders/>
            <w:shd w:fill="FFFFFF" w:val="clear"/>
          </w:tcPr>
          <w:p>
            <w:pPr>
              <w:pStyle w:val="TableContents"/>
              <w:spacing w:before="0" w:after="0"/>
              <w:ind w:left="0" w:right="0" w:hanging="0"/>
              <w:rPr/>
            </w:pPr>
            <w:r>
              <w:rPr/>
              <w:t> </w:t>
            </w:r>
          </w:p>
        </w:tc>
        <w:tc>
          <w:tcPr>
            <w:tcW w:w="4536"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Vicky Sutil</w:t>
            </w:r>
          </w:p>
        </w:tc>
      </w:tr>
      <w:tr>
        <w:trPr/>
        <w:tc>
          <w:tcPr>
            <w:tcW w:w="5669" w:type="dxa"/>
            <w:tcBorders/>
            <w:shd w:fill="FFFFFF" w:val="clear"/>
          </w:tcPr>
          <w:p>
            <w:pPr>
              <w:pStyle w:val="TableContents"/>
              <w:spacing w:before="0" w:after="0"/>
              <w:ind w:left="0" w:right="0" w:hanging="0"/>
              <w:rPr/>
            </w:pPr>
            <w:r>
              <w:rPr/>
              <w:t> </w:t>
            </w:r>
          </w:p>
        </w:tc>
        <w:tc>
          <w:tcPr>
            <w:tcW w:w="4536" w:type="dxa"/>
            <w:tcBorders/>
            <w:shd w:fill="FFFFFF" w:val="clear"/>
          </w:tcPr>
          <w:p>
            <w:pPr>
              <w:pStyle w:val="TableContents"/>
              <w:spacing w:before="0" w:after="0"/>
              <w:ind w:left="0" w:right="0" w:hanging="0"/>
              <w:rPr/>
            </w:pPr>
            <w:r>
              <w:rPr/>
              <w:t> </w:t>
            </w:r>
          </w:p>
        </w:tc>
      </w:tr>
      <w:tr>
        <w:trPr/>
        <w:tc>
          <w:tcPr>
            <w:tcW w:w="5669"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4536"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669" w:type="dxa"/>
            <w:tcBorders/>
            <w:shd w:fill="FFFFFF" w:val="clear"/>
          </w:tcPr>
          <w:p>
            <w:pPr>
              <w:pStyle w:val="TableContents"/>
              <w:spacing w:before="0" w:after="0"/>
              <w:ind w:left="0" w:right="0" w:hanging="0"/>
              <w:rPr/>
            </w:pPr>
            <w:r>
              <w:rPr/>
              <w:t> </w:t>
            </w:r>
          </w:p>
        </w:tc>
        <w:tc>
          <w:tcPr>
            <w:tcW w:w="4536" w:type="dxa"/>
            <w:tcBorders/>
            <w:shd w:fill="FFFFFF" w:val="clear"/>
          </w:tcPr>
          <w:p>
            <w:pPr>
              <w:pStyle w:val="TableContents"/>
              <w:spacing w:before="0" w:after="0"/>
              <w:ind w:left="0" w:right="0" w:hanging="0"/>
              <w:rPr/>
            </w:pPr>
            <w:r>
              <w:rPr/>
              <w:t> </w:t>
            </w:r>
          </w:p>
        </w:tc>
      </w:tr>
      <w:tr>
        <w:trPr/>
        <w:tc>
          <w:tcPr>
            <w:tcW w:w="5669"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Directors elected by Sole Member</w:t>
            </w:r>
          </w:p>
        </w:tc>
        <w:tc>
          <w:tcPr>
            <w:tcW w:w="4536"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Everardo Goyanes*</w:t>
            </w:r>
          </w:p>
        </w:tc>
      </w:tr>
      <w:tr>
        <w:trPr/>
        <w:tc>
          <w:tcPr>
            <w:tcW w:w="5669" w:type="dxa"/>
            <w:tcBorders/>
            <w:shd w:fill="FFFFFF" w:val="clear"/>
          </w:tcPr>
          <w:p>
            <w:pPr>
              <w:pStyle w:val="TableContents"/>
              <w:spacing w:before="0" w:after="0"/>
              <w:ind w:left="0" w:right="0" w:hanging="0"/>
              <w:rPr/>
            </w:pPr>
            <w:r>
              <w:rPr/>
              <w:t> </w:t>
            </w:r>
          </w:p>
        </w:tc>
        <w:tc>
          <w:tcPr>
            <w:tcW w:w="4536"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Gary R. Petersen*</w:t>
            </w:r>
          </w:p>
        </w:tc>
      </w:tr>
      <w:tr>
        <w:trPr/>
        <w:tc>
          <w:tcPr>
            <w:tcW w:w="5669" w:type="dxa"/>
            <w:tcBorders/>
            <w:shd w:fill="FFFFFF" w:val="clear"/>
          </w:tcPr>
          <w:p>
            <w:pPr>
              <w:pStyle w:val="TableContents"/>
              <w:spacing w:before="0" w:after="0"/>
              <w:ind w:left="0" w:right="0" w:hanging="0"/>
              <w:rPr/>
            </w:pPr>
            <w:r>
              <w:rPr/>
              <w:t> </w:t>
            </w:r>
          </w:p>
        </w:tc>
        <w:tc>
          <w:tcPr>
            <w:tcW w:w="4536"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J. Taft Symonds*</w:t>
            </w:r>
          </w:p>
        </w:tc>
      </w:tr>
      <w:tr>
        <w:trPr/>
        <w:tc>
          <w:tcPr>
            <w:tcW w:w="5669" w:type="dxa"/>
            <w:tcBorders/>
            <w:shd w:fill="FFFFFF" w:val="clear"/>
          </w:tcPr>
          <w:p>
            <w:pPr>
              <w:pStyle w:val="TableContents"/>
              <w:spacing w:before="0" w:after="0"/>
              <w:ind w:left="0" w:right="0" w:hanging="0"/>
              <w:rPr/>
            </w:pPr>
            <w:r>
              <w:rPr/>
              <w:t> </w:t>
            </w:r>
          </w:p>
        </w:tc>
        <w:tc>
          <w:tcPr>
            <w:tcW w:w="4536" w:type="dxa"/>
            <w:tcBorders/>
            <w:shd w:fill="FFFFFF" w:val="clear"/>
          </w:tcPr>
          <w:p>
            <w:pPr>
              <w:pStyle w:val="TableContents"/>
              <w:spacing w:before="0" w:after="0"/>
              <w:ind w:left="0" w:right="0" w:hanging="0"/>
              <w:rPr>
                <w:rFonts w:ascii="Times New Roman" w:hAnsi="Times New Roman"/>
                <w:sz w:val="17"/>
              </w:rPr>
            </w:pPr>
            <w:r>
              <w:rPr>
                <w:rFonts w:ascii="Times New Roman" w:hAnsi="Times New Roman"/>
                <w:sz w:val="17"/>
              </w:rPr>
              <w:t>Christopher M. Temple*</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Independent Director</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107" w:name="a2216857zex-3_8.htm"/>
      <w:bookmarkStart w:id="108" w:name="ksa2216857zex3_8"/>
      <w:bookmarkStart w:id="109" w:name="a2216857zex-3_8.htm"/>
      <w:bookmarkStart w:id="110" w:name="ksa2216857zex3_8"/>
      <w:bookmarkEnd w:id="109"/>
      <w:bookmarkEnd w:id="110"/>
    </w:p>
    <w:p>
      <w:pPr>
        <w:pStyle w:val="TextBody"/>
        <w:spacing w:before="0" w:after="0"/>
        <w:ind w:left="0" w:right="0" w:hanging="0"/>
        <w:jc w:val="right"/>
        <w:rPr>
          <w:rFonts w:ascii="Times New Roman" w:hAnsi="Times New Roman"/>
          <w:b/>
          <w:sz w:val="17"/>
        </w:rPr>
      </w:pPr>
      <w:r>
        <w:rPr>
          <w:rFonts w:ascii="Times New Roman" w:hAnsi="Times New Roman"/>
          <w:b/>
          <w:sz w:val="17"/>
        </w:rPr>
        <w:t>Exhibit 3.8</w:t>
      </w:r>
    </w:p>
    <w:tbl>
      <w:tblPr>
        <w:tblW w:w="5000" w:type="pct"/>
        <w:jc w:val="left"/>
        <w:tblInd w:w="0" w:type="dxa"/>
        <w:tblCellMar>
          <w:top w:w="0" w:type="dxa"/>
          <w:left w:w="0" w:type="dxa"/>
          <w:bottom w:w="28" w:type="dxa"/>
          <w:right w:w="0" w:type="dxa"/>
        </w:tblCellMar>
      </w:tblPr>
      <w:tblGrid>
        <w:gridCol w:w="5376"/>
        <w:gridCol w:w="4829"/>
      </w:tblGrid>
      <w:tr>
        <w:trPr/>
        <w:tc>
          <w:tcPr>
            <w:tcW w:w="5376" w:type="dxa"/>
            <w:tcBorders>
              <w:bottom w:val="single" w:sz="8" w:space="0" w:color="000000"/>
            </w:tcBorders>
            <w:shd w:fill="auto" w:val="clear"/>
          </w:tcPr>
          <w:p>
            <w:pPr>
              <w:pStyle w:val="TableContents"/>
              <w:spacing w:before="0" w:after="0"/>
              <w:ind w:left="0" w:right="0" w:hanging="0"/>
              <w:rPr/>
            </w:pPr>
            <w:r>
              <w:rPr/>
              <w:t> </w:t>
            </w:r>
          </w:p>
        </w:tc>
        <w:tc>
          <w:tcPr>
            <w:tcW w:w="4829" w:type="dxa"/>
            <w:tcBorders>
              <w:bottom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 Delaware Limited Partnership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SEVENTH AMENDED AND RESTATED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LIMITED PARTNERSHIP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sz w:val="17"/>
        </w:rPr>
        <w:t>[</w:t>
      </w:r>
      <w:r>
        <w:rPr>
          <w:rFonts w:ascii="Symbol" w:hAnsi="Symbol"/>
          <w:sz w:val="17"/>
        </w:rPr>
        <w:t>·</w:t>
      </w:r>
      <w:r>
        <w:rPr>
          <w:rFonts w:ascii="Times New Roman" w:hAnsi="Times New Roman"/>
          <w:sz w:val="17"/>
        </w:rPr>
        <w:t>], 2013</w:t>
      </w:r>
    </w:p>
    <w:tbl>
      <w:tblPr>
        <w:tblW w:w="5000" w:type="pct"/>
        <w:jc w:val="left"/>
        <w:tblInd w:w="0" w:type="dxa"/>
        <w:tblCellMar>
          <w:top w:w="0" w:type="dxa"/>
          <w:left w:w="0" w:type="dxa"/>
          <w:bottom w:w="28" w:type="dxa"/>
          <w:right w:w="0" w:type="dxa"/>
        </w:tblCellMar>
      </w:tblPr>
      <w:tblGrid>
        <w:gridCol w:w="5376"/>
        <w:gridCol w:w="4829"/>
      </w:tblGrid>
      <w:tr>
        <w:trPr/>
        <w:tc>
          <w:tcPr>
            <w:tcW w:w="5376" w:type="dxa"/>
            <w:tcBorders>
              <w:bottom w:val="single" w:sz="8" w:space="0" w:color="000000"/>
            </w:tcBorders>
            <w:shd w:fill="auto" w:val="clear"/>
          </w:tcPr>
          <w:p>
            <w:pPr>
              <w:pStyle w:val="TableContents"/>
              <w:spacing w:before="0" w:after="0"/>
              <w:ind w:left="0" w:right="0" w:hanging="0"/>
              <w:rPr/>
            </w:pPr>
            <w:r>
              <w:rPr/>
              <w:t> </w:t>
            </w:r>
          </w:p>
        </w:tc>
        <w:tc>
          <w:tcPr>
            <w:tcW w:w="4829" w:type="dxa"/>
            <w:tcBorders>
              <w:bottom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5"/>
        <w:gridCol w:w="841"/>
        <w:gridCol w:w="7997"/>
        <w:gridCol w:w="842"/>
      </w:tblGrid>
      <w:tr>
        <w:trPr/>
        <w:tc>
          <w:tcPr>
            <w:tcW w:w="525" w:type="dxa"/>
            <w:tcBorders/>
            <w:shd w:fill="auto" w:val="clear"/>
            <w:vAlign w:val="bottom"/>
          </w:tcPr>
          <w:p>
            <w:pPr>
              <w:pStyle w:val="TableContents"/>
              <w:spacing w:before="0" w:after="0"/>
              <w:ind w:left="0" w:right="0" w:hanging="0"/>
              <w:rPr/>
            </w:pPr>
            <w:r>
              <w:rPr/>
              <w:t> </w:t>
            </w:r>
          </w:p>
        </w:tc>
        <w:tc>
          <w:tcPr>
            <w:tcW w:w="841" w:type="dxa"/>
            <w:tcBorders/>
            <w:shd w:fill="auto" w:val="clear"/>
            <w:vAlign w:val="bottom"/>
          </w:tcPr>
          <w:p>
            <w:pPr>
              <w:pStyle w:val="TableContents"/>
              <w:spacing w:before="0" w:after="0"/>
              <w:ind w:left="0" w:right="0" w:hanging="0"/>
              <w:rPr/>
            </w:pPr>
            <w:r>
              <w:rPr/>
              <w:t> </w:t>
            </w:r>
          </w:p>
        </w:tc>
        <w:tc>
          <w:tcPr>
            <w:tcW w:w="7997" w:type="dxa"/>
            <w:tcBorders/>
            <w:shd w:fill="auto" w:val="clear"/>
            <w:vAlign w:val="bottom"/>
          </w:tcPr>
          <w:p>
            <w:pPr>
              <w:pStyle w:val="TableContents"/>
              <w:spacing w:before="0" w:after="0"/>
              <w:ind w:left="0" w:right="0" w:hanging="0"/>
              <w:jc w:val="center"/>
              <w:rPr/>
            </w:pPr>
            <w:r>
              <w:rPr/>
              <w:t> </w:t>
            </w:r>
          </w:p>
        </w:tc>
        <w:tc>
          <w:tcPr>
            <w:tcW w:w="84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1366" w:type="dxa"/>
            <w:gridSpan w:val="2"/>
            <w:tcBorders/>
            <w:shd w:fill="auto" w:val="clear"/>
          </w:tcPr>
          <w:p>
            <w:pPr>
              <w:pStyle w:val="TableContents"/>
              <w:spacing w:before="0" w:after="0"/>
              <w:ind w:left="0" w:right="0" w:hanging="0"/>
              <w:rPr/>
            </w:pPr>
            <w:r>
              <w:rPr/>
              <w:t> </w:t>
            </w:r>
          </w:p>
        </w:tc>
        <w:tc>
          <w:tcPr>
            <w:tcW w:w="7997" w:type="dxa"/>
            <w:tcBorders/>
            <w:shd w:fill="auto" w:val="clear"/>
          </w:tcPr>
          <w:p>
            <w:pPr>
              <w:pStyle w:val="TableContents"/>
              <w:spacing w:before="0" w:after="0"/>
              <w:ind w:left="0" w:right="0" w:hanging="0"/>
              <w:rPr/>
            </w:pPr>
            <w:r>
              <w:rPr/>
              <w:t> </w:t>
            </w:r>
          </w:p>
        </w:tc>
        <w:tc>
          <w:tcPr>
            <w:tcW w:w="842" w:type="dxa"/>
            <w:tcBorders/>
            <w:shd w:fill="auto" w:val="clear"/>
            <w:vAlign w:val="bottom"/>
          </w:tcPr>
          <w:p>
            <w:pPr>
              <w:pStyle w:val="TableContents"/>
              <w:spacing w:before="0" w:after="0"/>
              <w:ind w:left="0" w:right="0" w:hanging="0"/>
              <w:jc w:val="right"/>
              <w:rPr/>
            </w:pPr>
            <w:r>
              <w:rPr/>
              <w:t> </w:t>
            </w:r>
          </w:p>
        </w:tc>
      </w:tr>
      <w:tr>
        <w:trPr/>
        <w:tc>
          <w:tcPr>
            <w:tcW w:w="13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DEFINITIONS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1366" w:type="dxa"/>
            <w:gridSpan w:val="2"/>
            <w:tcBorders/>
            <w:shd w:fill="auto" w:val="clear"/>
          </w:tcPr>
          <w:p>
            <w:pPr>
              <w:pStyle w:val="TableContents"/>
              <w:spacing w:before="0" w:after="0"/>
              <w:ind w:left="0" w:right="0" w:hanging="0"/>
              <w:rPr/>
            </w:pPr>
            <w:r>
              <w:rPr/>
              <w:t> </w:t>
            </w:r>
          </w:p>
        </w:tc>
        <w:tc>
          <w:tcPr>
            <w:tcW w:w="7997" w:type="dxa"/>
            <w:tcBorders/>
            <w:shd w:fill="auto" w:val="clear"/>
          </w:tcPr>
          <w:p>
            <w:pPr>
              <w:pStyle w:val="TableContents"/>
              <w:spacing w:before="0" w:after="0"/>
              <w:ind w:left="0" w:right="0" w:hanging="0"/>
              <w:rPr/>
            </w:pPr>
            <w:r>
              <w:rPr/>
              <w:t> </w:t>
            </w:r>
          </w:p>
        </w:tc>
        <w:tc>
          <w:tcPr>
            <w:tcW w:w="842" w:type="dxa"/>
            <w:tcBorders/>
            <w:shd w:fill="auto" w:val="clear"/>
            <w:vAlign w:val="bottom"/>
          </w:tcPr>
          <w:p>
            <w:pPr>
              <w:pStyle w:val="TableContents"/>
              <w:spacing w:before="0" w:after="0"/>
              <w:ind w:left="0" w:right="0" w:hanging="0"/>
              <w:jc w:val="right"/>
              <w:rPr/>
            </w:pPr>
            <w:r>
              <w:rPr/>
              <w:t> </w:t>
            </w:r>
          </w:p>
        </w:tc>
      </w:tr>
      <w:tr>
        <w:trPr/>
        <w:tc>
          <w:tcPr>
            <w:tcW w:w="13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II</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ORGANIZATION</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Formation of Limited Partnership</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2.2</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of Partnership</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Office; Registered Office</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 of Partnership</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Purpose of Partnership</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2.6</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Actions by Partnership</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Reliance by Third Parties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pPr>
            <w:r>
              <w:rPr/>
              <w:t> </w:t>
            </w:r>
          </w:p>
        </w:tc>
        <w:tc>
          <w:tcPr>
            <w:tcW w:w="7997" w:type="dxa"/>
            <w:tcBorders/>
            <w:shd w:fill="auto" w:val="clear"/>
          </w:tcPr>
          <w:p>
            <w:pPr>
              <w:pStyle w:val="TableContents"/>
              <w:spacing w:before="0" w:after="0"/>
              <w:ind w:left="0" w:right="0" w:hanging="0"/>
              <w:rPr/>
            </w:pPr>
            <w:r>
              <w:rPr/>
              <w:t> </w:t>
            </w:r>
          </w:p>
        </w:tc>
        <w:tc>
          <w:tcPr>
            <w:tcW w:w="842" w:type="dxa"/>
            <w:tcBorders/>
            <w:shd w:fill="auto" w:val="clear"/>
            <w:vAlign w:val="bottom"/>
          </w:tcPr>
          <w:p>
            <w:pPr>
              <w:pStyle w:val="TableContents"/>
              <w:spacing w:before="0" w:after="0"/>
              <w:ind w:left="0" w:right="0" w:hanging="0"/>
              <w:jc w:val="right"/>
              <w:rPr/>
            </w:pPr>
            <w:r>
              <w:rPr/>
              <w:t> </w:t>
            </w:r>
          </w:p>
        </w:tc>
      </w:tr>
      <w:tr>
        <w:trPr/>
        <w:tc>
          <w:tcPr>
            <w:tcW w:w="13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III</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 Contributions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Additional Capital Contributions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Loans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of Capital Accounts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 Withdrawal Rights, Interest and Priority</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Partners Profits Interests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Interest</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Splits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pPr>
            <w:r>
              <w:rPr/>
              <w:t> </w:t>
            </w:r>
          </w:p>
        </w:tc>
        <w:tc>
          <w:tcPr>
            <w:tcW w:w="7997" w:type="dxa"/>
            <w:tcBorders/>
            <w:shd w:fill="auto" w:val="clear"/>
          </w:tcPr>
          <w:p>
            <w:pPr>
              <w:pStyle w:val="TableContents"/>
              <w:spacing w:before="0" w:after="0"/>
              <w:ind w:left="0" w:right="0" w:hanging="0"/>
              <w:rPr/>
            </w:pPr>
            <w:r>
              <w:rPr/>
              <w:t> </w:t>
            </w:r>
          </w:p>
        </w:tc>
        <w:tc>
          <w:tcPr>
            <w:tcW w:w="842" w:type="dxa"/>
            <w:tcBorders/>
            <w:shd w:fill="auto" w:val="clear"/>
            <w:vAlign w:val="bottom"/>
          </w:tcPr>
          <w:p>
            <w:pPr>
              <w:pStyle w:val="TableContents"/>
              <w:spacing w:before="0" w:after="0"/>
              <w:ind w:left="0" w:right="0" w:hanging="0"/>
              <w:jc w:val="right"/>
              <w:rPr/>
            </w:pPr>
            <w:r>
              <w:rPr/>
              <w:t> </w:t>
            </w:r>
          </w:p>
        </w:tc>
      </w:tr>
      <w:tr>
        <w:trPr/>
        <w:tc>
          <w:tcPr>
            <w:tcW w:w="13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IV</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of Available Cash</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Persons Entitled to Distributions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Limitations on Distributions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pPr>
            <w:r>
              <w:rPr/>
              <w:t> </w:t>
            </w:r>
          </w:p>
        </w:tc>
        <w:tc>
          <w:tcPr>
            <w:tcW w:w="7997" w:type="dxa"/>
            <w:tcBorders/>
            <w:shd w:fill="auto" w:val="clear"/>
          </w:tcPr>
          <w:p>
            <w:pPr>
              <w:pStyle w:val="TableContents"/>
              <w:spacing w:before="0" w:after="0"/>
              <w:ind w:left="0" w:right="0" w:hanging="0"/>
              <w:rPr/>
            </w:pPr>
            <w:r>
              <w:rPr/>
              <w:t> </w:t>
            </w:r>
          </w:p>
        </w:tc>
        <w:tc>
          <w:tcPr>
            <w:tcW w:w="842" w:type="dxa"/>
            <w:tcBorders/>
            <w:shd w:fill="auto" w:val="clear"/>
            <w:vAlign w:val="bottom"/>
          </w:tcPr>
          <w:p>
            <w:pPr>
              <w:pStyle w:val="TableContents"/>
              <w:spacing w:before="0" w:after="0"/>
              <w:ind w:left="0" w:right="0" w:hanging="0"/>
              <w:jc w:val="right"/>
              <w:rPr/>
            </w:pPr>
            <w:r>
              <w:rPr/>
              <w:t> </w:t>
            </w:r>
          </w:p>
        </w:tc>
      </w:tr>
      <w:tr>
        <w:trPr/>
        <w:tc>
          <w:tcPr>
            <w:tcW w:w="13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ALLOCATIONS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Profits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Losses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Special Allocation to Class B Partners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Regulatory Allocations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5.5</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Allocations: Code Section 704(c)</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Change in Partnership Interest</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5.7</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Withholding</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pPr>
            <w:r>
              <w:rPr/>
              <w:t> </w:t>
            </w:r>
          </w:p>
        </w:tc>
        <w:tc>
          <w:tcPr>
            <w:tcW w:w="7997" w:type="dxa"/>
            <w:tcBorders/>
            <w:shd w:fill="auto" w:val="clear"/>
          </w:tcPr>
          <w:p>
            <w:pPr>
              <w:pStyle w:val="TableContents"/>
              <w:spacing w:before="0" w:after="0"/>
              <w:ind w:left="0" w:right="0" w:hanging="0"/>
              <w:rPr/>
            </w:pPr>
            <w:r>
              <w:rPr/>
              <w:t> </w:t>
            </w:r>
          </w:p>
        </w:tc>
        <w:tc>
          <w:tcPr>
            <w:tcW w:w="842" w:type="dxa"/>
            <w:tcBorders/>
            <w:shd w:fill="auto" w:val="clear"/>
            <w:vAlign w:val="bottom"/>
          </w:tcPr>
          <w:p>
            <w:pPr>
              <w:pStyle w:val="TableContents"/>
              <w:spacing w:before="0" w:after="0"/>
              <w:ind w:left="0" w:right="0" w:hanging="0"/>
              <w:jc w:val="right"/>
              <w:rPr/>
            </w:pPr>
            <w:r>
              <w:rPr/>
              <w:t> </w:t>
            </w:r>
          </w:p>
        </w:tc>
      </w:tr>
      <w:tr>
        <w:trPr/>
        <w:tc>
          <w:tcPr>
            <w:tcW w:w="1366"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MANAGEMENT</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6.1</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Duties and Powers of the General Partner</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 of Liability</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6.3</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Indemnification</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6.4</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Rights of Limited Partners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6.5</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Partners</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r>
      <w:tr>
        <w:trPr/>
        <w:tc>
          <w:tcPr>
            <w:tcW w:w="525" w:type="dxa"/>
            <w:tcBorders/>
            <w:shd w:fill="auto" w:val="clear"/>
          </w:tcPr>
          <w:p>
            <w:pPr>
              <w:pStyle w:val="TableContents"/>
              <w:spacing w:before="0" w:after="0"/>
              <w:ind w:left="0" w:right="0" w:hanging="0"/>
              <w:rPr/>
            </w:pPr>
            <w:r>
              <w:rPr/>
              <w:t> </w:t>
            </w:r>
          </w:p>
        </w:tc>
        <w:tc>
          <w:tcPr>
            <w:tcW w:w="8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6.6</w:t>
            </w:r>
          </w:p>
        </w:tc>
        <w:tc>
          <w:tcPr>
            <w:tcW w:w="79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Actions Requiring Consent of Oxy</w:t>
            </w:r>
          </w:p>
        </w:tc>
        <w:tc>
          <w:tcPr>
            <w:tcW w:w="8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bookmarkStart w:id="111" w:name="15636-2-LG-01_PB_i_040111_5335"/>
      <w:bookmarkEnd w:id="1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2"/>
        <w:gridCol w:w="948"/>
        <w:gridCol w:w="7897"/>
        <w:gridCol w:w="838"/>
      </w:tblGrid>
      <w:tr>
        <w:trPr/>
        <w:tc>
          <w:tcPr>
            <w:tcW w:w="147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VII</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TRANSFERS OF PARTNERSHIP INTERESTS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Transfer of Limited Partnership Interests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7.2</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Permitted Transferees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7.3</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Substitute Limited Partners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7.4</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Admission as a Substitute Limited Partner</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7.5</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Consent</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7.6</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Dissolution</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7.7</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Additional Limited Partners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7.8</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Right of First Refusal</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7.9</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Exchange of Class A Units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7.10</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Conversion of Class B Units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pPr>
            <w:r>
              <w:rPr/>
              <w:t> </w:t>
            </w:r>
          </w:p>
        </w:tc>
        <w:tc>
          <w:tcPr>
            <w:tcW w:w="7897" w:type="dxa"/>
            <w:tcBorders/>
            <w:shd w:fill="auto" w:val="clear"/>
          </w:tcPr>
          <w:p>
            <w:pPr>
              <w:pStyle w:val="TableContents"/>
              <w:spacing w:before="0" w:after="0"/>
              <w:ind w:left="0" w:right="0" w:hanging="0"/>
              <w:rPr/>
            </w:pPr>
            <w:r>
              <w:rPr/>
              <w:t> </w:t>
            </w:r>
          </w:p>
        </w:tc>
        <w:tc>
          <w:tcPr>
            <w:tcW w:w="838" w:type="dxa"/>
            <w:tcBorders/>
            <w:shd w:fill="auto" w:val="clear"/>
            <w:vAlign w:val="bottom"/>
          </w:tcPr>
          <w:p>
            <w:pPr>
              <w:pStyle w:val="TableContents"/>
              <w:spacing w:before="0" w:after="0"/>
              <w:ind w:left="0" w:right="0" w:hanging="0"/>
              <w:jc w:val="right"/>
              <w:rPr/>
            </w:pPr>
            <w:r>
              <w:rPr/>
              <w:t> </w:t>
            </w:r>
          </w:p>
        </w:tc>
      </w:tr>
      <w:tr>
        <w:trPr/>
        <w:tc>
          <w:tcPr>
            <w:tcW w:w="147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VIII</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DISSOLUTION AND LIQUIDATION</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Dissolution of Partnership</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8.2</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Final Accounting</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8.3</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Following Dissolution and Termination</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8.4</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 of the Partnership</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Action for Dissolution</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pPr>
            <w:r>
              <w:rPr/>
              <w:t> </w:t>
            </w:r>
          </w:p>
        </w:tc>
        <w:tc>
          <w:tcPr>
            <w:tcW w:w="7897" w:type="dxa"/>
            <w:tcBorders/>
            <w:shd w:fill="auto" w:val="clear"/>
          </w:tcPr>
          <w:p>
            <w:pPr>
              <w:pStyle w:val="TableContents"/>
              <w:spacing w:before="0" w:after="0"/>
              <w:ind w:left="0" w:right="0" w:hanging="0"/>
              <w:rPr/>
            </w:pPr>
            <w:r>
              <w:rPr/>
              <w:t> </w:t>
            </w:r>
          </w:p>
        </w:tc>
        <w:tc>
          <w:tcPr>
            <w:tcW w:w="838" w:type="dxa"/>
            <w:tcBorders/>
            <w:shd w:fill="auto" w:val="clear"/>
            <w:vAlign w:val="bottom"/>
          </w:tcPr>
          <w:p>
            <w:pPr>
              <w:pStyle w:val="TableContents"/>
              <w:spacing w:before="0" w:after="0"/>
              <w:ind w:left="0" w:right="0" w:hanging="0"/>
              <w:jc w:val="right"/>
              <w:rPr/>
            </w:pPr>
            <w:r>
              <w:rPr/>
              <w:t> </w:t>
            </w:r>
          </w:p>
        </w:tc>
      </w:tr>
      <w:tr>
        <w:trPr/>
        <w:tc>
          <w:tcPr>
            <w:tcW w:w="147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IX</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ACCOUNTING; BOOKS AND RECORDS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Fiscal Year and Accounting Method</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Books and Records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9.3</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Delivery to Partners; Inspection</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9.4</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Statements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9.5</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Filings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9.6</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Non-Disclosure</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9.7</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Elections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pPr>
            <w:r>
              <w:rPr/>
              <w:t> </w:t>
            </w:r>
          </w:p>
        </w:tc>
        <w:tc>
          <w:tcPr>
            <w:tcW w:w="7897" w:type="dxa"/>
            <w:tcBorders/>
            <w:shd w:fill="auto" w:val="clear"/>
          </w:tcPr>
          <w:p>
            <w:pPr>
              <w:pStyle w:val="TableContents"/>
              <w:spacing w:before="0" w:after="0"/>
              <w:ind w:left="0" w:right="0" w:hanging="0"/>
              <w:rPr/>
            </w:pPr>
            <w:r>
              <w:rPr/>
              <w:t> </w:t>
            </w:r>
          </w:p>
        </w:tc>
        <w:tc>
          <w:tcPr>
            <w:tcW w:w="838" w:type="dxa"/>
            <w:tcBorders/>
            <w:shd w:fill="auto" w:val="clear"/>
            <w:vAlign w:val="bottom"/>
          </w:tcPr>
          <w:p>
            <w:pPr>
              <w:pStyle w:val="TableContents"/>
              <w:spacing w:before="0" w:after="0"/>
              <w:ind w:left="0" w:right="0" w:hanging="0"/>
              <w:jc w:val="right"/>
              <w:rPr/>
            </w:pPr>
            <w:r>
              <w:rPr/>
              <w:t> </w:t>
            </w:r>
          </w:p>
        </w:tc>
      </w:tr>
      <w:tr>
        <w:trPr/>
        <w:tc>
          <w:tcPr>
            <w:tcW w:w="147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X</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NON-COMPETITION</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Non-Competition</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Damages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10.3</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pPr>
            <w:r>
              <w:rPr/>
              <w:t> </w:t>
            </w:r>
          </w:p>
        </w:tc>
        <w:tc>
          <w:tcPr>
            <w:tcW w:w="7897" w:type="dxa"/>
            <w:tcBorders/>
            <w:shd w:fill="auto" w:val="clear"/>
          </w:tcPr>
          <w:p>
            <w:pPr>
              <w:pStyle w:val="TableContents"/>
              <w:spacing w:before="0" w:after="0"/>
              <w:ind w:left="0" w:right="0" w:hanging="0"/>
              <w:rPr/>
            </w:pPr>
            <w:r>
              <w:rPr/>
              <w:t> </w:t>
            </w:r>
          </w:p>
        </w:tc>
        <w:tc>
          <w:tcPr>
            <w:tcW w:w="838" w:type="dxa"/>
            <w:tcBorders/>
            <w:shd w:fill="auto" w:val="clear"/>
            <w:vAlign w:val="bottom"/>
          </w:tcPr>
          <w:p>
            <w:pPr>
              <w:pStyle w:val="TableContents"/>
              <w:spacing w:before="0" w:after="0"/>
              <w:ind w:left="0" w:right="0" w:hanging="0"/>
              <w:jc w:val="right"/>
              <w:rPr/>
            </w:pPr>
            <w:r>
              <w:rPr/>
              <w:t> </w:t>
            </w:r>
          </w:p>
        </w:tc>
      </w:tr>
      <w:tr>
        <w:trPr/>
        <w:tc>
          <w:tcPr>
            <w:tcW w:w="147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XI</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PROVISIONS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of Default</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11.2</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of Partnership Agreement</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11.3</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Third Party Rights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11.4</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Severability</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11.5</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Nature of Interest in the Partnership</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11.6</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Binding Agreement</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11.7</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Headings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11.8</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Word Meanings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11.9</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Counterparts</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11.10</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Entire Agreement</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11.11</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Partition</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522" w:type="dxa"/>
            <w:tcBorders/>
            <w:shd w:fill="auto" w:val="clear"/>
          </w:tcPr>
          <w:p>
            <w:pPr>
              <w:pStyle w:val="TableContents"/>
              <w:spacing w:before="0" w:after="0"/>
              <w:ind w:left="0" w:right="0" w:hanging="0"/>
              <w:rPr/>
            </w:pPr>
            <w:r>
              <w:rPr/>
              <w:t> </w:t>
            </w:r>
          </w:p>
        </w:tc>
        <w:tc>
          <w:tcPr>
            <w:tcW w:w="9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11.12</w:t>
            </w:r>
          </w:p>
        </w:tc>
        <w:tc>
          <w:tcPr>
            <w:tcW w:w="789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Governing Law; Consent to Jurisdiction and Venue</w:t>
            </w:r>
          </w:p>
        </w:tc>
        <w:tc>
          <w:tcPr>
            <w:tcW w:w="83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bookmarkStart w:id="112" w:name="15636-2-LG-01_PB_ii_033841_5335"/>
      <w:bookmarkEnd w:id="11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SEVENTH AMENDED AND RESTATED</w:t>
      </w:r>
    </w:p>
    <w:p>
      <w:pPr>
        <w:pStyle w:val="TextBody"/>
        <w:spacing w:before="0" w:after="0"/>
        <w:ind w:left="0" w:right="0" w:hanging="0"/>
        <w:jc w:val="center"/>
        <w:rPr>
          <w:rFonts w:ascii="Times New Roman" w:hAnsi="Times New Roman"/>
          <w:b/>
          <w:sz w:val="17"/>
        </w:rPr>
      </w:pPr>
      <w:r>
        <w:rPr>
          <w:rFonts w:ascii="Times New Roman" w:hAnsi="Times New Roman"/>
          <w:b/>
          <w:sz w:val="17"/>
        </w:rPr>
        <w:t>LIMITED PARTNERSHIP AGREEMENT</w:t>
        <w:br/>
        <w:t>OF</w:t>
        <w:br/>
        <w:t>PLAINS AAP,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THIS SEVENTH AMENDED AND RESTATED LIMITED PARTNERSHIP AGREEMENT (this </w:t>
      </w:r>
      <w:r>
        <w:rPr>
          <w:rFonts w:ascii="Times New Roman" w:hAnsi="Times New Roman"/>
          <w:b/>
          <w:i/>
          <w:sz w:val="17"/>
        </w:rPr>
        <w:t>Agreement</w:t>
      </w:r>
      <w:r>
        <w:rPr>
          <w:rFonts w:ascii="Times New Roman" w:hAnsi="Times New Roman"/>
          <w:sz w:val="17"/>
        </w:rPr>
        <w:t>) of Plains AAP, L.P., a Delaware limited partnership (the </w:t>
      </w:r>
      <w:r>
        <w:rPr>
          <w:rFonts w:ascii="Times New Roman" w:hAnsi="Times New Roman"/>
          <w:b/>
          <w:i/>
          <w:sz w:val="17"/>
        </w:rPr>
        <w:t>Partnership</w:t>
      </w:r>
      <w:r>
        <w:rPr>
          <w:rFonts w:ascii="Times New Roman" w:hAnsi="Times New Roman"/>
          <w:sz w:val="17"/>
        </w:rPr>
        <w:t>), is made and entered into as of this [</w:t>
      </w:r>
      <w:r>
        <w:rPr>
          <w:rFonts w:ascii="Symbol" w:hAnsi="Symbol"/>
          <w:sz w:val="17"/>
        </w:rPr>
        <w:t>·</w:t>
      </w:r>
      <w:r>
        <w:rPr>
          <w:rFonts w:ascii="Times New Roman" w:hAnsi="Times New Roman"/>
          <w:sz w:val="17"/>
        </w:rPr>
        <w:t>] day of [</w:t>
      </w:r>
      <w:r>
        <w:rPr>
          <w:rFonts w:ascii="Symbol" w:hAnsi="Symbol"/>
          <w:sz w:val="17"/>
        </w:rPr>
        <w:t>·</w:t>
      </w:r>
      <w:r>
        <w:rPr>
          <w:rFonts w:ascii="Times New Roman" w:hAnsi="Times New Roman"/>
          <w:sz w:val="17"/>
        </w:rPr>
        <w:t xml:space="preserve">], 2013 by Plains All American GP LLC, a Delaware limited liability company, as the general partner, and, pursuant to </w:t>
      </w:r>
      <w:r>
        <w:rPr>
          <w:rFonts w:ascii="Times New Roman" w:hAnsi="Times New Roman"/>
          <w:sz w:val="17"/>
          <w:u w:val="single"/>
        </w:rPr>
        <w:t>Section 11.2(d)</w:t>
      </w:r>
      <w:r>
        <w:rPr>
          <w:rFonts w:ascii="Times New Roman" w:hAnsi="Times New Roman"/>
          <w:sz w:val="17"/>
        </w:rPr>
        <w:t> of the Sixth Amended and Restated Limited Partnership Agreement dated as of December 23, 2010, by and among the General Partner and the Limited Partners of the Partnership (the </w:t>
      </w:r>
      <w:r>
        <w:rPr>
          <w:rFonts w:ascii="Times New Roman" w:hAnsi="Times New Roman"/>
          <w:b/>
          <w:i/>
          <w:sz w:val="17"/>
        </w:rPr>
        <w:t>Sixth A&amp;R Limited Partnership Agreement</w:t>
      </w:r>
      <w:r>
        <w:rPr>
          <w:rFonts w:ascii="Times New Roman" w:hAnsi="Times New Roman"/>
          <w:sz w:val="17"/>
        </w:rPr>
        <w:t xml:space="preserve">), is binding on the Persons listed as Limited Partners in </w:t>
      </w:r>
      <w:r>
        <w:rPr>
          <w:rFonts w:ascii="Times New Roman" w:hAnsi="Times New Roman"/>
          <w:sz w:val="17"/>
          <w:u w:val="single"/>
        </w:rPr>
        <w:t>Schedule I</w:t>
      </w:r>
      <w:r>
        <w:rPr>
          <w:rFonts w:ascii="Times New Roman" w:hAnsi="Times New Roman"/>
          <w:sz w:val="17"/>
        </w:rPr>
        <w:t xml:space="preserve"> hereto, as such schedule may be amended or supplemented from time to time in accordance herewith.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amends and restates in its entirety the Sixth A&amp;R Limited Partnership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w:t>
        <w:br/>
        <w:t>DEFINITIONS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For purposes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Acceptance Notice</w:t>
      </w:r>
      <w:r>
        <w:rPr>
          <w:rFonts w:ascii="Times New Roman" w:hAnsi="Times New Roman"/>
          <w:sz w:val="17"/>
        </w:rPr>
        <w:t xml:space="preserve"> shall have the meaning set forth in </w:t>
      </w:r>
      <w:r>
        <w:rPr>
          <w:rFonts w:ascii="Times New Roman" w:hAnsi="Times New Roman"/>
          <w:sz w:val="17"/>
          <w:u w:val="single"/>
        </w:rPr>
        <w:t>Section 7.8(b)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Act</w:t>
      </w:r>
      <w:r>
        <w:rPr>
          <w:rFonts w:ascii="Times New Roman" w:hAnsi="Times New Roman"/>
          <w:sz w:val="17"/>
        </w:rPr>
        <w:t> means the Delaware Revised Uniform Limited Partnership Act, as amended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Adjusted Capital Account Deficit</w:t>
      </w:r>
      <w:r>
        <w:rPr>
          <w:rFonts w:ascii="Times New Roman" w:hAnsi="Times New Roman"/>
          <w:sz w:val="17"/>
        </w:rPr>
        <w:t> means, with respect to a Partner, the deficit balance, if any, in such Partners Capital Account as of the end of the relevant Taxable Year, after giving effect to the following adjustments: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Credit to such Capital Account any amounts which such Partner is obligated to restore pursuant to any provision of this Agreement or is deemed to be obligated to restore pursuant to Regulation Sections 1.704-1(b)(2)(ii)(c), 1.704-2(g)(1) and 1.704-2(i)(5);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Debit to such Capital Account the items described in Regulation Sections 1.704-1(b)(2)(ii)(d)(4), 1.704-1(b)(2)(ii)(d)(5), and 1.704-1(b)(2)(ii)(d)(6).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Affiliate</w:t>
      </w:r>
      <w:r>
        <w:rPr>
          <w:rFonts w:ascii="Times New Roman" w:hAnsi="Times New Roman"/>
          <w:sz w:val="17"/>
        </w:rPr>
        <w:t>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provided that the determination as to whether a Person, directly or indirectly through one or more intermediaries, controls, is controlled by or under common control with another Person shall be made taking into account, at the time of such determination, the context and circumstances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113" w:name="15636-2-LG-01_PB_1_033910_5796"/>
      <w:bookmarkEnd w:id="11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any individual who is an officer or director of Holdings GP or any Group Member (excluding the Chief Executive Officer and Chairman of the Board) shall not be considered to be an Affiliate of Holdings GP or any Group Member by virtue of such Persons status as an officer or director and the possession of the powers that are within the scope of the designated or delegated authority of such officer or director;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Person that, alone or together with any Affiliate Group of which such Person is a part, owns less than 50% of the total number of outstanding Holdings GP Units shall not be considered to be an Affiliate of Holdings GP or any Group Member by virtue of the ownership by such Person (and Affiliate Group, if applicable) of such Holdings GP Units;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Person that, alone or together with any Affiliate Group of which such Person is a part, owns less than 50% of the total Partnership Interests held by all Partners, shall not be considered to be an affiliate of Holdings GP or any Group Member by virtue of the ownership by such Person (and Affiliate Group, if applicable) of such Partnership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avoidance of doubt, for purposes of this Agreement, as of the date hereof (but subject to redetermination upon changed circumstances) (i) each of KAFU Holdings, L.P., KA First Reserve XII, LLC, Kayne Anderson Energy Development Company, Kayne Anderson Midstream/Energy Fund, Inc. and KAFU Holdings II, L.P. is an Affiliate of each other, and (ii) each of EMG Investment, LLC and Lynx Holdings I, LLC is an Affiliate of the other.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Affiliate Group</w:t>
      </w:r>
      <w:r>
        <w:rPr>
          <w:rFonts w:ascii="Times New Roman" w:hAnsi="Times New Roman"/>
          <w:sz w:val="17"/>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beneficially own, directly or indirectly, Partnership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Agreed Value</w:t>
      </w:r>
      <w:r>
        <w:rPr>
          <w:rFonts w:ascii="Times New Roman" w:hAnsi="Times New Roman"/>
          <w:sz w:val="17"/>
        </w:rPr>
        <w:t xml:space="preserve"> means, with respect to any Partnership Group Interest subject to the right of first refusal contained in </w:t>
      </w:r>
      <w:r>
        <w:rPr>
          <w:rFonts w:ascii="Times New Roman" w:hAnsi="Times New Roman"/>
          <w:sz w:val="17"/>
          <w:u w:val="single"/>
        </w:rPr>
        <w:t>Section 7.8</w:t>
      </w:r>
      <w:r>
        <w:rPr>
          <w:rFonts w:ascii="Times New Roman" w:hAnsi="Times New Roman"/>
          <w:sz w:val="17"/>
        </w:rPr>
        <w:t xml:space="preserve">, (i) the value that would be received for such Partnership Group Interest in the event such Partnership Group Interest were exchanged for PAGP Class A Shares pursuant to </w:t>
      </w:r>
      <w:r>
        <w:rPr>
          <w:rFonts w:ascii="Times New Roman" w:hAnsi="Times New Roman"/>
          <w:sz w:val="17"/>
          <w:u w:val="single"/>
        </w:rPr>
        <w:t>Section 7.9</w:t>
      </w:r>
      <w:r>
        <w:rPr>
          <w:rFonts w:ascii="Times New Roman" w:hAnsi="Times New Roman"/>
          <w:sz w:val="17"/>
        </w:rPr>
        <w:t xml:space="preserve"> and promptly sold at a price determined relative to the trailing 30-day volume weighted average price of a PAGP Class A Share or (ii) in the event the PAGP Class A Shares are not then publicly traded, the value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Agreement</w:t>
      </w:r>
      <w:r>
        <w:rPr>
          <w:rFonts w:ascii="Times New Roman" w:hAnsi="Times New Roman"/>
          <w:sz w:val="17"/>
        </w:rPr>
        <w:t> means this Seventh Amended and Restated Limited Partnership Agreement, as amended from time to time in accordance with its terms.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Applicable Debt Service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114" w:name="15636-2-LG-01_PB_2_033924_2897"/>
      <w:bookmarkEnd w:id="11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Associate</w:t>
      </w:r>
      <w:r>
        <w:rPr>
          <w:rFonts w:ascii="Times New Roman" w:hAnsi="Times New Roman"/>
          <w:sz w:val="17"/>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Available Cash</w:t>
      </w:r>
      <w:r>
        <w:rPr>
          <w:rFonts w:ascii="Times New Roman" w:hAnsi="Times New Roman"/>
          <w:sz w:val="17"/>
        </w:rPr>
        <w:t xml:space="preserve"> means, with respect to a fiscal quarter, all cash and cash equivalents of the Partnership at the end of such quarter (other than Net Capital Transaction Proceeds) less the amount of cash reserves that is necessary or appropriate in the reasonable discretion of the General Partner to (a) provide for the proper conduct of the business of the Partnership (including reserves for future capital expenditures and for anticipated future credit needs of the Partnership) subsequent to such quarter or (b) comply with applicable law or any loan agreement, security agreement, mortgage, debt instrument or other agreement or obligation to which the Partnership is a party or by which it is bound or its assets or Property is subject;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all cash and cash equivalents expected to be received (including distributions declared by the MLP but not yet paid), directly or indirectly from the MLP in respect of such quarter or cash reserves established, increased or reduced after the expiration of such quarter (including receipt of any Distribution Loan Proceeds) but on or before the date of determination of Available Cash with respect to such quarter shall be deemed to have been received, made, established, increased or reduced, for purposes of determining Available Cash, during such quarter if the General Partner so determines in its reasonable discretion.  For the avoidance of doubt, loan proceeds other than Distribution Loan Proceeds will not be included in Available Cash.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Board</w:t>
      </w:r>
      <w:r>
        <w:rPr>
          <w:rFonts w:ascii="Times New Roman" w:hAnsi="Times New Roman"/>
          <w:sz w:val="17"/>
        </w:rPr>
        <w:t> means the board of directors of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Business Day</w:t>
      </w:r>
      <w:r>
        <w:rPr>
          <w:rFonts w:ascii="Times New Roman" w:hAnsi="Times New Roman"/>
          <w:sz w:val="17"/>
        </w:rPr>
        <w:t> means any day that is not a Saturday, a Sunday or other day on which banks are required or authorized by law to be closed in Houston, Texas or New York, New York.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Call Election Notice</w:t>
      </w:r>
      <w:r>
        <w:rPr>
          <w:rFonts w:ascii="Times New Roman" w:hAnsi="Times New Roman"/>
          <w:sz w:val="17"/>
        </w:rPr>
        <w:t xml:space="preserve"> has the meaning set forth in </w:t>
      </w:r>
      <w:r>
        <w:rPr>
          <w:rFonts w:ascii="Times New Roman" w:hAnsi="Times New Roman"/>
          <w:sz w:val="17"/>
          <w:u w:val="single"/>
        </w:rPr>
        <w:t>Section 7.9(g)</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Call Right</w:t>
      </w:r>
      <w:r>
        <w:rPr>
          <w:rFonts w:ascii="Times New Roman" w:hAnsi="Times New Roman"/>
          <w:sz w:val="17"/>
        </w:rPr>
        <w:t xml:space="preserve"> has the meaning set forth in </w:t>
      </w:r>
      <w:r>
        <w:rPr>
          <w:rFonts w:ascii="Times New Roman" w:hAnsi="Times New Roman"/>
          <w:sz w:val="17"/>
          <w:u w:val="single"/>
        </w:rPr>
        <w:t>Section 7.9(g)</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Capital Account</w:t>
      </w:r>
      <w:r>
        <w:rPr>
          <w:rFonts w:ascii="Times New Roman" w:hAnsi="Times New Roman"/>
          <w:sz w:val="17"/>
        </w:rPr>
        <w:t xml:space="preserve"> means, with respect to any Partner, a separate account established by the Partnership and maintained for each Partner in accordance with </w:t>
      </w:r>
      <w:r>
        <w:rPr>
          <w:rFonts w:ascii="Times New Roman" w:hAnsi="Times New Roman"/>
          <w:sz w:val="17"/>
          <w:u w:val="single"/>
        </w:rPr>
        <w:t>Section 3.4</w:t>
      </w:r>
      <w:r>
        <w:rPr>
          <w:rFonts w:ascii="Times New Roman" w:hAnsi="Times New Roman"/>
          <w:sz w:val="17"/>
        </w:rPr>
        <w:t xml:space="preserv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Capital Contribution</w:t>
      </w:r>
      <w:r>
        <w:rPr>
          <w:rFonts w:ascii="Times New Roman" w:hAnsi="Times New Roman"/>
          <w:sz w:val="17"/>
        </w:rPr>
        <w:t> means, with respect to any Partner, the amount of money, if any, and the initial Gross Asset Value of any Property (other than money), if any, contributed to the Partnership with respect to the interests purchased by such Partner pursuant to the terms of this Agreement, in return for which the Partner contributing such capital shall receive a Partnership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Carryover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Cash Election Value</w:t>
      </w:r>
      <w:r>
        <w:rPr>
          <w:rFonts w:ascii="Times New Roman" w:hAnsi="Times New Roman"/>
          <w:sz w:val="17"/>
        </w:rPr>
        <w:t xml:space="preserve"> means with respect to PAGP Class A Shares to be delivered to an Exchanging Partner by the Partnership or PAGP pursuant to </w:t>
      </w:r>
      <w:r>
        <w:rPr>
          <w:rFonts w:ascii="Times New Roman" w:hAnsi="Times New Roman"/>
          <w:sz w:val="17"/>
          <w:u w:val="single"/>
        </w:rPr>
        <w:t>Section 7.9</w:t>
      </w:r>
      <w:r>
        <w:rPr>
          <w:rFonts w:ascii="Times New Roman" w:hAnsi="Times New Roman"/>
          <w:sz w:val="17"/>
        </w:rPr>
        <w:t>, the amount that would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115" w:name="15636-2-LG-01_PB_3_033932_3020"/>
      <w:bookmarkEnd w:id="115"/>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 received if such PAGP Class A Shares were sold at a per share price equal to the trailing 30-day volume weighted average price of  a PAGP Class A Share or (ii) in the event the PAGP Class A Shares are not then publicly traded, the value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Certificate</w:t>
      </w:r>
      <w:r>
        <w:rPr>
          <w:rFonts w:ascii="Times New Roman" w:hAnsi="Times New Roman"/>
          <w:sz w:val="17"/>
        </w:rPr>
        <w:t> means the Certificate of Limited Partnership of the Partnership filed with the Secretary of State of Delaware, as amended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A Partner</w:t>
      </w:r>
      <w:r>
        <w:rPr>
          <w:rFonts w:ascii="Times New Roman" w:hAnsi="Times New Roman"/>
          <w:sz w:val="17"/>
        </w:rPr>
        <w:t> means a Limited Partner all or any portion of whose Limited Partnership Interest is evidenced by Class A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A Unit</w:t>
      </w:r>
      <w:r>
        <w:rPr>
          <w:rFonts w:ascii="Times New Roman" w:hAnsi="Times New Roman"/>
          <w:sz w:val="17"/>
        </w:rPr>
        <w:t> means a Partnership Interest representing a fractional part of the Partnership Interests of all Limited Partners, and having the rights and obligations specified with respect to Class A Units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B Partner</w:t>
      </w:r>
      <w:r>
        <w:rPr>
          <w:rFonts w:ascii="Times New Roman" w:hAnsi="Times New Roman"/>
          <w:sz w:val="17"/>
        </w:rPr>
        <w:t> means a Limited Partner all or any portion of whose Limited Partnership Interest is evidenced by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B Restricted Unit Agreement</w:t>
      </w:r>
      <w:r>
        <w:rPr>
          <w:rFonts w:ascii="Times New Roman" w:hAnsi="Times New Roman"/>
          <w:sz w:val="17"/>
        </w:rPr>
        <w:t> means an agreement, substantially in the form of Exhibit A hereto, between the Partnership and any Limited Partner that is issued Class B Units, as any such agreement may be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B Unit</w:t>
      </w:r>
      <w:r>
        <w:rPr>
          <w:rFonts w:ascii="Times New Roman" w:hAnsi="Times New Roman"/>
          <w:sz w:val="17"/>
        </w:rPr>
        <w:t> means a Partnership Interest representing a fractional part of the Partnership Interests of all Limited Partners, and having the rights and obligations specified with respect to Class B Units in this Agreement and the Class B Restricted Unit Agreement pursuant to which it was issued.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Code</w:t>
      </w:r>
      <w:r>
        <w:rPr>
          <w:rFonts w:ascii="Times New Roman" w:hAnsi="Times New Roman"/>
          <w:sz w:val="17"/>
        </w:rPr>
        <w:t> means the United States Internal Revenue Code of 1986,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Contribution Percentage</w:t>
      </w:r>
      <w:r>
        <w:rPr>
          <w:rFonts w:ascii="Times New Roman" w:hAnsi="Times New Roman"/>
          <w:sz w:val="17"/>
        </w:rPr>
        <w:t xml:space="preserve"> means in respect of a Capital Contribution required to be made pursuant to </w:t>
      </w:r>
      <w:r>
        <w:rPr>
          <w:rFonts w:ascii="Times New Roman" w:hAnsi="Times New Roman"/>
          <w:sz w:val="17"/>
          <w:u w:val="single"/>
        </w:rPr>
        <w:t>Section 3.1(b)</w:t>
      </w:r>
      <w:r>
        <w:rPr>
          <w:rFonts w:ascii="Times New Roman" w:hAnsi="Times New Roman"/>
          <w:sz w:val="17"/>
        </w:rPr>
        <w:t>, (i) in the case of a Class A Partner, 100% times a fraction, the numerator of which is the number of such Class A Partners Class A Units at such time, and the denominator of which is the sum of (x) the number of outstanding Class A Units at such time and (y) the product of the Conversion Factor and the aggregate number of Earned Units and Vested Units outstanding at such time, and (iii) in the case of a Class B Partner, 100% times a fraction, the numerator of which is the product of the Conversion Factor and the aggregate number of such Class B Partners Earned Units and Vested Units at such time, and the denominator of which is the sum of (x) the number of outstanding Class A Units at such time and (y) the product of the Conversion Factor and the aggregate number of Earned Units and Vested Units outstanding at such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Conversion</w:t>
      </w:r>
      <w:r>
        <w:rPr>
          <w:rFonts w:ascii="Times New Roman" w:hAnsi="Times New Roman"/>
          <w:sz w:val="17"/>
        </w:rPr>
        <w:t xml:space="preserve"> has the meaning set forth in </w:t>
      </w:r>
      <w:r>
        <w:rPr>
          <w:rFonts w:ascii="Times New Roman" w:hAnsi="Times New Roman"/>
          <w:sz w:val="17"/>
          <w:u w:val="single"/>
        </w:rPr>
        <w:t>Section 7.10(a)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Conversion Date</w:t>
      </w:r>
      <w:r>
        <w:rPr>
          <w:rFonts w:ascii="Times New Roman" w:hAnsi="Times New Roman"/>
          <w:sz w:val="17"/>
        </w:rPr>
        <w:t xml:space="preserve"> has the meaning set forth in </w:t>
      </w:r>
      <w:r>
        <w:rPr>
          <w:rFonts w:ascii="Times New Roman" w:hAnsi="Times New Roman"/>
          <w:sz w:val="17"/>
          <w:u w:val="single"/>
        </w:rPr>
        <w:t>Section 7.10(c)</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116" w:name="15636-2-LG-03_PB_4_034128_7748"/>
      <w:bookmarkEnd w:id="11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Conversion Factor</w:t>
      </w:r>
      <w:r>
        <w:rPr>
          <w:rFonts w:ascii="Times New Roman" w:hAnsi="Times New Roman"/>
          <w:sz w:val="17"/>
        </w:rPr>
        <w:t xml:space="preserve"> means, as of a particular time, a fraction, the numerator of which is the regular quarterly cash distribution, if any, paid with respect to an Earned Unit or Vested Unit for the most recent quarter, and the denominator of which is the regular quarterly cash distribution paid with respect to a Class A Unit for such quarter (excluding, for this purpose, any distribution pursuant to </w:t>
      </w:r>
      <w:r>
        <w:rPr>
          <w:rFonts w:ascii="Times New Roman" w:hAnsi="Times New Roman"/>
          <w:sz w:val="17"/>
          <w:u w:val="single"/>
        </w:rPr>
        <w:t>Section 4.1(a)</w:t>
      </w:r>
      <w:r>
        <w:rPr>
          <w:rFonts w:ascii="Times New Roman" w:hAnsi="Times New Roman"/>
          <w:sz w:val="17"/>
        </w:rPr>
        <w:t> paid with respect to a Class A Unit for such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Conversion Notice</w:t>
      </w:r>
      <w:r>
        <w:rPr>
          <w:rFonts w:ascii="Times New Roman" w:hAnsi="Times New Roman"/>
          <w:sz w:val="17"/>
        </w:rPr>
        <w:t xml:space="preserve"> has the meaning set forth in </w:t>
      </w:r>
      <w:r>
        <w:rPr>
          <w:rFonts w:ascii="Times New Roman" w:hAnsi="Times New Roman"/>
          <w:sz w:val="17"/>
          <w:u w:val="single"/>
        </w:rPr>
        <w:t>Section 7.10(b)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Converted Class A Units</w:t>
      </w:r>
      <w:r>
        <w:rPr>
          <w:rFonts w:ascii="Times New Roman" w:hAnsi="Times New Roman"/>
          <w:sz w:val="17"/>
        </w:rPr>
        <w:t xml:space="preserve"> has the meaning set forth in </w:t>
      </w:r>
      <w:r>
        <w:rPr>
          <w:rFonts w:ascii="Times New Roman" w:hAnsi="Times New Roman"/>
          <w:sz w:val="17"/>
          <w:u w:val="single"/>
        </w:rPr>
        <w:t>Section 7.10(a)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Converting Partner</w:t>
      </w:r>
      <w:r>
        <w:rPr>
          <w:rFonts w:ascii="Times New Roman" w:hAnsi="Times New Roman"/>
          <w:sz w:val="17"/>
        </w:rPr>
        <w:t xml:space="preserve"> has the meaning set forth in </w:t>
      </w:r>
      <w:r>
        <w:rPr>
          <w:rFonts w:ascii="Times New Roman" w:hAnsi="Times New Roman"/>
          <w:sz w:val="17"/>
          <w:u w:val="single"/>
        </w:rPr>
        <w:t>Section 7.10(b)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Cumulative Carryover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Depreciation</w:t>
      </w:r>
      <w:r>
        <w:rPr>
          <w:rFonts w:ascii="Times New Roman" w:hAnsi="Times New Roman"/>
          <w:sz w:val="17"/>
        </w:rPr>
        <w:t xml:space="preserve"> means, for each Taxable Year or other period, an amount equal to the depreciation, amortization or other cost recovery deduction allowable with respect to an asset for such Taxable Year, except that if the Gross Asset Value of an asset differs from its adjusted basis for federal income tax purposes at the beginning of such Taxable Year, Depreciation shall be an amount which bears the same ratio to such beginning Gross Asset Value as the federal income tax depreciation, amortization or other cost recovery deduction for such Taxable Year bears to such beginning adjusted tax basis;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if the adjusted basis for federal income tax purposes of an asset at the beginning of such Taxable Year is zero, Depreciation with respect to such asset shall be determined with reference to such beginning Gross Asset Value using any reasonable method selected by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Distribution Loan</w:t>
      </w:r>
      <w:r>
        <w:rPr>
          <w:rFonts w:ascii="Times New Roman" w:hAnsi="Times New Roman"/>
          <w:sz w:val="17"/>
        </w:rPr>
        <w:t xml:space="preserve"> means a loan to the Partnership, the proceeds of which are intended for inclusion in Available Cash; </w:t>
      </w:r>
      <w:r>
        <w:rPr>
          <w:rFonts w:ascii="Times New Roman" w:hAnsi="Times New Roman"/>
          <w:i/>
          <w:sz w:val="17"/>
        </w:rPr>
        <w:t>provided</w:t>
      </w:r>
      <w:r>
        <w:rPr>
          <w:rFonts w:ascii="Times New Roman" w:hAnsi="Times New Roman"/>
          <w:sz w:val="17"/>
        </w:rPr>
        <w:t xml:space="preserve">, that if any proceeds of a loan are used for any purposes other than a distribution to the Class A Partners pursuant to </w:t>
      </w:r>
      <w:r>
        <w:rPr>
          <w:rFonts w:ascii="Times New Roman" w:hAnsi="Times New Roman"/>
          <w:sz w:val="17"/>
          <w:u w:val="single"/>
        </w:rPr>
        <w:t>Section 4.1(a)</w:t>
      </w:r>
      <w:r>
        <w:rPr>
          <w:rFonts w:ascii="Times New Roman" w:hAnsi="Times New Roman"/>
          <w:sz w:val="17"/>
        </w:rPr>
        <w:t>, only the portion of such loan distributed to the Class A Partners shall be deemed to be a Distribution Loan.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Distribution Loan Proceeds</w:t>
      </w:r>
      <w:r>
        <w:rPr>
          <w:rFonts w:ascii="Times New Roman" w:hAnsi="Times New Roman"/>
          <w:sz w:val="17"/>
        </w:rPr>
        <w:t> means the proceeds of a Distribution Loan.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Distribution Threshold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Earned Unit</w:t>
      </w:r>
      <w:r>
        <w:rPr>
          <w:rFonts w:ascii="Times New Roman" w:hAnsi="Times New Roman"/>
          <w:sz w:val="17"/>
        </w:rPr>
        <w:t> means a Class B Unit that constitutes an Earned Unit under the Class B Restricted Unit Agreement pursuant to which such Class B Unit was issued.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EMG</w:t>
      </w:r>
      <w:r>
        <w:rPr>
          <w:rFonts w:ascii="Times New Roman" w:hAnsi="Times New Roman"/>
          <w:sz w:val="17"/>
        </w:rPr>
        <w:t xml:space="preserve"> shall have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Encumbrance</w:t>
      </w:r>
      <w:r>
        <w:rPr>
          <w:rFonts w:ascii="Times New Roman" w:hAnsi="Times New Roman"/>
          <w:sz w:val="17"/>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w:t>
      </w:r>
      <w:r>
        <w:rPr>
          <w:rFonts w:ascii="Times New Roman" w:hAnsi="Times New Roman"/>
          <w:sz w:val="17"/>
        </w:rPr>
        <w:t xml:space="preserve"> has the meaning set forth in </w:t>
      </w:r>
      <w:r>
        <w:rPr>
          <w:rFonts w:ascii="Times New Roman" w:hAnsi="Times New Roman"/>
          <w:sz w:val="17"/>
          <w:u w:val="single"/>
        </w:rPr>
        <w:t>Section 7.9(a)</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17" w:name="15636-2-LG-03_PB_5_034137_141"/>
      <w:bookmarkEnd w:id="11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Act</w:t>
      </w:r>
      <w:r>
        <w:rPr>
          <w:rFonts w:ascii="Times New Roman" w:hAnsi="Times New Roman"/>
          <w:sz w:val="17"/>
        </w:rPr>
        <w:t> means the Securities Exchange Act of 1934, as amended, and the rules and regulations thereunder.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Date</w:t>
      </w:r>
      <w:r>
        <w:rPr>
          <w:rFonts w:ascii="Times New Roman" w:hAnsi="Times New Roman"/>
          <w:sz w:val="17"/>
        </w:rPr>
        <w:t xml:space="preserve"> has the meaning set forth in </w:t>
      </w:r>
      <w:r>
        <w:rPr>
          <w:rFonts w:ascii="Times New Roman" w:hAnsi="Times New Roman"/>
          <w:sz w:val="17"/>
          <w:u w:val="single"/>
        </w:rPr>
        <w:t>Section 7.9(c)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Notice</w:t>
      </w:r>
      <w:r>
        <w:rPr>
          <w:rFonts w:ascii="Times New Roman" w:hAnsi="Times New Roman"/>
          <w:sz w:val="17"/>
        </w:rPr>
        <w:t xml:space="preserve"> has the meaning set forth in </w:t>
      </w:r>
      <w:r>
        <w:rPr>
          <w:rFonts w:ascii="Times New Roman" w:hAnsi="Times New Roman"/>
          <w:sz w:val="17"/>
          <w:u w:val="single"/>
        </w:rPr>
        <w:t>Section 7.9(b)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Exchanging Partner</w:t>
      </w:r>
      <w:r>
        <w:rPr>
          <w:rFonts w:ascii="Times New Roman" w:hAnsi="Times New Roman"/>
          <w:sz w:val="17"/>
        </w:rPr>
        <w:t xml:space="preserve"> has the meaning set forth in </w:t>
      </w:r>
      <w:r>
        <w:rPr>
          <w:rFonts w:ascii="Times New Roman" w:hAnsi="Times New Roman"/>
          <w:sz w:val="17"/>
          <w:u w:val="single"/>
        </w:rPr>
        <w:t>Section 7.9(b)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Existing Owners</w:t>
      </w:r>
      <w:r>
        <w:rPr>
          <w:rFonts w:ascii="Times New Roman" w:hAnsi="Times New Roman"/>
          <w:sz w:val="17"/>
        </w:rPr>
        <w:t> means each of the owners of Holdings GP Units as of the date of this Agreement, in each case for so long as they continue to own any Holdings GP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First Refusal Notice</w:t>
      </w:r>
      <w:r>
        <w:rPr>
          <w:rFonts w:ascii="Times New Roman" w:hAnsi="Times New Roman"/>
          <w:sz w:val="17"/>
        </w:rPr>
        <w:t xml:space="preserve"> has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First Reserve</w:t>
      </w:r>
      <w:r>
        <w:rPr>
          <w:rFonts w:ascii="Times New Roman" w:hAnsi="Times New Roman"/>
          <w:sz w:val="17"/>
        </w:rPr>
        <w:t xml:space="preserve"> has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General Partner</w:t>
      </w:r>
      <w:r>
        <w:rPr>
          <w:rFonts w:ascii="Times New Roman" w:hAnsi="Times New Roman"/>
          <w:sz w:val="17"/>
        </w:rPr>
        <w:t> means Plains All American GP LLC, a Delaware limited liability company, any permitted successor thereto, and any Persons hereafter admitted as an additional general partner, each in its capacity as a general partner of the Partnership, in each case in accordance with the terms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General Partnership Interest</w:t>
      </w:r>
      <w:r>
        <w:rPr>
          <w:rFonts w:ascii="Times New Roman" w:hAnsi="Times New Roman"/>
          <w:sz w:val="17"/>
        </w:rPr>
        <w:t> means the management and ownership interest of the General Partner in the Partnership (in its capacity as a general partner and without reference to any Limited Partnership Interest held by it) and includes any and all rights, powers and benefits to which the General Partner is entitled as provided in this Agreement, together with all obligations of the General Partner to comply with the terms and provisions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Gross Asset Value</w:t>
      </w:r>
      <w:r>
        <w:rPr>
          <w:rFonts w:ascii="Times New Roman" w:hAnsi="Times New Roman"/>
          <w:sz w:val="17"/>
        </w:rPr>
        <w:t xml:space="preserve"> means with respect to any asset, the assets adjusted basis for federal income tax purposes, except as follows and as otherwise provided in </w:t>
      </w:r>
      <w:r>
        <w:rPr>
          <w:rFonts w:ascii="Times New Roman" w:hAnsi="Times New Roman"/>
          <w:sz w:val="17"/>
          <w:u w:val="single"/>
        </w:rPr>
        <w:t>Section 3.2(b)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The initial Gross Asset Value of any asset contributed by a Partner to the Partnership shall be the gross fair market value of such asset, as reasonably determined by the General Partner;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the initial Gross Asset Values of the assets contributed to the Partnership pursuant to </w:t>
      </w:r>
      <w:r>
        <w:rPr>
          <w:rFonts w:ascii="Times New Roman" w:hAnsi="Times New Roman"/>
          <w:sz w:val="17"/>
          <w:u w:val="single"/>
        </w:rPr>
        <w:t>Section 3.1</w:t>
      </w:r>
      <w:r>
        <w:rPr>
          <w:rFonts w:ascii="Times New Roman" w:hAnsi="Times New Roman"/>
          <w:sz w:val="17"/>
        </w:rPr>
        <w:t xml:space="preserve"> hereof shall be as set forth in such section or the schedule referred to therein;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Gross Asset Values of all Partnership assets shall be adjusted to equal their respective gross fair market values (taking Code Section 7701(g) into account), as reasonably determined by the General Partner as of the following times: (i) the acquisition of an additional interest in the Partnership by any new or existing Partner in exchange for more than a de minimis Capital Contribution; (ii) the distribution by the Partnership to a Partner of more than a de minimis amount of Partnership property as consideration for an interest in the Partnership; (iii) the issuance by the Partnership of Class B Units; and (iv) the liquidation of the Partnership within the meaning of Regulation Section 1.704-1(b)(2)(ii)(g);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Gross Asset Value of any item of Partnership assets distributed to any Partner shall be adjusted to equal the gross fair market value (taking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18" w:name="15636-2-LG-03_PB_6_034144_7608"/>
      <w:bookmarkEnd w:id="11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Section 7701(g) into account) of such asset on the date of distribution as reasonably determined by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the Gross Asset Value of an asset has been determined or adjusted pursuant to subparagraph (b), such Gross Asset Value shall thereafter be adjusted by the Depreciation taken into account with respect to such asset, for purposes of computing Profits and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Group Member</w:t>
      </w:r>
      <w:r>
        <w:rPr>
          <w:rFonts w:ascii="Times New Roman" w:hAnsi="Times New Roman"/>
          <w:sz w:val="17"/>
        </w:rPr>
        <w:t> means a member of the Holdings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w:t>
      </w:r>
      <w:r>
        <w:rPr>
          <w:rFonts w:ascii="Times New Roman" w:hAnsi="Times New Roman"/>
          <w:sz w:val="17"/>
        </w:rPr>
        <w:t> means PAA GP Holdings LLC, a Delaware limited liability company and the general partner of PAGP.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 Unit</w:t>
      </w:r>
      <w:r>
        <w:rPr>
          <w:rFonts w:ascii="Times New Roman" w:hAnsi="Times New Roman"/>
          <w:sz w:val="17"/>
        </w:rPr>
        <w:t> means the Units representing a fractional part of the membership interest in Holdings GP, having the rights and obligations specified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 LLC Agreement</w:t>
      </w:r>
      <w:r>
        <w:rPr>
          <w:rFonts w:ascii="Times New Roman" w:hAnsi="Times New Roman"/>
          <w:sz w:val="17"/>
        </w:rPr>
        <w:t> means the Amended and Restated Limited Liability Company Agreement of Holdings GP, dated as of [], 2013,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Group</w:t>
      </w:r>
      <w:r>
        <w:rPr>
          <w:rFonts w:ascii="Times New Roman" w:hAnsi="Times New Roman"/>
          <w:sz w:val="17"/>
        </w:rPr>
        <w:t> means Holdings GP and its Subsidiaries treated as a single consolidated entity, but excluding the MLP and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Indemnitee</w:t>
      </w:r>
      <w:r>
        <w:rPr>
          <w:rFonts w:ascii="Times New Roman" w:hAnsi="Times New Roman"/>
          <w:sz w:val="17"/>
        </w:rPr>
        <w:t xml:space="preserve"> means (a) the General Partner, (b) any Existing Owner, (c) any Qualifying Interest Holder, (d) any Person who is or was an Affiliate of the General Partner, any Existing Owner or any Qualifying Interest Holder, (e) any Person who is or was a managing member, manager, general partner, director, officer, fiduciary, agent or trustee of any Group Member, the General Partner, any Existing Owner or any Qualifying Interest Holder or any Affiliate of any Group Member, the General Partner, any Existing Owner or any Qualifying Interest Holder, (f) any Person who is or was serving at the request of the General Partner, any Existing Owner or any Qualifying Interest Holder or any Affiliate of the General Partner, any Existing Owner or any Qualifying Interest Holder as a member, manager, partner, director, officer, fiduciary, agent or trustee of another Person in furtherance of the business of any Group Member; </w:t>
      </w:r>
      <w:r>
        <w:rPr>
          <w:rFonts w:ascii="Times New Roman" w:hAnsi="Times New Roman"/>
          <w:i/>
          <w:sz w:val="17"/>
        </w:rPr>
        <w:t>provided</w:t>
      </w:r>
      <w:r>
        <w:rPr>
          <w:rFonts w:ascii="Times New Roman" w:hAnsi="Times New Roman"/>
          <w:sz w:val="17"/>
        </w:rPr>
        <w:t>, that a Person shall not be an Indemnitee by reason of providing, on a fee-for-services basis, trustee, fiduciary or custodial services, and (g) any Person the General Partner designates as an Indemnitee for purposes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Grant Date Partnership Capital</w:t>
      </w:r>
      <w:r>
        <w:rPr>
          <w:rFonts w:ascii="Times New Roman" w:hAnsi="Times New Roman"/>
          <w:sz w:val="17"/>
        </w:rPr>
        <w:t xml:space="preserve"> means, with respect to the Class B Partners, the amount set forth in </w:t>
      </w:r>
      <w:r>
        <w:rPr>
          <w:rFonts w:ascii="Times New Roman" w:hAnsi="Times New Roman"/>
          <w:sz w:val="17"/>
          <w:u w:val="single"/>
        </w:rPr>
        <w:t>Schedule I</w:t>
      </w:r>
      <w:r>
        <w:rPr>
          <w:rFonts w:ascii="Times New Roman" w:hAnsi="Times New Roman"/>
          <w:sz w:val="17"/>
        </w:rPr>
        <w:t xml:space="preserve">, which amount is equal to the aggregate Capital Account balances of the Class A Partners.  Initial Grant Date Partnership Capital shall be reduced by the amount of any Distribution Loan Proceeds distributed under </w:t>
      </w:r>
      <w:r>
        <w:rPr>
          <w:rFonts w:ascii="Times New Roman" w:hAnsi="Times New Roman"/>
          <w:sz w:val="17"/>
          <w:u w:val="single"/>
        </w:rPr>
        <w:t>Section 4.1(a)</w:t>
      </w:r>
      <w:r>
        <w:rPr>
          <w:rFonts w:ascii="Times New Roman" w:hAnsi="Times New Roman"/>
          <w:sz w:val="17"/>
        </w:rPr>
        <w:t> and then increased by the principal amount of any Distribution Loan assumed or paid by any entity that directly or indirectly owns the Class A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Institutional Investments</w:t>
      </w:r>
      <w:r>
        <w:rPr>
          <w:rFonts w:ascii="Times New Roman" w:hAnsi="Times New Roman"/>
          <w:sz w:val="17"/>
        </w:rPr>
        <w:t xml:space="preserve"> shall have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IPO</w:t>
      </w:r>
      <w:r>
        <w:rPr>
          <w:rFonts w:ascii="Times New Roman" w:hAnsi="Times New Roman"/>
          <w:sz w:val="17"/>
        </w:rPr>
        <w:t> means the initial offering and sale of the PAGP Class A Shares to the public.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19" w:name="15636-2-LG-03_PB_7_034158_8146"/>
      <w:bookmarkEnd w:id="11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Kayne Anderson</w:t>
      </w:r>
      <w:r>
        <w:rPr>
          <w:rFonts w:ascii="Times New Roman" w:hAnsi="Times New Roman"/>
          <w:sz w:val="17"/>
        </w:rPr>
        <w:t xml:space="preserve"> shall have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Limited Partner</w:t>
      </w:r>
      <w:r>
        <w:rPr>
          <w:rFonts w:ascii="Times New Roman" w:hAnsi="Times New Roman"/>
          <w:sz w:val="17"/>
        </w:rPr>
        <w:t xml:space="preserve"> means, unless the context otherwise requires, each Class A Partner set forth on </w:t>
      </w:r>
      <w:r>
        <w:rPr>
          <w:rFonts w:ascii="Times New Roman" w:hAnsi="Times New Roman"/>
          <w:sz w:val="17"/>
          <w:u w:val="single"/>
        </w:rPr>
        <w:t>Schedule I</w:t>
      </w:r>
      <w:r>
        <w:rPr>
          <w:rFonts w:ascii="Times New Roman" w:hAnsi="Times New Roman"/>
          <w:sz w:val="17"/>
        </w:rPr>
        <w:t>, each holder of a Class B Unit and each additional Person that becomes a Class A Partner or a Class B Partner pursuant to the terms of this Agreement and that is shown as such on the books and records of the Partnership, in each case, in such Persons capacity as a limited partner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Limited Partnership Interest</w:t>
      </w:r>
      <w:r>
        <w:rPr>
          <w:rFonts w:ascii="Times New Roman" w:hAnsi="Times New Roman"/>
          <w:sz w:val="17"/>
        </w:rPr>
        <w:t> means the ownership interest of a Limited Partner in the Partnership, which may be evidenced by Class A Units, Class B Units or any other Partnership Security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Liquidating Trustee</w:t>
      </w:r>
      <w:r>
        <w:rPr>
          <w:rFonts w:ascii="Times New Roman" w:hAnsi="Times New Roman"/>
          <w:sz w:val="17"/>
        </w:rPr>
        <w:t xml:space="preserve"> has the meaning set forth in </w:t>
      </w:r>
      <w:r>
        <w:rPr>
          <w:rFonts w:ascii="Times New Roman" w:hAnsi="Times New Roman"/>
          <w:sz w:val="17"/>
          <w:u w:val="single"/>
        </w:rPr>
        <w:t>Section 8.3(a)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LLC Agreement</w:t>
      </w:r>
      <w:r>
        <w:rPr>
          <w:rFonts w:ascii="Times New Roman" w:hAnsi="Times New Roman"/>
          <w:sz w:val="17"/>
        </w:rPr>
        <w:t> means the Sixth Amended and Restated Agreement Limited Liability Company Agreement of the General Partner, dated as of [], 2013, by and among the members in the General Partner and any other Persons who become members in the General Partner as provided therein,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Losses</w:t>
      </w:r>
      <w:r>
        <w:rPr>
          <w:rFonts w:ascii="Times New Roman" w:hAnsi="Times New Roman"/>
          <w:sz w:val="17"/>
        </w:rPr>
        <w:t> has the meaning set forth in the definition of Profits and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w:t>
      </w:r>
      <w:r>
        <w:rPr>
          <w:rFonts w:ascii="Times New Roman" w:hAnsi="Times New Roman"/>
          <w:sz w:val="17"/>
        </w:rPr>
        <w:t> means Plains All American Pipeline, L.P., and any successor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Partnership Agreement</w:t>
      </w:r>
      <w:r>
        <w:rPr>
          <w:rFonts w:ascii="Times New Roman" w:hAnsi="Times New Roman"/>
          <w:sz w:val="17"/>
        </w:rPr>
        <w:t> means the Fourth Amended and Restated Agreement of Limited Partnership of the MLP, dated as of May 17, 2012, as amended on October 1, 2012,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Membership Interest</w:t>
      </w:r>
      <w:r>
        <w:rPr>
          <w:rFonts w:ascii="Times New Roman" w:hAnsi="Times New Roman"/>
          <w:sz w:val="17"/>
        </w:rPr>
        <w:t> means an ownership interest in Holdings GP (without reference to any interest in the Partnership or PAGP), which is evidenced by Holdings GP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Membership Transfer</w:t>
      </w:r>
      <w:r>
        <w:rPr>
          <w:rFonts w:ascii="Times New Roman" w:hAnsi="Times New Roman"/>
          <w:sz w:val="17"/>
        </w:rPr>
        <w:t xml:space="preserve"> shall have the meaning set forth in </w:t>
      </w:r>
      <w:r>
        <w:rPr>
          <w:rFonts w:ascii="Times New Roman" w:hAnsi="Times New Roman"/>
          <w:sz w:val="17"/>
          <w:u w:val="single"/>
        </w:rPr>
        <w:t>Section 7.1(b)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National Securities Exchange</w:t>
      </w:r>
      <w:r>
        <w:rPr>
          <w:rFonts w:ascii="Times New Roman" w:hAnsi="Times New Roman"/>
          <w:sz w:val="17"/>
        </w:rPr>
        <w:t> means an exchange registered with the Commission under the Exchange Act or any successor to such statute.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Net Capital Transaction Proceeds</w:t>
      </w:r>
      <w:r>
        <w:rPr>
          <w:rFonts w:ascii="Times New Roman" w:hAnsi="Times New Roman"/>
          <w:sz w:val="17"/>
        </w:rPr>
        <w:t> means the cash, notes, equity interests and any other consideration derived from the sale or other disposition of all or a portion of the Partnerships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Non-Purchasing Partner</w:t>
      </w:r>
      <w:r>
        <w:rPr>
          <w:rFonts w:ascii="Times New Roman" w:hAnsi="Times New Roman"/>
          <w:sz w:val="17"/>
        </w:rPr>
        <w:t xml:space="preserve"> shall have the meaning set forth in </w:t>
      </w:r>
      <w:r>
        <w:rPr>
          <w:rFonts w:ascii="Times New Roman" w:hAnsi="Times New Roman"/>
          <w:sz w:val="17"/>
          <w:u w:val="single"/>
        </w:rPr>
        <w:t>Section 7.8(d)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Non-Qualifying Transferee</w:t>
      </w:r>
      <w:r>
        <w:rPr>
          <w:rFonts w:ascii="Times New Roman" w:hAnsi="Times New Roman"/>
          <w:sz w:val="17"/>
        </w:rPr>
        <w:t xml:space="preserve"> has the meaning set forth in </w:t>
      </w:r>
      <w:r>
        <w:rPr>
          <w:rFonts w:ascii="Times New Roman" w:hAnsi="Times New Roman"/>
          <w:sz w:val="17"/>
          <w:u w:val="single"/>
        </w:rPr>
        <w:t>Section 7.2(a)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Non-Selling Partner</w:t>
      </w:r>
      <w:r>
        <w:rPr>
          <w:rFonts w:ascii="Times New Roman" w:hAnsi="Times New Roman"/>
          <w:sz w:val="17"/>
        </w:rPr>
        <w:t xml:space="preserve"> shall have the meaning set forth in </w:t>
      </w:r>
      <w:r>
        <w:rPr>
          <w:rFonts w:ascii="Times New Roman" w:hAnsi="Times New Roman"/>
          <w:sz w:val="17"/>
          <w:u w:val="single"/>
        </w:rPr>
        <w:t>Section 7.8(b)</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20" w:name="15636-2-LG-03_PB_8_034206_7091"/>
      <w:bookmarkEnd w:id="12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Notice</w:t>
      </w:r>
      <w:r>
        <w:rPr>
          <w:rFonts w:ascii="Times New Roman" w:hAnsi="Times New Roman"/>
          <w:sz w:val="17"/>
        </w:rPr>
        <w:t> means a writing, containing the information required by this Agreement to be communicated to a party, and shall be deemed to have been received (a) when personally delivered or sent by telecopy,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Offer</w:t>
      </w:r>
      <w:r>
        <w:rPr>
          <w:rFonts w:ascii="Times New Roman" w:hAnsi="Times New Roman"/>
          <w:sz w:val="17"/>
        </w:rPr>
        <w:t xml:space="preserve"> shall have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Offeror</w:t>
      </w:r>
      <w:r>
        <w:rPr>
          <w:rFonts w:ascii="Times New Roman" w:hAnsi="Times New Roman"/>
          <w:sz w:val="17"/>
        </w:rPr>
        <w:t xml:space="preserve"> shall have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Optioned Interest</w:t>
      </w:r>
      <w:r>
        <w:rPr>
          <w:rFonts w:ascii="Times New Roman" w:hAnsi="Times New Roman"/>
          <w:sz w:val="17"/>
        </w:rPr>
        <w:t xml:space="preserve"> shall have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Oxy</w:t>
      </w:r>
      <w:r>
        <w:rPr>
          <w:rFonts w:ascii="Times New Roman" w:hAnsi="Times New Roman"/>
          <w:sz w:val="17"/>
        </w:rPr>
        <w:t xml:space="preserve"> has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GP</w:t>
      </w:r>
      <w:r>
        <w:rPr>
          <w:rFonts w:ascii="Times New Roman" w:hAnsi="Times New Roman"/>
          <w:sz w:val="17"/>
        </w:rPr>
        <w:t> shall mean PAA GP LLC, a Delaware limited liability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w:t>
      </w:r>
      <w:r>
        <w:rPr>
          <w:rFonts w:ascii="Times New Roman" w:hAnsi="Times New Roman"/>
          <w:sz w:val="17"/>
        </w:rPr>
        <w:t> means Plains GP Holdings, L.P., a Delaware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 Class A Shares</w:t>
      </w:r>
      <w:r>
        <w:rPr>
          <w:rFonts w:ascii="Times New Roman" w:hAnsi="Times New Roman"/>
          <w:sz w:val="17"/>
        </w:rPr>
        <w:t> means the Class A shares representing limited partnership interests in PAGP, having the rights and obligations specified in the PAGP LP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 Class B Shares</w:t>
      </w:r>
      <w:r>
        <w:rPr>
          <w:rFonts w:ascii="Times New Roman" w:hAnsi="Times New Roman"/>
          <w:sz w:val="17"/>
        </w:rPr>
        <w:t> means the Class B shares representing limited partnership interests in PAGP, having the rights and obligations specified in the PAGP LP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 LP Agreement</w:t>
      </w:r>
      <w:r>
        <w:rPr>
          <w:rFonts w:ascii="Times New Roman" w:hAnsi="Times New Roman"/>
          <w:sz w:val="17"/>
        </w:rPr>
        <w:t> means the Amended and Restated Agreement of Limited Partnership of PAGP, dated as of [], 2013,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w:t>
      </w:r>
      <w:r>
        <w:rPr>
          <w:rFonts w:ascii="Times New Roman" w:hAnsi="Times New Roman"/>
          <w:sz w:val="17"/>
        </w:rPr>
        <w:t> means the General Partner or any of the Limited Partners, and </w:t>
      </w:r>
      <w:r>
        <w:rPr>
          <w:rFonts w:ascii="Times New Roman" w:hAnsi="Times New Roman"/>
          <w:b/>
          <w:i/>
          <w:sz w:val="17"/>
        </w:rPr>
        <w:t>Partners</w:t>
      </w:r>
      <w:r>
        <w:rPr>
          <w:rFonts w:ascii="Times New Roman" w:hAnsi="Times New Roman"/>
          <w:sz w:val="17"/>
        </w:rPr>
        <w:t> means the General Partner and all of the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w:t>
      </w:r>
      <w:r>
        <w:rPr>
          <w:rFonts w:ascii="Times New Roman" w:hAnsi="Times New Roman"/>
          <w:sz w:val="17"/>
        </w:rPr>
        <w:t> shall have the meaning set forth in the preamble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 Group Interest</w:t>
      </w:r>
      <w:r>
        <w:rPr>
          <w:rFonts w:ascii="Times New Roman" w:hAnsi="Times New Roman"/>
          <w:sz w:val="17"/>
        </w:rPr>
        <w:t xml:space="preserve"> shall have the meaning set forth in </w:t>
      </w:r>
      <w:r>
        <w:rPr>
          <w:rFonts w:ascii="Times New Roman" w:hAnsi="Times New Roman"/>
          <w:sz w:val="17"/>
          <w:u w:val="single"/>
        </w:rPr>
        <w:t>Section 7.1(b)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 Interest</w:t>
      </w:r>
      <w:r>
        <w:rPr>
          <w:rFonts w:ascii="Times New Roman" w:hAnsi="Times New Roman"/>
          <w:sz w:val="17"/>
        </w:rPr>
        <w:t> means a Limited Partnership Interest or a General Partnership Interest, which refers to all of a Partners rights and interests in the Partnership in such Partners capacity as a Partner, all as provided in this Agreement and the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 Transfer</w:t>
      </w:r>
      <w:r>
        <w:rPr>
          <w:rFonts w:ascii="Times New Roman" w:hAnsi="Times New Roman"/>
          <w:sz w:val="17"/>
        </w:rPr>
        <w:t xml:space="preserve"> has the meaning set forth in </w:t>
      </w:r>
      <w:r>
        <w:rPr>
          <w:rFonts w:ascii="Times New Roman" w:hAnsi="Times New Roman"/>
          <w:sz w:val="17"/>
          <w:u w:val="single"/>
        </w:rPr>
        <w:t>Section 7.1(b)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 Security</w:t>
      </w:r>
      <w:r>
        <w:rPr>
          <w:rFonts w:ascii="Times New Roman" w:hAnsi="Times New Roman"/>
          <w:sz w:val="17"/>
        </w:rPr>
        <w:t> means any class or series of equity interest in the Partnership (but excluding any options, rights, warrants and appreciation rights relating to an equity interest in the Partnership), including without limitation, Class A Units and Class B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121" w:name="15636-2-LG-03_PB_9_034215_455"/>
      <w:bookmarkEnd w:id="12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Permitted Transfer</w:t>
      </w:r>
      <w:r>
        <w:rPr>
          <w:rFonts w:ascii="Times New Roman" w:hAnsi="Times New Roman"/>
          <w:sz w:val="17"/>
        </w:rPr>
        <w:t> shall mean: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Times New Roman" w:hAnsi="Times New Roman"/>
          <w:i/>
          <w:sz w:val="17"/>
        </w:rPr>
        <w:t>provided</w:t>
      </w:r>
      <w:r>
        <w:rPr>
          <w:rFonts w:ascii="Times New Roman" w:hAnsi="Times New Roman"/>
          <w:sz w:val="17"/>
        </w:rPr>
        <w:t>, that in any of clauses (i), (ii) or (iii), the Partner transferring such Partnership Group Interest retains exclusive power to exercise all rights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Transfer of a Partnership Group Interest by any Partner to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with respect to a Partnership Group Interest, a Transfer by a Partner to any Affiliate of such Partner;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such transfer shall be a Permitted Transfer only so long as such Partnership Group Interest or is held by such Affiliate or is otherwise transferred in another Permitted Transfer;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with respect to Class B Units, a Transfer permitted under the applicable Class B Restricted Unit Agreement and any Transfer of Vested Units in accordance with applicable securities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with respect to a Partnership Group Interest, a Transfer by either of EMG or Kayne Anderson to one of its members or partners, if applicable; </w:t>
      </w:r>
      <w:r>
        <w:rPr>
          <w:rFonts w:ascii="Times New Roman" w:hAnsi="Times New Roman"/>
          <w:i/>
          <w:sz w:val="17"/>
        </w:rPr>
        <w:t xml:space="preserve">provided, </w:t>
      </w:r>
      <w:r>
        <w:rPr>
          <w:rFonts w:ascii="Times New Roman" w:hAnsi="Times New Roman"/>
          <w:sz w:val="17"/>
        </w:rPr>
        <w:t>that such transferee agrees as a condition to such Transfer to effect, and actually effects, a substantially concurrent Exchange of such Partnership Group Interest;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a Transfer in accordance with the provisions of </w:t>
      </w:r>
      <w:r>
        <w:rPr>
          <w:rFonts w:ascii="Times New Roman" w:hAnsi="Times New Roman"/>
          <w:sz w:val="17"/>
          <w:u w:val="single"/>
        </w:rPr>
        <w:t>Section 7.8</w:t>
      </w:r>
      <w:r>
        <w:rPr>
          <w:rFonts w:ascii="Times New Roman" w:hAnsi="Times New Roman"/>
          <w:sz w:val="17"/>
        </w:rPr>
        <w:t xml:space="preserve"> or </w:t>
      </w:r>
      <w:r>
        <w:rPr>
          <w:rFonts w:ascii="Times New Roman" w:hAnsi="Times New Roman"/>
          <w:sz w:val="17"/>
          <w:u w:val="single"/>
        </w:rPr>
        <w:t>Section 7.9</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no Permitted Transfer shall be effective unless and until the transferee of the Partnership Group Interest or Class B Units so Transferred complies with </w:t>
      </w:r>
      <w:r>
        <w:rPr>
          <w:rFonts w:ascii="Times New Roman" w:hAnsi="Times New Roman"/>
          <w:sz w:val="17"/>
          <w:u w:val="single"/>
        </w:rPr>
        <w:t>Section 7.1(b)</w:t>
      </w:r>
      <w:r>
        <w:rPr>
          <w:rFonts w:ascii="Times New Roman" w:hAnsi="Times New Roman"/>
          <w:sz w:val="17"/>
        </w:rPr>
        <w:t xml:space="preserve">.  Except in the case of a Permitted Transfer  pursuant to clause (a) and (b) above, and subject to compliance with Section 7.3, a Permitted Transferee of the Partnership Group Interest or Class B Units subject to a Permitted Transfer shall become a substitute Limited Partner as described in </w:t>
      </w:r>
      <w:r>
        <w:rPr>
          <w:rFonts w:ascii="Times New Roman" w:hAnsi="Times New Roman"/>
          <w:sz w:val="17"/>
          <w:u w:val="single"/>
        </w:rPr>
        <w:t>Section 7.4</w:t>
      </w:r>
      <w:r>
        <w:rPr>
          <w:rFonts w:ascii="Times New Roman" w:hAnsi="Times New Roman"/>
          <w:sz w:val="17"/>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Permitted Transferee</w:t>
      </w:r>
      <w:r>
        <w:rPr>
          <w:rFonts w:ascii="Times New Roman" w:hAnsi="Times New Roman"/>
          <w:sz w:val="17"/>
        </w:rPr>
        <w:t> means any Person who shall have acquired a Partnership Group Interest or Class B Units pursuant to a Permitted Transfer.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Person</w:t>
      </w:r>
      <w:r>
        <w:rPr>
          <w:rFonts w:ascii="Times New Roman" w:hAnsi="Times New Roman"/>
          <w:sz w:val="17"/>
        </w:rPr>
        <w:t> means any individual, partnership, corporation, limited liability company, trust, incorporated or unincorporated organization or other legal entity of any kind.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22" w:name="15636-2-LG-03_PB_10_034225_4141"/>
      <w:bookmarkEnd w:id="12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Plains AAP Credit Facility</w:t>
      </w:r>
      <w:r>
        <w:rPr>
          <w:rFonts w:ascii="Times New Roman" w:hAnsi="Times New Roman"/>
          <w:sz w:val="17"/>
        </w:rPr>
        <w:t> means the Second Amended and Restated Credit Agreement, dated as of September 26, 2013, among AAP, the Lenders (as defined therein) and Citibank, N.A., as Administrative Agent (as defined therein) ,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Profits</w:t>
      </w:r>
      <w:r>
        <w:rPr>
          <w:rFonts w:ascii="Times New Roman" w:hAnsi="Times New Roman"/>
          <w:sz w:val="17"/>
        </w:rPr>
        <w:t> and </w:t>
      </w:r>
      <w:r>
        <w:rPr>
          <w:rFonts w:ascii="Times New Roman" w:hAnsi="Times New Roman"/>
          <w:b/>
          <w:i/>
          <w:sz w:val="17"/>
        </w:rPr>
        <w:t>Losses</w:t>
      </w:r>
      <w:r>
        <w:rPr>
          <w:rFonts w:ascii="Times New Roman" w:hAnsi="Times New Roman"/>
          <w:sz w:val="17"/>
        </w:rPr>
        <w:t> means, for each Taxable Year, an amount equal to the Partnerships net taxable income or loss for a taxable year, determined in accordance with Section 703(a) of the Code (for this purpose, all items of income, gain, loss or deduction required to be stated separately pursuant to Section 703(a)(1) of the Code shall be included in computing such taxable income or loss), with the following adjustments: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Any income of the Partnership that is exempt from federal income tax and not otherwise taken into account in computing Profits or Losses shall be added to such taxable income or loss;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expenditures of the Partnership described in Section 705(a)(2)(B) of the Code or treated as Code Section 705(a)(2)(B) expenditures pursuant to Regulation Section 1.704-1(b)(2)(iv)(i), and not otherwise taken into account in computing Profits or Losses, shall be subtracted from such taxable income or loss;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 the event the Gross Asset Value of any Partnership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In lieu of the depreciation, amortization, and other cost recovery deductions taken into account in computing such taxable income or loss, there shall be taken into account Depreciation for such Taxable Year, computed in accordance with the definition of Depreciation;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To the extent an adjustment to the adjusted tax basis of any Partnership asset pursuant to Code Section 734(b) or Code Section 743(b) is required, pursuant to Regulation Sections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such basis) from the disposition of such asset and shall be taken into account for purposes of computing Profits or Losses;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 xml:space="preserve">Profits and Losses shall not include any items specially allocated pursuant to </w:t>
      </w:r>
      <w:r>
        <w:rPr>
          <w:rFonts w:ascii="Times New Roman" w:hAnsi="Times New Roman"/>
          <w:sz w:val="17"/>
          <w:u w:val="single"/>
        </w:rPr>
        <w:t>Section 5.3</w:t>
      </w:r>
      <w:r>
        <w:rPr>
          <w:rFonts w:ascii="Times New Roman" w:hAnsi="Times New Roman"/>
          <w:sz w:val="17"/>
        </w:rPr>
        <w:t xml:space="preserve"> or </w:t>
      </w:r>
      <w:r>
        <w:rPr>
          <w:rFonts w:ascii="Times New Roman" w:hAnsi="Times New Roman"/>
          <w:sz w:val="17"/>
          <w:u w:val="single"/>
        </w:rPr>
        <w:t>5.4</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23" w:name="15636-2-LG-03_PB_11_034233_8627"/>
      <w:bookmarkEnd w:id="12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Property</w:t>
      </w:r>
      <w:r>
        <w:rPr>
          <w:rFonts w:ascii="Times New Roman" w:hAnsi="Times New Roman"/>
          <w:sz w:val="17"/>
        </w:rPr>
        <w:t> means all assets, real or intangible, that the Partnership may own or otherwise have an interest in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Pubco Offer</w:t>
      </w:r>
      <w:r>
        <w:rPr>
          <w:rFonts w:ascii="Times New Roman" w:hAnsi="Times New Roman"/>
          <w:sz w:val="17"/>
        </w:rPr>
        <w:t xml:space="preserve"> has the meaning set forth in </w:t>
      </w:r>
      <w:r>
        <w:rPr>
          <w:rFonts w:ascii="Times New Roman" w:hAnsi="Times New Roman"/>
          <w:sz w:val="17"/>
          <w:u w:val="single"/>
        </w:rPr>
        <w:t>Section 7.9(i)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Qualifying Interest Holder</w:t>
      </w:r>
      <w:r>
        <w:rPr>
          <w:rFonts w:ascii="Times New Roman" w:hAnsi="Times New Roman"/>
          <w:sz w:val="17"/>
        </w:rPr>
        <w:t> means a Person holding a 10% or greater Qualifying Interest (as such term is defined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Record Date</w:t>
      </w:r>
      <w:r>
        <w:rPr>
          <w:rFonts w:ascii="Times New Roman" w:hAnsi="Times New Roman"/>
          <w:sz w:val="17"/>
        </w:rPr>
        <w:t> means the date established by Holdings GP for determining the identity of holders of PAGP Class A Shares entitled to receive any cash distribution made in accordance with the PAGP LP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Regulations</w:t>
      </w:r>
      <w:r>
        <w:rPr>
          <w:rFonts w:ascii="Times New Roman" w:hAnsi="Times New Roman"/>
          <w:sz w:val="17"/>
        </w:rPr>
        <w:t> means the regulations, including temporary regulations, promulgated by the United States Department of Treasury with respect to the Code, as such regulations are amended from time to time, or corresponding provisions of future regulations.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Regulatory Allocations</w:t>
      </w:r>
      <w:r>
        <w:rPr>
          <w:rFonts w:ascii="Times New Roman" w:hAnsi="Times New Roman"/>
          <w:sz w:val="17"/>
        </w:rPr>
        <w:t xml:space="preserve"> shall have the meaning set forth in </w:t>
      </w:r>
      <w:r>
        <w:rPr>
          <w:rFonts w:ascii="Times New Roman" w:hAnsi="Times New Roman"/>
          <w:sz w:val="17"/>
          <w:u w:val="single"/>
        </w:rPr>
        <w:t>Section 5.4(c)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Representative</w:t>
      </w:r>
      <w:r>
        <w:rPr>
          <w:rFonts w:ascii="Times New Roman" w:hAnsi="Times New Roman"/>
          <w:sz w:val="17"/>
        </w:rPr>
        <w:t xml:space="preserve"> has the meaning set forth in </w:t>
      </w:r>
      <w:r>
        <w:rPr>
          <w:rFonts w:ascii="Times New Roman" w:hAnsi="Times New Roman"/>
          <w:sz w:val="17"/>
          <w:u w:val="single"/>
        </w:rPr>
        <w:t>Section 9.6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Revocation Notice</w:t>
      </w:r>
      <w:r>
        <w:rPr>
          <w:rFonts w:ascii="Times New Roman" w:hAnsi="Times New Roman"/>
          <w:sz w:val="17"/>
        </w:rPr>
        <w:t xml:space="preserve"> has the meaning set forth in </w:t>
      </w:r>
      <w:r>
        <w:rPr>
          <w:rFonts w:ascii="Times New Roman" w:hAnsi="Times New Roman"/>
          <w:sz w:val="17"/>
          <w:u w:val="single"/>
        </w:rPr>
        <w:t>Section 7.9(g)</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Selling Partner</w:t>
      </w:r>
      <w:r>
        <w:rPr>
          <w:rFonts w:ascii="Times New Roman" w:hAnsi="Times New Roman"/>
          <w:sz w:val="17"/>
        </w:rPr>
        <w:t xml:space="preserve"> shall have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Sixth A&amp;R Limited Partnership Agreement</w:t>
      </w:r>
      <w:r>
        <w:rPr>
          <w:rFonts w:ascii="Times New Roman" w:hAnsi="Times New Roman"/>
          <w:sz w:val="17"/>
        </w:rPr>
        <w:t> has the meaning set forth in the recitals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Subsequent Grant Date</w:t>
      </w:r>
      <w:r>
        <w:rPr>
          <w:rFonts w:ascii="Times New Roman" w:hAnsi="Times New Roman"/>
          <w:sz w:val="17"/>
        </w:rPr>
        <w:t xml:space="preserve"> means any date on which any Class B Units are granted following the date of the initial grant of Class B Units (as set forth on </w:t>
      </w:r>
      <w:r>
        <w:rPr>
          <w:rFonts w:ascii="Times New Roman" w:hAnsi="Times New Roman"/>
          <w:sz w:val="17"/>
          <w:u w:val="single"/>
        </w:rPr>
        <w:t>Schedule 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Subsequent Grant Date Partnership Capital</w:t>
      </w:r>
      <w:r>
        <w:rPr>
          <w:rFonts w:ascii="Times New Roman" w:hAnsi="Times New Roman"/>
          <w:sz w:val="17"/>
        </w:rPr>
        <w:t xml:space="preserve"> means, with respect to any Subsequent Grant Date, an amount equal to the aggregate Capital Account balances as of such date of the Class A Partners and the Class B Partners, which amount shall be set forth in an amendment to </w:t>
      </w:r>
      <w:r>
        <w:rPr>
          <w:rFonts w:ascii="Times New Roman" w:hAnsi="Times New Roman"/>
          <w:sz w:val="17"/>
          <w:u w:val="single"/>
        </w:rPr>
        <w:t>Schedule I</w:t>
      </w:r>
      <w:r>
        <w:rPr>
          <w:rFonts w:ascii="Times New Roman" w:hAnsi="Times New Roman"/>
          <w:sz w:val="17"/>
        </w:rPr>
        <w:t xml:space="preserve"> approved by the General Partner in good faith.  Each Subsequent Grant Date Partnership Capital shall be reduced by the amount of any Distribution Loan Proceeds distributed under </w:t>
      </w:r>
      <w:r>
        <w:rPr>
          <w:rFonts w:ascii="Times New Roman" w:hAnsi="Times New Roman"/>
          <w:sz w:val="17"/>
          <w:u w:val="single"/>
        </w:rPr>
        <w:t>Section 4.1(a)</w:t>
      </w:r>
      <w:r>
        <w:rPr>
          <w:rFonts w:ascii="Times New Roman" w:hAnsi="Times New Roman"/>
          <w:sz w:val="17"/>
        </w:rPr>
        <w:t> after the date of the such Subsequent Grant Date and increased by the principal amount of any Distribution Loan assumed or paid by any entity that directly or indirectly owns the Class A Units after the date of such Subsequent Grant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Subsidiary</w:t>
      </w:r>
      <w:r>
        <w:rPr>
          <w:rFonts w:ascii="Times New Roman" w:hAnsi="Times New Roman"/>
          <w:sz w:val="17"/>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24" w:name="15636-2-LG-03_PB_12_034241_7906"/>
      <w:bookmarkEnd w:id="12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 partner, managing member or other similar controlling Person, is at the time owned or controlled, directly or indirectly, by such Person or one or more Subsidiaries of that Person or a combination thereof.  For purposes of this Agreement, with respect to the Partnership, each of PAA GP and the MLP, and each of their respective Subsidiaries, shall be a Subsidiary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Taxable Year</w:t>
      </w:r>
      <w:r>
        <w:rPr>
          <w:rFonts w:ascii="Times New Roman" w:hAnsi="Times New Roman"/>
          <w:sz w:val="17"/>
        </w:rPr>
        <w:t> shall mean the calendar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w:t>
      </w:r>
      <w:r>
        <w:rPr>
          <w:rFonts w:ascii="Times New Roman" w:hAnsi="Times New Roman"/>
          <w:sz w:val="17"/>
        </w:rPr>
        <w:t> or </w:t>
      </w:r>
      <w:r>
        <w:rPr>
          <w:rFonts w:ascii="Times New Roman" w:hAnsi="Times New Roman"/>
          <w:b/>
          <w:i/>
          <w:sz w:val="17"/>
        </w:rPr>
        <w:t>Transferred</w:t>
      </w:r>
      <w:r>
        <w:rPr>
          <w:rFonts w:ascii="Times New Roman" w:hAnsi="Times New Roman"/>
          <w:sz w:val="17"/>
        </w:rPr>
        <w:t> means to give, sell, exchange, assign, transfer, pledge, mortgage, hypothecate, bequeath, devise or otherwise dispose of or subject to any Encumbrance, voluntarily or involuntarily, by operation of law or otherwise.  When referring to Partnership Group Interests or Class B Units, </w:t>
      </w:r>
      <w:r>
        <w:rPr>
          <w:rFonts w:ascii="Times New Roman" w:hAnsi="Times New Roman"/>
          <w:b/>
          <w:i/>
          <w:sz w:val="17"/>
        </w:rPr>
        <w:t>Transfer</w:t>
      </w:r>
      <w:r>
        <w:rPr>
          <w:rFonts w:ascii="Times New Roman" w:hAnsi="Times New Roman"/>
          <w:sz w:val="17"/>
        </w:rPr>
        <w:t> shall mean the Transfer of such Partnership Group Interests or Class B Units whether of record, beneficially, by participation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 Agent</w:t>
      </w:r>
      <w:r>
        <w:rPr>
          <w:rFonts w:ascii="Times New Roman" w:hAnsi="Times New Roman"/>
          <w:sz w:val="17"/>
        </w:rPr>
        <w:t xml:space="preserve"> has the meaning set forth in </w:t>
      </w:r>
      <w:r>
        <w:rPr>
          <w:rFonts w:ascii="Times New Roman" w:hAnsi="Times New Roman"/>
          <w:sz w:val="17"/>
          <w:u w:val="single"/>
        </w:rPr>
        <w:t>Section 7.9(b)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Unapplied Cumulative Carryover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Vested Unit</w:t>
      </w:r>
      <w:r>
        <w:rPr>
          <w:rFonts w:ascii="Times New Roman" w:hAnsi="Times New Roman"/>
          <w:sz w:val="17"/>
        </w:rPr>
        <w:t> means a Class B Unit that constitutes a Vested Unit under the Class B Restricted Unit Agreement pursuant to which such Class B Unit was issued.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Voting Stock</w:t>
      </w:r>
      <w:r>
        <w:rPr>
          <w:rFonts w:ascii="Times New Roman" w:hAnsi="Times New Roman"/>
          <w:sz w:val="17"/>
        </w:rPr>
        <w:t> means, with respect to any Person, the capital stock, membership interests, partnership interests or similar equity interests that are entitled to vote in the election of the board of directors or similar governing body of such Person or otherwise exercise similar control of such Person.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II</w:t>
        <w:br/>
        <w:t>ORGANIZATION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2.1</w:t>
      </w:r>
      <w:r>
        <w:rPr>
          <w:rFonts w:ascii="Times New Roman" w:hAnsi="Times New Roman"/>
        </w:rPr>
        <w:t xml:space="preserve">                               </w:t>
      </w:r>
      <w:r>
        <w:rPr>
          <w:rFonts w:ascii="Times New Roman" w:hAnsi="Times New Roman"/>
          <w:b/>
          <w:sz w:val="17"/>
        </w:rPr>
        <w:t>Formation of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General Partner has previously formed the Partnership as a limited partnership pursuant to the provisions of the Act and the parties hereto hereby agree to amend and restate the Sixth A&amp;R Limited Partnership Agreement in its entirety.  The parties hereto acknowledge that they intend that the Partnership be taxed as a partnership and not as an association taxable as a corporation for federal income tax purposes.  No election may be made to treat the Partnership as other than a partnership for federal income tax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2.2</w:t>
      </w:r>
      <w:r>
        <w:rPr>
          <w:rFonts w:ascii="Times New Roman" w:hAnsi="Times New Roman"/>
        </w:rPr>
        <w:t xml:space="preserve">                               </w:t>
      </w:r>
      <w:r>
        <w:rPr>
          <w:rFonts w:ascii="Times New Roman" w:hAnsi="Times New Roman"/>
          <w:b/>
          <w:sz w:val="17"/>
        </w:rPr>
        <w:t>Name of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name of the Partnership is Plains AAP, L.P. or such other name as the General Partner may hereafter adopt from time to time.  The General Partner shall execute and file in the proper offices such certificates as may be required by any assumed name act or similar law in effect in the jurisdictions in which the Partnership may elect to conduct business.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125" w:name="15636-2-LG-03_PB_13_034252_3736"/>
      <w:bookmarkEnd w:id="125"/>
    </w:p>
    <w:p>
      <w:pPr>
        <w:pStyle w:val="HorizontalLine"/>
        <w:pBdr>
          <w:bottom w:val="single" w:sz="18" w:space="0" w:color="010101"/>
        </w:pBdr>
        <w:spacing w:before="0" w:after="0"/>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2.3</w:t>
      </w:r>
      <w:r>
        <w:rPr>
          <w:rFonts w:ascii="Times New Roman" w:hAnsi="Times New Roman"/>
        </w:rPr>
        <w:t xml:space="preserve">                               </w:t>
      </w:r>
      <w:r>
        <w:rPr>
          <w:rFonts w:ascii="Times New Roman" w:hAnsi="Times New Roman"/>
          <w:b/>
          <w:sz w:val="17"/>
        </w:rPr>
        <w:t>Principal Office; Registered Office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principal office address of the Partnership is located at 333 Clay Street, Suite 1600, Houston, Texas 77002, or such other place as the General Partner designates from time to time.  The registered office address and the name of the registered agent of the Partnership for service of process on the Partnership in the State of Delaware is as stated in the Certificate or as designated from time to time by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2.4</w:t>
      </w:r>
      <w:r>
        <w:rPr>
          <w:rFonts w:ascii="Times New Roman" w:hAnsi="Times New Roman"/>
        </w:rPr>
        <w:t xml:space="preserve">                               </w:t>
      </w:r>
      <w:r>
        <w:rPr>
          <w:rFonts w:ascii="Times New Roman" w:hAnsi="Times New Roman"/>
          <w:b/>
          <w:sz w:val="17"/>
        </w:rPr>
        <w:t>Term of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term of the Partnership commenced on May 21, 2001 and shall continue until dissolved pursuant to </w:t>
      </w:r>
      <w:r>
        <w:rPr>
          <w:rFonts w:ascii="Times New Roman" w:hAnsi="Times New Roman"/>
          <w:sz w:val="17"/>
          <w:u w:val="single"/>
        </w:rPr>
        <w:t>Section 8.1</w:t>
      </w:r>
      <w:r>
        <w:rPr>
          <w:rFonts w:ascii="Times New Roman" w:hAnsi="Times New Roman"/>
          <w:sz w:val="17"/>
        </w:rPr>
        <w:t xml:space="preserve"> hereof.  The legal existence of the Partnership as a separate legal entity continues until the cancellation of the Certificate.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2.5</w:t>
      </w:r>
      <w:r>
        <w:rPr>
          <w:rFonts w:ascii="Times New Roman" w:hAnsi="Times New Roman"/>
        </w:rPr>
        <w:t xml:space="preserve">                               </w:t>
      </w:r>
      <w:r>
        <w:rPr>
          <w:rFonts w:ascii="Times New Roman" w:hAnsi="Times New Roman"/>
          <w:b/>
          <w:sz w:val="17"/>
        </w:rPr>
        <w:t>Purpose of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is formed for the object and purpose of, and the nature of the business to be conducted and promoted by the Partnership is (a) acting as the sole member of the limited liability company that acts as the general partner of the MLP pursuant to the MLP Agreement, (b) holding partnership interests and the incentive distribution rights in the MLP and (c) engaging in any and all activities necessary or incidental to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2.6</w:t>
      </w:r>
      <w:r>
        <w:rPr>
          <w:rFonts w:ascii="Times New Roman" w:hAnsi="Times New Roman"/>
        </w:rPr>
        <w:t xml:space="preserve">                               </w:t>
      </w:r>
      <w:r>
        <w:rPr>
          <w:rFonts w:ascii="Times New Roman" w:hAnsi="Times New Roman"/>
          <w:b/>
          <w:sz w:val="17"/>
        </w:rPr>
        <w:t>Actions by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may execute, deliver and perform all contracts, agreements and other undertakings and engage in all activities and transactions as may in the opinion of the General Partner be necessary or advisable to carry out its objects.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2.7</w:t>
      </w:r>
      <w:r>
        <w:rPr>
          <w:rFonts w:ascii="Times New Roman" w:hAnsi="Times New Roman"/>
        </w:rPr>
        <w:t xml:space="preserve">                               </w:t>
      </w:r>
      <w:r>
        <w:rPr>
          <w:rFonts w:ascii="Times New Roman" w:hAnsi="Times New Roman"/>
          <w:b/>
          <w:sz w:val="17"/>
        </w:rPr>
        <w:t>Reliance by Third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Persons dealing with the Partnership are entitled to rely conclusively upon the power and authority of the General Partner as herein set forth.</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III</w:t>
      </w:r>
    </w:p>
    <w:p>
      <w:pPr>
        <w:pStyle w:val="TextBody"/>
        <w:spacing w:before="0" w:after="0"/>
        <w:ind w:left="0" w:right="0" w:hanging="0"/>
        <w:jc w:val="center"/>
        <w:rPr>
          <w:rFonts w:ascii="Times New Roman" w:hAnsi="Times New Roman"/>
          <w:b/>
          <w:sz w:val="17"/>
        </w:rPr>
      </w:pPr>
      <w:r>
        <w:rPr>
          <w:rFonts w:ascii="Times New Roman" w:hAnsi="Times New Roman"/>
          <w:b/>
          <w:sz w:val="17"/>
        </w:rPr>
        <w:t>CAPITAL</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3.1</w:t>
      </w:r>
      <w:r>
        <w:rPr>
          <w:rFonts w:ascii="Times New Roman" w:hAnsi="Times New Roman"/>
        </w:rPr>
        <w:t xml:space="preserve">                               </w:t>
      </w:r>
      <w:r>
        <w:rPr>
          <w:rFonts w:ascii="Times New Roman" w:hAnsi="Times New Roman"/>
          <w:b/>
          <w:sz w:val="17"/>
        </w:rPr>
        <w:t>Capital Contributions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As of the date hereof, there are [</w:t>
      </w:r>
      <w:r>
        <w:rPr>
          <w:rFonts w:ascii="Symbol" w:hAnsi="Symbol"/>
          <w:sz w:val="17"/>
        </w:rPr>
        <w:t>·</w:t>
      </w:r>
      <w:r>
        <w:rPr>
          <w:rFonts w:ascii="Times New Roman" w:hAnsi="Times New Roman"/>
          <w:sz w:val="17"/>
        </w:rPr>
        <w:t>] Class A Units outstanding and [</w:t>
      </w:r>
      <w:r>
        <w:rPr>
          <w:rFonts w:ascii="Symbol" w:hAnsi="Symbol"/>
          <w:sz w:val="17"/>
        </w:rPr>
        <w:t>·</w:t>
      </w:r>
      <w:r>
        <w:rPr>
          <w:rFonts w:ascii="Times New Roman" w:hAnsi="Times New Roman"/>
          <w:sz w:val="17"/>
        </w:rPr>
        <w:t xml:space="preserve">] Class B Units outstanding.  </w:t>
      </w:r>
      <w:r>
        <w:rPr>
          <w:rFonts w:ascii="Times New Roman" w:hAnsi="Times New Roman"/>
          <w:sz w:val="17"/>
          <w:u w:val="single"/>
        </w:rPr>
        <w:t>Schedule I</w:t>
      </w:r>
      <w:r>
        <w:rPr>
          <w:rFonts w:ascii="Times New Roman" w:hAnsi="Times New Roman"/>
          <w:sz w:val="17"/>
        </w:rPr>
        <w:t xml:space="preserve"> sets forth the ownership of outstanding Class A Units and Class B Units, and may be amended from time to time by the Partnership to reflect the issuance of additional Class A Units or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requested and to the extent not funded with borrowings under the Plains AAP Credit Facility or otherwise, each Limited Partner agrees to make Capital Contributions in proportion to such Limited Partners Contribution Percentage to fund the Partnerships capital contribution necessary to maintain its indirect ownership of a 2.0% general partner interest in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126" w:name="15636-2-LG-05_PB_14_033257_7056"/>
      <w:bookmarkEnd w:id="12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MLP upon issuances of equity by the MLP pursuant to </w:t>
      </w:r>
      <w:r>
        <w:rPr>
          <w:rFonts w:ascii="Times New Roman" w:hAnsi="Times New Roman"/>
          <w:sz w:val="17"/>
          <w:u w:val="single"/>
        </w:rPr>
        <w:t>Section 5.2(b)</w:t>
      </w:r>
      <w:r>
        <w:rPr>
          <w:rFonts w:ascii="Times New Roman" w:hAnsi="Times New Roman"/>
          <w:sz w:val="17"/>
        </w:rPr>
        <w:t> of the MLP Partnership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3.2</w:t>
      </w:r>
      <w:r>
        <w:rPr>
          <w:rFonts w:ascii="Times New Roman" w:hAnsi="Times New Roman"/>
        </w:rPr>
        <w:t xml:space="preserve">                               </w:t>
      </w:r>
      <w:r>
        <w:rPr>
          <w:rFonts w:ascii="Times New Roman" w:hAnsi="Times New Roman"/>
          <w:b/>
          <w:sz w:val="17"/>
        </w:rPr>
        <w:t>Additional Capital Contributions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No Partner shall be required to make any additional Capital Contribution other than as required under </w:t>
      </w:r>
      <w:r>
        <w:rPr>
          <w:rFonts w:ascii="Times New Roman" w:hAnsi="Times New Roman"/>
          <w:sz w:val="17"/>
          <w:u w:val="single"/>
        </w:rPr>
        <w:t>Section 3.1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Subject to the restrictions contained in </w:t>
      </w:r>
      <w:r>
        <w:rPr>
          <w:rFonts w:ascii="Times New Roman" w:hAnsi="Times New Roman"/>
          <w:sz w:val="17"/>
          <w:u w:val="single"/>
        </w:rPr>
        <w:t>Section 3.5</w:t>
      </w:r>
      <w:r>
        <w:rPr>
          <w:rFonts w:ascii="Times New Roman" w:hAnsi="Times New Roman"/>
          <w:sz w:val="17"/>
        </w:rPr>
        <w:t xml:space="preserve"> of the Class B Restricted Unit Agreement, the Partnership may issue additional Partnership Interests to any Person with the approval of the General Partner.  The names, addresses and Capital Contributions of the Partners shall be reflected in the books and records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3.3</w:t>
      </w:r>
      <w:r>
        <w:rPr>
          <w:rFonts w:ascii="Times New Roman" w:hAnsi="Times New Roman"/>
        </w:rPr>
        <w:t xml:space="preserve">                               </w:t>
      </w:r>
      <w:r>
        <w:rPr>
          <w:rFonts w:ascii="Times New Roman" w:hAnsi="Times New Roman"/>
          <w:b/>
          <w:sz w:val="17"/>
        </w:rPr>
        <w:t>Loans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 Partner shall be obligated to loan funds to the Partnership.  Loans by a Partner to the Partnership shall not be considered Capital Contributions.  The amount of any such loan shall be a debt of the Partnership owed to such Partner in accordance with the terms and conditions upon which such loan is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Partner may (but shall not be obligated to) guarantee a loan made to the Partnership.  If a Partner guarantees a loan made to the Partnership and is required to make payment pursuant to such guarantee to the maker of the loan, then the amounts so paid to the maker of the loan shall be treated as a loan by such Partner to the Partnership and not as an additional Capital Contribution.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3.4</w:t>
      </w:r>
      <w:r>
        <w:rPr>
          <w:rFonts w:ascii="Times New Roman" w:hAnsi="Times New Roman"/>
        </w:rPr>
        <w:t xml:space="preserve">                               </w:t>
      </w:r>
      <w:r>
        <w:rPr>
          <w:rFonts w:ascii="Times New Roman" w:hAnsi="Times New Roman"/>
          <w:b/>
          <w:sz w:val="17"/>
        </w:rPr>
        <w:t>Maintenance of Capital Accounts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Partnership shall maintain for each Partner a separate Capital Account with respect to the Limited Partnership Interest owned by such Partner in accordance with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To each Partners Capital Account there shall be credited (A) such Partners Capital Contributions, (B) such Partners share of Profits and items of income and gain allocated to such Partner pursuant to </w:t>
      </w:r>
      <w:r>
        <w:rPr>
          <w:rFonts w:ascii="Times New Roman" w:hAnsi="Times New Roman"/>
          <w:sz w:val="17"/>
          <w:u w:val="single"/>
        </w:rPr>
        <w:t>Sections 5.3</w:t>
      </w:r>
      <w:r>
        <w:rPr>
          <w:rFonts w:ascii="Times New Roman" w:hAnsi="Times New Roman"/>
          <w:sz w:val="17"/>
        </w:rPr>
        <w:t xml:space="preserve"> or </w:t>
      </w:r>
      <w:r>
        <w:rPr>
          <w:rFonts w:ascii="Times New Roman" w:hAnsi="Times New Roman"/>
          <w:sz w:val="17"/>
          <w:u w:val="single"/>
        </w:rPr>
        <w:t>5.4</w:t>
      </w:r>
      <w:r>
        <w:rPr>
          <w:rFonts w:ascii="Times New Roman" w:hAnsi="Times New Roman"/>
          <w:sz w:val="17"/>
        </w:rPr>
        <w:t>, and (C) the amount of any Partnership liabilities assumed by such Partner or which are secured by any Property distributed to such Partner.  The principal amount of a promissory note which is not readily traded on an established securities market and which is contributed to the Partnership by the maker of the note (or a Partner related to the maker of the note within the meaning of Regulation Section 1.704-1(b)(2)(ii)(c)) shall not be included in the Capital Account of any Partner until the Partnership makes a taxable disposition of the note or until (and only to the extent) principal payments are made on the note, all in accordance with Regulation Section 1.704-1(b)(2)(iv)(d)(2);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To each Partners Capital Account there shall be debited (A) the amount of money and the Gross Asset Value of any Property distributed or treated as an advance distribution to such Partner pursuant to any provision of this Agreement (including without limitation any distributions pursuant to </w:t>
      </w:r>
      <w:r>
        <w:rPr>
          <w:rFonts w:ascii="Times New Roman" w:hAnsi="Times New Roman"/>
          <w:sz w:val="17"/>
          <w:u w:val="single"/>
        </w:rPr>
        <w:t>Section 4.1</w:t>
      </w:r>
      <w:r>
        <w:rPr>
          <w:rFonts w:ascii="Times New Roman" w:hAnsi="Times New Roman"/>
          <w:sz w:val="17"/>
        </w:rPr>
        <w:t>), (B) such Partners share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127" w:name="15636-2-LG-05_PB_15_033308_5335"/>
      <w:bookmarkEnd w:id="12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Losses and items of loss and deduction allocated to such Partner pursuant to </w:t>
      </w:r>
      <w:r>
        <w:rPr>
          <w:rFonts w:ascii="Times New Roman" w:hAnsi="Times New Roman"/>
          <w:sz w:val="17"/>
          <w:u w:val="single"/>
        </w:rPr>
        <w:t>Section 5.4</w:t>
      </w:r>
      <w:r>
        <w:rPr>
          <w:rFonts w:ascii="Times New Roman" w:hAnsi="Times New Roman"/>
          <w:sz w:val="17"/>
        </w:rPr>
        <w:t>, and (C) the amount of any liabilities of such Partner assumed by the Partnership or which are secured by any Property contributed by such Partner to the Partnership;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In the event Partnership Interests are Transferred in accordance with the terms of this Agreement, the transferee shall succeed to the Capital Account of the transferor to the extent such Capital Account relates to the Transferred Partnership Interests;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 xml:space="preserve">In determining the amount of any liability for purposes of </w:t>
      </w:r>
      <w:r>
        <w:rPr>
          <w:rFonts w:ascii="Times New Roman" w:hAnsi="Times New Roman"/>
          <w:sz w:val="17"/>
          <w:u w:val="single"/>
        </w:rPr>
        <w:t>Sections 3.4(a)(i)</w:t>
      </w:r>
      <w:r>
        <w:rPr>
          <w:rFonts w:ascii="Times New Roman" w:hAnsi="Times New Roman"/>
          <w:sz w:val="17"/>
        </w:rPr>
        <w:t xml:space="preserve"> and </w:t>
      </w:r>
      <w:r>
        <w:rPr>
          <w:rFonts w:ascii="Times New Roman" w:hAnsi="Times New Roman"/>
          <w:sz w:val="17"/>
          <w:u w:val="single"/>
        </w:rPr>
        <w:t>(ii)</w:t>
      </w:r>
      <w:r>
        <w:rPr>
          <w:rFonts w:ascii="Times New Roman" w:hAnsi="Times New Roman"/>
          <w:sz w:val="17"/>
        </w:rPr>
        <w:t> there shall be taken into account Code Section 752(c) and any other applicable provisions of the Code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The foregoing </w:t>
      </w:r>
      <w:r>
        <w:rPr>
          <w:rFonts w:ascii="Times New Roman" w:hAnsi="Times New Roman"/>
          <w:sz w:val="17"/>
          <w:u w:val="single"/>
        </w:rPr>
        <w:t>Section 3.4(a)</w:t>
      </w:r>
      <w:r>
        <w:rPr>
          <w:rFonts w:ascii="Times New Roman" w:hAnsi="Times New Roman"/>
          <w:sz w:val="17"/>
        </w:rPr>
        <w:t> and the other provisions of this Agreement relating to the maintenance of Capital Accounts are intended to comply with Regulation Section 1.704-1(b) and, to the greatest extent practicable, shall be interpreted and applied in a manner consistent with such Regulation.  The General Partner in its discretion and to the extent otherwise consistent with the terms of this Agreement shall (i) make any adjustments that are necessary or appropriate to maintain equality between the Capital Accounts of the Partners and the amount of capital reflected on the Partnerships balance sheet, as computed for book purposes, in accordance with Regulation Section 1.704-1(b)(2)(iv)(q), and (ii) make any appropriate modifications in the event unanticipated events might otherwise cause this Agreement not to comply with Regulation Section 1.704-1(b).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3.5</w:t>
      </w:r>
      <w:r>
        <w:rPr>
          <w:rFonts w:ascii="Times New Roman" w:hAnsi="Times New Roman"/>
        </w:rPr>
        <w:t xml:space="preserve">                               </w:t>
      </w:r>
      <w:r>
        <w:rPr>
          <w:rFonts w:ascii="Times New Roman" w:hAnsi="Times New Roman"/>
          <w:b/>
          <w:sz w:val="17"/>
        </w:rPr>
        <w:t>Capital Withdrawal Rights, Interest and Priority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expressly provided in this Agreement, no Partner shall be entitled to (a) withdraw or reduce such Partners Capital Contribution or to receive any distributions from the Partnership, or (b) receive or be credited with any interest on the balance of such Partners Capital Contribution at any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3.6</w:t>
      </w:r>
      <w:r>
        <w:rPr>
          <w:rFonts w:ascii="Times New Roman" w:hAnsi="Times New Roman"/>
        </w:rPr>
        <w:t xml:space="preserve">                               </w:t>
      </w:r>
      <w:r>
        <w:rPr>
          <w:rFonts w:ascii="Times New Roman" w:hAnsi="Times New Roman"/>
          <w:b/>
          <w:sz w:val="17"/>
        </w:rPr>
        <w:t>Class B Partners Profits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Class B Units have been, and may in the future be, issued for zero consideration in order to provide additional incentives for the Class B Partners to build value for the Partnership and achieve its business goals. Each Class B Unit represents an interest in the Partnership of the nature commonly referred to as a profits interest (as described in Revenue Procedure 93-27, 1993-2 C.B. 343 and Revenue Procedure 2001-43, 2001-2 C.B. 191), and represents an interest in future Partnership profits and losses from operations, current distributions from operations, and an interest in future appreciation or depreciation in the Partnership asset values as set forth in this Agreement, but which does not represent an interest in Initial Grant Date Partnership Capital or Subsequent Grant Date Partnership Capital (as applicable) as determined on the date such Class B Unit is or was issued.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128" w:name="15636-2-LG-05_PB_16_033316_5796"/>
      <w:bookmarkEnd w:id="12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3.7</w:t>
      </w:r>
      <w:r>
        <w:rPr>
          <w:rFonts w:ascii="Times New Roman" w:hAnsi="Times New Roman"/>
        </w:rPr>
        <w:t xml:space="preserve">                               </w:t>
      </w:r>
      <w:r>
        <w:rPr>
          <w:rFonts w:ascii="Times New Roman" w:hAnsi="Times New Roman"/>
          <w:b/>
          <w:sz w:val="17"/>
        </w:rPr>
        <w:t>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General Partner Interest is a non-economic interest and does not include any rights to profits or losses or any rights to receive distributions from operations or upon the liquidation or winding-up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3.8</w:t>
      </w:r>
      <w:r>
        <w:rPr>
          <w:rFonts w:ascii="Times New Roman" w:hAnsi="Times New Roman"/>
        </w:rPr>
        <w:t xml:space="preserve">                               </w:t>
      </w:r>
      <w:r>
        <w:rPr>
          <w:rFonts w:ascii="Times New Roman" w:hAnsi="Times New Roman"/>
          <w:b/>
          <w:sz w:val="17"/>
        </w:rPr>
        <w:t>Splits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distribution, subdivision or combination of the Class A Units shall be accompanied by a simultaneous and proportionate distribution, subdivision or combination of the Class B Units pursuant to this Agreement, the General Partner Units pursuant to the Holdings GP LLC Agreement, and the PAGP Class A Shares and PAGP Class B shares pursuant to the PAGP LP Agreement, and vice versa.  This provision shall not be amended unless corresponding changes are made the Holdings GP LLC Agreement and the PAGP LP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IV</w:t>
      </w:r>
    </w:p>
    <w:p>
      <w:pPr>
        <w:pStyle w:val="TextBody"/>
        <w:spacing w:before="0" w:after="0"/>
        <w:ind w:left="0" w:right="0" w:hanging="0"/>
        <w:jc w:val="center"/>
        <w:rPr>
          <w:rFonts w:ascii="Times New Roman" w:hAnsi="Times New Roman"/>
          <w:b/>
          <w:sz w:val="17"/>
        </w:rPr>
      </w:pPr>
      <w:r>
        <w:rPr>
          <w:rFonts w:ascii="Times New Roman" w:hAnsi="Times New Roman"/>
          <w:b/>
          <w:sz w:val="17"/>
        </w:rPr>
        <w:t>DISTRIBUTIONS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4.1</w:t>
      </w:r>
      <w:r>
        <w:rPr>
          <w:rFonts w:ascii="Times New Roman" w:hAnsi="Times New Roman"/>
        </w:rPr>
        <w:t xml:space="preserve">                               </w:t>
      </w:r>
      <w:r>
        <w:rPr>
          <w:rFonts w:ascii="Times New Roman" w:hAnsi="Times New Roman"/>
          <w:b/>
          <w:sz w:val="17"/>
        </w:rPr>
        <w:t>Distributions of Available Cash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 amount equal to 100% of Available Cash with respect to each fiscal quarter of the Partnership shall be distributed to the Partners within forty-five days after the end of such quarter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first, to the Class A Partners, pro rata based on the number of Class A Units held, an amount equal to any Distribution Loan Proceeds included in Available Cash for such quarter (which amount may be distributed separately from and prior to distribution of other Available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second, to the Class A Partners, pro rata based on the number of Class A Units held, until the aggregate amount of distributions paid pursuant to this </w:t>
      </w:r>
      <w:r>
        <w:rPr>
          <w:rFonts w:ascii="Times New Roman" w:hAnsi="Times New Roman"/>
          <w:sz w:val="17"/>
          <w:u w:val="single"/>
        </w:rPr>
        <w:t>Section 4.1(b)</w:t>
      </w:r>
      <w:r>
        <w:rPr>
          <w:rFonts w:ascii="Times New Roman" w:hAnsi="Times New Roman"/>
          <w:sz w:val="17"/>
        </w:rPr>
        <w:t> in respect of such quarter equals the Distribution Threshold Amount for such quarter;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thereafter, to the Class A Partners and the Class B Partners, pro rata based on the number of Class A Units, Earned Units and/or Vested Units held.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For the purposes of this </w:t>
      </w:r>
      <w:r>
        <w:rPr>
          <w:rFonts w:ascii="Times New Roman" w:hAnsi="Times New Roman"/>
          <w:sz w:val="17"/>
          <w:u w:val="single"/>
        </w:rPr>
        <w:t>Section 4.1</w:t>
      </w:r>
      <w:r>
        <w:rPr>
          <w:rFonts w:ascii="Times New Roman" w:hAnsi="Times New Roman"/>
          <w:sz w:val="17"/>
        </w:rPr>
        <w:t>, the following terms have the meanings set forth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Applicable Carryover Amount</w:t>
      </w:r>
      <w:r>
        <w:rPr>
          <w:rFonts w:ascii="Times New Roman" w:hAnsi="Times New Roman"/>
          <w:sz w:val="17"/>
        </w:rPr>
        <w:t> means, with respect to a particular fiscal quarter, an amount of the Cumulative Carryover Amount equal to the lesser of (i) the Unapplied Cumulative Carryover Amount for such quarter and (ii) the amount, if any, by which $11 million exceeds the Applicable Debt Service Amount for such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Applicable Debt Service Amount</w:t>
      </w:r>
      <w:r>
        <w:rPr>
          <w:rFonts w:ascii="Times New Roman" w:hAnsi="Times New Roman"/>
          <w:sz w:val="17"/>
        </w:rPr>
        <w:t> means, with respect to any fiscal quarter, the aggregate amount, if any, of principal, interest, fees and related expenses in respect of any Distribution Loan or Distribution Loans (i) paid by the Partnership or any of its Subsidiaries during such quarter for which no reserve had previously been established or (ii) for which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129" w:name="15636-2-LG-05_PB_17_033331_2897"/>
      <w:bookmarkEnd w:id="12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reserve is established by the Partnership during such quarter that reduces Available Cash for such quarter;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(x) notwithstanding the foregoing, the Applicable Debt Service Amount shall not include that portion of any such payment that is funded with the proceeds of indebtedness incurred by the Partnership or any of its Subsidiaries (it being understood that any such indebtedness shall constitute a Distribution Loan) and (y) for the avoidance of doubt, any payment of principal, interest, fees or related expenses in respect of any Distribution Loan that is made by any Person other than the Partnership or any of its Subsidiaries shall not constitute Applicable Debt Service Amount.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Carryover Amount</w:t>
      </w:r>
      <w:r>
        <w:rPr>
          <w:rFonts w:ascii="Times New Roman" w:hAnsi="Times New Roman"/>
          <w:sz w:val="17"/>
        </w:rPr>
        <w:t> means, for any particular fiscal quarter, the aggregate amount by which the Applicable Debt Service Amount for such quarter exceeds $11.0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Cumulative Carryover Amount</w:t>
      </w:r>
      <w:r>
        <w:rPr>
          <w:rFonts w:ascii="Times New Roman" w:hAnsi="Times New Roman"/>
          <w:sz w:val="17"/>
        </w:rPr>
        <w:t> means, as of any particular fiscal quarter, an amount equal to the aggregate Carryover Amounts, if any, for all preceding fiscal quarters.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Distribution Threshold Amount</w:t>
      </w:r>
      <w:r>
        <w:rPr>
          <w:rFonts w:ascii="Times New Roman" w:hAnsi="Times New Roman"/>
          <w:sz w:val="17"/>
        </w:rPr>
        <w:t> means, with respect to any fiscal quarter, the amount by which (a) $11.0 million exceeds (b) the sum of (i) the Applicable Debt Service Amount for such quarter plus (ii) the Applicable Carryover Amount for such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Unapplied Cumulative Carryover Amount</w:t>
      </w:r>
      <w:r>
        <w:rPr>
          <w:rFonts w:ascii="Times New Roman" w:hAnsi="Times New Roman"/>
          <w:sz w:val="17"/>
        </w:rPr>
        <w:t> means, as of any particular fiscal quarter, that portion of the Cumulative Carryover Amount, if any, not previously included in the calculation of the Distribution Threshold Amount for any prior quarter.  For the avoidance of doubt, with respect to any fiscal quarter, the aggregate amount of the Cumulative Carryover Amount that has been included in the calculation of the Distribution Threshold Amount for all preceding fiscal quarters shall equal the aggregate Applicable Carryover Amounts for all such fiscal quarters.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4.2</w:t>
      </w:r>
      <w:r>
        <w:rPr>
          <w:rFonts w:ascii="Times New Roman" w:hAnsi="Times New Roman"/>
        </w:rPr>
        <w:t xml:space="preserve">                               </w:t>
      </w:r>
      <w:r>
        <w:rPr>
          <w:rFonts w:ascii="Times New Roman" w:hAnsi="Times New Roman"/>
          <w:b/>
          <w:sz w:val="17"/>
        </w:rPr>
        <w:t>Persons Entitled to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provided below, all distributions of Available Cash to Partners for a fiscal quarter pursuant to </w:t>
      </w:r>
      <w:r>
        <w:rPr>
          <w:rFonts w:ascii="Times New Roman" w:hAnsi="Times New Roman"/>
          <w:sz w:val="17"/>
          <w:u w:val="single"/>
        </w:rPr>
        <w:t>Section 4.1</w:t>
      </w:r>
      <w:r>
        <w:rPr>
          <w:rFonts w:ascii="Times New Roman" w:hAnsi="Times New Roman"/>
          <w:sz w:val="17"/>
        </w:rPr>
        <w:t xml:space="preserve"> shall be made to the Partners shown on the records of the Partnership to be entitled thereto as of the Record Date with respect to such quarter.  For the avoidance of doubt, no distribution shall be paid with respect to any outstanding Class B Unit that is not either an Earned Unit or a Vested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respect to the fiscal quarter ending on September 30, 2013, distributions shall be made to the Partners shown on the records of the Partnership to be entitled thereto as of the last day of such quarter.  With respect to the fiscal quarter ending on December 31, 2013, distributions in respect thereof shall be prorated as of the date of the consummation of the IPO, with the Partners shown on the records of the Partnership immediately prior to such date being entitled to any such distributions attributable to the period (based on the number of days) between the beginning of such quarter and the date of the consummation of the IPO), and with respect to the portion of such fiscal quarter occurring on or after the consummation of the IPO, to the Partners shown on the records of the Partnership to be entitled thereto as of the Record Date with respect to such quarter.  In each such case, the Distribution Threshold Amount shall be calculated on a prorated basis for the applicable portion of such fiscal quarter.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130" w:name="15636-2-LG-05_PB_18_033338_3020"/>
      <w:bookmarkEnd w:id="13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4.3</w:t>
      </w:r>
      <w:r>
        <w:rPr>
          <w:rFonts w:ascii="Times New Roman" w:hAnsi="Times New Roman"/>
        </w:rPr>
        <w:t xml:space="preserve">                               </w:t>
      </w:r>
      <w:r>
        <w:rPr>
          <w:rFonts w:ascii="Times New Roman" w:hAnsi="Times New Roman"/>
          <w:b/>
          <w:sz w:val="17"/>
        </w:rPr>
        <w:t>Limitations on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Notwithstanding any provision of this Agreement to the contrary, no distributions shall be made except pursuant to </w:t>
      </w:r>
      <w:r>
        <w:rPr>
          <w:rFonts w:ascii="Times New Roman" w:hAnsi="Times New Roman"/>
          <w:sz w:val="17"/>
          <w:u w:val="single"/>
        </w:rPr>
        <w:t>Article IV</w:t>
      </w:r>
      <w:r>
        <w:rPr>
          <w:rFonts w:ascii="Times New Roman" w:hAnsi="Times New Roman"/>
          <w:sz w:val="17"/>
        </w:rPr>
        <w:t xml:space="preserve"> or </w:t>
      </w:r>
      <w:r>
        <w:rPr>
          <w:rFonts w:ascii="Times New Roman" w:hAnsi="Times New Roman"/>
          <w:sz w:val="17"/>
          <w:u w:val="single"/>
        </w:rPr>
        <w:t>Article VIII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Notwithstanding any provision of this Agreement to the contrary, no distribution hereunder shall be permitted if such distribution would violate Section 17-607 of the Act or other applicable law.</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w:t>
      </w:r>
    </w:p>
    <w:p>
      <w:pPr>
        <w:pStyle w:val="TextBody"/>
        <w:spacing w:before="0" w:after="0"/>
        <w:ind w:left="0" w:right="0" w:hanging="0"/>
        <w:jc w:val="center"/>
        <w:rPr>
          <w:rFonts w:ascii="Times New Roman" w:hAnsi="Times New Roman"/>
          <w:b/>
          <w:sz w:val="17"/>
        </w:rPr>
      </w:pPr>
      <w:r>
        <w:rPr>
          <w:rFonts w:ascii="Times New Roman" w:hAnsi="Times New Roman"/>
          <w:b/>
          <w:sz w:val="17"/>
        </w:rPr>
        <w:t>ALLOCATIONS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5.1</w:t>
      </w:r>
      <w:r>
        <w:rPr>
          <w:rFonts w:ascii="Times New Roman" w:hAnsi="Times New Roman"/>
        </w:rPr>
        <w:t xml:space="preserve">                               </w:t>
      </w:r>
      <w:r>
        <w:rPr>
          <w:rFonts w:ascii="Times New Roman" w:hAnsi="Times New Roman"/>
          <w:b/>
          <w:sz w:val="17"/>
        </w:rPr>
        <w:t>Profits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Subject to </w:t>
      </w:r>
      <w:r>
        <w:rPr>
          <w:rFonts w:ascii="Times New Roman" w:hAnsi="Times New Roman"/>
          <w:sz w:val="17"/>
          <w:u w:val="single"/>
        </w:rPr>
        <w:t>Section 8.3</w:t>
      </w:r>
      <w:r>
        <w:rPr>
          <w:rFonts w:ascii="Times New Roman" w:hAnsi="Times New Roman"/>
          <w:sz w:val="17"/>
        </w:rPr>
        <w:t>, Profits for any Taxable Year shall be allocated: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first, to the Partners in the amount of and in proportion to the Losses which have previously been allocated pursuant to </w:t>
      </w:r>
      <w:r>
        <w:rPr>
          <w:rFonts w:ascii="Times New Roman" w:hAnsi="Times New Roman"/>
          <w:sz w:val="17"/>
          <w:u w:val="single"/>
        </w:rPr>
        <w:t>Section 5.2(c)</w:t>
      </w:r>
      <w:r>
        <w:rPr>
          <w:rFonts w:ascii="Times New Roman" w:hAnsi="Times New Roman"/>
          <w:sz w:val="17"/>
        </w:rPr>
        <w:t> to such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second, to the Class A Partners in the amount and in proportion to the Losses which have previously been allocated pursuant to </w:t>
      </w:r>
      <w:r>
        <w:rPr>
          <w:rFonts w:ascii="Times New Roman" w:hAnsi="Times New Roman"/>
          <w:sz w:val="17"/>
          <w:u w:val="single"/>
        </w:rPr>
        <w:t>Section 5.2(b)</w:t>
      </w:r>
      <w:r>
        <w:rPr>
          <w:rFonts w:ascii="Times New Roman" w:hAnsi="Times New Roman"/>
          <w:sz w:val="17"/>
        </w:rPr>
        <w:t> to such Partners;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third, any remaining Profits shall be allocated to the Class A Partners pro rata based on the number of Class A Units held.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5.2</w:t>
      </w:r>
      <w:r>
        <w:rPr>
          <w:rFonts w:ascii="Times New Roman" w:hAnsi="Times New Roman"/>
        </w:rPr>
        <w:t xml:space="preserve">                               </w:t>
      </w:r>
      <w:r>
        <w:rPr>
          <w:rFonts w:ascii="Times New Roman" w:hAnsi="Times New Roman"/>
          <w:b/>
          <w:sz w:val="17"/>
        </w:rPr>
        <w:t>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Subject to </w:t>
      </w:r>
      <w:r>
        <w:rPr>
          <w:rFonts w:ascii="Times New Roman" w:hAnsi="Times New Roman"/>
          <w:sz w:val="17"/>
          <w:u w:val="single"/>
        </w:rPr>
        <w:t>Section 8.3</w:t>
      </w:r>
      <w:r>
        <w:rPr>
          <w:rFonts w:ascii="Times New Roman" w:hAnsi="Times New Roman"/>
          <w:sz w:val="17"/>
        </w:rPr>
        <w:t>, Losses for any Taxable Year shall be allocated: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first, to Class A Partners in proportion to and to the extent of the Profits which have previously been allocated pursuant to </w:t>
      </w:r>
      <w:r>
        <w:rPr>
          <w:rFonts w:ascii="Times New Roman" w:hAnsi="Times New Roman"/>
          <w:sz w:val="17"/>
          <w:u w:val="single"/>
        </w:rPr>
        <w:t>Section 5.1(c)</w:t>
      </w:r>
      <w:r>
        <w:rPr>
          <w:rFonts w:ascii="Times New Roman" w:hAnsi="Times New Roman"/>
          <w:sz w:val="17"/>
        </w:rPr>
        <w:t> to such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second, to the Class A Partners pro rata based on the number of Class A Units held,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no Partner shall be allocated any Loss pursuant to this </w:t>
      </w:r>
      <w:r>
        <w:rPr>
          <w:rFonts w:ascii="Times New Roman" w:hAnsi="Times New Roman"/>
          <w:sz w:val="17"/>
          <w:u w:val="single"/>
        </w:rPr>
        <w:t>Section 5.2(b)</w:t>
      </w:r>
      <w:r>
        <w:rPr>
          <w:rFonts w:ascii="Times New Roman" w:hAnsi="Times New Roman"/>
          <w:sz w:val="17"/>
        </w:rPr>
        <w:t> which would result in a negative Capital Account balance for such Partner;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third, to Partners in proportion to and to the extent of their positive Capital Account balances until such Capital Account balances have been reduced to zero.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5.3</w:t>
      </w:r>
      <w:r>
        <w:rPr>
          <w:rFonts w:ascii="Times New Roman" w:hAnsi="Times New Roman"/>
        </w:rPr>
        <w:t xml:space="preserve">                               </w:t>
      </w:r>
      <w:r>
        <w:rPr>
          <w:rFonts w:ascii="Times New Roman" w:hAnsi="Times New Roman"/>
          <w:b/>
          <w:sz w:val="17"/>
        </w:rPr>
        <w:t>Special Allocation to Class B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For any Taxable Year, gross income in an amount equal to any distributions of Available Cash made to the Class B Partners pursuant to </w:t>
      </w:r>
      <w:r>
        <w:rPr>
          <w:rFonts w:ascii="Times New Roman" w:hAnsi="Times New Roman"/>
          <w:sz w:val="17"/>
          <w:u w:val="single"/>
        </w:rPr>
        <w:t>Section 4.1(c)</w:t>
      </w:r>
      <w:r>
        <w:rPr>
          <w:rFonts w:ascii="Times New Roman" w:hAnsi="Times New Roman"/>
          <w:sz w:val="17"/>
        </w:rPr>
        <w:t> shall be allocated to the Class B Partners, pro rata, based on the number of Class B Units held by such Class B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5.4</w:t>
      </w:r>
      <w:r>
        <w:rPr>
          <w:rFonts w:ascii="Times New Roman" w:hAnsi="Times New Roman"/>
        </w:rPr>
        <w:t xml:space="preserve">                               </w:t>
      </w:r>
      <w:r>
        <w:rPr>
          <w:rFonts w:ascii="Times New Roman" w:hAnsi="Times New Roman"/>
          <w:b/>
          <w:sz w:val="17"/>
        </w:rPr>
        <w:t>Regulatory Allocations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Gross Income Allocation</w:t>
      </w:r>
      <w:r>
        <w:rPr>
          <w:rFonts w:ascii="Times New Roman" w:hAnsi="Times New Roman"/>
          <w:sz w:val="17"/>
        </w:rPr>
        <w:t>.  In the event any Partner has an Adjusted Capital Account Deficit at the end of any Taxable Year, such Partner shall be specially allocated items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131" w:name="15636-2-LG-05_PB_19_033357_7748"/>
      <w:bookmarkEnd w:id="13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Partnership income and gain in the amount of such deficit balance as quickly as possible; </w:t>
      </w:r>
      <w:r>
        <w:rPr>
          <w:rFonts w:ascii="Times New Roman" w:hAnsi="Times New Roman"/>
          <w:i/>
          <w:sz w:val="17"/>
        </w:rPr>
        <w:t>provided</w:t>
      </w:r>
      <w:r>
        <w:rPr>
          <w:rFonts w:ascii="Times New Roman" w:hAnsi="Times New Roman"/>
          <w:sz w:val="17"/>
        </w:rPr>
        <w:t xml:space="preserve">, that, an allocation pursuant to this </w:t>
      </w:r>
      <w:r>
        <w:rPr>
          <w:rFonts w:ascii="Times New Roman" w:hAnsi="Times New Roman"/>
          <w:sz w:val="17"/>
          <w:u w:val="single"/>
        </w:rPr>
        <w:t>Section 5.4(a)</w:t>
      </w:r>
      <w:r>
        <w:rPr>
          <w:rFonts w:ascii="Times New Roman" w:hAnsi="Times New Roman"/>
          <w:sz w:val="17"/>
        </w:rPr>
        <w:t xml:space="preserve"> shall be made only if and to the extent that such Partner would have an Adjusted Capital Account Deficit balance after all other allocations provided for in this </w:t>
      </w:r>
      <w:r>
        <w:rPr>
          <w:rFonts w:ascii="Times New Roman" w:hAnsi="Times New Roman"/>
          <w:sz w:val="17"/>
          <w:u w:val="single"/>
        </w:rPr>
        <w:t>Article V</w:t>
      </w:r>
      <w:r>
        <w:rPr>
          <w:rFonts w:ascii="Times New Roman" w:hAnsi="Times New Roman"/>
          <w:sz w:val="17"/>
        </w:rPr>
        <w:t xml:space="preserve"> have been made.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Qualified Income Offset</w:t>
      </w:r>
      <w:r>
        <w:rPr>
          <w:rFonts w:ascii="Times New Roman" w:hAnsi="Times New Roman"/>
          <w:sz w:val="17"/>
        </w:rPr>
        <w:t xml:space="preserve">.  In the event any Partner unexpectedly receives any adjustments, allocations or distributions described in Regulation Sections 1.704-1(b)(2)(ii)(d)(4), 1.704-1(b)(2)(ii)(d)(5) or 1.704-1(b)(2)(ii)(d)(6), items of Partnership income and gain shall be specially allocated to such Partner in an amount and manner sufficient to eliminate, to the extent required by the Regulations, the Adjusted Capital Account Deficit of such Partner as quickly as possible, </w:t>
      </w:r>
      <w:r>
        <w:rPr>
          <w:rFonts w:ascii="Times New Roman" w:hAnsi="Times New Roman"/>
          <w:i/>
          <w:sz w:val="17"/>
        </w:rPr>
        <w:t>provided</w:t>
      </w:r>
      <w:r>
        <w:rPr>
          <w:rFonts w:ascii="Times New Roman" w:hAnsi="Times New Roman"/>
          <w:sz w:val="17"/>
        </w:rPr>
        <w:t xml:space="preserve">, that, an allocation pursuant to this </w:t>
      </w:r>
      <w:r>
        <w:rPr>
          <w:rFonts w:ascii="Times New Roman" w:hAnsi="Times New Roman"/>
          <w:sz w:val="17"/>
          <w:u w:val="single"/>
        </w:rPr>
        <w:t>Section 5.4(b)</w:t>
      </w:r>
      <w:r>
        <w:rPr>
          <w:rFonts w:ascii="Times New Roman" w:hAnsi="Times New Roman"/>
          <w:sz w:val="17"/>
        </w:rPr>
        <w:t xml:space="preserve"> shall be made only if and to the extent that such Partner would have an Adjusted Capital Account Deficit after all other allocations provided for in this </w:t>
      </w:r>
      <w:r>
        <w:rPr>
          <w:rFonts w:ascii="Times New Roman" w:hAnsi="Times New Roman"/>
          <w:sz w:val="17"/>
          <w:u w:val="single"/>
        </w:rPr>
        <w:t>Article V</w:t>
      </w:r>
      <w:r>
        <w:rPr>
          <w:rFonts w:ascii="Times New Roman" w:hAnsi="Times New Roman"/>
          <w:sz w:val="17"/>
        </w:rPr>
        <w:t xml:space="preserve"> have been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u w:val="single"/>
        </w:rPr>
        <w:t>Curative Allocations</w:t>
      </w:r>
      <w:r>
        <w:rPr>
          <w:rFonts w:ascii="Times New Roman" w:hAnsi="Times New Roman"/>
          <w:sz w:val="17"/>
        </w:rPr>
        <w:t xml:space="preserve">.  The allocations set forth in </w:t>
      </w:r>
      <w:r>
        <w:rPr>
          <w:rFonts w:ascii="Times New Roman" w:hAnsi="Times New Roman"/>
          <w:sz w:val="17"/>
          <w:u w:val="single"/>
        </w:rPr>
        <w:t>Sections 5.4(a)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hereof (the </w:t>
      </w:r>
      <w:r>
        <w:rPr>
          <w:rFonts w:ascii="Times New Roman" w:hAnsi="Times New Roman"/>
          <w:b/>
          <w:i/>
          <w:sz w:val="17"/>
        </w:rPr>
        <w:t>Regulatory Allocations</w:t>
      </w:r>
      <w:r>
        <w:rPr>
          <w:rFonts w:ascii="Times New Roman" w:hAnsi="Times New Roman"/>
          <w:sz w:val="17"/>
        </w:rPr>
        <w:t xml:space="preserve">) are intended to comply with certain requirements of the Regulations.  It is the intent of the Partners that, to the extent possible, all Regulatory Allocations shall be offset either with other Regulatory Allocations or with special allocations of other items of Partnership income, gain, loss or deduction pursuant to this </w:t>
      </w:r>
      <w:r>
        <w:rPr>
          <w:rFonts w:ascii="Times New Roman" w:hAnsi="Times New Roman"/>
          <w:sz w:val="17"/>
          <w:u w:val="single"/>
        </w:rPr>
        <w:t>Section 5.4(c)</w:t>
      </w:r>
      <w:r>
        <w:rPr>
          <w:rFonts w:ascii="Times New Roman" w:hAnsi="Times New Roman"/>
          <w:sz w:val="17"/>
        </w:rPr>
        <w:t xml:space="preserve">.  Therefore, notwithstanding any other provision of this </w:t>
      </w:r>
      <w:r>
        <w:rPr>
          <w:rFonts w:ascii="Times New Roman" w:hAnsi="Times New Roman"/>
          <w:sz w:val="17"/>
          <w:u w:val="single"/>
        </w:rPr>
        <w:t>Article V</w:t>
      </w:r>
      <w:r>
        <w:rPr>
          <w:rFonts w:ascii="Times New Roman" w:hAnsi="Times New Roman"/>
          <w:sz w:val="17"/>
        </w:rPr>
        <w:t xml:space="preserve"> (other than the Regulatory Allocations), the General Partner shall make such offsetting special allocations of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this Agreement and all such items were allocated pursuant to </w:t>
      </w:r>
      <w:r>
        <w:rPr>
          <w:rFonts w:ascii="Times New Roman" w:hAnsi="Times New Roman"/>
          <w:sz w:val="17"/>
          <w:u w:val="single"/>
        </w:rPr>
        <w:t>Sections 5.1</w:t>
      </w:r>
      <w:r>
        <w:rPr>
          <w:rFonts w:ascii="Times New Roman" w:hAnsi="Times New Roman"/>
          <w:sz w:val="17"/>
        </w:rPr>
        <w:t xml:space="preserve">, </w:t>
      </w:r>
      <w:r>
        <w:rPr>
          <w:rFonts w:ascii="Times New Roman" w:hAnsi="Times New Roman"/>
          <w:sz w:val="17"/>
          <w:u w:val="single"/>
        </w:rPr>
        <w:t>5.2</w:t>
      </w:r>
      <w:r>
        <w:rPr>
          <w:rFonts w:ascii="Times New Roman" w:hAnsi="Times New Roman"/>
          <w:sz w:val="17"/>
        </w:rPr>
        <w:t xml:space="preserve"> and </w:t>
      </w:r>
      <w:r>
        <w:rPr>
          <w:rFonts w:ascii="Times New Roman" w:hAnsi="Times New Roman"/>
          <w:sz w:val="17"/>
          <w:u w:val="single"/>
        </w:rPr>
        <w:t>5.3</w:t>
      </w:r>
      <w:r>
        <w:rPr>
          <w:rFonts w:ascii="Times New Roman" w:hAnsi="Times New Roman"/>
          <w:sz w:val="17"/>
        </w:rPr>
        <w:t xml:space="preserve"> without regard to the Regulatory Allocations.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5.5</w:t>
      </w:r>
      <w:r>
        <w:rPr>
          <w:rFonts w:ascii="Times New Roman" w:hAnsi="Times New Roman"/>
        </w:rPr>
        <w:t xml:space="preserve">                               </w:t>
      </w:r>
      <w:r>
        <w:rPr>
          <w:rFonts w:ascii="Times New Roman" w:hAnsi="Times New Roman"/>
          <w:b/>
          <w:sz w:val="17"/>
        </w:rPr>
        <w:t>Tax Allocations: Code Section 704(c)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Except as otherwise provided herein, for federal income tax purposes, (i) each item of income, gain, loss and deduction shall be allocated among the Partners in the same manner as its correlative item of book income, gain, loss or deduction is allocated pursuant to </w:t>
      </w:r>
      <w:r>
        <w:rPr>
          <w:rFonts w:ascii="Times New Roman" w:hAnsi="Times New Roman"/>
          <w:sz w:val="17"/>
          <w:u w:val="single"/>
        </w:rPr>
        <w:t>Sections 5.1</w:t>
      </w:r>
      <w:r>
        <w:rPr>
          <w:rFonts w:ascii="Times New Roman" w:hAnsi="Times New Roman"/>
          <w:sz w:val="17"/>
        </w:rPr>
        <w:t xml:space="preserve"> and </w:t>
      </w:r>
      <w:r>
        <w:rPr>
          <w:rFonts w:ascii="Times New Roman" w:hAnsi="Times New Roman"/>
          <w:sz w:val="17"/>
          <w:u w:val="single"/>
        </w:rPr>
        <w:t>5.2</w:t>
      </w:r>
      <w:r>
        <w:rPr>
          <w:rFonts w:ascii="Times New Roman" w:hAnsi="Times New Roman"/>
          <w:sz w:val="17"/>
        </w:rPr>
        <w:t xml:space="preserve">, and (ii) each tax credit shall be allocated to the Partners in the same manner as the receipt or expenditure giving rise to such credit is allocated pursuant to </w:t>
      </w:r>
      <w:r>
        <w:rPr>
          <w:rFonts w:ascii="Times New Roman" w:hAnsi="Times New Roman"/>
          <w:sz w:val="17"/>
          <w:u w:val="single"/>
        </w:rPr>
        <w:t>Section 5.1</w:t>
      </w:r>
      <w:r>
        <w:rPr>
          <w:rFonts w:ascii="Times New Roman" w:hAnsi="Times New Roman"/>
          <w:sz w:val="17"/>
        </w:rPr>
        <w:t xml:space="preserve"> or </w:t>
      </w:r>
      <w:r>
        <w:rPr>
          <w:rFonts w:ascii="Times New Roman" w:hAnsi="Times New Roman"/>
          <w:sz w:val="17"/>
          <w:u w:val="single"/>
        </w:rPr>
        <w:t>5.2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accordance with Code Section 704(c) and the Regulations thereunder, income, gain, loss and deduction with respect to any Property contributed to the capital of the Partnership shall, solely for tax purposes, be allocated among the Partners so as to take account of any variation between the adjusted basis of such Property to the Partnership for federal income tax purposes and its initial Gross Asset Value (computed in accordance with the definition herein of </w:t>
      </w:r>
      <w:r>
        <w:rPr>
          <w:rFonts w:ascii="Times New Roman" w:hAnsi="Times New Roman"/>
          <w:b/>
          <w:i/>
          <w:sz w:val="17"/>
        </w:rPr>
        <w:t>Gross Asset Value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 the event the Gross Asset Value of any Partnership asset is adjusted pursuant to subparagraph (b) of the definition herein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132" w:name="15636-2-LG-05_PB_20_033406_141"/>
      <w:bookmarkEnd w:id="13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Any elections or other decisions relating to such allocations shall be made by the General Partner in any manner that reasonably reflects the purpose and intention of this Agreement; </w:t>
      </w:r>
      <w:r>
        <w:rPr>
          <w:rFonts w:ascii="Times New Roman" w:hAnsi="Times New Roman"/>
          <w:i/>
          <w:sz w:val="17"/>
        </w:rPr>
        <w:t>provided</w:t>
      </w:r>
      <w:r>
        <w:rPr>
          <w:rFonts w:ascii="Times New Roman" w:hAnsi="Times New Roman"/>
          <w:sz w:val="17"/>
        </w:rPr>
        <w:t>, that the Partnership, in the discretion of the General Partner, may make, or not make, curative or remedial allocations (within the meaning of the Regulations under Code Section 704(c)) including, but not limited to, curative allocations which offset the effect of the ceiling rule for a prior Taxable Year (within the meaning of Regulation Section 1.704-3(c)(3)(ii)) and curative allocations from disposition of contributed property (within the meaning of Regulation Section 1.704-3(c)(3)(iii)(B)).  Allocations pursuant to this Section 5.5 are solely for purposes of federal, state, and local taxes and shall not affect, or in any way be taken into account in computing, any Partners Capital Account or share of Profits, Losses, other items, or distributions pursuant to any provision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5.6</w:t>
      </w:r>
      <w:r>
        <w:rPr>
          <w:rFonts w:ascii="Times New Roman" w:hAnsi="Times New Roman"/>
        </w:rPr>
        <w:t xml:space="preserve">                               </w:t>
      </w:r>
      <w:r>
        <w:rPr>
          <w:rFonts w:ascii="Times New Roman" w:hAnsi="Times New Roman"/>
          <w:b/>
          <w:sz w:val="17"/>
        </w:rPr>
        <w:t>Change in Partnership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event that the Partners interests in the Partnership change during a Taxable Year, allocations shall be made taking into account the Partners varying interests for such Taxable Year, determined on a daily, monthly or other basis as determined by the General Partner, using any permissible method under Code Section 706 and the Regulations thereunder.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5.7</w:t>
      </w:r>
      <w:r>
        <w:rPr>
          <w:rFonts w:ascii="Times New Roman" w:hAnsi="Times New Roman"/>
        </w:rPr>
        <w:t xml:space="preserve">                               </w:t>
      </w:r>
      <w:r>
        <w:rPr>
          <w:rFonts w:ascii="Times New Roman" w:hAnsi="Times New Roman"/>
          <w:b/>
          <w:sz w:val="17"/>
        </w:rPr>
        <w:t>Withholding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Partner hereby authorizes the Partnership to withhold from income or distributions allocable to such Partner and to pay over any taxes payable by the Partnership or any of its Affiliates as a result of such Partners participation in the Partnership; if and to the extent that the Partnership shall be required to withhold any such taxes, such Partner shall be deemed for all purposes of this Agreement to have received a distribution from the Partnership as of the time such withholding is required to be paid, which distribution shall be deemed to be a distribution to such Partner to the extent that the Partner is then entitled to receive a distribution.  To the extent that the aggregate of such distributions in respect of a Partner for any period exceeds the distributions to which such Partner is entitled for such period, the amount of such excess shall be considered a demand loan from the Partnership to such Partner, with interest at the rate of interest per annum that Citibank, N.A., or any successor entity thereto, announces from time to time as its prime lending rate, which interest shall be treated as an item of Partnership income, until discharged by such Partner by repayment, which may be made in the sole discretion of the General Partner out of distributions to which such Partner would otherwise be subsequently entitled.  The withholdings referred to in this </w:t>
      </w:r>
      <w:r>
        <w:rPr>
          <w:rFonts w:ascii="Times New Roman" w:hAnsi="Times New Roman"/>
          <w:sz w:val="17"/>
          <w:u w:val="single"/>
        </w:rPr>
        <w:t>Section 5.7</w:t>
      </w:r>
      <w:r>
        <w:rPr>
          <w:rFonts w:ascii="Times New Roman" w:hAnsi="Times New Roman"/>
          <w:sz w:val="17"/>
        </w:rPr>
        <w:t xml:space="preserve"> shall be made at the maximum applicable statutory rate under applicable tax law unless the General Partner shall have received an opinion of counsel or other evidence, satisfactory to the General Partner, to the effect that a lower rate is applicable, or that no withholding is applicable.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w:t>
      </w:r>
    </w:p>
    <w:p>
      <w:pPr>
        <w:pStyle w:val="TextBody"/>
        <w:spacing w:before="0" w:after="0"/>
        <w:ind w:left="0" w:right="0" w:hanging="0"/>
        <w:jc w:val="center"/>
        <w:rPr>
          <w:rFonts w:ascii="Times New Roman" w:hAnsi="Times New Roman"/>
          <w:b/>
          <w:sz w:val="17"/>
        </w:rPr>
      </w:pPr>
      <w:r>
        <w:rPr>
          <w:rFonts w:ascii="Times New Roman" w:hAnsi="Times New Roman"/>
          <w:b/>
          <w:sz w:val="17"/>
        </w:rPr>
        <w:t>MANAGEMENT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6.1</w:t>
      </w:r>
      <w:r>
        <w:rPr>
          <w:rFonts w:ascii="Times New Roman" w:hAnsi="Times New Roman"/>
        </w:rPr>
        <w:t xml:space="preserve">                               </w:t>
      </w:r>
      <w:r>
        <w:rPr>
          <w:rFonts w:ascii="Times New Roman" w:hAnsi="Times New Roman"/>
          <w:b/>
          <w:sz w:val="17"/>
        </w:rPr>
        <w:t>Duties and Powers of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business and affairs of the Partnership shall be managed by the General Partner.  Except for situations in which the approval of the Limited Partners is expressly required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133" w:name="15636-2-LG-05_PB_21_033440_7608"/>
      <w:bookmarkEnd w:id="13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by this Agreement or by nonwaivable provisions of applicable law, the General Partner shall have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Without limiting the generality of the foregoing, the General Partner has full power and authority to execute, deliver and perform such contracts, agreements and other undertakings on behalf of the Partnership, without the consent or approval of any other Partner, and to engage in all activities and transactions, as it may deem necessary or advisable for, or as may be incidental to, the conduct of the business and affairs of the Partnership.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Each Limited Partner agrees to cooperate with the General Partner and to execute and deliver such documents, agreements and instruments, and do all such further acts, as deemed necessary or advisable by the General Partner to give effect to the exercise of the General Partners powers under this </w:t>
      </w:r>
      <w:r>
        <w:rPr>
          <w:rFonts w:ascii="Times New Roman" w:hAnsi="Times New Roman"/>
          <w:sz w:val="17"/>
          <w:u w:val="single"/>
        </w:rPr>
        <w:t>Section 6.1</w:t>
      </w:r>
      <w:r>
        <w:rPr>
          <w:rFonts w:ascii="Times New Roman" w:hAnsi="Times New Roman"/>
          <w:sz w:val="17"/>
        </w:rPr>
        <w:t>.  Without limiting the foregoing, each Limited Partner hereby irrevocably appoints the General Partner as its proxy and attorney-in-fact (with full power of substitution and resubstitution) to vote or act by written consent with respect to its Partnership Interest as a Limited Partner as determined by the General Partner on all matters requiring the vote, approval or consent of the Limited Partners.  The Partners acknowledge that such proxy is coupled with an interest and is irrevocable.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General Partner is the tax matters partner for purposes of Section 6231 of the Code and analogous provisions of state law.  The tax matters partner has the exclusive authority and discretion to make any elections required or permitted to be made by the Partnership under any provisions of the Code or any other applicable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6.2</w:t>
      </w:r>
      <w:r>
        <w:rPr>
          <w:rFonts w:ascii="Times New Roman" w:hAnsi="Times New Roman"/>
        </w:rPr>
        <w:t xml:space="preserve">                               </w:t>
      </w:r>
      <w:r>
        <w:rPr>
          <w:rFonts w:ascii="Times New Roman" w:hAnsi="Times New Roman"/>
          <w:b/>
          <w:sz w:val="17"/>
        </w:rPr>
        <w:t>Limitation of Liability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Notwithstanding anything to the contrary set forth in this Agreement, no Indemnitee shall be liable for monetary damages to the Partnership or the Limited Partners for losses sustained or liabilities incurred as a result of any act or omission of an Indemnitee in connection with the conduct of the business or affairs of the Partnership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Partnerships debts, obligations, and liabilities, whether arising in contract, tort or otherwise, shall be solely the debts, obligations and liabilities of the Partnership, and no Indemnitee shall be personally responsible for any such debt, obligation or liability of the Partnership solely by reason of being an Indemnitee. No Partner shall be responsible for any debts, obligations or liabilities, whether arising in contract, tort or otherwise, of any other Partner.  The provisions of this Agreement, to the extent that they restrict, eliminate or otherwise modify the duties and liabilities, including fiduciary duties, of any Indemnitee otherwise existing at law or in equity, are agreed by the Partners to replace such duties and liabilities of such Indemnitee.  To the fullest extent permitted by law, in connection with any action or inaction of, or determination made by, any Indemnitee with respect to any matter relating to the Partnership, it shall be presumed that the Indemnitee acted in a manner that satisfied the contractual standards set forth in this Agreement, and in any proceeding brought by any Partner or by or on behalf of such Partner or any other Partner or the Partnership challenging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134" w:name="15636-2-LG-05_PB_22_033454_8146"/>
      <w:bookmarkEnd w:id="13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such action or inaction of, or determination made by, any Indemnitee, the Person bringing or prosecuting such proceeding shall have the burden of overcoming such presumption.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No amendment, modification or repeal of this </w:t>
      </w:r>
      <w:r>
        <w:rPr>
          <w:rFonts w:ascii="Times New Roman" w:hAnsi="Times New Roman"/>
          <w:sz w:val="17"/>
          <w:u w:val="single"/>
        </w:rPr>
        <w:t>Section 6.2</w:t>
      </w:r>
      <w:r>
        <w:rPr>
          <w:rFonts w:ascii="Times New Roman" w:hAnsi="Times New Roman"/>
          <w:sz w:val="17"/>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hAnsi="Times New Roman"/>
          <w:sz w:val="17"/>
          <w:u w:val="single"/>
        </w:rPr>
        <w:t>Section 6.2</w:t>
      </w:r>
      <w:r>
        <w:rPr>
          <w:rFonts w:ascii="Times New Roman" w:hAnsi="Times New Roman"/>
          <w:sz w:val="17"/>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6.3</w:t>
      </w:r>
      <w:r>
        <w:rPr>
          <w:rFonts w:ascii="Times New Roman" w:hAnsi="Times New Roman"/>
        </w:rPr>
        <w:t xml:space="preserve">                               </w:t>
      </w:r>
      <w:r>
        <w:rPr>
          <w:rFonts w:ascii="Times New Roman" w:hAnsi="Times New Roman"/>
          <w:b/>
          <w:sz w:val="17"/>
        </w:rPr>
        <w:t>Indemnification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Notwithstanding anything to the contrary set forth in this Agreement and except as required by the Act, to the fullest extent permitted by law but subject to the limitations expressly provided in this Agreement, the Partnership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Partnership and with respect to any criminal proceeding, had no reason to believe his, her or its conduct was unlawful.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Expenses incurred by an Indemnitee in defending any claim, demand, action, suit or proceeding subject to </w:t>
      </w:r>
      <w:r>
        <w:rPr>
          <w:rFonts w:ascii="Times New Roman" w:hAnsi="Times New Roman"/>
          <w:sz w:val="17"/>
          <w:u w:val="single"/>
        </w:rPr>
        <w:t>Section 6.3(a)</w:t>
      </w:r>
      <w:r>
        <w:rPr>
          <w:rFonts w:ascii="Times New Roman" w:hAnsi="Times New Roman"/>
          <w:sz w:val="17"/>
        </w:rPr>
        <w:t xml:space="preserve"> shall, from time to time, be advanced by the Partnership prior to the final disposition of such claim, demand, action, suit or proceeding upon receipt by the Partnership of an undertaking by or on behalf of the Indemnitee to repay such amounts if it is ultimately determined that the Indemnitee is not entitled to be indemnified as authorized in this </w:t>
      </w:r>
      <w:r>
        <w:rPr>
          <w:rFonts w:ascii="Times New Roman" w:hAnsi="Times New Roman"/>
          <w:sz w:val="17"/>
          <w:u w:val="single"/>
        </w:rPr>
        <w:t>Section 6.3</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The indemnification provided by this </w:t>
      </w:r>
      <w:r>
        <w:rPr>
          <w:rFonts w:ascii="Times New Roman" w:hAnsi="Times New Roman"/>
          <w:sz w:val="17"/>
          <w:u w:val="single"/>
        </w:rPr>
        <w:t>Section 6.3</w:t>
      </w:r>
      <w:r>
        <w:rPr>
          <w:rFonts w:ascii="Times New Roman" w:hAnsi="Times New Roman"/>
          <w:sz w:val="17"/>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The Partnership shall not be required to indemnify any Partner in connection with any losses, claims, demands, actions, disputes, suits or proceedings, of any Partner against any other Partner.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135" w:name="15636-2-LG-05_PB_23_033504_7091"/>
      <w:bookmarkEnd w:id="135"/>
    </w:p>
    <w:p>
      <w:pPr>
        <w:pStyle w:val="HorizontalLine"/>
        <w:pBdr>
          <w:bottom w:val="single" w:sz="18" w:space="0" w:color="010101"/>
        </w:pBdr>
        <w:spacing w:before="0" w:after="0"/>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Partnership may purchase and maintain directors and officers insurance or similar coverage for the directors or officers of the General Partner in such amounts and with such deductibles or self-insured retentions as determined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Any indemnification hereunder shall be satisfied only out of the assets of the Partnership, and the Partners shall not be subject to personal liability by reason of the indemnification provisions under this </w:t>
      </w:r>
      <w:r>
        <w:rPr>
          <w:rFonts w:ascii="Times New Roman" w:hAnsi="Times New Roman"/>
          <w:sz w:val="17"/>
          <w:u w:val="single"/>
        </w:rPr>
        <w:t>Section 6.3</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An Indemnitee shall not be denied indemnification in whole or in part under this </w:t>
      </w:r>
      <w:r>
        <w:rPr>
          <w:rFonts w:ascii="Times New Roman" w:hAnsi="Times New Roman"/>
          <w:sz w:val="17"/>
          <w:u w:val="single"/>
        </w:rPr>
        <w:t>Section 6.3</w:t>
      </w:r>
      <w:r>
        <w:rPr>
          <w:rFonts w:ascii="Times New Roman" w:hAnsi="Times New Roman"/>
          <w:sz w:val="17"/>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 xml:space="preserve">Subject to </w:t>
      </w:r>
      <w:r>
        <w:rPr>
          <w:rFonts w:ascii="Times New Roman" w:hAnsi="Times New Roman"/>
          <w:sz w:val="17"/>
          <w:u w:val="single"/>
        </w:rPr>
        <w:t>Section 6.3(c)</w:t>
      </w:r>
      <w:r>
        <w:rPr>
          <w:rFonts w:ascii="Times New Roman" w:hAnsi="Times New Roman"/>
          <w:sz w:val="17"/>
        </w:rPr>
        <w:t xml:space="preserve">, the provisions of this </w:t>
      </w:r>
      <w:r>
        <w:rPr>
          <w:rFonts w:ascii="Times New Roman" w:hAnsi="Times New Roman"/>
          <w:sz w:val="17"/>
          <w:u w:val="single"/>
        </w:rPr>
        <w:t>Section 6.3</w:t>
      </w:r>
      <w:r>
        <w:rPr>
          <w:rFonts w:ascii="Times New Roman" w:hAnsi="Times New Roman"/>
          <w:sz w:val="17"/>
        </w:rPr>
        <w:t xml:space="preserve"> are for the benefit of the Indemnitees and the heirs, successors, assigns and administrators of the Indemnitees and shall not be deemed to create any rights for the benefit of any other Persons.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 xml:space="preserve">No amendment, modification or repeal of this </w:t>
      </w:r>
      <w:r>
        <w:rPr>
          <w:rFonts w:ascii="Times New Roman" w:hAnsi="Times New Roman"/>
          <w:sz w:val="17"/>
          <w:u w:val="single"/>
        </w:rPr>
        <w:t>Section 6.3</w:t>
      </w:r>
      <w:r>
        <w:rPr>
          <w:rFonts w:ascii="Times New Roman" w:hAnsi="Times New Roman"/>
          <w:sz w:val="17"/>
        </w:rPr>
        <w:t xml:space="preserve"> or any provision hereof shall in any manner terminate, reduce or impair the right of any past, present or future Indemnitee to be indemnified by the Partnership or any Affiliate of the Partnership, nor the obligations of the Partnership or such Affiliate to indemnify any such Indemnitee under and in accordance with the provisions of this </w:t>
      </w:r>
      <w:r>
        <w:rPr>
          <w:rFonts w:ascii="Times New Roman" w:hAnsi="Times New Roman"/>
          <w:sz w:val="17"/>
          <w:u w:val="single"/>
        </w:rPr>
        <w:t>Section 6.3</w:t>
      </w:r>
      <w:r>
        <w:rPr>
          <w:rFonts w:ascii="Times New Roman" w:hAnsi="Times New Roman"/>
          <w:sz w:val="17"/>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6.4</w:t>
      </w:r>
      <w:r>
        <w:rPr>
          <w:rFonts w:ascii="Times New Roman" w:hAnsi="Times New Roman"/>
        </w:rPr>
        <w:t xml:space="preserve">                               </w:t>
      </w:r>
      <w:r>
        <w:rPr>
          <w:rFonts w:ascii="Times New Roman" w:hAnsi="Times New Roman"/>
          <w:b/>
          <w:sz w:val="17"/>
        </w:rPr>
        <w:t>Rights of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Limited Partners will not be personally liable for any obligations of the Partnership nor will they have any obligation to make contributions to the Partnership in excess of their respective Capital Contributions required under </w:t>
      </w:r>
      <w:r>
        <w:rPr>
          <w:rFonts w:ascii="Times New Roman" w:hAnsi="Times New Roman"/>
          <w:sz w:val="17"/>
          <w:u w:val="single"/>
        </w:rPr>
        <w:t>Section 3.1</w:t>
      </w:r>
      <w:r>
        <w:rPr>
          <w:rFonts w:ascii="Times New Roman" w:hAnsi="Times New Roman"/>
          <w:sz w:val="17"/>
        </w:rPr>
        <w:t xml:space="preserve"> or have any liability for the repayment or discharge of the debts and obligations of the Partnership except to the extent provided herein or as required by law.  The Limited Partners in their capacities as such shall take no part in the management, control or operation of the Partnerships business and shall have no power to bind the Partnership and no right or authority to act for the Partnership or to vote on matters other than the matters set forth in this Agreement or as required by applicable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6.5</w:t>
      </w:r>
      <w:r>
        <w:rPr>
          <w:rFonts w:ascii="Times New Roman" w:hAnsi="Times New Roman"/>
        </w:rPr>
        <w:t xml:space="preserve">                               </w:t>
      </w:r>
      <w:r>
        <w:rPr>
          <w:rFonts w:ascii="Times New Roman" w:hAnsi="Times New Roman"/>
          <w:b/>
          <w:sz w:val="17"/>
        </w:rPr>
        <w:t>Class B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expressly provided in this Agreement, the Class B Partners, in their capacities as such, shall have no voting rights or rights to participate in the management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6.6</w:t>
      </w:r>
      <w:r>
        <w:rPr>
          <w:rFonts w:ascii="Times New Roman" w:hAnsi="Times New Roman"/>
        </w:rPr>
        <w:t xml:space="preserve">                               </w:t>
      </w:r>
      <w:r>
        <w:rPr>
          <w:rFonts w:ascii="Times New Roman" w:hAnsi="Times New Roman"/>
          <w:b/>
          <w:sz w:val="17"/>
        </w:rPr>
        <w:t>Actions Requiring Consent of Oxy.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Until Oxy and its Affiliates (i) do not have a Qualifying Interest (as such term is defined in the Holdings GP LLC Agreement) of at least 5% and (ii) beneficially own less than 5% of the outstanding Shares (as such term is defined in the PAGP LP Agreement), without the prior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136" w:name="15636-2-LG-07_PB_24_034646_7056"/>
      <w:bookmarkEnd w:id="13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written consent of Oxy, the Partnership shall not, and shall not permit or cause any of its Subsidiaries (including the MLP) to, become a retailer (as defined under Section 613A(d)(2) of the Code) or a refiner (as defined under Section 613A(d)(4) of the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VII</w:t>
      </w:r>
    </w:p>
    <w:p>
      <w:pPr>
        <w:pStyle w:val="TextBody"/>
        <w:spacing w:before="0" w:after="0"/>
        <w:ind w:left="0" w:right="0" w:hanging="0"/>
        <w:jc w:val="center"/>
        <w:rPr>
          <w:rFonts w:ascii="Times New Roman" w:hAnsi="Times New Roman"/>
          <w:b/>
          <w:sz w:val="17"/>
        </w:rPr>
      </w:pPr>
      <w:r>
        <w:rPr>
          <w:rFonts w:ascii="Times New Roman" w:hAnsi="Times New Roman"/>
          <w:b/>
          <w:sz w:val="17"/>
        </w:rPr>
        <w:t>TRANSFERS OF PARTNERSHIP INTERESTS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7.1</w:t>
      </w:r>
      <w:r>
        <w:rPr>
          <w:rFonts w:ascii="Times New Roman" w:hAnsi="Times New Roman"/>
        </w:rPr>
        <w:t xml:space="preserve">                               </w:t>
      </w:r>
      <w:r>
        <w:rPr>
          <w:rFonts w:ascii="Times New Roman" w:hAnsi="Times New Roman"/>
          <w:b/>
          <w:sz w:val="17"/>
        </w:rPr>
        <w:t>Transfer of Limited Partnership Interests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 Limited Partner may Transfer all or any part of such Partners Partnership Interest or Partnership Group Interest to any Person except: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to a Permitted Transferee pursuant to </w:t>
      </w:r>
      <w:r>
        <w:rPr>
          <w:rFonts w:ascii="Times New Roman" w:hAnsi="Times New Roman"/>
          <w:sz w:val="17"/>
          <w:u w:val="single"/>
        </w:rPr>
        <w:t>Section 7.2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pursuant to the terms of </w:t>
      </w:r>
      <w:r>
        <w:rPr>
          <w:rFonts w:ascii="Times New Roman" w:hAnsi="Times New Roman"/>
          <w:sz w:val="17"/>
          <w:u w:val="single"/>
        </w:rPr>
        <w:t>Section 7.8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 xml:space="preserve">pursuant to the terms of </w:t>
      </w:r>
      <w:r>
        <w:rPr>
          <w:rFonts w:ascii="Times New Roman" w:hAnsi="Times New Roman"/>
          <w:sz w:val="17"/>
          <w:u w:val="single"/>
        </w:rPr>
        <w:t>Section 7.9</w:t>
      </w:r>
      <w:r>
        <w:rPr>
          <w:rFonts w:ascii="Times New Roman" w:hAnsi="Times New Roman"/>
          <w:sz w:val="17"/>
        </w:rPr>
        <w:t>;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 xml:space="preserve">pursuant to the terms of </w:t>
      </w:r>
      <w:r>
        <w:rPr>
          <w:rFonts w:ascii="Times New Roman" w:hAnsi="Times New Roman"/>
          <w:sz w:val="17"/>
          <w:u w:val="single"/>
        </w:rPr>
        <w:t>Section 7.10</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any such Transfer under (i)-(iv) above shall comply with the terms of </w:t>
      </w:r>
      <w:r>
        <w:rPr>
          <w:rFonts w:ascii="Times New Roman" w:hAnsi="Times New Roman"/>
          <w:sz w:val="17"/>
          <w:u w:val="single"/>
        </w:rPr>
        <w:t>Section 7.1(b)</w:t>
      </w:r>
      <w:r>
        <w:rPr>
          <w:rFonts w:ascii="Times New Roman" w:hAnsi="Times New Roman"/>
          <w:sz w:val="17"/>
        </w:rPr>
        <w:t xml:space="preserve">.  Any purported Transfer of all or any portion of a Partnership Interest or Partnership Group Interest in violation of the terms of this Agreement shall be null and void and of no force and effect.  Except upon a Transfer of all of a Limited Partners Partnership Interest in accordance with this </w:t>
      </w:r>
      <w:r>
        <w:rPr>
          <w:rFonts w:ascii="Times New Roman" w:hAnsi="Times New Roman"/>
          <w:sz w:val="17"/>
          <w:u w:val="single"/>
        </w:rPr>
        <w:t>Section 7.1</w:t>
      </w:r>
      <w:r>
        <w:rPr>
          <w:rFonts w:ascii="Times New Roman" w:hAnsi="Times New Roman"/>
          <w:sz w:val="17"/>
        </w:rPr>
        <w:t>, no Limited Partner shall have the right to withdraw as a Partner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As a condition to a Transfer by a Class A Partner of any Class A Units to a transferee as permitted under </w:t>
      </w:r>
      <w:r>
        <w:rPr>
          <w:rFonts w:ascii="Times New Roman" w:hAnsi="Times New Roman"/>
          <w:sz w:val="17"/>
          <w:u w:val="single"/>
        </w:rPr>
        <w:t>Section 7.1(a)(i)</w:t>
      </w:r>
      <w:r>
        <w:rPr>
          <w:rFonts w:ascii="Times New Roman" w:hAnsi="Times New Roman"/>
          <w:sz w:val="17"/>
        </w:rPr>
        <w:t xml:space="preserve"> or </w:t>
      </w:r>
      <w:r>
        <w:rPr>
          <w:rFonts w:ascii="Times New Roman" w:hAnsi="Times New Roman"/>
          <w:sz w:val="17"/>
          <w:u w:val="single"/>
        </w:rPr>
        <w:t>(ii)</w:t>
      </w:r>
      <w:r>
        <w:rPr>
          <w:rFonts w:ascii="Times New Roman" w:hAnsi="Times New Roman"/>
          <w:sz w:val="17"/>
        </w:rPr>
        <w:t> (a </w:t>
      </w:r>
      <w:r>
        <w:rPr>
          <w:rFonts w:ascii="Times New Roman" w:hAnsi="Times New Roman"/>
          <w:b/>
          <w:i/>
          <w:sz w:val="17"/>
        </w:rPr>
        <w:t>Partnership Transfer</w:t>
      </w:r>
      <w:r>
        <w:rPr>
          <w:rFonts w:ascii="Times New Roman" w:hAnsi="Times New Roman"/>
          <w:sz w:val="17"/>
        </w:rPr>
        <w:t>), such Class A Partner shall simultaneously Transfer to such transferee the same number of PAGP Class B Shares and the same number of Holdings GP Units (each group of one Class A Unit, one PAGP Class B Share and one Holdings GP Unit collectively being referred to herein as a </w:t>
      </w:r>
      <w:r>
        <w:rPr>
          <w:rFonts w:ascii="Times New Roman" w:hAnsi="Times New Roman"/>
          <w:b/>
          <w:i/>
          <w:sz w:val="17"/>
        </w:rPr>
        <w:t>Partnership Group Interest</w:t>
      </w:r>
      <w:r>
        <w:rPr>
          <w:rFonts w:ascii="Times New Roman" w:hAnsi="Times New Roman"/>
          <w:sz w:val="17"/>
        </w:rPr>
        <w:t xml:space="preserve">).  For the avoidance of doubt, it is intended that the Class A Units may only be Transferred together with the same number of PAGP Class B Shares and the same number of Holdings GP Units (subject to the last sentence of this </w:t>
      </w:r>
      <w:r>
        <w:rPr>
          <w:rFonts w:ascii="Times New Roman" w:hAnsi="Times New Roman"/>
          <w:sz w:val="17"/>
          <w:u w:val="single"/>
        </w:rPr>
        <w:t>Section 7.1(b)</w:t>
      </w:r>
      <w:r>
        <w:rPr>
          <w:rFonts w:ascii="Times New Roman" w:hAnsi="Times New Roman"/>
          <w:sz w:val="17"/>
        </w:rPr>
        <w:t>), and that if for any reason the Transfer of such PAGP Class B Shares and Holdings GP Units does not occur simultaneously with the Partnership Transfer, then the Partnership Transfer shall be null and void and of no force and effect.  Notwithstanding any other provision of this Agreement, Converted Class A Units may be Transferred without a simultaneous Transfer of Holdings GP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Notwithstanding any other provision of this Agreement, no Limited Partner may pledge, mortgage or otherwise subject its Partnership Group Interests or Class B Units to any voluntary Encumbrance.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7.2</w:t>
      </w:r>
      <w:r>
        <w:rPr>
          <w:rFonts w:ascii="Times New Roman" w:hAnsi="Times New Roman"/>
        </w:rPr>
        <w:t xml:space="preserve">                               </w:t>
      </w:r>
      <w:r>
        <w:rPr>
          <w:rFonts w:ascii="Times New Roman" w:hAnsi="Times New Roman"/>
          <w:b/>
          <w:sz w:val="17"/>
        </w:rPr>
        <w:t>Permitted Transferees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Notwithstanding the provisions of </w:t>
      </w:r>
      <w:r>
        <w:rPr>
          <w:rFonts w:ascii="Times New Roman" w:hAnsi="Times New Roman"/>
          <w:sz w:val="17"/>
          <w:u w:val="single"/>
        </w:rPr>
        <w:t>Section 7.8</w:t>
      </w:r>
      <w:r>
        <w:rPr>
          <w:rFonts w:ascii="Times New Roman" w:hAnsi="Times New Roman"/>
          <w:sz w:val="17"/>
        </w:rPr>
        <w:t xml:space="preserve">, each Limited Partner shall, subject to </w:t>
      </w:r>
      <w:r>
        <w:rPr>
          <w:rFonts w:ascii="Times New Roman" w:hAnsi="Times New Roman"/>
          <w:sz w:val="17"/>
          <w:u w:val="single"/>
        </w:rPr>
        <w:t>Section 7.1(b)</w:t>
      </w:r>
      <w:r>
        <w:rPr>
          <w:rFonts w:ascii="Times New Roman" w:hAnsi="Times New Roman"/>
          <w:sz w:val="17"/>
        </w:rPr>
        <w:t xml:space="preserve"> and </w:t>
      </w:r>
      <w:r>
        <w:rPr>
          <w:rFonts w:ascii="Times New Roman" w:hAnsi="Times New Roman"/>
          <w:sz w:val="17"/>
          <w:u w:val="single"/>
        </w:rPr>
        <w:t>Section 7.1(c)</w:t>
      </w:r>
      <w:r>
        <w:rPr>
          <w:rFonts w:ascii="Times New Roman" w:hAnsi="Times New Roman"/>
          <w:sz w:val="17"/>
        </w:rPr>
        <w:t>, have the right to Transfer (but not to substitute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137" w:name="15636-2-LG-07_PB_25_034657_5335"/>
      <w:bookmarkEnd w:id="13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transferee as a substitute Partner in such Partners place, except in accordance with </w:t>
      </w:r>
      <w:r>
        <w:rPr>
          <w:rFonts w:ascii="Times New Roman" w:hAnsi="Times New Roman"/>
          <w:sz w:val="17"/>
          <w:u w:val="single"/>
        </w:rPr>
        <w:t>Section 7.3</w:t>
      </w:r>
      <w:r>
        <w:rPr>
          <w:rFonts w:ascii="Times New Roman" w:hAnsi="Times New Roman"/>
          <w:sz w:val="17"/>
        </w:rPr>
        <w:t>), by a written instrument, all or any part of a Limited Partners Partnership Group Interest or Class B Units to a Permitted Transferee. Notwithstanding the previous sentence, if the Permitted Transferee is such because it was an Affiliate of the transferring Limited Partner at the time of such Transfer or the Transfer was a Permitted Transfer under clause (a) of the definition herein of Permitted Transfer and, at any time after such Transfer, such Permitted Transferee ceases to be an Affiliate of such Limited Partner or such Transfer or such Permitted Transferee ceases to qualify under such clause (a) (a </w:t>
      </w:r>
      <w:r>
        <w:rPr>
          <w:rFonts w:ascii="Times New Roman" w:hAnsi="Times New Roman"/>
          <w:b/>
          <w:i/>
          <w:sz w:val="17"/>
        </w:rPr>
        <w:t>Non-Qualifying Transferee</w:t>
      </w:r>
      <w:r>
        <w:rPr>
          <w:rFonts w:ascii="Times New Roman" w:hAnsi="Times New Roman"/>
          <w:sz w:val="17"/>
        </w:rPr>
        <w:t xml:space="preserve">), such Transfer shall be deemed to not be a Permitted Transfer and shall be subject to </w:t>
      </w:r>
      <w:r>
        <w:rPr>
          <w:rFonts w:ascii="Times New Roman" w:hAnsi="Times New Roman"/>
          <w:sz w:val="17"/>
          <w:u w:val="single"/>
        </w:rPr>
        <w:t>Section 7.8</w:t>
      </w:r>
      <w:r>
        <w:rPr>
          <w:rFonts w:ascii="Times New Roman" w:hAnsi="Times New Roman"/>
          <w:sz w:val="17"/>
        </w:rPr>
        <w:t xml:space="preserve">.  Pursuant to </w:t>
      </w:r>
      <w:r>
        <w:rPr>
          <w:rFonts w:ascii="Times New Roman" w:hAnsi="Times New Roman"/>
          <w:sz w:val="17"/>
          <w:u w:val="single"/>
        </w:rPr>
        <w:t>Section 7.8</w:t>
      </w:r>
      <w:r>
        <w:rPr>
          <w:rFonts w:ascii="Times New Roman" w:hAnsi="Times New Roman"/>
          <w:sz w:val="17"/>
        </w:rPr>
        <w:t xml:space="preserve">, such transferring Limited Partner or such transferring Limited Partners legal representative shall deliver the First Refusal Notice promptly after the time when such transferee ceases to be an Affiliate of such transferring Limited Partner or such Transfer or such Permitted Transferee ceases to qualify under clause (a) of the definition herein of Permitted Transfer, and such transferring Limited Partner shall otherwise comply with the terms of </w:t>
      </w:r>
      <w:r>
        <w:rPr>
          <w:rFonts w:ascii="Times New Roman" w:hAnsi="Times New Roman"/>
          <w:sz w:val="17"/>
          <w:u w:val="single"/>
        </w:rPr>
        <w:t>Section 7.8</w:t>
      </w:r>
      <w:r>
        <w:rPr>
          <w:rFonts w:ascii="Times New Roman" w:hAnsi="Times New Roman"/>
          <w:sz w:val="17"/>
        </w:rPr>
        <w:t xml:space="preserve"> with respect to such Transfer; </w:t>
      </w:r>
      <w:r>
        <w:rPr>
          <w:rFonts w:ascii="Times New Roman" w:hAnsi="Times New Roman"/>
          <w:i/>
          <w:sz w:val="17"/>
        </w:rPr>
        <w:t>provided</w:t>
      </w:r>
      <w:r>
        <w:rPr>
          <w:rFonts w:ascii="Times New Roman" w:hAnsi="Times New Roman"/>
          <w:sz w:val="17"/>
        </w:rPr>
        <w:t xml:space="preserve">, that the purchase price for such Transfer for purposes of </w:t>
      </w:r>
      <w:r>
        <w:rPr>
          <w:rFonts w:ascii="Times New Roman" w:hAnsi="Times New Roman"/>
          <w:sz w:val="17"/>
          <w:u w:val="single"/>
        </w:rPr>
        <w:t>Section 7.8</w:t>
      </w:r>
      <w:r>
        <w:rPr>
          <w:rFonts w:ascii="Times New Roman" w:hAnsi="Times New Roman"/>
          <w:sz w:val="17"/>
        </w:rPr>
        <w:t xml:space="preserve"> shall be the Agreed Value of the Partnership Group Interests subject to the Transfer as of the close of business on the date the transferee ceased to be an Affiliate of such transferring Limited Partner or such Transfer or such Permitted Transferee ceases to qualify under clause (a) of the definition herein of Permitted Transfer (such date, the </w:t>
      </w:r>
      <w:r>
        <w:rPr>
          <w:rFonts w:ascii="Times New Roman" w:hAnsi="Times New Roman"/>
          <w:b/>
          <w:i/>
          <w:sz w:val="17"/>
        </w:rPr>
        <w:t>Non-Qualifying Date</w:t>
      </w:r>
      <w:r>
        <w:rPr>
          <w:rFonts w:ascii="Times New Roman" w:hAnsi="Times New Roman"/>
          <w:sz w:val="17"/>
        </w:rPr>
        <w:t xml:space="preserve">).  In the event the Non-Qualifying Date is not a Business Day, the Non-Qualifying Date shall be deemed to have occurred on the first Business Day following such original Non-Qualifying Date. If such transferring Limited Partner fails to comply with all the terms of </w:t>
      </w:r>
      <w:r>
        <w:rPr>
          <w:rFonts w:ascii="Times New Roman" w:hAnsi="Times New Roman"/>
          <w:sz w:val="17"/>
          <w:u w:val="single"/>
        </w:rPr>
        <w:t>Section 7.8</w:t>
      </w:r>
      <w:r>
        <w:rPr>
          <w:rFonts w:ascii="Times New Roman" w:hAnsi="Times New Roman"/>
          <w:sz w:val="17"/>
        </w:rPr>
        <w:t>, such Transfer shall be null and void and of no force and effect.  No Non-Qualifying Transferee shall be entitled to receive any distributions from the Partnership with respect to any period on or after the Non-Qualifying Date and any distributions made in respect of the Partnership Interests with respect to any period on or after the Non-Qualifying Date and held by such Non-Qualifying Transferee shall be paid to the Limited Partner who attempted to transfer such Partnership Group Interests or otherwise to the rightful owner thereof as reasonably, determined by the General Partner.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Unless and until admitted as a substitute Limited Partner pursuant to </w:t>
      </w:r>
      <w:r>
        <w:rPr>
          <w:rFonts w:ascii="Times New Roman" w:hAnsi="Times New Roman"/>
          <w:sz w:val="17"/>
          <w:u w:val="single"/>
        </w:rPr>
        <w:t>Section 7.3</w:t>
      </w:r>
      <w:r>
        <w:rPr>
          <w:rFonts w:ascii="Times New Roman" w:hAnsi="Times New Roman"/>
          <w:sz w:val="17"/>
        </w:rPr>
        <w:t xml:space="preserve">, a transferee of a Limited Partners Partnership Group Interests or Class B Units, in whole or in part, shall be an assignee with respect to the Transferred Partnership Interest comprising the Transferred part of such Partnership Group Interests or Class B Units and shall not be entitled to become, or to exercise the rights of, a Limited Partner, including the right to vote, the right to require any information or accounting of the Partnerships business, or the right to inspect the Partnerships books and records.  Such transferee shall only be entitled to receive, to the extent of the Partnership Interests Transferred to such transferee, the share of distributions and profits to which the transferor would otherwise be entitled with respect to the Transferred Partnership Interest.  Subject to the provisions of </w:t>
      </w:r>
      <w:r>
        <w:rPr>
          <w:rFonts w:ascii="Times New Roman" w:hAnsi="Times New Roman"/>
          <w:sz w:val="17"/>
          <w:u w:val="single"/>
        </w:rPr>
        <w:t>Section 6.1(b)</w:t>
      </w:r>
      <w:r>
        <w:rPr>
          <w:rFonts w:ascii="Times New Roman" w:hAnsi="Times New Roman"/>
          <w:sz w:val="17"/>
        </w:rPr>
        <w:t>, the transferor shall have the right to vote such Transferred Partnership Interest until the transferee is admitted to the Partnership as a substitute Limited Partner with respect to the Transferred Partnership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7.3</w:t>
      </w:r>
      <w:r>
        <w:rPr>
          <w:rFonts w:ascii="Times New Roman" w:hAnsi="Times New Roman"/>
        </w:rPr>
        <w:t xml:space="preserve">                               </w:t>
      </w:r>
      <w:r>
        <w:rPr>
          <w:rFonts w:ascii="Times New Roman" w:hAnsi="Times New Roman"/>
          <w:b/>
          <w:sz w:val="17"/>
        </w:rPr>
        <w:t>Substitute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 transferee of all or part of a Limited Partners Partnership Interest shall become a substitute Limited Partner in place of the transferor unless and until: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138" w:name="15636-2-LG-07_PB_26_034704_5796"/>
      <w:bookmarkEnd w:id="13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such Transfer is in compliance with the terms of </w:t>
      </w:r>
      <w:r>
        <w:rPr>
          <w:rFonts w:ascii="Times New Roman" w:hAnsi="Times New Roman"/>
          <w:sz w:val="17"/>
          <w:u w:val="single"/>
        </w:rPr>
        <w:t>Section 7.1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transferee has executed an instrument in form and substance reasonably satisfactory to the General Partner accepting and adopting, and agreeing to be bound by, the terms and provisions of the Certificate and this Agreement;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transferee has caused to be paid all reasonable expenses of the Partnership in connection with the admission of the transferee as a substitute Limited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satisfaction of all the foregoing conditions with respect to a particular transferee, the General Partner shall cause the books and records of the Partnership to reflect the admission of the transferee as a substitute Limited Partner to the extent of the Transferred Partnership Interest held by such transferee.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7.4</w:t>
      </w:r>
      <w:r>
        <w:rPr>
          <w:rFonts w:ascii="Times New Roman" w:hAnsi="Times New Roman"/>
        </w:rPr>
        <w:t xml:space="preserve">                               </w:t>
      </w:r>
      <w:r>
        <w:rPr>
          <w:rFonts w:ascii="Times New Roman" w:hAnsi="Times New Roman"/>
          <w:b/>
          <w:sz w:val="17"/>
        </w:rPr>
        <w:t>Effect of Admission as a Substitute Limited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transferee who has become a substitute Limited Partner has, to the extent of the Transferred Partnership Interest, all the rights, powers and benefits of, and is subject to the obligations, restrictions and liabilities of a Partner under, the Certificate, this Agreement and the Act.  Upon admission of a transferee as a substitute Limited Partner, the transferor of the Partnership Interest so held by the substitute Limited Partner shall cease to be a Partner of the Partnership to the extent of such Transferred Partnership Interest.  In connection with any Exchange or exercise of the Call Right with respect to Class A Units pursuant to </w:t>
      </w:r>
      <w:r>
        <w:rPr>
          <w:rFonts w:ascii="Times New Roman" w:hAnsi="Times New Roman"/>
          <w:sz w:val="17"/>
          <w:u w:val="single"/>
        </w:rPr>
        <w:t>Section 7.9</w:t>
      </w:r>
      <w:r>
        <w:rPr>
          <w:rFonts w:ascii="Times New Roman" w:hAnsi="Times New Roman"/>
          <w:sz w:val="17"/>
        </w:rPr>
        <w:t>, PAGP shall upon completion of such transaction automatically be admitted as a substitute Limited Partner with respect to the Class A Units that are the subject of such transaction.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7.5</w:t>
      </w:r>
      <w:r>
        <w:rPr>
          <w:rFonts w:ascii="Times New Roman" w:hAnsi="Times New Roman"/>
        </w:rPr>
        <w:t xml:space="preserve">                               </w:t>
      </w:r>
      <w:r>
        <w:rPr>
          <w:rFonts w:ascii="Times New Roman" w:hAnsi="Times New Roman"/>
          <w:b/>
          <w:sz w:val="17"/>
        </w:rPr>
        <w:t>Consent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Partner hereby agrees that upon satisfaction of the terms and conditions of this </w:t>
      </w:r>
      <w:r>
        <w:rPr>
          <w:rFonts w:ascii="Times New Roman" w:hAnsi="Times New Roman"/>
          <w:sz w:val="17"/>
          <w:u w:val="single"/>
        </w:rPr>
        <w:t>Article VII</w:t>
      </w:r>
      <w:r>
        <w:rPr>
          <w:rFonts w:ascii="Times New Roman" w:hAnsi="Times New Roman"/>
          <w:sz w:val="17"/>
        </w:rPr>
        <w:t xml:space="preserve"> with respect to any proposed Transfer, the transferee may be admitted as a Partner without any further action by a Partner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7.6</w:t>
      </w:r>
      <w:r>
        <w:rPr>
          <w:rFonts w:ascii="Times New Roman" w:hAnsi="Times New Roman"/>
        </w:rPr>
        <w:t xml:space="preserve">                               </w:t>
      </w:r>
      <w:r>
        <w:rPr>
          <w:rFonts w:ascii="Times New Roman" w:hAnsi="Times New Roman"/>
          <w:b/>
          <w:sz w:val="17"/>
        </w:rPr>
        <w:t>No Dissolution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a Limited Partner Transfers all of its Partnership Interest pursuant to this </w:t>
      </w:r>
      <w:r>
        <w:rPr>
          <w:rFonts w:ascii="Times New Roman" w:hAnsi="Times New Roman"/>
          <w:sz w:val="17"/>
          <w:u w:val="single"/>
        </w:rPr>
        <w:t>Article VII</w:t>
      </w:r>
      <w:r>
        <w:rPr>
          <w:rFonts w:ascii="Times New Roman" w:hAnsi="Times New Roman"/>
          <w:sz w:val="17"/>
        </w:rPr>
        <w:t xml:space="preserve"> and the transferee of such Partnership Interest is admitted as a Limited Partner pursuant to </w:t>
      </w:r>
      <w:r>
        <w:rPr>
          <w:rFonts w:ascii="Times New Roman" w:hAnsi="Times New Roman"/>
          <w:sz w:val="17"/>
          <w:u w:val="single"/>
        </w:rPr>
        <w:t>Section 7.3</w:t>
      </w:r>
      <w:r>
        <w:rPr>
          <w:rFonts w:ascii="Times New Roman" w:hAnsi="Times New Roman"/>
          <w:sz w:val="17"/>
        </w:rPr>
        <w:t xml:space="preserve">, such Person shall be admitted to the Partnership as a Partner effective on the effective date of the Transfer and the Partnership shall not dissolve pursuant to </w:t>
      </w:r>
      <w:r>
        <w:rPr>
          <w:rFonts w:ascii="Times New Roman" w:hAnsi="Times New Roman"/>
          <w:sz w:val="17"/>
          <w:u w:val="single"/>
        </w:rPr>
        <w:t>Section 8.1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7.7</w:t>
      </w:r>
      <w:r>
        <w:rPr>
          <w:rFonts w:ascii="Times New Roman" w:hAnsi="Times New Roman"/>
        </w:rPr>
        <w:t xml:space="preserve">                               </w:t>
      </w:r>
      <w:r>
        <w:rPr>
          <w:rFonts w:ascii="Times New Roman" w:hAnsi="Times New Roman"/>
          <w:b/>
          <w:sz w:val="17"/>
        </w:rPr>
        <w:t>Additional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Subject to </w:t>
      </w:r>
      <w:r>
        <w:rPr>
          <w:rFonts w:ascii="Times New Roman" w:hAnsi="Times New Roman"/>
          <w:sz w:val="17"/>
          <w:u w:val="single"/>
        </w:rPr>
        <w:t>Section 3.2</w:t>
      </w:r>
      <w:r>
        <w:rPr>
          <w:rFonts w:ascii="Times New Roman" w:hAnsi="Times New Roman"/>
          <w:sz w:val="17"/>
        </w:rPr>
        <w:t xml:space="preserve">, any Person acceptable to the General Partner may become an additional Limited Partner of the Partnership for such consideration as the General Partner shall determine, </w:t>
      </w:r>
      <w:r>
        <w:rPr>
          <w:rFonts w:ascii="Times New Roman" w:hAnsi="Times New Roman"/>
          <w:i/>
          <w:sz w:val="17"/>
        </w:rPr>
        <w:t>provided</w:t>
      </w:r>
      <w:r>
        <w:rPr>
          <w:rFonts w:ascii="Times New Roman" w:hAnsi="Times New Roman"/>
          <w:sz w:val="17"/>
        </w:rPr>
        <w:t xml:space="preserve"> that such additional Limited Partner complies with all the requirements of a transferee under </w:t>
      </w:r>
      <w:r>
        <w:rPr>
          <w:rFonts w:ascii="Times New Roman" w:hAnsi="Times New Roman"/>
          <w:sz w:val="17"/>
          <w:u w:val="single"/>
        </w:rPr>
        <w:t>Section 7.3(b)</w:t>
      </w:r>
      <w:r>
        <w:rPr>
          <w:rFonts w:ascii="Times New Roman" w:hAnsi="Times New Roman"/>
          <w:sz w:val="17"/>
        </w:rPr>
        <w:t xml:space="preserve"> and </w:t>
      </w:r>
      <w:r>
        <w:rPr>
          <w:rFonts w:ascii="Times New Roman" w:hAnsi="Times New Roman"/>
          <w:sz w:val="17"/>
          <w:u w:val="single"/>
        </w:rPr>
        <w:t>(c)</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139" w:name="15636-2-LG-07_PB_27_034711_2897"/>
      <w:bookmarkEnd w:id="13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7.8</w:t>
      </w:r>
      <w:r>
        <w:rPr>
          <w:rFonts w:ascii="Times New Roman" w:hAnsi="Times New Roman"/>
        </w:rPr>
        <w:t xml:space="preserve">                               </w:t>
      </w:r>
      <w:r>
        <w:rPr>
          <w:rFonts w:ascii="Times New Roman" w:hAnsi="Times New Roman"/>
          <w:b/>
          <w:sz w:val="17"/>
        </w:rPr>
        <w:t>Right of First Refusal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Class A Partners shall have the following right of first refusal: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at any time any of the Class A Partners (a </w:t>
      </w:r>
      <w:r>
        <w:rPr>
          <w:rFonts w:ascii="Times New Roman" w:hAnsi="Times New Roman"/>
          <w:b/>
          <w:i/>
          <w:sz w:val="17"/>
        </w:rPr>
        <w:t>Selling Partner</w:t>
      </w:r>
      <w:r>
        <w:rPr>
          <w:rFonts w:ascii="Times New Roman" w:hAnsi="Times New Roman"/>
          <w:sz w:val="17"/>
        </w:rPr>
        <w:t>) has received and wishes to accept a bona fide offer (the </w:t>
      </w:r>
      <w:r>
        <w:rPr>
          <w:rFonts w:ascii="Times New Roman" w:hAnsi="Times New Roman"/>
          <w:b/>
          <w:i/>
          <w:sz w:val="17"/>
        </w:rPr>
        <w:t>Offer</w:t>
      </w:r>
      <w:r>
        <w:rPr>
          <w:rFonts w:ascii="Times New Roman" w:hAnsi="Times New Roman"/>
          <w:sz w:val="17"/>
        </w:rPr>
        <w:t>) for cash from a third party (the </w:t>
      </w:r>
      <w:r>
        <w:rPr>
          <w:rFonts w:ascii="Times New Roman" w:hAnsi="Times New Roman"/>
          <w:b/>
          <w:i/>
          <w:sz w:val="17"/>
        </w:rPr>
        <w:t>Offeror</w:t>
      </w:r>
      <w:r>
        <w:rPr>
          <w:rFonts w:ascii="Times New Roman" w:hAnsi="Times New Roman"/>
          <w:sz w:val="17"/>
        </w:rPr>
        <w:t>) for all or part of such Selling Partners Partnership Group Interests, such Selling Partner shall give Notice thereof (the </w:t>
      </w:r>
      <w:r>
        <w:rPr>
          <w:rFonts w:ascii="Times New Roman" w:hAnsi="Times New Roman"/>
          <w:b/>
          <w:i/>
          <w:sz w:val="17"/>
        </w:rPr>
        <w:t>First Refusal Notice</w:t>
      </w:r>
      <w:r>
        <w:rPr>
          <w:rFonts w:ascii="Times New Roman" w:hAnsi="Times New Roman"/>
          <w:sz w:val="17"/>
        </w:rPr>
        <w:t>) to each of the other Partners, other than any Non-Purchasing Partners and any Class B Partners, and the Partnership.  The First Refusal Notice shall state the number of Partnership Group Interests that the Selling Partner wishes to sell (the </w:t>
      </w:r>
      <w:r>
        <w:rPr>
          <w:rFonts w:ascii="Times New Roman" w:hAnsi="Times New Roman"/>
          <w:b/>
          <w:i/>
          <w:sz w:val="17"/>
        </w:rPr>
        <w:t>Optioned Interest</w:t>
      </w:r>
      <w:r>
        <w:rPr>
          <w:rFonts w:ascii="Times New Roman" w:hAnsi="Times New Roman"/>
          <w:sz w:val="17"/>
        </w:rPr>
        <w:t>), the price and all other material terms of the Offer, the name of the Offeror, and certification from the Selling Partner affirming that the Offer is bona fide and that the description thereof is true and correct, and that the Offeror has stated that it will purchase the Optioned Interest if the rights of first refusal herein described are not exercised.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Each Class A Partner (and, in the case of PAGP, PAGP or its designee) other than the Selling Partner and any Non-Purchasing Partner (each, a </w:t>
      </w:r>
      <w:r>
        <w:rPr>
          <w:rFonts w:ascii="Times New Roman" w:hAnsi="Times New Roman"/>
          <w:b/>
          <w:i/>
          <w:sz w:val="17"/>
        </w:rPr>
        <w:t>Non-Selling Partner</w:t>
      </w:r>
      <w:r>
        <w:rPr>
          <w:rFonts w:ascii="Times New Roman" w:hAnsi="Times New Roman"/>
          <w:sz w:val="17"/>
        </w:rPr>
        <w:t>) shall have the right exercisable by Notice (an </w:t>
      </w:r>
      <w:r>
        <w:rPr>
          <w:rFonts w:ascii="Times New Roman" w:hAnsi="Times New Roman"/>
          <w:b/>
          <w:i/>
          <w:sz w:val="17"/>
        </w:rPr>
        <w:t>Acceptance Notice</w:t>
      </w:r>
      <w:r>
        <w:rPr>
          <w:rFonts w:ascii="Times New Roman" w:hAnsi="Times New Roman"/>
          <w:sz w:val="17"/>
        </w:rPr>
        <w:t xml:space="preserve">) given to the Selling Partner and the Partnership within 20 days after receipt of the First Refusal Notice, to agree that it will purchase up to 100% of the Optioned Interest on the terms set forth in the First Refusal Notice;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if the Non-Selling Partners in the aggregate desire to purchase more than 100% of the Optioned Interest, each such Non-Selling Partners right to purchase the Optioned Interest shall be reduced (pro rata based on the percentage of the Optioned Interest for which such Non-Selling Partner has exercised its right to purchase hereunder compared to all other Non-Selling Partners, but not below such Non-Selling Partners pro rata share (based on the number of Class A Units held by such Non-Selling Partner and the aggregate number of Class A Units held by all Non-Selling Partners who have exercised their right to purchase) so that such Non-Selling Partners purchase no more than 100% of the Optioned Interest.  If a Non-Selling Partner does not submit an Acceptance Notice within the 20-day period set forth in this </w:t>
      </w:r>
      <w:r>
        <w:rPr>
          <w:rFonts w:ascii="Times New Roman" w:hAnsi="Times New Roman"/>
          <w:sz w:val="17"/>
          <w:u w:val="single"/>
        </w:rPr>
        <w:t>Section 7.8(b)</w:t>
      </w:r>
      <w:r>
        <w:rPr>
          <w:rFonts w:ascii="Times New Roman" w:hAnsi="Times New Roman"/>
          <w:sz w:val="17"/>
        </w:rPr>
        <w:t>, such Non-Selling Partner shall be deemed to have rejected the offer to purchase any portion of the Optioned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If the Non-Selling Partners do not in the aggregate exercise the right to purchase all of the Optioned Interest by the expiration of the 20-day period set forth in </w:t>
      </w:r>
      <w:r>
        <w:rPr>
          <w:rFonts w:ascii="Times New Roman" w:hAnsi="Times New Roman"/>
          <w:sz w:val="17"/>
          <w:u w:val="single"/>
        </w:rPr>
        <w:t>Section 7.8(b)</w:t>
      </w:r>
      <w:r>
        <w:rPr>
          <w:rFonts w:ascii="Times New Roman" w:hAnsi="Times New Roman"/>
          <w:sz w:val="17"/>
        </w:rPr>
        <w:t>, then any Acceptance Notice shall be void and of no effect, and the Selling Partner shall be entitled to complete the proposed sale at any time in the 30-day period commencing on the date of the First Refusal Notice, but only upon the terms set forth in the First Refusal Notice.  If no such sale is completed in such 30-day period, the provisions hereof shall apply again to any proposed sale of the Optioned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If any Non-Selling Partner exercises the right to purchase the Optioned Interest as provided herein and such Non-Selling Partner(s) have elected to purchase all of the Optioned Interest, the purchase of such Optioned Interest shall be completed within the 30-day period commencing on the date of delivery of the First Refusal Notice on the terms set forth in the First Refusal Notice.  If such Non-Selling Partner does not consummate the Purchase of such Optioned Interest, (x) the Selling Partner shall be entitled to all expenses of collection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140" w:name="15636-2-LG-07_PB_28_034717_3020"/>
      <w:bookmarkEnd w:id="14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(y) such Non-Selling Partner shall be deemed a </w:t>
      </w:r>
      <w:r>
        <w:rPr>
          <w:rFonts w:ascii="Times New Roman" w:hAnsi="Times New Roman"/>
          <w:b/>
          <w:i/>
          <w:sz w:val="17"/>
        </w:rPr>
        <w:t>Non-Purchasing Partner</w:t>
      </w:r>
      <w:r>
        <w:rPr>
          <w:rFonts w:ascii="Times New Roman" w:hAnsi="Times New Roman"/>
          <w:sz w:val="17"/>
        </w:rPr>
        <w:t> for the duration of this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Notwithstanding anything in this Agreement to the contrary, no Class B Partner in its capacity as such shall have any right or obligation to Transfer any Class B Units or any right to purchase any Class A Units pursuant to this </w:t>
      </w:r>
      <w:r>
        <w:rPr>
          <w:rFonts w:ascii="Times New Roman" w:hAnsi="Times New Roman"/>
          <w:sz w:val="17"/>
          <w:u w:val="single"/>
        </w:rPr>
        <w:t>Section 7.8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For the avoidance of doubt, the right of first refusal shall not apply to a Transfer in connection with an Exchange or exercise of the Call Right pursuant to </w:t>
      </w:r>
      <w:r>
        <w:rPr>
          <w:rFonts w:ascii="Times New Roman" w:hAnsi="Times New Roman"/>
          <w:sz w:val="17"/>
          <w:u w:val="single"/>
        </w:rPr>
        <w:t>Section 7.9</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7.9</w:t>
      </w:r>
      <w:r>
        <w:rPr>
          <w:rFonts w:ascii="Times New Roman" w:hAnsi="Times New Roman"/>
        </w:rPr>
        <w:t xml:space="preserve">                               </w:t>
      </w:r>
      <w:r>
        <w:rPr>
          <w:rFonts w:ascii="Times New Roman" w:hAnsi="Times New Roman"/>
          <w:b/>
          <w:sz w:val="17"/>
        </w:rPr>
        <w:t>Exchange of Class A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Subject to adjustment as provided in </w:t>
      </w:r>
      <w:r>
        <w:rPr>
          <w:rFonts w:ascii="Times New Roman" w:hAnsi="Times New Roman"/>
          <w:sz w:val="17"/>
          <w:u w:val="single"/>
        </w:rPr>
        <w:t>Section 7.9(d)</w:t>
      </w:r>
      <w:r>
        <w:rPr>
          <w:rFonts w:ascii="Times New Roman" w:hAnsi="Times New Roman"/>
          <w:sz w:val="17"/>
        </w:rPr>
        <w:t xml:space="preserve"> and subject to PAGPs rights described in </w:t>
      </w:r>
      <w:r>
        <w:rPr>
          <w:rFonts w:ascii="Times New Roman" w:hAnsi="Times New Roman"/>
          <w:sz w:val="17"/>
          <w:u w:val="single"/>
        </w:rPr>
        <w:t>Section 7.9(g)</w:t>
      </w:r>
      <w:r>
        <w:rPr>
          <w:rFonts w:ascii="Times New Roman" w:hAnsi="Times New Roman"/>
          <w:sz w:val="17"/>
        </w:rPr>
        <w:t xml:space="preserve">, each of the Class A Partners other than PAGP shall be entitled to exchange with the Partnership, at any time and from time to time, any or all of such Partners Class A Units (together with the same number of PAGP Class B Shares and, unless the last sentence of this </w:t>
      </w:r>
      <w:r>
        <w:rPr>
          <w:rFonts w:ascii="Times New Roman" w:hAnsi="Times New Roman"/>
          <w:sz w:val="17"/>
          <w:u w:val="single"/>
        </w:rPr>
        <w:t>Section 7.9(a)</w:t>
      </w:r>
      <w:r>
        <w:rPr>
          <w:rFonts w:ascii="Times New Roman" w:hAnsi="Times New Roman"/>
          <w:sz w:val="17"/>
        </w:rPr>
        <w:t> applies, the same number of Holdings GP Units) for an equivalent number of PAGP Class A Shares (an </w:t>
      </w:r>
      <w:r>
        <w:rPr>
          <w:rFonts w:ascii="Times New Roman" w:hAnsi="Times New Roman"/>
          <w:b/>
          <w:i/>
          <w:sz w:val="17"/>
        </w:rPr>
        <w:t>Exchange</w:t>
      </w:r>
      <w:r>
        <w:rPr>
          <w:rFonts w:ascii="Times New Roman" w:hAnsi="Times New Roman"/>
          <w:sz w:val="17"/>
        </w:rPr>
        <w:t xml:space="preserve">) or, at the Partnerships election, cash equal to the Cash Election Value of such PAGP Class A Shares.  Each Exchange shall be treated for U.S. federal income tax purposes as a sale of the Exchanging Partners Class A Units (together with a the same number of PAGP Class B Shares and, unless the last sentence of this </w:t>
      </w:r>
      <w:r>
        <w:rPr>
          <w:rFonts w:ascii="Times New Roman" w:hAnsi="Times New Roman"/>
          <w:sz w:val="17"/>
          <w:u w:val="single"/>
        </w:rPr>
        <w:t>Section 7.9(a)</w:t>
      </w:r>
      <w:r>
        <w:rPr>
          <w:rFonts w:ascii="Times New Roman" w:hAnsi="Times New Roman"/>
          <w:sz w:val="17"/>
        </w:rPr>
        <w:t xml:space="preserve"> applies, the same number of Holdings GP Units) to PAGP in exchange for PAGP Class A Shares. For the avoidance of doubt, any Partner owning Converted Class A Units pursuant to </w:t>
      </w:r>
      <w:r>
        <w:rPr>
          <w:rFonts w:ascii="Times New Roman" w:hAnsi="Times New Roman"/>
          <w:sz w:val="17"/>
          <w:u w:val="single"/>
        </w:rPr>
        <w:t>Section 7.10</w:t>
      </w:r>
      <w:r>
        <w:rPr>
          <w:rFonts w:ascii="Times New Roman" w:hAnsi="Times New Roman"/>
          <w:sz w:val="17"/>
        </w:rPr>
        <w:t xml:space="preserve"> shall be entitled to make an Exchange with respect to such Converted Class A Units without surrendering Holdings GP Units to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In order to exercise the exchange right under </w:t>
      </w:r>
      <w:r>
        <w:rPr>
          <w:rFonts w:ascii="Times New Roman" w:hAnsi="Times New Roman"/>
          <w:sz w:val="17"/>
          <w:u w:val="single"/>
        </w:rPr>
        <w:t>Section 7.9(a)</w:t>
      </w:r>
      <w:r>
        <w:rPr>
          <w:rFonts w:ascii="Times New Roman" w:hAnsi="Times New Roman"/>
          <w:sz w:val="17"/>
        </w:rPr>
        <w:t>, the exchanging Class A Partner (the </w:t>
      </w:r>
      <w:r>
        <w:rPr>
          <w:rFonts w:ascii="Times New Roman" w:hAnsi="Times New Roman"/>
          <w:b/>
          <w:i/>
          <w:sz w:val="17"/>
        </w:rPr>
        <w:t>Exchanging Partner</w:t>
      </w:r>
      <w:r>
        <w:rPr>
          <w:rFonts w:ascii="Times New Roman" w:hAnsi="Times New Roman"/>
          <w:sz w:val="17"/>
        </w:rPr>
        <w:t>) shall provide written notice (the </w:t>
      </w:r>
      <w:r>
        <w:rPr>
          <w:rFonts w:ascii="Times New Roman" w:hAnsi="Times New Roman"/>
          <w:b/>
          <w:i/>
          <w:sz w:val="17"/>
        </w:rPr>
        <w:t>Exchange Notice</w:t>
      </w:r>
      <w:r>
        <w:rPr>
          <w:rFonts w:ascii="Times New Roman" w:hAnsi="Times New Roman"/>
          <w:sz w:val="17"/>
        </w:rPr>
        <w:t>) to the Partnership and PAGP, stating that the Exchanging Partner elects to exchange with the Partnership a stated (and equal) number of Class A Units, PAGP Class B Shares and, if applicable, Holdings GP Units represented, if applicable, by a certificate or certificates, to the extent specified in such notice, and if the PAGP Class A Shares to be received are to be issued other than in the name of the Exchanging Partner, specifying the name(s) of the Person(s) in whose name or on whose order the PAGP Class A Shares are to be issued, and shall present and surrender the certificate or certificates representing such Class A Units, PAGP Class B Shares and, if applicable, Holdings GP Units (in each case, if certificated) during normal business hours at the principal executive offices of the Partnership, or if any agent for the registration or transfer of PAGP Class A Shares is then duly appointed and acting (the </w:t>
      </w:r>
      <w:r>
        <w:rPr>
          <w:rFonts w:ascii="Times New Roman" w:hAnsi="Times New Roman"/>
          <w:b/>
          <w:i/>
          <w:sz w:val="17"/>
        </w:rPr>
        <w:t>Transfer Agent</w:t>
      </w:r>
      <w:r>
        <w:rPr>
          <w:rFonts w:ascii="Times New Roman" w:hAnsi="Times New Roman"/>
          <w:sz w:val="17"/>
        </w:rPr>
        <w:t>), at the office of the Transfer Agent with respect to such PAGP Class A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If required by PAGP, any certificate for Class A Units, PAGP Class B Shares and the Holdings GP Units (in each case, if certificated) surrendered for exchange with the Partnership shall be accompanied by instruments of transfer, in form reasonably satisfactory to PAGP and the Transfer Agent, duly executed by the Exchanging Partner or the Exchanging Partners duly authorized representative. As promptly as practicable after the receipt of the Exchange Notice and the surrender to the Partnership of the certificate or certificates, if any, representing such Class A Units, PAGP Class B Shares and Holdings GP Units (but in any event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141" w:name="15636-2-LG-07_PB_29_034727_7748"/>
      <w:bookmarkEnd w:id="14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by the Exchange Date, as defined below), PAGP shall issue and contribute to the Partnership, and the Partnership shall deliver to the Exchanging Partner, or on the Exchanging Partners written order, a certificate or certificates, if applicable, for the number of PAGP Class A Shares issuable upon the Exchange, and the Partnership shall deliver such Class A Units, PAGP Class B Shares and Holdings GP Units to PAGP in exchange for no additional consideration.  Each Exchange shall be deemed to have been effected on (i) the Business Day after the date on which the Exchange Notice shall have been received by the Partnership, PAGP or the Transfer Agent, as applicable (subject to receipt by the Partnership, PAGP or the Transfer Agent, as applicable, within three Business Days thereafter of any required instruments of transfer as aforesaid) or (ii) such later date specified in or pursuant to the Exchange Notice (such date identified in clause (i) or (ii), as applicable, the </w:t>
      </w:r>
      <w:r>
        <w:rPr>
          <w:rFonts w:ascii="Times New Roman" w:hAnsi="Times New Roman"/>
          <w:b/>
          <w:i/>
          <w:sz w:val="17"/>
        </w:rPr>
        <w:t>Exchange Date</w:t>
      </w:r>
      <w:r>
        <w:rPr>
          <w:rFonts w:ascii="Times New Roman" w:hAnsi="Times New Roman"/>
          <w:sz w:val="17"/>
        </w:rPr>
        <w:t>), and the Person or Persons in whose name or names any certificate or certificates for PAGP Class A Shares (which certificates shall bear any legends as may be required in accordance with applicable Law) shall be issuable upon such Exchange as aforesaid shall be deemed to have become, on the Exchange Date, the holder or holders of record of the shares represented thereby.  Notwithstanding anything herein to the contrary, any Exchanging Partner may withdraw or amend an Exchange request, in whole or in part, prior to the effectiveness of the applicable Exchange, at any time prior to 5:00 p.m., New York City time, on the Business Day immediately preceding the Exchange Date (or any such later time as may be required by applicable law) by delivery of a written notice of withdrawal to the Partnership, PAGP or the Transfer Agent, specifying (1) the certificate numbers of the withdrawn Class A Units, PAGP Class B Shares and Holdings GP Units, (2) if any, the number of Class A Units, PAGP Class B Shares and Holdings GP Units as to which the Exchange Notice remains in effect and (3) if the Exchanging Partner so determines, a new Exchange Date or any other new or revised information permitted in an Exchange Notice. An Exchange Notice may specify that the Exchange is to be contingent (including as to timing) upon the consummation of a purchase by another Person (whether in a tender or exchange offer, an underwritten offering or otherwise) of the PAGP Class A Shares into which the Class A Units, PAGP Class B Shares and Holdings GP Units are exchangeable, or contingent (including as to timing) upon the closing of an announced merger, consolidation or other transaction or event in which the PAGP Class A Shares would be exchanged or converted or become exchangeable for or convertible into cash or other securities or property.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If there is any reclassification, reorganization, recapitalization or other similar transaction pursuant to which the PAGP Class A Shares are converted or changed into another security, securities or other property, then upon any subsequent Exchange, each Class A Partner shall be entitled to receive the amount of such security, securities or other property that such Class A Partner would have received if such Exchange had occurred immediately prior to the effective date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PAGP Class A Shares are converted or changed into another security, securities or other property, this </w:t>
      </w:r>
      <w:r>
        <w:rPr>
          <w:rFonts w:ascii="Times New Roman" w:hAnsi="Times New Roman"/>
          <w:sz w:val="17"/>
          <w:u w:val="single"/>
        </w:rPr>
        <w:t>Section 7.9</w:t>
      </w:r>
      <w:r>
        <w:rPr>
          <w:rFonts w:ascii="Times New Roman" w:hAnsi="Times New Roman"/>
          <w:sz w:val="17"/>
        </w:rPr>
        <w:t xml:space="preserve"> shall continue to be applicable, mutatis mutandis, with respect to such security or other property.  This Agreement shall apply to the Class A Units held by the Class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142" w:name="15636-2-LG-07_PB_30_034737_141"/>
      <w:bookmarkEnd w:id="14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Partners and their Permitted Transferees as of the date hereof, as well as any Class A Units hereafter acquired by a Class A Partner and his or her or its Permitted Transferees.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PAGP shall at all times keep available, solely for the purpose of issuance upon an Exchange, such number of PAGP Class A Shares that shall be issuable upon the Exchange of all such outstanding Class A Units (which, for purposes of this </w:t>
      </w:r>
      <w:r>
        <w:rPr>
          <w:rFonts w:ascii="Times New Roman" w:hAnsi="Times New Roman"/>
          <w:sz w:val="17"/>
          <w:u w:val="single"/>
        </w:rPr>
        <w:t>Section 7.9(e)</w:t>
      </w:r>
      <w:r>
        <w:rPr>
          <w:rFonts w:ascii="Times New Roman" w:hAnsi="Times New Roman"/>
          <w:sz w:val="17"/>
        </w:rPr>
        <w:t xml:space="preserve">, shall include the Class A Units into which the outstanding Class B units may be exchanged in accordance with </w:t>
      </w:r>
      <w:r>
        <w:rPr>
          <w:rFonts w:ascii="Times New Roman" w:hAnsi="Times New Roman"/>
          <w:sz w:val="17"/>
          <w:u w:val="single"/>
        </w:rPr>
        <w:t>Section 7.10</w:t>
      </w:r>
      <w:r>
        <w:rPr>
          <w:rFonts w:ascii="Times New Roman" w:hAnsi="Times New Roman"/>
          <w:sz w:val="17"/>
        </w:rPr>
        <w:t xml:space="preserve"> hereof).  PAGP covenants that all PAGP Class A Shares that shall be issued upon an Exchange shall, upon issuance thereof, be validly issued, fully paid and non-assessable (except as such non-assessability may be affected by Sections 17-303, 17-607 and 17-804 of the Act).  For so long as the PAGP Class A Shares are listed on a National Securities Exchange, PAGP shall use its reasonable best efforts to cause all PAGP Class A Shares issued upon an Exchange to be listed on the same National Securities Exchange at the time of such issuance.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The issuance of PAGP Class A Shares upon an Exchange shall be made without charge to the Exchanging Partner for any stamp or other similar tax in respect of such issuance;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if any such shares are to be issued in a name other than that of the Exchanging Partner, then the Person or Persons in whose name the shares are to be issued shall pay to PAGP the amount of any tax that may be payable in respect of any transfer involved in such issuance or shall establish to the satisfaction of PAGP that such tax has been paid or is not payable.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(i)</w:t>
      </w:r>
      <w:r>
        <w:rPr>
          <w:rFonts w:ascii="Times New Roman" w:hAnsi="Times New Roman"/>
        </w:rPr>
        <w:t xml:space="preserve">                                     </w:t>
      </w:r>
      <w:r>
        <w:rPr>
          <w:rFonts w:ascii="Times New Roman" w:hAnsi="Times New Roman"/>
          <w:sz w:val="17"/>
        </w:rPr>
        <w:t xml:space="preserve">Notwithstanding anything to the contrary in this </w:t>
      </w:r>
      <w:r>
        <w:rPr>
          <w:rFonts w:ascii="Times New Roman" w:hAnsi="Times New Roman"/>
          <w:sz w:val="17"/>
          <w:u w:val="single"/>
        </w:rPr>
        <w:t>Section 7.9</w:t>
      </w:r>
      <w:r>
        <w:rPr>
          <w:rFonts w:ascii="Times New Roman" w:hAnsi="Times New Roman"/>
          <w:sz w:val="17"/>
        </w:rPr>
        <w:t xml:space="preserve">, but subject to </w:t>
      </w:r>
      <w:r>
        <w:rPr>
          <w:rFonts w:ascii="Times New Roman" w:hAnsi="Times New Roman"/>
          <w:sz w:val="17"/>
          <w:u w:val="single"/>
        </w:rPr>
        <w:t>Section 7.9(h)</w:t>
      </w:r>
      <w:r>
        <w:rPr>
          <w:rFonts w:ascii="Times New Roman" w:hAnsi="Times New Roman"/>
          <w:sz w:val="17"/>
        </w:rPr>
        <w:t xml:space="preserve">, an Exchanging Partner shall be deemed to have offered to sell its Class A Units, PAGP Class B Shares and, if applicable, Holdings GP Units as described in the Exchange Notice to PAGP, and PAGP may, in its sole discretion, by means of delivery of Call Election Notices and/or Revocation Notices in accordance with, and subject to the terms of, this </w:t>
      </w:r>
      <w:r>
        <w:rPr>
          <w:rFonts w:ascii="Times New Roman" w:hAnsi="Times New Roman"/>
          <w:sz w:val="17"/>
          <w:u w:val="single"/>
        </w:rPr>
        <w:t>Section 7.9(g)</w:t>
      </w:r>
      <w:r>
        <w:rPr>
          <w:rFonts w:ascii="Times New Roman" w:hAnsi="Times New Roman"/>
          <w:sz w:val="17"/>
        </w:rPr>
        <w:t xml:space="preserve">, elect to purchase directly and acquire such Class A Units, PAGP Class B Shares and, if applicable, Holdings GP Units on the Exchange Date by paying to the Exchanging Partner (or, on the Exchanging Partners written order, its designee) that number of PAGP Class A Shares the Exchanging Partner (or its designee) would otherwise receive pursuant to </w:t>
      </w:r>
      <w:r>
        <w:rPr>
          <w:rFonts w:ascii="Times New Roman" w:hAnsi="Times New Roman"/>
          <w:sz w:val="17"/>
          <w:u w:val="single"/>
        </w:rPr>
        <w:t>Section 7.9(a)</w:t>
      </w:r>
      <w:r>
        <w:rPr>
          <w:rFonts w:ascii="Times New Roman" w:hAnsi="Times New Roman"/>
          <w:sz w:val="17"/>
        </w:rPr>
        <w:t> or, at PAGPs election, cash equal to the Cash Election Value of such PAGP Class A Shares (the </w:t>
      </w:r>
      <w:r>
        <w:rPr>
          <w:rFonts w:ascii="Times New Roman" w:hAnsi="Times New Roman"/>
          <w:b/>
          <w:i/>
          <w:sz w:val="17"/>
        </w:rPr>
        <w:t>Call Right</w:t>
      </w:r>
      <w:r>
        <w:rPr>
          <w:rFonts w:ascii="Times New Roman" w:hAnsi="Times New Roman"/>
          <w:sz w:val="17"/>
        </w:rPr>
        <w:t>), whereupon PAGP shall acquire the Class A Units, PAGP Class B Shares and, if applicable, Holdings GP Units offered for exchange by the Exchanging Partner and shall be treated for all purposes of this Agreement as the owner of such Class A Units, PAGP Class B Shares and, if applicable, Holdings GP Units.  In the event PAGP shall exercise the Call Right, each of the Exchanging Partner, the Partnership and PAGP, as the case may be, shall treat the transaction between Holdings and the Exchanging Partner for federal income tax purposes as a sale of the Exchanging Partners Class A Units, PAGP Class B Shares and Holdings GP Units to PAGP.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PAGP may at any time in its sole discretion deliver written notice (a </w:t>
      </w:r>
      <w:r>
        <w:rPr>
          <w:rFonts w:ascii="Times New Roman" w:hAnsi="Times New Roman"/>
          <w:b/>
          <w:i/>
          <w:sz w:val="17"/>
        </w:rPr>
        <w:t>Call Election Notice</w:t>
      </w:r>
      <w:r>
        <w:rPr>
          <w:rFonts w:ascii="Times New Roman" w:hAnsi="Times New Roman"/>
          <w:sz w:val="17"/>
        </w:rPr>
        <w:t xml:space="preserve">) to each other Class A Partner setting forth its election to exercise its call right as contemplated by </w:t>
      </w:r>
      <w:r>
        <w:rPr>
          <w:rFonts w:ascii="Times New Roman" w:hAnsi="Times New Roman"/>
          <w:sz w:val="17"/>
          <w:u w:val="single"/>
        </w:rPr>
        <w:t>Section 7.9(g)</w:t>
      </w:r>
      <w:r>
        <w:rPr>
          <w:rFonts w:ascii="Times New Roman" w:hAnsi="Times New Roman"/>
          <w:sz w:val="17"/>
        </w:rPr>
        <w:t xml:space="preserve"> with respect to future Exchanges (without needing to provide further notice of its intention to exercise its Call Right). Subject to the remainder of this </w:t>
      </w:r>
      <w:r>
        <w:rPr>
          <w:rFonts w:ascii="Times New Roman" w:hAnsi="Times New Roman"/>
          <w:sz w:val="17"/>
          <w:u w:val="single"/>
        </w:rPr>
        <w:t>Section 7.9(g)(ii)</w:t>
      </w:r>
      <w:r>
        <w:rPr>
          <w:rFonts w:ascii="Times New Roman" w:hAnsi="Times New Roman"/>
          <w:sz w:val="17"/>
        </w:rPr>
        <w:t>, a Call Election Notice will be effective until such time as PAGP amends such Call Election Notice with a superseding Call Election Notice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143" w:name="15636-2-LG-07_PB_31_034803_7608"/>
      <w:bookmarkEnd w:id="14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or revokes such Call Election Notice by delivery of a written notice of revocation delivered to each other Class A Partner (a </w:t>
      </w:r>
      <w:r>
        <w:rPr>
          <w:rFonts w:ascii="Times New Roman" w:hAnsi="Times New Roman"/>
          <w:b/>
          <w:i/>
          <w:sz w:val="17"/>
        </w:rPr>
        <w:t>Revocation Notice</w:t>
      </w:r>
      <w:r>
        <w:rPr>
          <w:rFonts w:ascii="Times New Roman" w:hAnsi="Times New Roman"/>
          <w:sz w:val="17"/>
        </w:rPr>
        <w:t xml:space="preserve">). A Call Election Notice may be amended or revoked by PAGP at any time; </w:t>
      </w:r>
      <w:r>
        <w:rPr>
          <w:rFonts w:ascii="Times New Roman" w:hAnsi="Times New Roman"/>
          <w:i/>
          <w:sz w:val="17"/>
        </w:rPr>
        <w:t>provided</w:t>
      </w:r>
      <w:r>
        <w:rPr>
          <w:rFonts w:ascii="Times New Roman" w:hAnsi="Times New Roman"/>
          <w:sz w:val="17"/>
        </w:rPr>
        <w:t xml:space="preserve"> that any Exchange Notice delivered by a Class A Partner will not, without such Class A Partners written consent, be affected by the subsequent delivery of a Revocation Notice or by an Exchange Notice that is not effective until after the Exchange Date. Following delivery of a Revocation Notice, PAGP may deliver a new Call Election Notice pursuant to this </w:t>
      </w:r>
      <w:r>
        <w:rPr>
          <w:rFonts w:ascii="Times New Roman" w:hAnsi="Times New Roman"/>
          <w:sz w:val="17"/>
          <w:u w:val="single"/>
        </w:rPr>
        <w:t>Section 7.9(g)</w:t>
      </w:r>
      <w:r>
        <w:rPr>
          <w:rFonts w:ascii="Times New Roman" w:hAnsi="Times New Roman"/>
          <w:sz w:val="17"/>
        </w:rPr>
        <w:t>. Any amendment of a Call Election Notice will not be effective until the Business Day after its delivery to each Class A Partner (other than PAGP).  Each Call Election Notice shall specify the date from which it shall be effective (which shall be no earlier than the Business Day after delivery).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In the event that a tender offer, share exchange offer, issuer bid, take-over bid, recapitalization or similar transaction with respect to PAGP Class A Shares (a </w:t>
      </w:r>
      <w:r>
        <w:rPr>
          <w:rFonts w:ascii="Times New Roman" w:hAnsi="Times New Roman"/>
          <w:b/>
          <w:i/>
          <w:sz w:val="17"/>
        </w:rPr>
        <w:t>Pubco Offer</w:t>
      </w:r>
      <w:r>
        <w:rPr>
          <w:rFonts w:ascii="Times New Roman" w:hAnsi="Times New Roman"/>
          <w:sz w:val="17"/>
        </w:rPr>
        <w:t xml:space="preserve">) is proposed by PAGP or is proposed to PAGP or its partners and approved by the board of directors of Holdings GP or is otherwise effected or to be effected with the consent or approval of the board of directors of Holdings GP, the Class A Partners (other than PAGP) shall be permitted to participate in such Pubco Offer by delivery of a contingent Exchange Notice in accordance with the last sentence of </w:t>
      </w:r>
      <w:r>
        <w:rPr>
          <w:rFonts w:ascii="Times New Roman" w:hAnsi="Times New Roman"/>
          <w:sz w:val="17"/>
          <w:u w:val="single"/>
        </w:rPr>
        <w:t>Section 7.9(c)</w:t>
      </w:r>
      <w:r>
        <w:rPr>
          <w:rFonts w:ascii="Times New Roman" w:hAnsi="Times New Roman"/>
          <w:sz w:val="17"/>
        </w:rPr>
        <w:t xml:space="preserve">.  In the case of a Pubco Offer proposed by PAGP, PAGP will use its reasonable best efforts expeditiously and in good faith to take all such actions and do all such things as are necessary or desirable to enable and permit the Class A Partners to participate in such Pubco Offer to the same extent or on an economically equivalent basis as the holders of PAGP Class A Shares without discrimination; </w:t>
      </w:r>
      <w:r>
        <w:rPr>
          <w:rFonts w:ascii="Times New Roman" w:hAnsi="Times New Roman"/>
          <w:i/>
          <w:sz w:val="17"/>
        </w:rPr>
        <w:t>provided</w:t>
      </w:r>
      <w:r>
        <w:rPr>
          <w:rFonts w:ascii="Times New Roman" w:hAnsi="Times New Roman"/>
          <w:sz w:val="17"/>
        </w:rPr>
        <w:t xml:space="preserve"> that, without limiting the generality of this sentence, PAGP will use its reasonable best efforts expeditiously and in good faith to ensure that such Class A Partners may participate in each such Pubco Offer without being required to exchange Class A Units, PAGP Class B Shares and Holdings GP Units (or, if so required, to ensure that any such Exchange shall be effective only upon, and shall be conditional upon, the closing of such Pubco Offer and only to the extent necessary to tender or deposit to the Pubco Offer in accordance with the last sentence of </w:t>
      </w:r>
      <w:r>
        <w:rPr>
          <w:rFonts w:ascii="Times New Roman" w:hAnsi="Times New Roman"/>
          <w:sz w:val="17"/>
          <w:u w:val="single"/>
        </w:rPr>
        <w:t>Section 7.9(c)</w:t>
      </w:r>
      <w:r>
        <w:rPr>
          <w:rFonts w:ascii="Times New Roman" w:hAnsi="Times New Roman"/>
          <w:sz w:val="17"/>
        </w:rPr>
        <w:t>, or, as applicable, to the extent necessary to exchange the number of Class A Units, PAGP Class B Shares and Holdings GP Units being repurchased).  For the avoidance of doubt, in no event shall the Class A Partners (other than PAGP) be entitled to receive in such Pubco Offer aggregate consideration for each Class A Unit and corresponding PAGP Class B Share and Holdings GP Unit that is greater than the consideration payable in respect of each PAGP Class A Share in connection with a Pubco Offer.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No Exchange shall impair the right of the Exchanging Partner to receive any distributions payable on the Class A Units so exchanged in respect of a Record Date that occurs prior to the Exchange Date for such Exchange.  For the avoidance of doubt, no Exchanging Partner, or a Person designated by an Exchanging Partner to receive PAGP Class A Shares, shall be entitled to receive, with respect to the same fiscal quarter, distributions or dividends both on Class A Units exchanged by such Exchanging Partner and on PAGP Class A Shares received by such Exchanging Partner, or other Person so designated, if applicable, in such Exchange.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144" w:name="15636-2-LG-07_PB_32_034812_8146"/>
      <w:bookmarkEnd w:id="14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7.10</w:t>
      </w:r>
      <w:r>
        <w:rPr>
          <w:rFonts w:ascii="Times New Roman" w:hAnsi="Times New Roman"/>
        </w:rPr>
        <w:t xml:space="preserve">                        </w:t>
      </w:r>
      <w:r>
        <w:rPr>
          <w:rFonts w:ascii="Times New Roman" w:hAnsi="Times New Roman"/>
          <w:b/>
          <w:sz w:val="17"/>
        </w:rPr>
        <w:t>Conversion of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Subject to and in accordance with the applicable Class B Restricted Unit Agreement, if at any time after December 31, 2015, the PAGP Class A Shares are publicly traded, each of the Class B Partners shall be entitled to exchange (a </w:t>
      </w:r>
      <w:r>
        <w:rPr>
          <w:rFonts w:ascii="Times New Roman" w:hAnsi="Times New Roman"/>
          <w:b/>
          <w:i/>
          <w:sz w:val="17"/>
        </w:rPr>
        <w:t>Conversion</w:t>
      </w:r>
      <w:r>
        <w:rPr>
          <w:rFonts w:ascii="Times New Roman" w:hAnsi="Times New Roman"/>
          <w:sz w:val="17"/>
        </w:rPr>
        <w:t>) any or all of such Class B Partners Vested Units for a number of Class A Units (the </w:t>
      </w:r>
      <w:r>
        <w:rPr>
          <w:rFonts w:ascii="Times New Roman" w:hAnsi="Times New Roman"/>
          <w:b/>
          <w:i/>
          <w:sz w:val="17"/>
        </w:rPr>
        <w:t>Converted Class A Units</w:t>
      </w:r>
      <w:r>
        <w:rPr>
          <w:rFonts w:ascii="Times New Roman" w:hAnsi="Times New Roman"/>
          <w:sz w:val="17"/>
        </w:rPr>
        <w:t>) equal to the product of the number of Vested Units being exchanged multiplied by the Conversion Factor as of such Conversion Date (defined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order to effect a Conversion, the exchanging Class B Partner (the </w:t>
      </w:r>
      <w:r>
        <w:rPr>
          <w:rFonts w:ascii="Times New Roman" w:hAnsi="Times New Roman"/>
          <w:b/>
          <w:i/>
          <w:sz w:val="17"/>
        </w:rPr>
        <w:t>Converting Partner</w:t>
      </w:r>
      <w:r>
        <w:rPr>
          <w:rFonts w:ascii="Times New Roman" w:hAnsi="Times New Roman"/>
          <w:sz w:val="17"/>
        </w:rPr>
        <w:t>) shall deliver written notice (the </w:t>
      </w:r>
      <w:r>
        <w:rPr>
          <w:rFonts w:ascii="Times New Roman" w:hAnsi="Times New Roman"/>
          <w:b/>
          <w:i/>
          <w:sz w:val="17"/>
        </w:rPr>
        <w:t>Conversion Notice</w:t>
      </w:r>
      <w:r>
        <w:rPr>
          <w:rFonts w:ascii="Times New Roman" w:hAnsi="Times New Roman"/>
          <w:sz w:val="17"/>
        </w:rPr>
        <w:t>) to the Partnership and PAGP stating that the Converting Partner elects to exchange a stated number of Class B Units as specified in such notice.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As promptly as practicable after the receipt of the Conversion Notice, PAGP shall issue and contribute to the Partnership a number of PAGP Class B Shares in the same amount as the Converted Class A Units, and the Partnership shall deliver such PAGP Class B Shares to the Converting Partner, and the Partnership shall issue and deliver to the Converting Partner the Converted Class A Units.  Each Conversion shall be deemed to have been effected on the Business Day after the date on which the Conversion Notice shall have been received by the Partnership and PAGP (the </w:t>
      </w:r>
      <w:r>
        <w:rPr>
          <w:rFonts w:ascii="Times New Roman" w:hAnsi="Times New Roman"/>
          <w:b/>
          <w:i/>
          <w:sz w:val="17"/>
        </w:rPr>
        <w:t>Conversion Date</w:t>
      </w:r>
      <w:r>
        <w:rPr>
          <w:rFonts w:ascii="Times New Roman" w:hAnsi="Times New Roman"/>
          <w:sz w:val="17"/>
        </w:rPr>
        <w:t xml:space="preserve">), and the applicable Converting Partner shall be deemed to have become, on the Conversion Date, the holder or holders of record of the Converted Class A Units together with an equivalent number of PAGP Class B Shares.  All Converted Class A Units shall, upon issuance thereof, be validly issued, fully paid and non-assessable, except as such non-assessability may be affected by Sections 17-303, 17-607 and 17-804 of the Act and as provided in </w:t>
      </w:r>
      <w:r>
        <w:rPr>
          <w:rFonts w:ascii="Times New Roman" w:hAnsi="Times New Roman"/>
          <w:sz w:val="17"/>
          <w:u w:val="single"/>
        </w:rPr>
        <w:t>Section 3.1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Upon receipt of the Converted Class A Units, the Converting Partner shall become a Class A Partner in accordance with </w:t>
      </w:r>
      <w:r>
        <w:rPr>
          <w:rFonts w:ascii="Times New Roman" w:hAnsi="Times New Roman"/>
          <w:sz w:val="17"/>
          <w:u w:val="single"/>
        </w:rPr>
        <w:t>Section 7.3</w:t>
      </w:r>
      <w:r>
        <w:rPr>
          <w:rFonts w:ascii="Times New Roman" w:hAnsi="Times New Roman"/>
          <w:sz w:val="17"/>
        </w:rPr>
        <w:t>, and shall have all rights, powers and benefits of, and is subject to the obligations, restrictions and liabilities of a Class A Partner under, the Certificate, this Agreement and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No Conversion shall impair the right of the Converting Partner to receive any distributions payable on the Class B Units so converted in respect of a record date that occurs prior to the Conversion Date for such Conversion. For the avoidance of doubt, no Converting Partner shall be entitled to receive, in respect of the same fiscal quarter, distributions both on Class B Units converted by such Converting Partner and on the Converted Class A Units received in such Conversion.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VIII</w:t>
      </w:r>
    </w:p>
    <w:p>
      <w:pPr>
        <w:pStyle w:val="TextBody"/>
        <w:spacing w:before="0" w:after="0"/>
        <w:ind w:left="0" w:right="0" w:hanging="0"/>
        <w:jc w:val="center"/>
        <w:rPr>
          <w:rFonts w:ascii="Times New Roman" w:hAnsi="Times New Roman"/>
          <w:b/>
          <w:sz w:val="17"/>
        </w:rPr>
      </w:pPr>
      <w:r>
        <w:rPr>
          <w:rFonts w:ascii="Times New Roman" w:hAnsi="Times New Roman"/>
          <w:b/>
          <w:sz w:val="17"/>
        </w:rPr>
        <w:t>DISSOLUTION AND LIQUIDATION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8.1</w:t>
      </w:r>
      <w:r>
        <w:rPr>
          <w:rFonts w:ascii="Times New Roman" w:hAnsi="Times New Roman"/>
        </w:rPr>
        <w:t xml:space="preserve">                               </w:t>
      </w:r>
      <w:r>
        <w:rPr>
          <w:rFonts w:ascii="Times New Roman" w:hAnsi="Times New Roman"/>
          <w:b/>
          <w:sz w:val="17"/>
        </w:rPr>
        <w:t>Dissolution of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Partnership shall be dissolved and its affairs wound up upon the first to occur of the following events: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145" w:name="15636-2-LG-07_PB_33_034822_7091"/>
      <w:bookmarkEnd w:id="145"/>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written election of the General Partner, in its sole discretion, to dissolve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the occurrence of any event that results in the General Partner ceasing to be the general partner of the Partnership under the Act, </w:t>
      </w:r>
      <w:r>
        <w:rPr>
          <w:rFonts w:ascii="Times New Roman" w:hAnsi="Times New Roman"/>
          <w:i/>
          <w:sz w:val="17"/>
        </w:rPr>
        <w:t>provided</w:t>
      </w:r>
      <w:r>
        <w:rPr>
          <w:rFonts w:ascii="Times New Roman" w:hAnsi="Times New Roman"/>
          <w:sz w:val="17"/>
        </w:rPr>
        <w:t xml:space="preserve"> that the Partnership will not be dissolved and required to be wound up in connection with any such event if (A) at the time of the occurrence of such event there is at least one remaining general partner of the Partnership who is hereby authorized to and does carry on the business of the Partnership, or (B) within 90 days after the occurrence of such event, all of the Class A Partners agree in writing to continue the business of the Partnership and to the appointment, effective as of the date of such event, if required, of one or more additional general partners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Transfer of all or substantially all of the assets of the Partnership and the receipt and distribution of all the proceeds therefrom;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at any time that there are no limited partners of the Partnership, unless the business of the Partnership is continued in accordance with the Act;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 entry of a decree of judicial dissolution under Section 17-802 of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withdrawal, death, dissolution, retirement, resignation, expulsion, liquidation or bankruptcy of a Partner, the admission to the Partnership of a new General Partner or Limited Partner, the withdrawal of a Partner from the Partnership, or the transfer by a Partner of its Partnership Interest to a third party shall not, in and of itself, cause the Partnership to dissolve.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8.2</w:t>
      </w:r>
      <w:r>
        <w:rPr>
          <w:rFonts w:ascii="Times New Roman" w:hAnsi="Times New Roman"/>
        </w:rPr>
        <w:t xml:space="preserve">                               </w:t>
      </w:r>
      <w:r>
        <w:rPr>
          <w:rFonts w:ascii="Times New Roman" w:hAnsi="Times New Roman"/>
          <w:b/>
          <w:sz w:val="17"/>
        </w:rPr>
        <w:t>Final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dissolution and winding up of the Partnership, an accounting will be made of the accounts of the Partnership and each Partner and of the Partnerships assets, liabilities and operations from the date of the last previous accounting to the date of such dissolution.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8.3</w:t>
      </w:r>
      <w:r>
        <w:rPr>
          <w:rFonts w:ascii="Times New Roman" w:hAnsi="Times New Roman"/>
        </w:rPr>
        <w:t xml:space="preserve">                               </w:t>
      </w:r>
      <w:r>
        <w:rPr>
          <w:rFonts w:ascii="Times New Roman" w:hAnsi="Times New Roman"/>
          <w:b/>
          <w:sz w:val="17"/>
        </w:rPr>
        <w:t>Distributions Following Dissolution and 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Liquidating Trustee</w:t>
      </w:r>
      <w:r>
        <w:rPr>
          <w:rFonts w:ascii="Times New Roman" w:hAnsi="Times New Roman"/>
          <w:sz w:val="17"/>
        </w:rPr>
        <w:t>.  Upon the dissolution of the Partnership, such party as is designated by the General Partner will act as liquidating trustee of the Partnership (the </w:t>
      </w:r>
      <w:r>
        <w:rPr>
          <w:rFonts w:ascii="Times New Roman" w:hAnsi="Times New Roman"/>
          <w:b/>
          <w:i/>
          <w:sz w:val="17"/>
        </w:rPr>
        <w:t>Liquidating Trustee</w:t>
      </w:r>
      <w:r>
        <w:rPr>
          <w:rFonts w:ascii="Times New Roman" w:hAnsi="Times New Roman"/>
          <w:sz w:val="17"/>
        </w:rPr>
        <w:t xml:space="preserve">) and proceed to wind up the business and affairs of the Partnership in accordance with the terms of this Agreement and applicable law.  The Liquidating Trustee will use its reasonable best efforts to sell all Partnership assets (except cash) in the exercise of its best judgment under the circumstances then presented, that it deems in the best interest of the Partners.  The Liquidating Trustee will attempt to convert all assets of the Partnership to cash so long as it can do so consistently with prudent business practice.  The Partners and their respective designees will have the right to purchase any Partnership property to be sold on liquidation, </w:t>
      </w:r>
      <w:r>
        <w:rPr>
          <w:rFonts w:ascii="Times New Roman" w:hAnsi="Times New Roman"/>
          <w:i/>
          <w:sz w:val="17"/>
        </w:rPr>
        <w:t>provided</w:t>
      </w:r>
      <w:r>
        <w:rPr>
          <w:rFonts w:ascii="Times New Roman" w:hAnsi="Times New Roman"/>
          <w:sz w:val="17"/>
        </w:rPr>
        <w:t xml:space="preserve"> that the terms on which such sale is made are no less favorable than would otherwise be available from third parties.  The gains and losses from the sale of the Partnership assets, together with all other revenue, income, gain, deduction, expense, loss and credit during the period, will be allocated in accordance with </w:t>
      </w:r>
      <w:r>
        <w:rPr>
          <w:rFonts w:ascii="Times New Roman" w:hAnsi="Times New Roman"/>
          <w:sz w:val="17"/>
          <w:u w:val="single"/>
        </w:rPr>
        <w:t>Article V</w:t>
      </w:r>
      <w:r>
        <w:rPr>
          <w:rFonts w:ascii="Times New Roman" w:hAnsi="Times New Roman"/>
          <w:sz w:val="17"/>
        </w:rPr>
        <w:t>.  A reasonable amount of time shall be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146" w:name="15636-2-LG-09_PB_34_033244_7056"/>
      <w:bookmarkEnd w:id="14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allowed for the period of winding up in light of prevailing market conditions and so as to avoid undue loss in connection with any sale of Partnership assets.  This Agreement shall remain in full force and effect during the period of winding up.  In addition, upon request of the General Partner and if the Liquidating Trustee determines that it would be imprudent to dispose of any non-cash assets of the Partnership, such assets may be distributed in kind to the Partners in lieu of cash, proportionately to their right to receive cash distributions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Accounting</w:t>
      </w:r>
      <w:r>
        <w:rPr>
          <w:rFonts w:ascii="Times New Roman" w:hAnsi="Times New Roman"/>
          <w:sz w:val="17"/>
        </w:rPr>
        <w:t>.  The Liquidating Trustee will then cause proper accounting to be made of the Capital Account of each Partner, including recognition of any unrealized gain or loss on any asset to be distributed in kind as if such asset had been sold for consideration equal to the fair market value of the asset at the time of the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u w:val="single"/>
        </w:rPr>
        <w:t>Liquidating Distributions</w:t>
      </w:r>
      <w:r>
        <w:rPr>
          <w:rFonts w:ascii="Times New Roman" w:hAnsi="Times New Roman"/>
          <w:sz w:val="17"/>
        </w:rPr>
        <w:t>.  In settling accounts after dissolution of the Partnership, the assets of the Partnership shall be paid to creditors of the Partnership and distributed to the Partners in the following order: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to creditors of the Partnership (including Partners)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 distributed in such manner and at such times as the Liquidating Trustee, in its discretion, deems reasonably advisable;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such amounts be maintained in a separate bank account and that any amounts in such bank account remaining after three years be distributed to the Partners or their successors and assigns as if such amount had been available for distribution under </w:t>
      </w:r>
      <w:r>
        <w:rPr>
          <w:rFonts w:ascii="Times New Roman" w:hAnsi="Times New Roman"/>
          <w:sz w:val="17"/>
          <w:u w:val="single"/>
        </w:rPr>
        <w:t>Section 8.3(c)(ii)</w:t>
      </w:r>
      <w:r>
        <w:rPr>
          <w:rFonts w:ascii="Times New Roman" w:hAnsi="Times New Roman"/>
          <w:sz w:val="17"/>
        </w:rPr>
        <w:t>; and then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w:t>
      </w:r>
      <w:r>
        <w:rPr>
          <w:rFonts w:ascii="Times New Roman" w:hAnsi="Times New Roman"/>
        </w:rPr>
        <w:t xml:space="preserve">                               </w:t>
      </w:r>
      <w:r>
        <w:rPr>
          <w:rFonts w:ascii="Times New Roman" w:hAnsi="Times New Roman"/>
          <w:sz w:val="17"/>
        </w:rPr>
        <w:t>First, an amount equal to Initial Grant Date Partnership Capital, to the Class A Partners pro rata based on the number of Class A Units held;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Second, with respect to each Subsequent Grant Date (determined in order of Subsequent Grant Date), an amount equal to the difference, if any, between the Subsequent Grant Date Partnership Capital for such Subsequent Grant Date and the Subsequent Grant Date Capital for the immediately preceding Subsequent Grant Date or, if there is no previous Subsequent Grant Date, the Initial Grant Date Partnership Capital, to the Class A Partners and the Class B Partners, pro rata, based on the number of Class A Units held and the number of Earned Units and/or Vested Units held (to the extent of Class B Units held prior to the Subsequent Grant Date for which such determination is being made);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Third, any remaining amounts, to the Class A Partners and the Class B Partners, pro rata, based on the number of Class A Units, Earned Units and/or Vested Units held.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Any distribution to the Partners in liquidation of the Partnership shall be made by the later of the end of the taxable year in which the liquidation occurs or 90 days after the date of such liquidation.  For purposes of the preceding sentence, the term</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147" w:name="15636-2-LG-09_PB_35_033300_5335"/>
      <w:bookmarkEnd w:id="14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liquidation shall have the same meaning as set forth in Regulation Section 1.704-2(b)(2)(ii) as in effect at such time and liquidating distributions shall be further deemed to be made pursuant to this Agreement upon the event of a liquidation as defined in such Regulation for which no actual liquidation occurs with a deemed recontribution by the Partners of such deemed liquidating distributions to the continuing Partnership pursuant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Profits and Losses arising from the dissolution and termination of the Partnership shall be allocated among the Partners so that after such allocations and the other allocations under this Agreement, to the maximum extent possible, the final Capital Account balances of the Member are at levels which would permit liquidating distributions, if made in accordance with such final Capital Account balances, to be equal to the distributions to be made under </w:t>
      </w:r>
      <w:r>
        <w:rPr>
          <w:rFonts w:ascii="Times New Roman" w:hAnsi="Times New Roman"/>
          <w:sz w:val="17"/>
          <w:u w:val="single"/>
        </w:rPr>
        <w:t>Section 8.3(c)(ii)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u w:val="single"/>
        </w:rPr>
        <w:t>No Third Party Benefit</w:t>
      </w:r>
      <w:r>
        <w:rPr>
          <w:rFonts w:ascii="Times New Roman" w:hAnsi="Times New Roman"/>
          <w:sz w:val="17"/>
        </w:rPr>
        <w:t xml:space="preserve">.  The provisions of this Agreement, including, without limitation, this </w:t>
      </w:r>
      <w:r>
        <w:rPr>
          <w:rFonts w:ascii="Times New Roman" w:hAnsi="Times New Roman"/>
          <w:sz w:val="17"/>
          <w:u w:val="single"/>
        </w:rPr>
        <w:t>Section 8.3</w:t>
      </w:r>
      <w:r>
        <w:rPr>
          <w:rFonts w:ascii="Times New Roman" w:hAnsi="Times New Roman"/>
          <w:sz w:val="17"/>
        </w:rPr>
        <w:t>, are intended solely to benefit the Partners and, to the fullest extent permitted by law, shall not be construed as conferring any benefit upon any creditor of the Partnership, and no such creditor of the Partnership shall be a third-party beneficiary of this Agreement, and no Partner shall have any duty or obligation to any creditor of the Partnership to issue any call for capital pursuant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8.4</w:t>
      </w:r>
      <w:r>
        <w:rPr>
          <w:rFonts w:ascii="Times New Roman" w:hAnsi="Times New Roman"/>
        </w:rPr>
        <w:t xml:space="preserve">                               </w:t>
      </w:r>
      <w:r>
        <w:rPr>
          <w:rFonts w:ascii="Times New Roman" w:hAnsi="Times New Roman"/>
          <w:b/>
          <w:sz w:val="17"/>
        </w:rPr>
        <w:t>Termination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Partnership shall terminate when all assets of the Partnership, after payment or due provision for all debts, liabilities and obligations of the Partnership, shall have been distributed to the Partners in the manner provided for in this </w:t>
      </w:r>
      <w:r>
        <w:rPr>
          <w:rFonts w:ascii="Times New Roman" w:hAnsi="Times New Roman"/>
          <w:sz w:val="17"/>
          <w:u w:val="single"/>
        </w:rPr>
        <w:t>Article VIII</w:t>
      </w:r>
      <w:r>
        <w:rPr>
          <w:rFonts w:ascii="Times New Roman" w:hAnsi="Times New Roman"/>
          <w:sz w:val="17"/>
        </w:rPr>
        <w:t>, and the Certificate shall have been canceled in the manner required by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8.5</w:t>
      </w:r>
      <w:r>
        <w:rPr>
          <w:rFonts w:ascii="Times New Roman" w:hAnsi="Times New Roman"/>
        </w:rPr>
        <w:t xml:space="preserve">                               </w:t>
      </w:r>
      <w:r>
        <w:rPr>
          <w:rFonts w:ascii="Times New Roman" w:hAnsi="Times New Roman"/>
          <w:b/>
          <w:sz w:val="17"/>
        </w:rPr>
        <w:t>No Action for Dissolution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Limited Partners acknowledge that irreparable damage would be done to the goodwill and reputation of the Partnership if any Limited Partner should bring an action in court to dissolve the Partnership under circumstances where dissolution is not required by </w:t>
      </w:r>
      <w:r>
        <w:rPr>
          <w:rFonts w:ascii="Times New Roman" w:hAnsi="Times New Roman"/>
          <w:sz w:val="17"/>
          <w:u w:val="single"/>
        </w:rPr>
        <w:t>Section 8.1</w:t>
      </w:r>
      <w:r>
        <w:rPr>
          <w:rFonts w:ascii="Times New Roman" w:hAnsi="Times New Roman"/>
          <w:sz w:val="17"/>
        </w:rPr>
        <w:t xml:space="preserve">.  Accordingly, except where the General Partner has failed to cause the liquidation of the Partnership as required by </w:t>
      </w:r>
      <w:r>
        <w:rPr>
          <w:rFonts w:ascii="Times New Roman" w:hAnsi="Times New Roman"/>
          <w:sz w:val="17"/>
          <w:u w:val="single"/>
        </w:rPr>
        <w:t>Section 8.1</w:t>
      </w:r>
      <w:r>
        <w:rPr>
          <w:rFonts w:ascii="Times New Roman" w:hAnsi="Times New Roman"/>
          <w:sz w:val="17"/>
        </w:rPr>
        <w:t xml:space="preserve"> and except as specifically provided in Section 17-802 of the Act, each Limited Partner hereby to the fullest extent permitted by law waives and renounces his right to initiate legal action to seek dissolution of the Partnership or to seek the appointment of a receiver or trustee to wind up the affairs of the Partnership, except in the cases of fraud, bad faith or willful misconduct.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IX</w:t>
        <w:br/>
        <w:t>ACCOUNTING; BOOKS AND RECORDS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9.1</w:t>
      </w:r>
      <w:r>
        <w:rPr>
          <w:rFonts w:ascii="Times New Roman" w:hAnsi="Times New Roman"/>
        </w:rPr>
        <w:t xml:space="preserve">                               </w:t>
      </w:r>
      <w:r>
        <w:rPr>
          <w:rFonts w:ascii="Times New Roman" w:hAnsi="Times New Roman"/>
          <w:b/>
          <w:sz w:val="17"/>
        </w:rPr>
        <w:t>Fiscal Year and Accounting Method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fiscal year and taxable year of the Partnership shall be the calendar year.  The Partnership shall use an accrual method of accounting.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148" w:name="15636-2-LG-09_PB_36_033315_5796"/>
      <w:bookmarkEnd w:id="14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9.2</w:t>
      </w:r>
      <w:r>
        <w:rPr>
          <w:rFonts w:ascii="Times New Roman" w:hAnsi="Times New Roman"/>
        </w:rPr>
        <w:t xml:space="preserve">                               </w:t>
      </w:r>
      <w:r>
        <w:rPr>
          <w:rFonts w:ascii="Times New Roman" w:hAnsi="Times New Roman"/>
          <w:b/>
          <w:sz w:val="17"/>
        </w:rPr>
        <w:t>Books and Records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shall maintain at its principal office, or such other office as may be determined by the General Partner, all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 current list of the full name and last known business or residence address of each Partner, together with information regarding the amount of cash and a description and statement of the agreed value of any other property or services contributed by each Partner and which each Partner has agreed to contribute in the future, and the date on which each Partner became a Partner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copy of the Certificate and this Agreement, including any and all amendments to either thereof, together with executed copies of any powers of attorney pursuant to which the Certificate, this Agreement, or any amendments have been executed;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copies of the Partnerships Federal, state, and local income tax or information returns and reports, if any, which shall be retained for at least six fiscal years;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financial statements of the Partnership;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Partnerships books and records.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9.3</w:t>
      </w:r>
      <w:r>
        <w:rPr>
          <w:rFonts w:ascii="Times New Roman" w:hAnsi="Times New Roman"/>
        </w:rPr>
        <w:t xml:space="preserve">                               </w:t>
      </w:r>
      <w:r>
        <w:rPr>
          <w:rFonts w:ascii="Times New Roman" w:hAnsi="Times New Roman"/>
          <w:b/>
          <w:sz w:val="17"/>
        </w:rPr>
        <w:t>Delivery to Partners; Inspection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Upon the request of any Class A Partner, for any purpose reasonably related to such Partners interest as a partner of the Partnership, the General Partner shall cause to be made available to the requesting Partner the information required to be maintained by clauses (a) through (e) of </w:t>
      </w:r>
      <w:r>
        <w:rPr>
          <w:rFonts w:ascii="Times New Roman" w:hAnsi="Times New Roman"/>
          <w:sz w:val="17"/>
          <w:u w:val="single"/>
        </w:rPr>
        <w:t>Section 9.2</w:t>
      </w:r>
      <w:r>
        <w:rPr>
          <w:rFonts w:ascii="Times New Roman" w:hAnsi="Times New Roman"/>
          <w:sz w:val="17"/>
        </w:rPr>
        <w:t xml:space="preserve"> and such other information regarding the business and affairs and financial condition of the Partnership as any Class A Partner may reasonably request.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9.4</w:t>
      </w:r>
      <w:r>
        <w:rPr>
          <w:rFonts w:ascii="Times New Roman" w:hAnsi="Times New Roman"/>
        </w:rPr>
        <w:t xml:space="preserve">                               </w:t>
      </w:r>
      <w:r>
        <w:rPr>
          <w:rFonts w:ascii="Times New Roman" w:hAnsi="Times New Roman"/>
          <w:b/>
          <w:sz w:val="17"/>
        </w:rPr>
        <w:t>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General Partner shall cause to be prepared for the Partners, at the Partnerships expense, (a) annual financial statements of the Partnership, and its Subsidiaries, prepared in accordance with generally accepted accounting principles and audited by a nationally recognized accounting firm and (b) with respect to the first three quarters of the Partnerships fiscal year, unaudited quarterly financial statements of the Partnership, and its Subsidiaries, prepared in accordance with generally accepted accounting principles (except that such financial statements may (i) be subject to normal year-end audit adjustments and (ii) not contain all notes thereto that may be required under generally accepted accounting principles).  The financial statements so furnished shall include the same monthly and quarterly financials, statements of cash flow, any available internal budgets or forecast or other available financial reports as are provided by the Partnership, or any of its Subsidiaries, to any financial institution.  Notwithstanding the foregoing, the requirements of this </w:t>
      </w:r>
      <w:r>
        <w:rPr>
          <w:rFonts w:ascii="Times New Roman" w:hAnsi="Times New Roman"/>
          <w:sz w:val="17"/>
          <w:u w:val="single"/>
        </w:rPr>
        <w:t>Section 9.4</w:t>
      </w:r>
      <w:r>
        <w:rPr>
          <w:rFonts w:ascii="Times New Roman" w:hAnsi="Times New Roman"/>
          <w:sz w:val="17"/>
        </w:rPr>
        <w:t xml:space="preserve"> will be deemed satisfied by furnishing to the Partners unaudited unconsolidated financial information of the Partnership in a format similar to the information currently provided to the Lenders (as defined in the Plains AAP Credit Facility) under the Plains AAP Credit Facility; </w:t>
      </w:r>
      <w:r>
        <w:rPr>
          <w:rFonts w:ascii="Times New Roman" w:hAnsi="Times New Roman"/>
          <w:i/>
          <w:sz w:val="17"/>
        </w:rPr>
        <w:t>provided</w:t>
      </w:r>
      <w:r>
        <w:rPr>
          <w:rFonts w:ascii="Times New Roman" w:hAnsi="Times New Roman"/>
          <w:sz w:val="17"/>
        </w:rPr>
        <w:t>, that the MLP also files with the Securities Exchange Commission (A) unaudited interim financial information with respect to the first three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149" w:name="15636-2-LG-09_PB_37_033326_2897"/>
      <w:bookmarkEnd w:id="14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quarters of each fiscal year and (B) audited annual financial information with respect to each fiscal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9.5</w:t>
      </w:r>
      <w:r>
        <w:rPr>
          <w:rFonts w:ascii="Times New Roman" w:hAnsi="Times New Roman"/>
        </w:rPr>
        <w:t xml:space="preserve">                               </w:t>
      </w:r>
      <w:r>
        <w:rPr>
          <w:rFonts w:ascii="Times New Roman" w:hAnsi="Times New Roman"/>
          <w:b/>
          <w:sz w:val="17"/>
        </w:rPr>
        <w:t>Filings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Partnerships expense, the General Partner shall cause the income tax returns for the Partnership to be prepared and timely filed with the appropriate authorities and to have prepared and to furnish to each Partner such information with respect to the Partnership as is necessary (or as may be reasonably requested by a Partner) to enable the Partners to prepare their Federal, state and local income tax returns.  The General Partner, at the Partnerships expense, shall also cause to be prepared and timely filed, with appropriate Federal, state and local regulatory and administrative bodies, all reports required to be filed by the Partnership with those entities under then current applicable laws, rules, and regulations.  The reports shall be prepared on the accounting or reporting basis required by the regulatory bodies.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9.6</w:t>
      </w:r>
      <w:r>
        <w:rPr>
          <w:rFonts w:ascii="Times New Roman" w:hAnsi="Times New Roman"/>
        </w:rPr>
        <w:t xml:space="preserve">                               </w:t>
      </w:r>
      <w:r>
        <w:rPr>
          <w:rFonts w:ascii="Times New Roman" w:hAnsi="Times New Roman"/>
          <w:b/>
          <w:sz w:val="17"/>
        </w:rPr>
        <w:t>Non-Disclosure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Class A Partner (other than PAGP) agrees that, except as otherwise consented to by the General Partner in writing, all non-public and confidential information furnished to it pursuant to this Agreement will be kept confidential and will not be disclosed by such Partner, or by any of its agents, representatives, or employees, in any manner whatsoever (other than to the Partnership, another Partner or any Person designated by the Partnership), in whole or in part, except that (a) each Partner shall be permitted to disclose such information to those of its agents, representatives, and employees who need to be familiar with such information in connection with such Partners investment in the Partnership (collectively, </w:t>
      </w:r>
      <w:r>
        <w:rPr>
          <w:rFonts w:ascii="Times New Roman" w:hAnsi="Times New Roman"/>
          <w:b/>
          <w:i/>
          <w:sz w:val="17"/>
        </w:rPr>
        <w:t>Representatives</w:t>
      </w:r>
      <w:r>
        <w:rPr>
          <w:rFonts w:ascii="Times New Roman" w:hAnsi="Times New Roman"/>
          <w:sz w:val="17"/>
        </w:rPr>
        <w:t xml:space="preserve">) and are apprised of the confidential nature of such information, (b) each Partner shall be permitted to disclose information to the extent required by law, legal process or regulatory requirements, so long as such Partner shall have used its reasonable efforts to first afford the Partnership with a reasonable opportunity to contest the necessity of disclosing such information, (c) each Partner shall be permitted to disclose such information to possible purchasers of all or a portion of the Partners Partnership Interest, </w:t>
      </w:r>
      <w:r>
        <w:rPr>
          <w:rFonts w:ascii="Times New Roman" w:hAnsi="Times New Roman"/>
          <w:i/>
          <w:sz w:val="17"/>
        </w:rPr>
        <w:t>provided</w:t>
      </w:r>
      <w:r>
        <w:rPr>
          <w:rFonts w:ascii="Times New Roman" w:hAnsi="Times New Roman"/>
          <w:sz w:val="17"/>
        </w:rPr>
        <w:t xml:space="preserve"> that such prospective purchaser shall execute a suitable confidentiality agreement in a form approved by the General Partner and containing terms not less restrictive than the terms set forth herein, (d) each Partner shall be permitted to disclose information to the extent necessary for the enforcement of any right of such Partner arising under this Agreement and (e) each Partner shall be permitted to report to its shareholders, limited partners, members or other owners, as applicable, regarding the general status of its investment in the Partnership (without disclosing specific confidential information);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information shall not be deemed confidential information for purposes of this </w:t>
      </w:r>
      <w:r>
        <w:rPr>
          <w:rFonts w:ascii="Times New Roman" w:hAnsi="Times New Roman"/>
          <w:sz w:val="17"/>
          <w:u w:val="single"/>
        </w:rPr>
        <w:t>Section 9.6</w:t>
      </w:r>
      <w:r>
        <w:rPr>
          <w:rFonts w:ascii="Times New Roman" w:hAnsi="Times New Roman"/>
          <w:sz w:val="17"/>
        </w:rPr>
        <w:t xml:space="preserve"> or </w:t>
      </w:r>
      <w:r>
        <w:rPr>
          <w:rFonts w:ascii="Times New Roman" w:hAnsi="Times New Roman"/>
          <w:sz w:val="17"/>
          <w:u w:val="single"/>
        </w:rPr>
        <w:t>Section 10.1</w:t>
      </w:r>
      <w:r>
        <w:rPr>
          <w:rFonts w:ascii="Times New Roman" w:hAnsi="Times New Roman"/>
          <w:sz w:val="17"/>
        </w:rPr>
        <w:t xml:space="preserve">, where such information (i) is already known to such Partner (or its Representatives), having been disclosed to such Partner (or its Representatives) by a third Person without such third Person having an obligation of confidentiality to the Partnership, (ii) is or becomes publicly known through no wrongful act of such Partner (or its Representatives), or (iii) is independently developed by such Partner (or its Representatives) without reference to any confidential information disclosed to such Partner under this Agreement.  Each Partner shall be responsible for any breach of this </w:t>
      </w:r>
      <w:r>
        <w:rPr>
          <w:rFonts w:ascii="Times New Roman" w:hAnsi="Times New Roman"/>
          <w:sz w:val="17"/>
          <w:u w:val="single"/>
        </w:rPr>
        <w:t>Section 9.6</w:t>
      </w:r>
      <w:r>
        <w:rPr>
          <w:rFonts w:ascii="Times New Roman" w:hAnsi="Times New Roman"/>
          <w:sz w:val="17"/>
        </w:rPr>
        <w:t xml:space="preserve"> by any of its Representatives.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150" w:name="15636-2-LG-09_PB_38_033338_3020"/>
      <w:bookmarkEnd w:id="15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9.7</w:t>
      </w:r>
      <w:r>
        <w:rPr>
          <w:rFonts w:ascii="Times New Roman" w:hAnsi="Times New Roman"/>
        </w:rPr>
        <w:t xml:space="preserve">                               </w:t>
      </w:r>
      <w:r>
        <w:rPr>
          <w:rFonts w:ascii="Times New Roman" w:hAnsi="Times New Roman"/>
          <w:b/>
          <w:sz w:val="17"/>
        </w:rPr>
        <w:t>Tax Elections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Partnership shall elect to deduct expenses incurred in organizing the Partnership ratably over a sixty-month period as provided in Section 709 of the Code.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Except as otherwise provided herein, the General Partner shall determine whether the Partnership should make any other elections permitted by the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X</w:t>
        <w:br/>
        <w:t>NON-COMPETITION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10.1</w:t>
      </w:r>
      <w:r>
        <w:rPr>
          <w:rFonts w:ascii="Times New Roman" w:hAnsi="Times New Roman"/>
        </w:rPr>
        <w:t xml:space="preserve">                        </w:t>
      </w:r>
      <w:r>
        <w:rPr>
          <w:rFonts w:ascii="Times New Roman" w:hAnsi="Times New Roman"/>
          <w:b/>
          <w:sz w:val="17"/>
        </w:rPr>
        <w:t>Non-Competition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of the Class A Partners (other than PAGP) hereby acknowledges that the Partnership and the MLP operate in a competitive business and compete with other Persons operating in the midstream segment of the oil and gas industry for acquisition and business opportunities.  Each of the Limited Partners agrees that during the period that it is a Limited Partner, it shall not, directly or indirectly, use any of the confidential information it receives as a Limited Partner to (a) compete with, or (b) engage in or become interested financially in as a principal, employee, partner, shareholder, agent, manager, owner, advisor, lender, guarantor of any Person that competes in North America with, the business conducted by the General Partner, the Partnership, PAA GP and the MLP;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when a Limited Partner engages in such activities, there shall be no presumption of misuse of such confidential information solely because a Representative of such Limited Partner may retain a mental impression of any such confidential information.  The Partnership and each of the Limited Partners also agree and acknowledge that (i) Kayne Anderson Capital Advisors L.P. and its Affiliates (</w:t>
      </w:r>
      <w:r>
        <w:rPr>
          <w:rFonts w:ascii="Times New Roman" w:hAnsi="Times New Roman"/>
          <w:b/>
          <w:i/>
          <w:sz w:val="17"/>
        </w:rPr>
        <w:t>Kayne Anderson</w:t>
      </w:r>
      <w:r>
        <w:rPr>
          <w:rFonts w:ascii="Times New Roman" w:hAnsi="Times New Roman"/>
          <w:sz w:val="17"/>
        </w:rPr>
        <w:t>), First Reserve XII Advisors, L.L.C. and its Affiliates (</w:t>
      </w:r>
      <w:r>
        <w:rPr>
          <w:rFonts w:ascii="Times New Roman" w:hAnsi="Times New Roman"/>
          <w:b/>
          <w:i/>
          <w:sz w:val="17"/>
        </w:rPr>
        <w:t>First Reserve</w:t>
      </w:r>
      <w:r>
        <w:rPr>
          <w:rFonts w:ascii="Times New Roman" w:hAnsi="Times New Roman"/>
          <w:sz w:val="17"/>
        </w:rPr>
        <w:t>), and EMG Investment, LLC and its Affiliates (</w:t>
      </w:r>
      <w:r>
        <w:rPr>
          <w:rFonts w:ascii="Times New Roman" w:hAnsi="Times New Roman"/>
          <w:b/>
          <w:i/>
          <w:sz w:val="17"/>
        </w:rPr>
        <w:t>EMG</w:t>
      </w:r>
      <w:r>
        <w:rPr>
          <w:rFonts w:ascii="Times New Roman" w:hAnsi="Times New Roman"/>
          <w:sz w:val="17"/>
        </w:rPr>
        <w:t>) manage investments in the energy industry in the ordinary course of business (such investments referred to as </w:t>
      </w:r>
      <w:r>
        <w:rPr>
          <w:rFonts w:ascii="Times New Roman" w:hAnsi="Times New Roman"/>
          <w:b/>
          <w:i/>
          <w:sz w:val="17"/>
        </w:rPr>
        <w:t>Institutional Investments</w:t>
      </w:r>
      <w:r>
        <w:rPr>
          <w:rFonts w:ascii="Times New Roman" w:hAnsi="Times New Roman"/>
          <w:sz w:val="17"/>
        </w:rPr>
        <w:t>) and that Kayne Anderson, First Reserve and EMG may make Institutional Investments, even if such Institutional Investments are competitive with the Partnerships and its Subsidiaries business; (ii) Oxy Holding Company (Pipeline), Inc. (</w:t>
      </w:r>
      <w:r>
        <w:rPr>
          <w:rFonts w:ascii="Times New Roman" w:hAnsi="Times New Roman"/>
          <w:b/>
          <w:i/>
          <w:sz w:val="17"/>
        </w:rPr>
        <w:t>Oxy</w:t>
      </w:r>
      <w:r>
        <w:rPr>
          <w:rFonts w:ascii="Times New Roman" w:hAnsi="Times New Roman"/>
          <w:sz w:val="17"/>
        </w:rPr>
        <w:t>) and its Affiliates engage in business that includes activities and business or strategic interests or investments that are related to, complement or compete with the businesses of the Partnership and its Subsidiaries and that Oxy and its Affiliates may engage in such activities or business; and (iii) Kayne Anderson, First Reserve, EMG, Oxy and their Affiliates (A) shall not be prohibited, by virtue of its status as a Partner, from pursuing or engaging in such Institutional Investments described in clause (i) above or activities or interests described in clause (ii) above, as applicable; (B) shall not be obligated, or have a duty, to inform or present to the Partnership or any of its Subsidiaries, of any opportunity, relationship or investment (and no other Partner will acquire or be entitled to any interest or participation in any such opportunity, relationship or investment) and shall not be bound by the doctrine of corporate opportunity (or any analogous doctrine); and (C) shall not be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151" w:name="15636-2-LG-09_PB_39_033350_7748"/>
      <w:bookmarkEnd w:id="15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deemed to have a conflict of interest with, or to have breached this </w:t>
      </w:r>
      <w:r>
        <w:rPr>
          <w:rFonts w:ascii="Times New Roman" w:hAnsi="Times New Roman"/>
          <w:sz w:val="17"/>
          <w:u w:val="single"/>
        </w:rPr>
        <w:t>Section 10.1</w:t>
      </w:r>
      <w:r>
        <w:rPr>
          <w:rFonts w:ascii="Times New Roman" w:hAnsi="Times New Roman"/>
          <w:sz w:val="17"/>
        </w:rPr>
        <w:t xml:space="preserve"> or any duty (if any), whether express or implied by law, to, the Partnership or its Affiliates or any other Partner by reason of such Partners (or any of its Representatives or equity holders) involvement in such activities or interests; </w:t>
      </w:r>
      <w:r>
        <w:rPr>
          <w:rFonts w:ascii="Times New Roman" w:hAnsi="Times New Roman"/>
          <w:i/>
          <w:sz w:val="17"/>
        </w:rPr>
        <w:t>provided</w:t>
      </w:r>
      <w:r>
        <w:rPr>
          <w:rFonts w:ascii="Times New Roman" w:hAnsi="Times New Roman"/>
          <w:sz w:val="17"/>
        </w:rPr>
        <w:t xml:space="preserve">, that in all cases, such Institutional Investments, activities or interests are not in violation of the provisions of </w:t>
      </w:r>
      <w:r>
        <w:rPr>
          <w:rFonts w:ascii="Times New Roman" w:hAnsi="Times New Roman"/>
          <w:sz w:val="17"/>
          <w:u w:val="single"/>
        </w:rPr>
        <w:t>Section 9.6</w:t>
      </w:r>
      <w:r>
        <w:rPr>
          <w:rFonts w:ascii="Times New Roman" w:hAnsi="Times New Roman"/>
          <w:sz w:val="17"/>
        </w:rPr>
        <w:t xml:space="preserve"> or the second sentence of this </w:t>
      </w:r>
      <w:r>
        <w:rPr>
          <w:rFonts w:ascii="Times New Roman" w:hAnsi="Times New Roman"/>
          <w:sz w:val="17"/>
          <w:u w:val="single"/>
        </w:rPr>
        <w:t>Section 10.1</w:t>
      </w:r>
      <w:r>
        <w:rPr>
          <w:rFonts w:ascii="Times New Roman" w:hAnsi="Times New Roman"/>
          <w:sz w:val="17"/>
        </w:rPr>
        <w:t xml:space="preserve">.  Each of the Limited Partners confirms that the restrictions and limitations in this </w:t>
      </w:r>
      <w:r>
        <w:rPr>
          <w:rFonts w:ascii="Times New Roman" w:hAnsi="Times New Roman"/>
          <w:sz w:val="17"/>
          <w:u w:val="single"/>
        </w:rPr>
        <w:t>Section 10.1</w:t>
      </w:r>
      <w:r>
        <w:rPr>
          <w:rFonts w:ascii="Times New Roman" w:hAnsi="Times New Roman"/>
          <w:sz w:val="17"/>
        </w:rPr>
        <w:t xml:space="preserve"> are reasonable and valid and all defenses to the strict enforcement thereof are hereby waived by each of the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10.2</w:t>
      </w:r>
      <w:r>
        <w:rPr>
          <w:rFonts w:ascii="Times New Roman" w:hAnsi="Times New Roman"/>
        </w:rPr>
        <w:t xml:space="preserve">                        </w:t>
      </w:r>
      <w:r>
        <w:rPr>
          <w:rFonts w:ascii="Times New Roman" w:hAnsi="Times New Roman"/>
          <w:b/>
          <w:sz w:val="17"/>
        </w:rPr>
        <w:t>Damages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of the Limited Partners acknowledges that damages may not be an adequate compensation for the losses which may be suffered by the Partnership as a result of the breach by such Limited Partner of the covenants contained in this </w:t>
      </w:r>
      <w:r>
        <w:rPr>
          <w:rFonts w:ascii="Times New Roman" w:hAnsi="Times New Roman"/>
          <w:sz w:val="17"/>
          <w:u w:val="single"/>
        </w:rPr>
        <w:t>Article X</w:t>
      </w:r>
      <w:r>
        <w:rPr>
          <w:rFonts w:ascii="Times New Roman" w:hAnsi="Times New Roman"/>
          <w:sz w:val="17"/>
        </w:rPr>
        <w:t xml:space="preserve"> and that the Partnership shall be entitled to seek injunctive relief with respect to any such breach in lieu of or in addition to any recourse in damages without the posting of a bond or other security.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10.3</w:t>
      </w:r>
      <w:r>
        <w:rPr>
          <w:rFonts w:ascii="Times New Roman" w:hAnsi="Times New Roman"/>
        </w:rPr>
        <w:t xml:space="preserve">                        </w:t>
      </w:r>
      <w:r>
        <w:rPr>
          <w:rFonts w:ascii="Times New Roman" w:hAnsi="Times New Roman"/>
          <w:b/>
          <w:sz w:val="17"/>
        </w:rPr>
        <w:t>Limitations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the event that a court of competent jurisdiction decides that the limitations set forth in </w:t>
      </w:r>
      <w:r>
        <w:rPr>
          <w:rFonts w:ascii="Times New Roman" w:hAnsi="Times New Roman"/>
          <w:sz w:val="17"/>
          <w:u w:val="single"/>
        </w:rPr>
        <w:t>Section 10.1</w:t>
      </w:r>
      <w:r>
        <w:rPr>
          <w:rFonts w:ascii="Times New Roman" w:hAnsi="Times New Roman"/>
          <w:sz w:val="17"/>
        </w:rPr>
        <w:t xml:space="preserve"> hereof are too broad, such limitations shall be reduced to those limitations that such court deems reasonable.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XI</w:t>
        <w:br/>
        <w:t>GENERAL PROVISIONS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11.1</w:t>
      </w:r>
      <w:r>
        <w:rPr>
          <w:rFonts w:ascii="Times New Roman" w:hAnsi="Times New Roman"/>
        </w:rPr>
        <w:t xml:space="preserve">                        </w:t>
      </w:r>
      <w:r>
        <w:rPr>
          <w:rFonts w:ascii="Times New Roman" w:hAnsi="Times New Roman"/>
          <w:b/>
          <w:sz w:val="17"/>
        </w:rPr>
        <w:t>Waiver of Default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 consent or waiver, express or implied, by the Partnership or a Partner with respect to any breach or default by the Partnership or a Partner hereunder shall be deemed or construed to be a consent or waiver with respect to any other breach or default by any party of the same provision or any other provision of this Agreement.  Failure on the part of the Partnership or a Partner to complain of any act or failure to act of the Partnership or a Partner or to declare such party in default shall not be deemed or constitute a waiver by the Partnership or the Partner of any rights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11.2</w:t>
      </w:r>
      <w:r>
        <w:rPr>
          <w:rFonts w:ascii="Times New Roman" w:hAnsi="Times New Roman"/>
        </w:rPr>
        <w:t xml:space="preserve">                        </w:t>
      </w:r>
      <w:r>
        <w:rPr>
          <w:rFonts w:ascii="Times New Roman" w:hAnsi="Times New Roman"/>
          <w:b/>
          <w:sz w:val="17"/>
        </w:rPr>
        <w:t>Amendment of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Except as otherwise expressly provided elsewhere in this Agreement, this Agreement shall not be amended, modified, superseded or restated except by an amendment approved by the General Partner;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(i) no amendment to </w:t>
      </w:r>
      <w:r>
        <w:rPr>
          <w:rFonts w:ascii="Times New Roman" w:hAnsi="Times New Roman"/>
          <w:sz w:val="17"/>
          <w:u w:val="single"/>
        </w:rPr>
        <w:t>Section 6.6</w:t>
      </w:r>
      <w:r>
        <w:rPr>
          <w:rFonts w:ascii="Times New Roman" w:hAnsi="Times New Roman"/>
          <w:sz w:val="17"/>
        </w:rPr>
        <w:t xml:space="preserve"> shall be effective without the prior written consent of Oxy and (ii) no amendment to </w:t>
      </w:r>
      <w:r>
        <w:rPr>
          <w:rFonts w:ascii="Times New Roman" w:hAnsi="Times New Roman"/>
          <w:sz w:val="17"/>
          <w:u w:val="single"/>
        </w:rPr>
        <w:t>Section 7.9</w:t>
      </w:r>
      <w:r>
        <w:rPr>
          <w:rFonts w:ascii="Times New Roman" w:hAnsi="Times New Roman"/>
          <w:sz w:val="17"/>
        </w:rPr>
        <w:t xml:space="preserve"> that adversely affects the Exchange right thereunder shall be effective without the prior written consent of the holders of at least two-thirds of the outstanding Class A Units.  Without limiting the generality of the foregoing, and except as otherwise set forth in this </w:t>
      </w:r>
      <w:r>
        <w:rPr>
          <w:rFonts w:ascii="Times New Roman" w:hAnsi="Times New Roman"/>
          <w:sz w:val="17"/>
          <w:u w:val="single"/>
        </w:rPr>
        <w:t>Section 11.2(a)</w:t>
      </w:r>
      <w:r>
        <w:rPr>
          <w:rFonts w:ascii="Times New Roman" w:hAnsi="Times New Roman"/>
          <w:sz w:val="17"/>
        </w:rPr>
        <w:t>, this Agreement may be amended without the consent or approval of any Limited Partner, including any Class B Partner.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152" w:name="15636-2-LG-09_PB_40_033401_141"/>
      <w:bookmarkEnd w:id="15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addition to any amendments otherwise authorized herein, the General Partner may make any amendments to any of the Schedules to this Agreement from time to time to reflect transfers of Partnership Interests and issuances of additional Partnership Interests.  Copies of such amendments shall be delivered to the Partners promptly upon execution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General Partner shall cause to be prepared and filed any amendment to the Certificate that may be required to be filed under the Act as a consequence of any amendment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Any modification or amendment to this Agreement or the Certificate made in accordance with this </w:t>
      </w:r>
      <w:r>
        <w:rPr>
          <w:rFonts w:ascii="Times New Roman" w:hAnsi="Times New Roman"/>
          <w:sz w:val="17"/>
          <w:u w:val="single"/>
        </w:rPr>
        <w:t>Section 11.2</w:t>
      </w:r>
      <w:r>
        <w:rPr>
          <w:rFonts w:ascii="Times New Roman" w:hAnsi="Times New Roman"/>
          <w:sz w:val="17"/>
        </w:rPr>
        <w:t xml:space="preserve"> shall be binding on all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11.3</w:t>
      </w:r>
      <w:r>
        <w:rPr>
          <w:rFonts w:ascii="Times New Roman" w:hAnsi="Times New Roman"/>
        </w:rPr>
        <w:t xml:space="preserve">                        </w:t>
      </w:r>
      <w:r>
        <w:rPr>
          <w:rFonts w:ascii="Times New Roman" w:hAnsi="Times New Roman"/>
          <w:b/>
          <w:sz w:val="17"/>
        </w:rPr>
        <w:t>No Third Party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provided in </w:t>
      </w:r>
      <w:r>
        <w:rPr>
          <w:rFonts w:ascii="Times New Roman" w:hAnsi="Times New Roman"/>
          <w:sz w:val="17"/>
          <w:u w:val="single"/>
        </w:rPr>
        <w:t>Section 6.2</w:t>
      </w:r>
      <w:r>
        <w:rPr>
          <w:rFonts w:ascii="Times New Roman" w:hAnsi="Times New Roman"/>
          <w:sz w:val="17"/>
        </w:rPr>
        <w:t xml:space="preserve"> and </w:t>
      </w:r>
      <w:r>
        <w:rPr>
          <w:rFonts w:ascii="Times New Roman" w:hAnsi="Times New Roman"/>
          <w:sz w:val="17"/>
          <w:u w:val="single"/>
        </w:rPr>
        <w:t>Section 6.3</w:t>
      </w:r>
      <w:r>
        <w:rPr>
          <w:rFonts w:ascii="Times New Roman" w:hAnsi="Times New Roman"/>
          <w:sz w:val="17"/>
        </w:rPr>
        <w:t>, none of the provisions contained in this Agreement shall be for the benefit of or enforceable by any third parties, including creditors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11.4</w:t>
      </w:r>
      <w:r>
        <w:rPr>
          <w:rFonts w:ascii="Times New Roman" w:hAnsi="Times New Roman"/>
        </w:rPr>
        <w:t xml:space="preserve">                        </w:t>
      </w:r>
      <w:r>
        <w:rPr>
          <w:rFonts w:ascii="Times New Roman" w:hAnsi="Times New Roman"/>
          <w:b/>
          <w:sz w:val="17"/>
        </w:rPr>
        <w:t>Severability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11.5</w:t>
      </w:r>
      <w:r>
        <w:rPr>
          <w:rFonts w:ascii="Times New Roman" w:hAnsi="Times New Roman"/>
        </w:rPr>
        <w:t xml:space="preserve">                        </w:t>
      </w:r>
      <w:r>
        <w:rPr>
          <w:rFonts w:ascii="Times New Roman" w:hAnsi="Times New Roman"/>
          <w:b/>
          <w:sz w:val="17"/>
        </w:rPr>
        <w:t>Nature of Interest in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Partners Partnership Interest shall be personal property for all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11.6</w:t>
      </w:r>
      <w:r>
        <w:rPr>
          <w:rFonts w:ascii="Times New Roman" w:hAnsi="Times New Roman"/>
        </w:rPr>
        <w:t xml:space="preserve">                        </w:t>
      </w:r>
      <w:r>
        <w:rPr>
          <w:rFonts w:ascii="Times New Roman" w:hAnsi="Times New Roman"/>
          <w:b/>
          <w:sz w:val="17"/>
        </w:rPr>
        <w:t>Binding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the restrictions on the disposition of Partnership Interests herein contained, the provisions of this Agreement shall be binding upon, and inure to the benefit of, the parties hereto and their respective heirs, personal representatives, successors and permitted assigns.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11.7</w:t>
      </w:r>
      <w:r>
        <w:rPr>
          <w:rFonts w:ascii="Times New Roman" w:hAnsi="Times New Roman"/>
        </w:rPr>
        <w:t xml:space="preserve">                        </w:t>
      </w:r>
      <w:r>
        <w:rPr>
          <w:rFonts w:ascii="Times New Roman" w:hAnsi="Times New Roman"/>
          <w:b/>
          <w:sz w:val="17"/>
        </w:rPr>
        <w:t>Headings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headings of the sections of this Agreement are for convenience only and shall not be considered in construing or interpreting any of the terms or provisions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11.8</w:t>
      </w:r>
      <w:r>
        <w:rPr>
          <w:rFonts w:ascii="Times New Roman" w:hAnsi="Times New Roman"/>
        </w:rPr>
        <w:t xml:space="preserve">                        </w:t>
      </w:r>
      <w:r>
        <w:rPr>
          <w:rFonts w:ascii="Times New Roman" w:hAnsi="Times New Roman"/>
          <w:b/>
          <w:sz w:val="17"/>
        </w:rPr>
        <w:t>Word Meanings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vice-versa.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153" w:name="15636-2-LG-09_PB_41_033411_7608"/>
      <w:bookmarkEnd w:id="15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11.9</w:t>
      </w:r>
      <w:r>
        <w:rPr>
          <w:rFonts w:ascii="Times New Roman" w:hAnsi="Times New Roman"/>
        </w:rPr>
        <w:t xml:space="preserve">                        </w:t>
      </w:r>
      <w:r>
        <w:rPr>
          <w:rFonts w:ascii="Times New Roman" w:hAnsi="Times New Roman"/>
          <w:b/>
          <w:sz w:val="17"/>
        </w:rPr>
        <w:t>Counterparts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may be executed in several counterparts, all of which together shall constitute one agreement binding on all parties hereto, notwithstanding that all the parties have not signed the same counterpart.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11.10</w:t>
      </w:r>
      <w:r>
        <w:rPr>
          <w:rFonts w:ascii="Times New Roman" w:hAnsi="Times New Roman"/>
        </w:rPr>
        <w:t xml:space="preserve">                 </w:t>
      </w:r>
      <w:r>
        <w:rPr>
          <w:rFonts w:ascii="Times New Roman" w:hAnsi="Times New Roman"/>
          <w:b/>
          <w:sz w:val="17"/>
        </w:rPr>
        <w:t>Entire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contains the entire agreement between the parties hereto and thereto and supersedes all prior writings or agreements with respect to the subject matter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11.11</w:t>
      </w:r>
      <w:r>
        <w:rPr>
          <w:rFonts w:ascii="Times New Roman" w:hAnsi="Times New Roman"/>
        </w:rPr>
        <w:t xml:space="preserve">                 </w:t>
      </w:r>
      <w:r>
        <w:rPr>
          <w:rFonts w:ascii="Times New Roman" w:hAnsi="Times New Roman"/>
          <w:b/>
          <w:sz w:val="17"/>
        </w:rPr>
        <w:t>Partition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 agree that the Property is not and will not be suitable for partition.  Accordingly, each of the Partners hereby irrevocably waives any and all right such Partner may have to maintain any action for partition of any of the Property.  No Partner shall have any right to any specific assets of the Partnership upon the liquidation of, or any distribution from,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11.12</w:t>
      </w:r>
      <w:r>
        <w:rPr>
          <w:rFonts w:ascii="Times New Roman" w:hAnsi="Times New Roman"/>
        </w:rPr>
        <w:t xml:space="preserve">                 </w:t>
      </w:r>
      <w:r>
        <w:rPr>
          <w:rFonts w:ascii="Times New Roman" w:hAnsi="Times New Roman"/>
          <w:b/>
          <w:sz w:val="17"/>
        </w:rPr>
        <w:t>Governing Law; Consent to Jurisdiction and Venue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Partnership or Partners may, at their option, enforce their rights hereunder in such courts.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154" w:name="15636-2-LG-09_PB_42_033421_8146"/>
      <w:bookmarkEnd w:id="154"/>
    </w:p>
    <w:p>
      <w:pPr>
        <w:pStyle w:val="HorizontalLine"/>
        <w:pBdr>
          <w:bottom w:val="single" w:sz="18" w:space="0" w:color="010101"/>
        </w:pBdr>
        <w:spacing w:before="0" w:after="0"/>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Partners have executed this Agreement as of the day and year first above written.</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OXY HOLDING COMPANY (PIPELINE), INC.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EMG INVESTMENT,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FOR SEVENTH AMENDED AND RESTATED</w:t>
      </w:r>
    </w:p>
    <w:p>
      <w:pPr>
        <w:pStyle w:val="TextBody"/>
        <w:spacing w:before="0" w:after="0"/>
        <w:ind w:left="0" w:right="0" w:hanging="0"/>
        <w:jc w:val="center"/>
        <w:rPr>
          <w:rFonts w:ascii="Times New Roman" w:hAnsi="Times New Roman"/>
          <w:sz w:val="17"/>
        </w:rPr>
      </w:pPr>
      <w:r>
        <w:rPr>
          <w:rFonts w:ascii="Times New Roman" w:hAnsi="Times New Roman"/>
          <w:sz w:val="17"/>
        </w:rPr>
        <w:t>LIMITED PARTNERSHIP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KAFU HOLDINGS,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KAFU Holdings,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 FIRST RESERVE XII,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MANAGEMENT,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Management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STROME PAA,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MARK E. STROME LIVING TRUST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FOR SEVENTH AMENDED AND RESTATED</w:t>
      </w:r>
    </w:p>
    <w:p>
      <w:pPr>
        <w:pStyle w:val="TextBody"/>
        <w:spacing w:before="0" w:after="0"/>
        <w:ind w:left="0" w:right="0" w:hanging="0"/>
        <w:jc w:val="center"/>
        <w:rPr>
          <w:rFonts w:ascii="Times New Roman" w:hAnsi="Times New Roman"/>
          <w:sz w:val="17"/>
        </w:rPr>
      </w:pPr>
      <w:r>
        <w:rPr>
          <w:rFonts w:ascii="Times New Roman" w:hAnsi="Times New Roman"/>
          <w:sz w:val="17"/>
        </w:rPr>
        <w:t>LIMITED PARTNERSHIP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791"/>
        <w:gridCol w:w="1273"/>
        <w:gridCol w:w="4141"/>
      </w:tblGrid>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WINDY, L.L.C.</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4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141" w:type="dxa"/>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141" w:type="dxa"/>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LYNX HOLDINGS I, LLC</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4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141" w:type="dxa"/>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141" w:type="dxa"/>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KAFU HOLDINGS II, L.P.</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4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141" w:type="dxa"/>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141" w:type="dxa"/>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MLP INVESTMENT COMPANY</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4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141" w:type="dxa"/>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141" w:type="dxa"/>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ENERGY DEVELOPMENT COMPANY</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5414" w:type="dxa"/>
            <w:gridSpan w:val="2"/>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4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141" w:type="dxa"/>
            <w:tcBorders/>
            <w:shd w:fill="auto" w:val="clear"/>
          </w:tcPr>
          <w:p>
            <w:pPr>
              <w:pStyle w:val="TableContents"/>
              <w:spacing w:before="0" w:after="0"/>
              <w:ind w:left="0" w:right="0" w:hanging="0"/>
              <w:rPr/>
            </w:pPr>
            <w:r>
              <w:rPr/>
              <w:t> </w:t>
            </w:r>
          </w:p>
        </w:tc>
      </w:tr>
      <w:tr>
        <w:trPr/>
        <w:tc>
          <w:tcPr>
            <w:tcW w:w="4791" w:type="dxa"/>
            <w:tcBorders/>
            <w:shd w:fill="auto" w:val="clear"/>
          </w:tcPr>
          <w:p>
            <w:pPr>
              <w:pStyle w:val="TableContents"/>
              <w:spacing w:before="0" w:after="0"/>
              <w:ind w:left="0" w:right="0" w:hanging="0"/>
              <w:rPr/>
            </w:pPr>
            <w:r>
              <w:rPr/>
              <w:t> </w:t>
            </w:r>
          </w:p>
        </w:tc>
        <w:tc>
          <w:tcPr>
            <w:tcW w:w="12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141"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FOR SEVENTH AMENDED AND RESTATED</w:t>
      </w:r>
    </w:p>
    <w:p>
      <w:pPr>
        <w:pStyle w:val="TextBody"/>
        <w:spacing w:before="0" w:after="0"/>
        <w:ind w:left="0" w:right="0" w:hanging="0"/>
        <w:jc w:val="center"/>
        <w:rPr>
          <w:rFonts w:ascii="Times New Roman" w:hAnsi="Times New Roman"/>
          <w:sz w:val="17"/>
        </w:rPr>
      </w:pPr>
      <w:r>
        <w:rPr>
          <w:rFonts w:ascii="Times New Roman" w:hAnsi="Times New Roman"/>
          <w:sz w:val="17"/>
        </w:rPr>
        <w:t>LIMITED PARTNERSHIP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946"/>
        <w:gridCol w:w="968"/>
        <w:gridCol w:w="4291"/>
      </w:tblGrid>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MIDSTREAM/ ENERGY FUND, INC.</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9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9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9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91" w:type="dxa"/>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9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91" w:type="dxa"/>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Jay Chernosky</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Paul N. Riddle</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Russell T. Clingman</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David E. Humphreys</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Phillip J. Trinder</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KIPP PAA TRUST</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5259" w:type="dxa"/>
            <w:gridSpan w:val="2"/>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9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9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9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91" w:type="dxa"/>
            <w:tcBorders/>
            <w:shd w:fill="auto" w:val="clear"/>
          </w:tcPr>
          <w:p>
            <w:pPr>
              <w:pStyle w:val="TableContents"/>
              <w:spacing w:before="0" w:after="0"/>
              <w:ind w:left="0" w:right="0" w:hanging="0"/>
              <w:rPr/>
            </w:pPr>
            <w:r>
              <w:rPr/>
              <w:t> </w:t>
            </w:r>
          </w:p>
        </w:tc>
      </w:tr>
      <w:tr>
        <w:trPr/>
        <w:tc>
          <w:tcPr>
            <w:tcW w:w="4946" w:type="dxa"/>
            <w:tcBorders/>
            <w:shd w:fill="auto" w:val="clear"/>
          </w:tcPr>
          <w:p>
            <w:pPr>
              <w:pStyle w:val="TableContents"/>
              <w:spacing w:before="0" w:after="0"/>
              <w:ind w:left="0" w:right="0" w:hanging="0"/>
              <w:rPr/>
            </w:pPr>
            <w:r>
              <w:rPr/>
              <w:t> </w:t>
            </w:r>
          </w:p>
        </w:tc>
        <w:tc>
          <w:tcPr>
            <w:tcW w:w="96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91"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FOR SEVENTH AMENDED AND RESTATED</w:t>
      </w:r>
    </w:p>
    <w:p>
      <w:pPr>
        <w:pStyle w:val="TextBody"/>
        <w:spacing w:before="0" w:after="0"/>
        <w:ind w:left="0" w:right="0" w:hanging="0"/>
        <w:jc w:val="center"/>
        <w:rPr>
          <w:rFonts w:ascii="Times New Roman" w:hAnsi="Times New Roman"/>
          <w:sz w:val="17"/>
        </w:rPr>
      </w:pPr>
      <w:r>
        <w:rPr>
          <w:rFonts w:ascii="Times New Roman" w:hAnsi="Times New Roman"/>
          <w:sz w:val="17"/>
        </w:rPr>
        <w:t>LIMITED PARTNERSHIP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I</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600"/>
        <w:gridCol w:w="205"/>
        <w:gridCol w:w="1546"/>
        <w:gridCol w:w="205"/>
        <w:gridCol w:w="1546"/>
        <w:gridCol w:w="103"/>
      </w:tblGrid>
      <w:tr>
        <w:trPr/>
        <w:tc>
          <w:tcPr>
            <w:tcW w:w="660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Name</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54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Class A Units</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54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Class B Units</w:t>
            </w:r>
          </w:p>
        </w:tc>
        <w:tc>
          <w:tcPr>
            <w:tcW w:w="103" w:type="dxa"/>
            <w:tcBorders/>
            <w:shd w:fill="auto" w:val="clear"/>
            <w:tcMar>
              <w:bottom w:w="0" w:type="dxa"/>
            </w:tcMar>
            <w:vAlign w:val="bottom"/>
          </w:tcPr>
          <w:p>
            <w:pPr>
              <w:pStyle w:val="TableContents"/>
              <w:spacing w:before="0" w:after="0"/>
              <w:ind w:left="0" w:right="0" w:hanging="0"/>
              <w:jc w:val="center"/>
              <w:rPr/>
            </w:pPr>
            <w:r>
              <w:rPr/>
              <w:t> </w:t>
            </w:r>
          </w:p>
        </w:tc>
      </w:tr>
      <w:tr>
        <w:trPr/>
        <w:tc>
          <w:tcPr>
            <w:tcW w:w="6600" w:type="dxa"/>
            <w:tcBorders/>
            <w:shd w:fill="auto" w:val="clear"/>
            <w:tcMar>
              <w:bottom w:w="0" w:type="dxa"/>
            </w:tcMar>
            <w:vAlign w:val="bottom"/>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Oxy Holding Company (Pipeline), Inc.</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Investment, LLC</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KAFU Holdings, L.P.</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 First Reserve XII, LLC</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KAFU Holdings II, L.P.</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MLP Investment Company</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Energy Development Company</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Midstream/Energy Fund, Inc.</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Management, L.P.</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Mark E. Strome Living Trust</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Strome PAA, L.P.</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Windy, L.L.C.</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Lynx Holdings I, LLC</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Jay M. Chernosky</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Kipp PAA Trust</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Paul N. Riddle</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Russell T. Clingman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David E. Humphreys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Phillip J. Trinder</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vAlign w:val="bottom"/>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Class B Unitholders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vAlign w:val="bottom"/>
          </w:tcPr>
          <w:p>
            <w:pPr>
              <w:pStyle w:val="TableContents"/>
              <w:spacing w:before="0" w:after="0"/>
              <w:ind w:left="0" w:right="0" w:hanging="0"/>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Initial Grant Date Partnership Capital:</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r>
        <w:trPr/>
        <w:tc>
          <w:tcPr>
            <w:tcW w:w="6600" w:type="dxa"/>
            <w:tcBorders/>
            <w:shd w:fill="CCEEFF" w:val="clear"/>
            <w:tcMar>
              <w:bottom w:w="0" w:type="dxa"/>
            </w:tcMar>
            <w:vAlign w:val="bottom"/>
          </w:tcPr>
          <w:p>
            <w:pPr>
              <w:pStyle w:val="TableContents"/>
              <w:spacing w:before="0" w:after="0"/>
              <w:ind w:left="0" w:right="0" w:hanging="0"/>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546" w:type="dxa"/>
            <w:tcBorders/>
            <w:shd w:fill="CCEEFF" w:val="clear"/>
            <w:tcMar>
              <w:bottom w:w="0" w:type="dxa"/>
            </w:tcMar>
            <w:vAlign w:val="bottom"/>
          </w:tcPr>
          <w:p>
            <w:pPr>
              <w:pStyle w:val="TableContents"/>
              <w:spacing w:before="0" w:after="0"/>
              <w:ind w:left="0" w:right="0" w:hanging="0"/>
              <w:jc w:val="right"/>
              <w:rPr/>
            </w:pPr>
            <w:r>
              <w:rPr/>
              <w:t> </w:t>
            </w:r>
          </w:p>
        </w:tc>
        <w:tc>
          <w:tcPr>
            <w:tcW w:w="103" w:type="dxa"/>
            <w:tcBorders/>
            <w:shd w:fill="CCEEFF" w:val="clear"/>
            <w:tcMar>
              <w:bottom w:w="0" w:type="dxa"/>
            </w:tcMar>
            <w:vAlign w:val="bottom"/>
          </w:tcPr>
          <w:p>
            <w:pPr>
              <w:pStyle w:val="TableContents"/>
              <w:spacing w:before="0" w:after="0"/>
              <w:ind w:left="0" w:right="0" w:hanging="0"/>
              <w:rPr/>
            </w:pPr>
            <w:r>
              <w:rPr/>
              <w:t> </w:t>
            </w:r>
          </w:p>
        </w:tc>
      </w:tr>
      <w:tr>
        <w:trPr/>
        <w:tc>
          <w:tcPr>
            <w:tcW w:w="66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Subsequent Grant Date:</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546" w:type="dxa"/>
            <w:tcBorders/>
            <w:shd w:fill="auto" w:val="clear"/>
            <w:tcMar>
              <w:bottom w:w="0" w:type="dxa"/>
            </w:tcMar>
            <w:vAlign w:val="bottom"/>
          </w:tcPr>
          <w:p>
            <w:pPr>
              <w:pStyle w:val="TableContents"/>
              <w:spacing w:before="0" w:after="0"/>
              <w:ind w:left="0" w:right="0" w:hanging="0"/>
              <w:jc w:val="right"/>
              <w:rPr/>
            </w:pPr>
            <w:r>
              <w:rPr/>
              <w:t> </w:t>
            </w:r>
          </w:p>
        </w:tc>
        <w:tc>
          <w:tcPr>
            <w:tcW w:w="103" w:type="dxa"/>
            <w:tcBorders/>
            <w:shd w:fill="auto"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CLASS B RESTRICTED UNIT AGREEMENT</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155" w:name="a2216857zex-4_19.htm"/>
      <w:bookmarkStart w:id="156" w:name="ksa2216857zex4_19"/>
      <w:bookmarkStart w:id="157" w:name="a2216857zex-4_19.htm"/>
      <w:bookmarkStart w:id="158" w:name="ksa2216857zex4_19"/>
      <w:bookmarkEnd w:id="157"/>
      <w:bookmarkEnd w:id="158"/>
    </w:p>
    <w:p>
      <w:pPr>
        <w:pStyle w:val="TextBody"/>
        <w:spacing w:before="0" w:after="0"/>
        <w:ind w:left="0" w:right="0" w:hanging="0"/>
        <w:jc w:val="right"/>
        <w:rPr>
          <w:rFonts w:ascii="Times New Roman" w:hAnsi="Times New Roman"/>
          <w:b/>
          <w:sz w:val="17"/>
        </w:rPr>
      </w:pPr>
      <w:r>
        <w:rPr>
          <w:rFonts w:ascii="Times New Roman" w:hAnsi="Times New Roman"/>
          <w:b/>
          <w:sz w:val="17"/>
        </w:rPr>
        <w:t>Exhibit 4.19</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SHAREHOLDER AND REGISTRATION RIGHTS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THIS SHAREHOLDER AND REGISTRATION RIGHTS AGREEMENT</w:t>
      </w:r>
      <w:r>
        <w:rPr>
          <w:rFonts w:ascii="Times New Roman" w:hAnsi="Times New Roman"/>
        </w:rPr>
        <w:t xml:space="preserve"> </w:t>
      </w:r>
      <w:r>
        <w:rPr>
          <w:rFonts w:ascii="Times New Roman" w:hAnsi="Times New Roman"/>
          <w:sz w:val="17"/>
        </w:rPr>
        <w:t>(this </w:t>
      </w:r>
      <w:r>
        <w:rPr>
          <w:rFonts w:ascii="Times New Roman" w:hAnsi="Times New Roman"/>
          <w:b/>
          <w:i/>
          <w:sz w:val="17"/>
        </w:rPr>
        <w:t>Agreement</w:t>
      </w:r>
      <w:r>
        <w:rPr>
          <w:rFonts w:ascii="Times New Roman" w:hAnsi="Times New Roman"/>
          <w:sz w:val="17"/>
        </w:rPr>
        <w:t>) is made and entered into as of [</w:t>
      </w:r>
      <w:r>
        <w:rPr>
          <w:rFonts w:ascii="Symbol" w:hAnsi="Symbol"/>
          <w:sz w:val="17"/>
        </w:rPr>
        <w:t>·</w:t>
      </w:r>
      <w:r>
        <w:rPr>
          <w:rFonts w:ascii="Times New Roman" w:hAnsi="Times New Roman"/>
          <w:sz w:val="17"/>
        </w:rPr>
        <w:t>], 2013, by and among Plains GP Holdings, L.P., a limited partnership (the </w:t>
      </w:r>
      <w:r>
        <w:rPr>
          <w:rFonts w:ascii="Times New Roman" w:hAnsi="Times New Roman"/>
          <w:b/>
          <w:i/>
          <w:sz w:val="17"/>
        </w:rPr>
        <w:t>Company</w:t>
      </w:r>
      <w:r>
        <w:rPr>
          <w:rFonts w:ascii="Times New Roman" w:hAnsi="Times New Roman"/>
          <w:sz w:val="17"/>
        </w:rPr>
        <w:t xml:space="preserve">), and each of the parties listed on </w:t>
      </w:r>
      <w:r>
        <w:rPr>
          <w:rFonts w:ascii="Times New Roman" w:hAnsi="Times New Roman"/>
          <w:sz w:val="17"/>
          <w:u w:val="single"/>
        </w:rPr>
        <w:t>Annex A</w:t>
      </w:r>
      <w:r>
        <w:rPr>
          <w:rFonts w:ascii="Times New Roman" w:hAnsi="Times New Roman"/>
          <w:sz w:val="17"/>
        </w:rPr>
        <w:t xml:space="preserve"> (the </w:t>
      </w:r>
      <w:r>
        <w:rPr>
          <w:rFonts w:ascii="Times New Roman" w:hAnsi="Times New Roman"/>
          <w:b/>
          <w:i/>
          <w:sz w:val="17"/>
        </w:rPr>
        <w:t>Initial Holders</w:t>
      </w:r>
      <w:r>
        <w:rPr>
          <w:rFonts w:ascii="Times New Roman" w:hAnsi="Times New Roman"/>
          <w:sz w:val="17"/>
        </w:rPr>
        <w:t>) (each a </w:t>
      </w:r>
      <w:r>
        <w:rPr>
          <w:rFonts w:ascii="Times New Roman" w:hAnsi="Times New Roman"/>
          <w:b/>
          <w:i/>
          <w:sz w:val="17"/>
        </w:rPr>
        <w:t>Party</w:t>
      </w:r>
      <w:r>
        <w:rPr>
          <w:rFonts w:ascii="Times New Roman" w:hAnsi="Times New Roman"/>
          <w:sz w:val="17"/>
        </w:rPr>
        <w:t> and collectively, the </w:t>
      </w:r>
      <w:r>
        <w:rPr>
          <w:rFonts w:ascii="Times New Roman" w:hAnsi="Times New Roman"/>
          <w:b/>
          <w:i/>
          <w:sz w:val="17"/>
        </w:rPr>
        <w:t>Parties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 I T N E S S E T H:</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in connection with, and in consideration of, the transactions contemplated by the Companys Registration Statement on Form S-1, (File No. 333-190227) initially filed with the Commission (as hereinafter defined) on July 29, 2013 and declared effective by the Commission under the Securities Act (as hereinafter defined) on [</w:t>
      </w:r>
      <w:r>
        <w:rPr>
          <w:rFonts w:ascii="Symbol" w:hAnsi="Symbol"/>
          <w:sz w:val="17"/>
        </w:rPr>
        <w:t>·</w:t>
      </w:r>
      <w:r>
        <w:rPr>
          <w:rFonts w:ascii="Times New Roman" w:hAnsi="Times New Roman"/>
          <w:sz w:val="17"/>
        </w:rPr>
        <w:t>], 2013, the Initial Holders have requested, and the Company has agreed to provide, registration rights with respect to the Registrable Securities (as hereinafter defined), as set forth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NOW, THEREFORE</w:t>
      </w:r>
      <w:r>
        <w:rPr>
          <w:rFonts w:ascii="Times New Roman" w:hAnsi="Times New Roman"/>
          <w:sz w:val="17"/>
        </w:rPr>
        <w:t>, in consideration of the premises and the mutual covenants of the parties hereto, and for other good and valuable consideration, the receipt and sufficiency of which are hereby acknowledged, the parties hereto hereby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1.              </w:t>
      </w:r>
      <w:r>
        <w:rPr>
          <w:rFonts w:ascii="Times New Roman" w:hAnsi="Times New Roman"/>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Unless otherwise defined herein, as used in this Agreement, the following terms have the following meanings: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w:t>
      </w:r>
      <w:r>
        <w:rPr>
          <w:rFonts w:ascii="Times New Roman" w:hAnsi="Times New Roman"/>
          <w:sz w:val="17"/>
        </w:rPr>
        <w:t> means Plains AAP, L.P., a Delaware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 Class A Units</w:t>
      </w:r>
      <w:r>
        <w:rPr>
          <w:rFonts w:ascii="Times New Roman" w:hAnsi="Times New Roman"/>
          <w:sz w:val="17"/>
        </w:rPr>
        <w:t> means Class A Units representing limited partner interests in AAP.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 Class B Units</w:t>
      </w:r>
      <w:r>
        <w:rPr>
          <w:rFonts w:ascii="Times New Roman" w:hAnsi="Times New Roman"/>
          <w:sz w:val="17"/>
        </w:rPr>
        <w:t> means Class B Units representing limited partner interests in AAP.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 Partnership Agreement</w:t>
      </w:r>
      <w:r>
        <w:rPr>
          <w:rFonts w:ascii="Times New Roman" w:hAnsi="Times New Roman"/>
          <w:sz w:val="17"/>
        </w:rPr>
        <w:t> means the Seventh Amended and Restated Limited Partnership Agreement of AAP, dated as of the date hereof,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Affiliate</w:t>
      </w:r>
      <w:r>
        <w:rPr>
          <w:rFonts w:ascii="Times New Roman" w:hAnsi="Times New Roman"/>
          <w:sz w:val="17"/>
        </w:rPr>
        <w:t> means, when used with respect to any Person, any Person directly or indirectly controlling, controlled by, or under common control with such person. For the purposes of this definition, the terms </w:t>
      </w:r>
      <w:r>
        <w:rPr>
          <w:rFonts w:ascii="Times New Roman" w:hAnsi="Times New Roman"/>
          <w:i/>
          <w:sz w:val="17"/>
        </w:rPr>
        <w:t>controlling</w:t>
      </w:r>
      <w:r>
        <w:rPr>
          <w:rFonts w:ascii="Times New Roman" w:hAnsi="Times New Roman"/>
          <w:sz w:val="17"/>
        </w:rPr>
        <w:t>, </w:t>
      </w:r>
      <w:r>
        <w:rPr>
          <w:rFonts w:ascii="Times New Roman" w:hAnsi="Times New Roman"/>
          <w:i/>
          <w:sz w:val="17"/>
        </w:rPr>
        <w:t>controlled by</w:t>
      </w:r>
      <w:r>
        <w:rPr>
          <w:rFonts w:ascii="Times New Roman" w:hAnsi="Times New Roman"/>
          <w:sz w:val="17"/>
        </w:rPr>
        <w:t>, or </w:t>
      </w:r>
      <w:r>
        <w:rPr>
          <w:rFonts w:ascii="Times New Roman" w:hAnsi="Times New Roman"/>
          <w:i/>
          <w:sz w:val="17"/>
        </w:rPr>
        <w:t>under common control</w:t>
      </w:r>
      <w:r>
        <w:rPr>
          <w:rFonts w:ascii="Times New Roman" w:hAnsi="Times New Roman"/>
          <w:sz w:val="17"/>
        </w:rPr>
        <w:t> means the possession, directly or indirectly, of the power to direct or cause the direction of management or policies (whether through ownership of securities or any partnership or other ownership interest, by contract or otherwise) of a Person.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Blackout Period</w:t>
      </w:r>
      <w:r>
        <w:rPr>
          <w:rFonts w:ascii="Times New Roman" w:hAnsi="Times New Roman"/>
          <w:sz w:val="17"/>
        </w:rPr>
        <w:t> means any of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in the event that at any time Company management determines in good faith that the registration or offering of Registrable Securities at that time would be reasonably likely to cause or require disclosure (i) that the Company or PAA is pursuing a significant acquisition and that the disclosure of the pursuit of such transaction would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be reasonably likely to jeopardize such transaction or (ii) of material, non-public information, the disclosure of which would be harmful to the Company or PAA and with respect to which the Company or PAA otherwise has a bona fide business purpose for preserving as confidential, a period of up to 30 calendar days following such determination;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if the Company has notified the Holders pursuant to Section 6 that it is updating any Registration Statement or Prospectus in accordance with the terms of this Agreement, a reasonable period of time, not to exceed 10 days, for the Company to complete such update;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any regular quarterly black-out period during which all directors and executive officers of the Company are not permitted to trade under the insider trading policy of the Company then in effect;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in the event PAA is conducting or actively pursuing a securities offering with anticipated offering proceeds of at least one hundred and fifty million dollars ($150,000,000) (other than in connection with any at-the-market offering or similar continuous offering program), a period of fifteen (15) calendar days as specified in a written notice delivered by the Company to the applicable Holders pursuant to Section 2 or 3; provided, however, that the Company shall not be entitled to provide such a notice more than once in any three month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Business Day</w:t>
      </w:r>
      <w:r>
        <w:rPr>
          <w:rFonts w:ascii="Times New Roman" w:hAnsi="Times New Roman"/>
          <w:sz w:val="17"/>
        </w:rPr>
        <w:t> means any day that is not a Saturday, a Sunday or other day on which banks are required or authorized by law to be closed in Houston, Texas or New York, New York.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Commission</w:t>
      </w:r>
      <w:r>
        <w:rPr>
          <w:rFonts w:ascii="Times New Roman" w:hAnsi="Times New Roman"/>
          <w:sz w:val="17"/>
        </w:rPr>
        <w:t> means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Demanding Holder</w:t>
      </w:r>
      <w:r>
        <w:rPr>
          <w:rFonts w:ascii="Times New Roman" w:hAnsi="Times New Roman"/>
          <w:sz w:val="17"/>
        </w:rPr>
        <w:t> means Oxy, EMG, Kayne Anderson or PAA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EMG</w:t>
      </w:r>
      <w:r>
        <w:rPr>
          <w:rFonts w:ascii="Times New Roman" w:hAnsi="Times New Roman"/>
          <w:sz w:val="17"/>
        </w:rPr>
        <w:t> means EMG Investment, LLC, a Delaware limited liability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Encumbrance</w:t>
      </w:r>
      <w:r>
        <w:rPr>
          <w:rFonts w:ascii="Times New Roman" w:hAnsi="Times New Roman"/>
          <w:sz w:val="17"/>
        </w:rPr>
        <w:t> means any security interest, pledge, mortgage, lien, charge, encumbrance, adverse claim, any defect or imperfection in title, preferential arrangement or restriction, right to purchase, right of first refusal or other burden or encumbrance of any kind.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Exchange Act</w:t>
      </w:r>
      <w:r>
        <w:rPr>
          <w:rFonts w:ascii="Times New Roman" w:hAnsi="Times New Roman"/>
          <w:sz w:val="17"/>
        </w:rPr>
        <w:t> means the Securities Exchange Act of 1934,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Governmental Authority</w:t>
      </w:r>
      <w:r>
        <w:rPr>
          <w:rFonts w:ascii="Times New Roman" w:hAnsi="Times New Roman"/>
          <w:sz w:val="17"/>
        </w:rPr>
        <w:t> means any United States, foreign, supra-national, federal, state, provincial, local or self-regulatory governmental, regulatory or administrative authority, agency, division, body, organization or commission or any judicial or arbitral body.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Holder</w:t>
      </w:r>
      <w:r>
        <w:rPr>
          <w:rFonts w:ascii="Times New Roman" w:hAnsi="Times New Roman"/>
          <w:sz w:val="17"/>
        </w:rPr>
        <w:t> means any Party owning Registrable Securities (including any holder of AAP Class B Units who becomes a Party to this Agreement in accordance with Section 11), and any other Person to which such Registrable Securities are Transferred in accordance with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IPO</w:t>
      </w:r>
      <w:r>
        <w:rPr>
          <w:rFonts w:ascii="Times New Roman" w:hAnsi="Times New Roman"/>
          <w:sz w:val="17"/>
        </w:rPr>
        <w:t> means the initial offering and sale of the PAGP Class A Shares to the public.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159" w:name="15636-2-KG-01_PB_2_072620_5335"/>
      <w:bookmarkEnd w:id="15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Kayne Anderson</w:t>
      </w:r>
      <w:r>
        <w:rPr>
          <w:rFonts w:ascii="Times New Roman" w:hAnsi="Times New Roman"/>
          <w:sz w:val="17"/>
        </w:rPr>
        <w:t> means collectively KAFU Holdings, L.P., a Delaware limited partnership, KA First Reserve XII, LLC, a Delaware limited liability company, KA First Holdings II, L.P., a Delaware limited partnership, Kayne Anderson MLP Investment Company, a Maryland corporation, Kayne Anderson Energy Development Company, a Maryland corporation, and Kayne Anderson Midstream/Energy Fund, Inc., a Maryland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Lock-Up Period</w:t>
      </w:r>
      <w:r>
        <w:rPr>
          <w:rFonts w:ascii="Times New Roman" w:hAnsi="Times New Roman"/>
          <w:sz w:val="17"/>
        </w:rPr>
        <w:t> means, subject to any waiver granted pursuant to Section 13(a), the period commencing with the closing of the IPO and ending on the fifteen month anniversary of such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Offering Request</w:t>
      </w:r>
      <w:r>
        <w:rPr>
          <w:rFonts w:ascii="Times New Roman" w:hAnsi="Times New Roman"/>
          <w:i/>
          <w:sz w:val="17"/>
        </w:rPr>
        <w:t></w:t>
      </w:r>
      <w:r>
        <w:rPr>
          <w:rFonts w:ascii="Times New Roman" w:hAnsi="Times New Roman"/>
          <w:sz w:val="17"/>
        </w:rPr>
        <w:t xml:space="preserve"> has the meaning set forth in Section 3(a).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Oxy</w:t>
      </w:r>
      <w:r>
        <w:rPr>
          <w:rFonts w:ascii="Times New Roman" w:hAnsi="Times New Roman"/>
          <w:sz w:val="17"/>
        </w:rPr>
        <w:t> means Oxy Holding Company (Pipeline), Inc., a Delaware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Management</w:t>
      </w:r>
      <w:r>
        <w:rPr>
          <w:rFonts w:ascii="Times New Roman" w:hAnsi="Times New Roman"/>
          <w:sz w:val="17"/>
        </w:rPr>
        <w:t> means PAA Management, L.P., a Delaware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 Class A Shares</w:t>
      </w:r>
      <w:r>
        <w:rPr>
          <w:rFonts w:ascii="Times New Roman" w:hAnsi="Times New Roman"/>
          <w:sz w:val="17"/>
        </w:rPr>
        <w:t> means Class A Shares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 Class B Shares</w:t>
      </w:r>
      <w:r>
        <w:rPr>
          <w:rFonts w:ascii="Times New Roman" w:hAnsi="Times New Roman"/>
          <w:sz w:val="17"/>
        </w:rPr>
        <w:t> means Class B Shares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Party</w:t>
      </w:r>
      <w:r>
        <w:rPr>
          <w:rFonts w:ascii="Times New Roman" w:hAnsi="Times New Roman"/>
          <w:sz w:val="17"/>
        </w:rPr>
        <w:t> has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Permitted Transfer</w:t>
      </w:r>
      <w:r>
        <w:rPr>
          <w:rFonts w:ascii="Times New Roman" w:hAnsi="Times New Roman"/>
          <w:sz w:val="17"/>
        </w:rPr>
        <w:t> has the meaning assigned to such term in the AAP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Person</w:t>
      </w:r>
      <w:r>
        <w:rPr>
          <w:rFonts w:ascii="Times New Roman" w:hAnsi="Times New Roman"/>
          <w:sz w:val="17"/>
        </w:rPr>
        <w:t> means any individual, partnership, corporation, limited liability company, trust, incorporated or unincorporated organization or other legal entity of any kind.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Prospectus</w:t>
      </w:r>
      <w:r>
        <w:rPr>
          <w:rFonts w:ascii="Times New Roman" w:hAnsi="Times New Roman"/>
          <w:sz w:val="17"/>
        </w:rPr>
        <w:t> has the meaning set forth in Section 6(a).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Registering Holder</w:t>
      </w:r>
      <w:r>
        <w:rPr>
          <w:rFonts w:ascii="Times New Roman" w:hAnsi="Times New Roman"/>
          <w:sz w:val="17"/>
        </w:rPr>
        <w:t> means any Holder of Registrable Securities giving the Company a written notice pursuant to Section 2 requesting that its Registrable Securities be included in a Shelf Registration Statement or pursuant to Section 3 or Section 4 hereof requesting that its Registrable Securities be included in an Offering Request or any offering initiated by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Registrable Securities</w:t>
      </w:r>
      <w:r>
        <w:rPr>
          <w:rFonts w:ascii="Times New Roman" w:hAnsi="Times New Roman"/>
          <w:sz w:val="17"/>
        </w:rPr>
        <w:t> means any PAGP Class A Shares issuable upon exchange of AAP Class A Units and PAGP Class B Shares (including any such PAGP Class A Shares issuable in respect of vested AAP Class B Units following their exchange for AAP Class A Units and PAGP Class B Shares), even if any such exchange shall not have yet occurred.  As to any particular Registrable Securities, once issued, such securities shall cease to be Registrable Securities when (a) they are sold pursuant to an effective Registration Statement under the Securities Act, (b) they are sold pursuant to Rule 144 (or any similar provision then in force under the Securities Act) and the transferee thereof does not receive restricted securities as defined in Rule 144, (c) they shall have ceased to be outstanding or (d) they have been sold in a private transaction in which the transferors rights under this Agreement are not assigned to the transferee of the securities.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160" w:name="15636-2-KG-01_PB_3_072643_5796"/>
      <w:bookmarkEnd w:id="16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Registration Expenses</w:t>
      </w:r>
      <w:r>
        <w:rPr>
          <w:rFonts w:ascii="Times New Roman" w:hAnsi="Times New Roman"/>
          <w:sz w:val="17"/>
        </w:rPr>
        <w:t> means, except for Selling Expenses (as hereinafter defined), all expenses incurred by the Company in effecting any registration or offering pursuant to this Agreement, including all registration, qualification and filing fees, printing expenses, escrow fees, fees and disbursements of counsel for the Company, blue sky fees and expenses, the expense of any special audits incident to or required by any such registration.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Registration Request</w:t>
      </w:r>
      <w:r>
        <w:rPr>
          <w:rFonts w:ascii="Times New Roman" w:hAnsi="Times New Roman"/>
          <w:sz w:val="17"/>
        </w:rPr>
        <w:t> has the meaning set forth in Section 3(a).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Registration Statement</w:t>
      </w:r>
      <w:r>
        <w:rPr>
          <w:rFonts w:ascii="Times New Roman" w:hAnsi="Times New Roman"/>
          <w:sz w:val="17"/>
        </w:rPr>
        <w:t> has the meaning set forth in Section 6(a).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Rule 144</w:t>
      </w:r>
      <w:r>
        <w:rPr>
          <w:rFonts w:ascii="Times New Roman" w:hAnsi="Times New Roman"/>
          <w:sz w:val="17"/>
        </w:rPr>
        <w:t> means Rule 144 under the Securities Act, as such rule may be amended from time to time, or any similar rule or regulation hereafter adopted by the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Securities Act</w:t>
      </w:r>
      <w:r>
        <w:rPr>
          <w:rFonts w:ascii="Times New Roman" w:hAnsi="Times New Roman"/>
          <w:sz w:val="17"/>
        </w:rPr>
        <w:t> means the Securities Act of 1933, as amended, and the rules and regulations promulgated thereunder.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Selling Expenses</w:t>
      </w:r>
      <w:r>
        <w:rPr>
          <w:rFonts w:ascii="Times New Roman" w:hAnsi="Times New Roman"/>
          <w:sz w:val="17"/>
        </w:rPr>
        <w:t> means all underwriting discounts and selling commissions applicable to the securities sold in a transaction or transactions registered on behalf of the 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Shelf Notice</w:t>
      </w:r>
      <w:r>
        <w:rPr>
          <w:rFonts w:ascii="Times New Roman" w:hAnsi="Times New Roman"/>
          <w:sz w:val="17"/>
        </w:rPr>
        <w:t> has the meaning set forth in Section 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Shelf Registration Statement</w:t>
      </w:r>
      <w:r>
        <w:rPr>
          <w:rFonts w:ascii="Times New Roman" w:hAnsi="Times New Roman"/>
          <w:sz w:val="17"/>
        </w:rPr>
        <w:t> has the meaning set forth in Section 2(a).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w:t>
      </w:r>
      <w:r>
        <w:rPr>
          <w:rFonts w:ascii="Times New Roman" w:hAnsi="Times New Roman"/>
          <w:sz w:val="17"/>
        </w:rPr>
        <w:t> means to give, sell, exchange, assign, transfer, pledge, mortgage, hypothecate, bequeath, devise or otherwise dispose of or subject to any Encumbrance, voluntarily or involuntarily, by operation of law or otherwise, and whether of record, beneficially, by participation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Underwriting Request</w:t>
      </w:r>
      <w:r>
        <w:rPr>
          <w:rFonts w:ascii="Times New Roman" w:hAnsi="Times New Roman"/>
          <w:sz w:val="17"/>
        </w:rPr>
        <w:t> has the meaning set forth in Section 3(a).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Violation</w:t>
      </w:r>
      <w:r>
        <w:rPr>
          <w:rFonts w:ascii="Times New Roman" w:hAnsi="Times New Roman"/>
          <w:sz w:val="17"/>
        </w:rPr>
        <w:t> has the meaning set forth in Section 8(a).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Wachovia Holders</w:t>
      </w:r>
      <w:r>
        <w:rPr>
          <w:rFonts w:ascii="Times New Roman" w:hAnsi="Times New Roman"/>
          <w:sz w:val="17"/>
        </w:rPr>
        <w:t> means each of Jay Chernosky, Paul N. Riddle, Russell T. Clingman, David E. Humphreys, Phillip J. Trinder and Kipp PAA Trust.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WKSI</w:t>
      </w:r>
      <w:r>
        <w:rPr>
          <w:rFonts w:ascii="Times New Roman" w:hAnsi="Times New Roman"/>
          <w:sz w:val="17"/>
        </w:rPr>
        <w:t> has the meaning set forth in Section 2(a).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2.              </w:t>
      </w:r>
      <w:r>
        <w:rPr>
          <w:rFonts w:ascii="Times New Roman" w:hAnsi="Times New Roman"/>
          <w:i/>
          <w:sz w:val="17"/>
        </w:rPr>
        <w:t>Shelf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           Subject to Section 2(d), and further subject to the availability of a registration statement on Form S-3 or any successor form thereto (</w:t>
      </w:r>
      <w:r>
        <w:rPr>
          <w:rFonts w:ascii="Times New Roman" w:hAnsi="Times New Roman"/>
          <w:sz w:val="17"/>
          <w:u w:val="single"/>
        </w:rPr>
        <w:t>Form S-3</w:t>
      </w:r>
      <w:r>
        <w:rPr>
          <w:rFonts w:ascii="Times New Roman" w:hAnsi="Times New Roman"/>
          <w:sz w:val="17"/>
        </w:rPr>
        <w:t>) to the Company, as soon as reasonably practicable after it is initially eligible to do so, the Company shall file, and use its commercially reasonable efforts to cause to be declared effective by the Commission as soon as reasonably practicable after such filing date, a Form S-3 providing for an offering to be made on a continuous basis pursuant to Rule 415 under the Securities Act relating to the offer and sale, from time to time, of the Registrable Securities owned by the Holders in accordance with the plan and method of distribution set forth in the prospectus included in such Form S-3 (the </w:t>
      </w:r>
      <w:r>
        <w:rPr>
          <w:rFonts w:ascii="Times New Roman" w:hAnsi="Times New Roman"/>
          <w:b/>
          <w:i/>
          <w:sz w:val="17"/>
        </w:rPr>
        <w:t>Shelf Registration Statement</w:t>
      </w:r>
      <w:r>
        <w:rPr>
          <w:rFonts w:ascii="Times New Roman" w:hAnsi="Times New Roman"/>
          <w:sz w:val="17"/>
        </w:rPr>
        <w:t xml:space="preserve">).  Even if the Company is a well-known seasoned issuer (as defined in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161" w:name="15636-2-KG-01_PB_4_072709_2897"/>
      <w:bookmarkEnd w:id="16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Rule 405 under the Securities Act) (a </w:t>
      </w:r>
      <w:r>
        <w:rPr>
          <w:rFonts w:ascii="Times New Roman" w:hAnsi="Times New Roman"/>
          <w:b/>
          <w:i/>
          <w:sz w:val="17"/>
        </w:rPr>
        <w:t>WKSI</w:t>
      </w:r>
      <w:r>
        <w:rPr>
          <w:rFonts w:ascii="Times New Roman" w:hAnsi="Times New Roman"/>
          <w:sz w:val="17"/>
        </w:rPr>
        <w:t>), the Company shall not be required to file the Shelf Registration Statement on an automatic shelf registration statement (as defined in Rule 405 under the Securities Act) or any successor form thereto, to the extent that the Company would be an ineligible issuer (as defined in Rule 405 under the Securities Act) with respect to a broad plan of distribution (inclusive of distributions not involving a firm commitment underwriting) customarily included in a shelf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           At least twenty (20) Business Days prior to the date on which the Company anticipates filing a Shelf Registration Statement, the Company will deliver written notice (the </w:t>
      </w:r>
      <w:r>
        <w:rPr>
          <w:rFonts w:ascii="Times New Roman" w:hAnsi="Times New Roman"/>
          <w:b/>
          <w:i/>
          <w:sz w:val="17"/>
        </w:rPr>
        <w:t>Shelf Notice</w:t>
      </w:r>
      <w:r>
        <w:rPr>
          <w:rFonts w:ascii="Times New Roman" w:hAnsi="Times New Roman"/>
          <w:sz w:val="17"/>
        </w:rPr>
        <w:t>) thereof to each Holder.  Each Holder will have the right to include its Registrable Securities in the Shelf Registration Statement by delivering to the Company a written request to so include such Registrable Securities within ten (10) calendar days after the Shelf Notice is received by any such Holder.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Subject to Section 2(d), the Company shall use commercially reasonable efforts to keep the Shelf Registration Statement continuously effective (including by filing any necessary post-effective amendments to such Shelf Registration Statement or one or more successor Shelf Registration Statements) until the date on which all Registrable Securities covered by the Shelf Registration Statement have been sold thereunder in accordance with the plan and method of distribution disclosed in the prospectus included in the Shelf Registration Statement, or otherwise cease to be Registrable Securities.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Notwithstanding anything to the contrary contained in this Agreement, the Company shall be entitled, from time to time, by providing written notice to the Registering Holders who elected to participate in the Shelf Registration Statement (which notice shall provide reasonable detail regarding the basis for the Blackout Period), to require such Registering Holders to suspend the use of the prospectus for sales of Registrable Securities under the Shelf Registration Statement during any Blackout Period. After the expiration of any Blackout Period and without any further request from a Registering Holder, the Company shall immediately notify all such Registering Holders and, to the extent necessary, shall as promptly as reasonably practicable prepare a post-effective amendment or supplement to the Shelf Registration Statement or the prospectus, or any document incorporated therein by reference,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           All rights of Oxy, EMG and Kayne Anderson and their respective Affiliates to Transfer PAGP Class A Shares using the Shelf Registration Statement shall be subject to the transfer restrictions contained in Section 13(a).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3.              </w:t>
      </w:r>
      <w:r>
        <w:rPr>
          <w:rFonts w:ascii="Times New Roman" w:hAnsi="Times New Roman"/>
          <w:i/>
          <w:sz w:val="17"/>
        </w:rPr>
        <w:t>Demand Registration Rights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(a)           </w:t>
      </w:r>
      <w:r>
        <w:rPr>
          <w:rFonts w:ascii="Times New Roman" w:hAnsi="Times New Roman"/>
          <w:i/>
          <w:sz w:val="17"/>
        </w:rPr>
        <w:t>General</w:t>
      </w:r>
      <w:r>
        <w:rPr>
          <w:rFonts w:ascii="Times New Roman" w:hAnsi="Times New Roman"/>
          <w:sz w:val="17"/>
        </w:rPr>
        <w:t>.  At any time following the Lock-Up Period but subject to any pending lock-up arrangement in accordance with Section 13(b), if the Company shall receive from any Demanding Holder a written request (an </w:t>
      </w:r>
      <w:r>
        <w:rPr>
          <w:rFonts w:ascii="Times New Roman" w:hAnsi="Times New Roman"/>
          <w:b/>
          <w:i/>
          <w:sz w:val="17"/>
        </w:rPr>
        <w:t>Offering Request</w:t>
      </w:r>
      <w:r>
        <w:rPr>
          <w:rFonts w:ascii="Times New Roman" w:hAnsi="Times New Roman"/>
          <w:sz w:val="17"/>
        </w:rPr>
        <w:t xml:space="preserve">) (i) that the Company file a registration statement with respect to any of such Holders Registrable Securities (a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62" w:name="15636-2-KG-01_PB_5_072800_3020"/>
      <w:bookmarkEnd w:id="16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Registration Request</w:t>
      </w:r>
      <w:r>
        <w:rPr>
          <w:rFonts w:ascii="Times New Roman" w:hAnsi="Times New Roman"/>
          <w:sz w:val="17"/>
        </w:rPr>
        <w:t>) or (ii) in the event that a Shelf Registration Statement covering such Holders Registrable Securities is already effective, that the Company engage in an underwritten offering (an </w:t>
      </w:r>
      <w:r>
        <w:rPr>
          <w:rFonts w:ascii="Times New Roman" w:hAnsi="Times New Roman"/>
          <w:b/>
          <w:i/>
          <w:sz w:val="17"/>
        </w:rPr>
        <w:t>Underwriting Request</w:t>
      </w:r>
      <w:r>
        <w:rPr>
          <w:rFonts w:ascii="Times New Roman" w:hAnsi="Times New Roman"/>
          <w:sz w:val="17"/>
        </w:rPr>
        <w:t>) in respect of such Holders Registrable Securities, then the Company shall, within one (1) Business Day of the receipt thereof, give written notice of such request to all Holders, and the Company and the Holders shall comply with the notice and participation procedures set forth in Section 4.  Subject to the other terms of this Section 3, the Company shall use its commercially reasonable efforts to effect, as soon as reasonably practicable, the registration under the Securities Act of the resale of all Registrable Securities that the Holders request to be registered in any Registration Request and/or the underwritten offering of all Registrable Securities that the Holders request to be offered pursuant to any Underwriting Request.  With respect to any Registration Request, the Company shall use commercially reasonable efforts to cause any related Registration Statement to be declared effective under the Securities Act as promptly as practicable after the filing thereof and to keep such Registration Statement effective until participating Holder or Holders have completed the distribution described in such Registration Statement.  The Demanding Holder may request that the Company register the resale or effect an offering of such Registrable Securities on an appropriate form, including a Shelf Registration Statement (so long as the Company is eligible to use Form S-3).  The Companys obligations pursuant to this Section 3(a) shall be subject to the following limitations and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Company shall not be required to comply with any Offering Request that is received within ninety (90) calendar days after the closing of any underwritten offering effected by one or more Holders or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Company shall not be required to comply with any Offering Request where the anticipated aggregate offering price of all Registrable Securities requested to be registered or offered by the Demanding Holder (together with any related requests of other Demanding Holders) is equal to or less than two hundred million dollars ($200,000,000), unless the Demanding Holders remaining Registrable Securities have a value less than such two hundred million dollar ($200,000,000) limit, in which case such Demanding Holder may make a single and final request with respect to its remaining Registrable Securities; or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(iii)          the Company shall not be required to comply with any Offering Request, and may suspend its obligations under this Section 3, as applicable, for the duration of any applicable Blackout Period, following its delivery of written notice thereof to the 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(iv)          the Company shall not be required to comply with any Registration Request at any time that the Shelf Registration Statement is effective;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(v)           the Company shall be entitled to postpone any Offering Request if, in the Companys good faith judgment, it is not feasible for the Company to proceed with the Offering Request because audited or pro forma financial statements that are required by the Securities Act to be included in any related registration statement or prospectus are then unavailable, until such time as such financial statements are completed or obtained by the Company, </w:t>
      </w:r>
      <w:r>
        <w:rPr>
          <w:rFonts w:ascii="Times New Roman" w:hAnsi="Times New Roman"/>
          <w:i/>
          <w:sz w:val="17"/>
        </w:rPr>
        <w:t>provided that</w:t>
      </w:r>
      <w:r>
        <w:rPr>
          <w:rFonts w:ascii="Times New Roman" w:hAnsi="Times New Roman"/>
          <w:sz w:val="17"/>
        </w:rPr>
        <w:t xml:space="preserve"> the Company shall use its commercially reasonable efforts to complete or obtain such financial statements as promptly as reasonably practicable.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63" w:name="15636-2-KG-01_PB_6_072824_7748"/>
      <w:bookmarkEnd w:id="16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i/>
          <w:sz w:val="17"/>
        </w:rPr>
        <w:t>Demand Procedures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Any Offering Request shall specify: (i) the approximate aggregate number of Registrable Securities requested to be registered or offered for sale in such Offering Request, (ii) the intended method of disposition in connection with such Offering Request, to the extent then known and (iii) the identity of the Demanding Holder or Demanding 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In connection with any Offering Request, the Demanding Holder(s) and Company management shall jointly participate in the process of selecting the investment banking firms that will serve as lead and co-managing underwriters with respect to such underwritten offering.  In addition, the Company (together with all Holders proposing to distribute their securities through such underwriting) shall enter into an underwriting agreement in customary form with the underwriter or underwriters selected for such underwritten offering.  Notwithstanding any other provision of this Section 3, if the managing underwriter(s) advise the Demanding Holder(s) in writing that marketing factors require a limitation of the number of shares to be underwritten in a Holder-initiated registration or offering, the Company shall so advise all Holders of Registrable Securities that would otherwise be underwritten pursuant hereto, and the number of shares of Registrable Securities that may be included in the registration and underwriting shall be allocated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first, among all Holders in proportion, as nearly as practicable, to the respective amounts of Registrable Securities requested by such Holders to be included in the registration or underwritten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second, to the Company;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third, if there remains availability for additional securities to be included in such registration or underwritten offering, pro rata among any other Persons who have been granted registration rights, or who have requested participation in such registration or underwritten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4.              </w:t>
      </w:r>
      <w:r>
        <w:rPr>
          <w:rFonts w:ascii="Times New Roman" w:hAnsi="Times New Roman"/>
          <w:i/>
          <w:sz w:val="17"/>
        </w:rPr>
        <w:t>Piggyback Registrations and Participation Rights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(a)           </w:t>
      </w:r>
      <w:r>
        <w:rPr>
          <w:rFonts w:ascii="Times New Roman" w:hAnsi="Times New Roman"/>
          <w:i/>
          <w:sz w:val="17"/>
        </w:rPr>
        <w:t xml:space="preserve">General.  </w:t>
      </w:r>
      <w:r>
        <w:rPr>
          <w:rFonts w:ascii="Times New Roman" w:hAnsi="Times New Roman"/>
          <w:sz w:val="17"/>
        </w:rPr>
        <w:t>If, at any time or from time to time after the date hereof, the Company proposes to register the sale of any of its securities or conduct an offering of registered securities for its own account or for the account of any third Person (including any Demanding Holder(s) or other Holders pursuant to this Agreement) on a form which would permit the registration or offering of Registrable Securities, except as otherwise provided herein, the Company will: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promptly give to each Holder written notice thereof;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(ii)           include in such registration or offering, all the Registrable Securities specified in a written request or requests, made within seven (7) calendar days after delivery of such written notice from the Company, by any Holders (except that (A) if the managing underwriter(s) or the Person initiating the registration or offering determine that marketing factors require a shorter time period and so inform each Holder in the applicable written notice, such written request or requests must be made within three (3) calendar days and (B) in the case of an overnight offering or a bought deal, such written request or requests must be made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64" w:name="15636-2-KG-01_PB_7_072854_141"/>
      <w:bookmarkEnd w:id="16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within one (1) Business Day), except as set forth in Section 3(b) or Section 4(b); </w:t>
      </w:r>
      <w:r>
        <w:rPr>
          <w:rFonts w:ascii="Times New Roman" w:hAnsi="Times New Roman"/>
          <w:i/>
          <w:sz w:val="17"/>
        </w:rPr>
        <w:t>provided, however</w:t>
      </w:r>
      <w:r>
        <w:rPr>
          <w:rFonts w:ascii="Times New Roman" w:hAnsi="Times New Roman"/>
          <w:sz w:val="17"/>
        </w:rPr>
        <w:t>, that the Company may withdraw any registration or offering initiated by the Company at any time before any related registration statement becomes effective, or postpone or terminate any offering of securities under such registration statement initiated by the Company, without obligation or liability to any Holder. The Company shall not have to provide notice of any new registration of securities proposed by the Company to the extent the Registrable Securities of the Holders are already included in an effective Shelf Registration Statement. The absence of any requirement to provide such notice shall have no effect on the rights of any Holder to participate in any offering following such registration in accordance with the terms of this Agreement. Additionally, the Company shall not have to provide notice of any registration of securities proposed by the Company to any Holder to the extent such Holder does not hold a sufficient number of Registrable Securities to meet the minimum participation level set forth in Section 4(c)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i/>
          <w:sz w:val="17"/>
        </w:rPr>
        <w:t>Underwriting</w:t>
      </w:r>
      <w:r>
        <w:rPr>
          <w:rFonts w:ascii="Times New Roman" w:hAnsi="Times New Roman"/>
          <w:sz w:val="17"/>
        </w:rPr>
        <w:t>.  The piggyback and participation rights of any Holder pursuant to Section 3 or this Section 4 shall be conditioned upon such Holders acceptance of the terms of, and participation in, the underwriting arrangements as agreed to by the Company and the managing underwriter(s). All Holders proposing to distribute their Registrable Securities through such underwriting shall (together with the Company) enter into an underwriting agreement in customary form with the underwriter or underwriters selected for such underwriting.  In the event of any registration or offering initiated by the Company, the Company shall select the underwriters to participate in such registration or offering in its sole discretion.  Notwithstanding any other provision of this Section 4, if the managing underwriter(s) determine that marketing factors require a limitation of the number of shares to be underwritten in a Company-initiated registration or offering, the Company shall so advise all Holders whose securities would otherwise be registered or offered pursuant hereto, and the number of shares of Registrable Securities that may be included in the registration or underwritten offering shall be so limited and, except as otherwise provided herein, shall be allocated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first, to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second, if there remains additional availability for additional Registrable Securities to be included in such registration or underwritten offering, among all Holders in proportion, as nearly as practicable, to the respective amounts of Registrable Securities requested by such Holders to be included in the registration or underwritten offering;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(iii)          third, if there remains availability for additional securities to be included in such registration or underwritten offering, pro rata among any other Persons who have been granted registration rights, or who have requested participation in such registration or underwritten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any Holder disapproves of the terms of any underwriting related to any underwritten offering effected pursuant to Section 3 or this Section 4, the Holder may elect to withdraw therefrom by written notice to the Company and the managing underwriter(s).  If by the withdrawal of such Registrable Securities a greater number of shares of Registrable Securities held by other Holders may be included in such registration (up to the maximum of any limitation imposed by the managing underwriter(s)), then the Company shall offer to all Holders who have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65" w:name="15636-2-KG-01_PB_8_072935_7608"/>
      <w:bookmarkEnd w:id="16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Registrable Securities in the registration or underwritten offering the right to include additional shares of Registrable Securities in the same proportion used in determining the participation limitation in Section 3(b) or this Section 4(b).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i/>
          <w:sz w:val="17"/>
        </w:rPr>
        <w:t>Minimum Participation Level.</w:t>
      </w:r>
      <w:r>
        <w:rPr>
          <w:rFonts w:ascii="Times New Roman" w:hAnsi="Times New Roman"/>
          <w:sz w:val="17"/>
        </w:rPr>
        <w:t xml:space="preserve"> To the extent a Holder has Registrable Securities included in an effective Shelf Registration Statement, such Holder may not exercise its piggyback or participation rights pursuant to this Section 4 unless such Holder requests the inclusion of Registrable Securities in the applicable registration or underwritten offering with a gross anticipated offering price that is equal to or greater than twenty-five million dollars ($25,000,000).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w:t>
      </w:r>
      <w:r>
        <w:rPr>
          <w:rFonts w:ascii="Times New Roman" w:hAnsi="Times New Roman"/>
          <w:i/>
          <w:sz w:val="17"/>
        </w:rPr>
        <w:t>Wachovia Holders</w:t>
      </w:r>
      <w:r>
        <w:rPr>
          <w:rFonts w:ascii="Times New Roman" w:hAnsi="Times New Roman"/>
          <w:sz w:val="17"/>
        </w:rPr>
        <w:t>. Notwithstanding anything in this Agreement to the contrary, the Wachovia Holders shall not be deemed Holders for purposes of Sections 3 and 4 hereof, and accordingly shall not be entitled to notice or the piggyback or participation rights contemplated therein.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5.              </w:t>
      </w:r>
      <w:r>
        <w:rPr>
          <w:rFonts w:ascii="Times New Roman" w:hAnsi="Times New Roman"/>
          <w:i/>
          <w:sz w:val="17"/>
        </w:rPr>
        <w:t>Registration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Company will cause all Registration Expenses incurred in connection with any registration, filing, qualification or compliance pursuant to Sections 2, 3 and 4 to be borne by AAP, regardless of whether any Registration Statement becomes effective.  All Selling Expenses relating to the sale of securities registered by the Holders shall be borne by the Holders of such securities pro rata on the basis of the number of shares so sold.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6.              </w:t>
      </w:r>
      <w:r>
        <w:rPr>
          <w:rFonts w:ascii="Times New Roman" w:hAnsi="Times New Roman"/>
          <w:i/>
          <w:sz w:val="17"/>
        </w:rPr>
        <w:t>Further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           In connection with any registration of the sale of shares of Registrable Securities under the Securities Act pursuant to this Agreement, the Company will consult with each Holder whose Registrable Securities are to be included in any such registration concerning the form of underwriting agreement (and shall provide to each such Holder the form of underwriting agreement prior to the Companys execution thereof) and shall provide to each such Holder and its representatives such other documents (including correspondence with the Commission with respect to the registration statement and the related securities offering) as such Holder shall reasonably request in connection with its participation in such registration.  The Company will furnish each Registering Holder whose Registrable Securities are registered thereunder and each underwriter, if any, with a copy of the registration statement and all amendments thereto and will supply each such Registering Holder and each underwriter, if any, with copies of any prospectus forming a part of such registration statement (including a preliminary prospectus and all amendments and supplements thereto, the </w:t>
      </w:r>
      <w:r>
        <w:rPr>
          <w:rFonts w:ascii="Times New Roman" w:hAnsi="Times New Roman"/>
          <w:b/>
          <w:i/>
          <w:sz w:val="17"/>
        </w:rPr>
        <w:t>Prospectus</w:t>
      </w:r>
      <w:r>
        <w:rPr>
          <w:rFonts w:ascii="Times New Roman" w:hAnsi="Times New Roman"/>
          <w:sz w:val="17"/>
        </w:rPr>
        <w:t>), in such quantities as may be reasonably requested for the purposes of the proposed sale or distribution covered by such registration.  In the event that the Company prepares and files with the Commission a registration statement on any appropriate form under the Securities Act (a </w:t>
      </w:r>
      <w:r>
        <w:rPr>
          <w:rFonts w:ascii="Times New Roman" w:hAnsi="Times New Roman"/>
          <w:b/>
          <w:i/>
          <w:sz w:val="17"/>
        </w:rPr>
        <w:t>Registration Statement</w:t>
      </w:r>
      <w:r>
        <w:rPr>
          <w:rFonts w:ascii="Times New Roman" w:hAnsi="Times New Roman"/>
          <w:sz w:val="17"/>
        </w:rPr>
        <w:t>) providing for the sale of Registrable Securities held by any Registering Holder pursuant to its obligations under this Agreement, the Company will: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            prepare and file with the Commission such amendments and post-effective amendments to the Registration Statement as may be necessary to keep such Registration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166" w:name="15636-2-KG-01_PB_9_073048_8146"/>
      <w:bookmarkEnd w:id="16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Statement effective; cause the related Prospectus to be supplemented by any required Prospectus supplement, and as so supplemented to be filed pursuant to Rule 424 under the Securities Act; and comply with the provisions of the Securities Act with respect to the disposition of all securities covered by such Registration Statement during the applicable period in accordance with the intended methods of distribution by the participating Holder or Holders thereof set forth in such Registration Statement or supplement to such Prospectus;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promptly notify the Registering Holders and the managing underwriter(s), if any, (A) when a Prospectus or any Prospectus supplement or post-effective amendment has been filed, and, with respect to a Registration Statement or any post-effective amendment, when the same has become effective, (B) of any request by the Commission or any state securities commission for amendments or supplements to a Registration Statement or related Prospectus or for additional information, (C) of the issuance by the Commission or any state securities commission of any stop order suspending the effectiveness of a Registration Statement or the initiation of any proceedings for that purpose, (D) of the receipt by the Company of any notification with respect to the suspension of the qualification of any of the Registrable Securities for sale in any jurisdiction or the initiation or threatening of any proceeding for such purpose, and (E) of the existence of any fact which results in a Registration Statement, a Prospectus or any document incorporated therein by reference containing an untrue statement of a material fact or omitting to state a material fact required to be stated therein or necessary to make the statements therein not misleading;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(iii)          use commercially reasonable efforts to promptly obtain the withdrawal of any order suspending the effectiveness of a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(iv)          if requested by a Registering Holder or the managing underwriter(s), promptly incorporate in a Prospectus supplement or post-effective amendment such information as the Registering Holders holding a majority of the Registrable Securities being sold by Registering Holders or the managing underwriter(s) agree should be included therein relating to the sale of such Registrable Securities, including without limitation information with respect to the amount of Registrable Securities being sold to such underwriters, the purchase price being paid therefor by such underwriters and with respect to any other terms of the underwritten (or best efforts underwritten) offering of the Registrable Securities to be sold in such offering; and make all required filings of such Prospectus supplement or post-effective amendment as soon as notified of the matters to be incorporated in such Prospectus supplement or post-effective amendment;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           furnish to such Registering Holder and each managing underwriter at least one signed copy of the Registration Statement and any post-effective amendment thereto, including financial statements and schedules, all documents incorporated therein by reference and all exhibits (including those incorporated by reference) (</w:t>
      </w:r>
      <w:r>
        <w:rPr>
          <w:rFonts w:ascii="Times New Roman" w:hAnsi="Times New Roman"/>
          <w:i/>
          <w:sz w:val="17"/>
        </w:rPr>
        <w:t>provided, however</w:t>
      </w:r>
      <w:r>
        <w:rPr>
          <w:rFonts w:ascii="Times New Roman" w:hAnsi="Times New Roman"/>
          <w:sz w:val="17"/>
        </w:rPr>
        <w:t>, that any such document made available by the Company through EDGAR shall be deemed so furnished);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(vi)          deliver to such Registering Holders and the underwriters, if any, as many copies of the Prospectus (including each preliminary prospectus) and any amendment or supplement thereto as such Persons may reasonably request;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67" w:name="15636-2-KG-01_PB_10_073134_455"/>
      <w:bookmarkEnd w:id="167"/>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 xml:space="preserve">prior to any public offering of Registrable Securities, register or qualify or cooperate with the Registering Holders, the underwriters, if any, and their respective counsel in connection with the registration or qualification of such Registrable Securities for offer and sale under the securities or blue sky laws of such jurisdictions within the United States as any Registering Holder or underwriter reasonably requests in writing and do any and all other acts or things necessary or advisable to enable the disposition in such jurisdictions of the Registrable Securities covered by the applicable Registration Statement; </w:t>
      </w:r>
      <w:r>
        <w:rPr>
          <w:rFonts w:ascii="Times New Roman" w:hAnsi="Times New Roman"/>
          <w:i/>
          <w:sz w:val="17"/>
        </w:rPr>
        <w:t>provided, however</w:t>
      </w:r>
      <w:r>
        <w:rPr>
          <w:rFonts w:ascii="Times New Roman" w:hAnsi="Times New Roman"/>
          <w:sz w:val="17"/>
        </w:rPr>
        <w:t>, that the Company will not be required to qualify generally to do business in any jurisdiction where it is not then so required to be qualified or to take any action which would subject it to general service of process or taxation in any such jurisdiction where it is not then so subject;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(viii)</w:t>
      </w:r>
      <w:r>
        <w:rPr>
          <w:rFonts w:ascii="Times New Roman" w:hAnsi="Times New Roman"/>
        </w:rPr>
        <w:t xml:space="preserve">                        </w:t>
      </w:r>
      <w:r>
        <w:rPr>
          <w:rFonts w:ascii="Times New Roman" w:hAnsi="Times New Roman"/>
          <w:sz w:val="17"/>
        </w:rPr>
        <w:t>cooperate with the Registering Holders and the managing underwriter(s), if any, to facilitate the timely preparation and delivery of certificates representing Registrable Securities to be sold pursuant to such Registration Statement and not bearing any restrictive legends, and enable such Registrable Securities to be in such denominations and registered in such names as the managing underwriters may request at least one (1) Business Day prior to any sale of Registrable Securities to the underwriters;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(ix)</w:t>
      </w:r>
      <w:r>
        <w:rPr>
          <w:rFonts w:ascii="Times New Roman" w:hAnsi="Times New Roman"/>
        </w:rPr>
        <w:t xml:space="preserve">                              </w:t>
      </w:r>
      <w:r>
        <w:rPr>
          <w:rFonts w:ascii="Times New Roman" w:hAnsi="Times New Roman"/>
          <w:sz w:val="17"/>
        </w:rPr>
        <w:t xml:space="preserve">if any fact described in </w:t>
      </w:r>
      <w:r>
        <w:rPr>
          <w:rFonts w:ascii="Times New Roman" w:hAnsi="Times New Roman"/>
          <w:sz w:val="17"/>
          <w:u w:val="single"/>
        </w:rPr>
        <w:t>subparagraph (ii)(E)</w:t>
      </w:r>
      <w:r>
        <w:rPr>
          <w:rFonts w:ascii="Times New Roman" w:hAnsi="Times New Roman"/>
          <w:sz w:val="17"/>
        </w:rPr>
        <w:t> above exists, promptly prepare and file with the Commission a supplement or post-effective amendment to the applicable Registration Statement or the related Prospectus or any document incorporated therein by reference or file any other required document so that, as thereafter delivered to the purchasers of the Registrable Securities being sold thereunder, such Prospectus will not contain an untrue statement of a material fact or omit to state any material fact necessary to make the statements therein not misleading;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w:t>
      </w:r>
      <w:r>
        <w:rPr>
          <w:rFonts w:ascii="Times New Roman" w:hAnsi="Times New Roman"/>
        </w:rPr>
        <w:t xml:space="preserve">                                 </w:t>
      </w:r>
      <w:r>
        <w:rPr>
          <w:rFonts w:ascii="Times New Roman" w:hAnsi="Times New Roman"/>
          <w:sz w:val="17"/>
        </w:rPr>
        <w:t>cause all Registrable Securities covered by the Registration Statement to be listed on each securities exchange or automated quotation system on which similar securities issued by the Company are then listed;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(xi)</w:t>
      </w:r>
      <w:r>
        <w:rPr>
          <w:rFonts w:ascii="Times New Roman" w:hAnsi="Times New Roman"/>
        </w:rPr>
        <w:t xml:space="preserve">                              </w:t>
      </w:r>
      <w:r>
        <w:rPr>
          <w:rFonts w:ascii="Times New Roman" w:hAnsi="Times New Roman"/>
          <w:sz w:val="17"/>
        </w:rPr>
        <w:t>provide a CUSIP number for all Registrable Securities included in such Registration Statement, not later than the effective date of the applicable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(xii)</w:t>
      </w:r>
      <w:r>
        <w:rPr>
          <w:rFonts w:ascii="Times New Roman" w:hAnsi="Times New Roman"/>
        </w:rPr>
        <w:t xml:space="preserve">                           </w:t>
      </w:r>
      <w:r>
        <w:rPr>
          <w:rFonts w:ascii="Times New Roman" w:hAnsi="Times New Roman"/>
          <w:sz w:val="17"/>
        </w:rPr>
        <w:t xml:space="preserve">enter into such agreements (including an underwriting agreement in form reasonably satisfactory to the Company) and take all such other reasonable actions in connection therewith in order to expedite or facilitate the disposition of such Registrable Securities, including, in the case of underwritten offerings, (i) customary participation of management; </w:t>
      </w:r>
      <w:r>
        <w:rPr>
          <w:rFonts w:ascii="Times New Roman" w:hAnsi="Times New Roman"/>
          <w:i/>
          <w:sz w:val="17"/>
        </w:rPr>
        <w:t>provided that</w:t>
      </w:r>
      <w:r>
        <w:rPr>
          <w:rFonts w:ascii="Times New Roman" w:hAnsi="Times New Roman"/>
          <w:sz w:val="17"/>
        </w:rPr>
        <w:t xml:space="preserve"> senior management of the Company shall not be required to dedicate an unreasonably burdensome amount of time in connection with roadshow and related marketing activities for any underwritten offering, (ii) using reasonable efforts to cause its counsel to issue opinions of counsel in form, substance and scope as are customary in underwritten offerings, including a standard 10b-5 opinion for such offering, addressed and delivered to the underwriter(s), (iii) if requested, using reasonable efforts to cause to be delivered, immediately prior to the pricing of any underwritten offering, immediately prior to effectiveness of each Registration Statement (and, in the case of an underwritten offering, at the time of closing of the sale of Registrable Securities pursuant thereto), letters from the Companys independent registered public accountants addressed to each underwriter, if any, stating that such accountants are independent public accountants within the meaning of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68" w:name="15636-2-KG-03_PB_11_073418_5335"/>
      <w:bookmarkEnd w:id="16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Securities Act and the applicable rules and regulations adopted by the Commission thereunder, and otherwise in customary form and covering such financial and accounting matters as are customarily covered by letters of the independent registered public accountants delivered in connection with underwritten public offerings and (iv) delivering a standard officers certificate from the chief executive officer or chief financial officer, or other senior officers serving such functions, of the general partner of the Company addressed to each underwriter, if 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(xiii)</w:t>
      </w:r>
      <w:r>
        <w:rPr>
          <w:rFonts w:ascii="Times New Roman" w:hAnsi="Times New Roman"/>
        </w:rPr>
        <w:t xml:space="preserve">                        </w:t>
      </w:r>
      <w:r>
        <w:rPr>
          <w:rFonts w:ascii="Times New Roman" w:hAnsi="Times New Roman"/>
          <w:sz w:val="17"/>
        </w:rPr>
        <w:t xml:space="preserve">make available for inspection by a representative of the Registering Holders whose Registrable Securities are being sold pursuant to such Registration Statement, any underwriter participating in any disposition pursuant to a Registration Statement, and any attorney or accountant retained by such Registering Holders or underwriter, all financial and other records and any pertinent corporate documents and properties of the Company reasonably requested by such representative, underwriter, attorney or accountant in connection with such Registration Statement; </w:t>
      </w:r>
      <w:r>
        <w:rPr>
          <w:rFonts w:ascii="Times New Roman" w:hAnsi="Times New Roman"/>
          <w:i/>
          <w:sz w:val="17"/>
        </w:rPr>
        <w:t>provided, however</w:t>
      </w:r>
      <w:r>
        <w:rPr>
          <w:rFonts w:ascii="Times New Roman" w:hAnsi="Times New Roman"/>
          <w:sz w:val="17"/>
        </w:rPr>
        <w:t xml:space="preserve">, that any records, information or documents that are designated by the Company in writing as confidential shall be kept confidential by such Persons or entities unless disclosure of such records, information or documents is required by law, legal process or regulatory requirements;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further</w:t>
      </w:r>
      <w:r>
        <w:rPr>
          <w:rFonts w:ascii="Times New Roman" w:hAnsi="Times New Roman"/>
          <w:sz w:val="17"/>
        </w:rPr>
        <w:t>, that information shall not be deemed confidential information for purposes of this Section 6(a)(xiii), if such information (i) is already known to such Party (or its representatives), having been disclosed to such Party (or its representatives) by a third Person without such third Person having an obligation of confidentiality to the Company, (ii) is or becomes publicly known through no wrongful act of such Party (or its representatives), or (iii) is independently developed by such Party (or its representatives) without reference to any confidential information disclosed to such Party under this Agreement;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(xiv) in the event any Holder could reasonably be deemed to be an underwriter (as defined in Section 2(a)(11) of the Securities Act) in connection with such Registration Statement and any amendment or supplement thereof, reasonably cooperate with such Holder in allowing such Holder to conduct customary underwriters due diligence with respect to the Company and satisfy its obligations in respect thereof.  In addition, at any Holders request, the Company will use commercially reasonable efforts to furnish to such Holder, on the date of the effectiveness of the Registration Statement and thereafter from time to time on such dates as such Holder may reasonably request, (A) subject to such Holders delivery of any letter required by the Companys independent certified public accountants, a cold comfort letter, dated such date, from the Companys independent certified public accountants in form and substance as is customarily given by independent certified public accountants to underwriters in an underwritten public offering addressed to such Holder, (B) an opinion, dated as of such date, of counsel representing the Company, in form, scope and substance as is customarily given in an underwritten public offering, including a standard 10b-5 opinion for such offering, addressed to such Registering Holder and (C) a standard officers certificate from the chief executive officer or chief financial officer, or other senior officers serving such functions, of the general partner of the Company addressed to the Holder.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Each Holder agrees that, upon receipt of any notice from the Company of the happening of an event of the kind described in Section 6(a)(ii)(B) through Section 6(a)(ii)(E), such Holder will immediately discontinue disposition of shares of Registrable Securities pursuant to a Shelf Registration Statement until such stop order is vacated or such Holder receives a copy of the supplemented or amended Prospectus.  If so directed by the Company, each Holder will deliver to the Company (at the reasonable expense of the Company) all copies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69" w:name="15636-2-KG-03_PB_12_073456_5796"/>
      <w:bookmarkEnd w:id="16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its possession, other than permanent file copies then in such Holders possession, of the Prospectus covering such shares of Registrable Securities at the time of receipt of such notice.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w:t>
      </w:r>
      <w:r>
        <w:rPr>
          <w:rFonts w:ascii="Times New Roman" w:hAnsi="Times New Roman"/>
        </w:rPr>
        <w:t xml:space="preserve">                                           </w:t>
      </w:r>
      <w:r>
        <w:rPr>
          <w:rFonts w:ascii="Times New Roman" w:hAnsi="Times New Roman"/>
          <w:i/>
          <w:sz w:val="17"/>
        </w:rPr>
        <w:t>Further Information Furnished by 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It shall be a condition precedent to the obligations of the Company to take any action pursuant to Sections 2 through 6 that the Holders shall furnish to the Company such information regarding themselves, the Registrable Securities held by them, and the intended method of distribution of such securities as shall be required to effect the registration or offer and sale of their Registrable Securities.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8.</w:t>
      </w:r>
      <w:r>
        <w:rPr>
          <w:rFonts w:ascii="Times New Roman" w:hAnsi="Times New Roman"/>
        </w:rPr>
        <w:t xml:space="preserve">                                           </w:t>
      </w:r>
      <w:r>
        <w:rPr>
          <w:rFonts w:ascii="Times New Roman" w:hAnsi="Times New Roman"/>
          <w:i/>
          <w:sz w:val="17"/>
        </w:rPr>
        <w:t>Indemnification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event any Registrable Securities are included in a registration statement under Sections 2, 3 or 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To the fullest extent permitted by law, the Company will indemnify and hold harmless each Holder and underwriter (as defined in the Securities Act) and each of the officers, directors, partners and agents of each such Holder and underwriter, and each Person, if any, who controls such Holder or underwriter within the meaning of the Securities Act or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a </w:t>
      </w:r>
      <w:r>
        <w:rPr>
          <w:rFonts w:ascii="Times New Roman" w:hAnsi="Times New Roman"/>
          <w:b/>
          <w:i/>
          <w:sz w:val="17"/>
        </w:rPr>
        <w:t>Violation</w:t>
      </w:r>
      <w:r>
        <w:rPr>
          <w:rFonts w:ascii="Times New Roman" w:hAnsi="Times New Roman"/>
          <w:sz w:val="17"/>
        </w:rPr>
        <w:t xml:space="preserve">): any untrue statement or alleged untrue statement of a material fact contained in such registration statement, including any preliminary prospectus or final prospectus contained therein or any amendments or supplements thereto; the omission or alleged omission to state therein a material fact required to be stated therein, or necessary to make the statements therein not misleading; or any violation or alleged violation by the Company or any officer, director, employee, advisor or affiliate thereof of the Securities Act, the Exchange Act, any state securities law or any rule or regulation promulgated under the Securities Act, the Exchange Act or any state securities law, and the Company will reimburse each such Holder, officer, director, partner or agent, underwriter or controlling Person for any legal or other expenses reasonably incurred by them in connection with investigating or defending any such loss, claim, damage, liability, or action; </w:t>
      </w:r>
      <w:r>
        <w:rPr>
          <w:rFonts w:ascii="Times New Roman" w:hAnsi="Times New Roman"/>
          <w:i/>
          <w:sz w:val="17"/>
        </w:rPr>
        <w:t>provided, however</w:t>
      </w:r>
      <w:r>
        <w:rPr>
          <w:rFonts w:ascii="Times New Roman" w:hAnsi="Times New Roman"/>
          <w:sz w:val="17"/>
        </w:rPr>
        <w:t>, that the indemnity agreement contained in this Section 8(a) shall not apply to amounts paid in settlement of any such loss, claim, damage, liability, or action if such settlement is effected without the consent of the Company (which consent shall not be unreasonably withheld, conditioned, delayed or denied),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or offering by any such Holder or underwriter.  The indemnification provided for under this Agreement shall remain in full force and effect regardless of any investigation made by or on behalf of any Holder or underwriter or any officer, director or controlling Person of such Holder or underwriter and shall survive the transfer of securities.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170" w:name="15636-2-KG-03_PB_13_073521_2897"/>
      <w:bookmarkEnd w:id="17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To the fullest extent permitted by law, each Holder severally, and not jointly, will, if shares of Registrable Securities held by such Person are included in the securities as to which such registration or offering is being effected, indemnify and hold harmless the Company, each of its directors and officers, each legal counsel and independent accountant of the Company, each Person, if any, who controls the Company within the meaning of the Securities Act, each underwriter (within the meaning of the Securities Act) of the Companys securities covered by such registration or offering, any Person who controls such underwriter, and any other Holder selling securities in such registration and each of its directors, officers, partners or agents or any Person who controls such Holder, against any losses, claims, damages, or liabilities (joint or several) to which the Company or any such underwriter, other Holder, director, officer, partner or agent or controlling Person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or offering, and each such Holder will reimburse any legal or other expenses reasonably incurred by the Company or any such underwriter, other Holder, officer, director, partner or agent or controlling Person in connection with investigating or defending any such loss, claim, damage, liability, or action; </w:t>
      </w:r>
      <w:r>
        <w:rPr>
          <w:rFonts w:ascii="Times New Roman" w:hAnsi="Times New Roman"/>
          <w:i/>
          <w:sz w:val="17"/>
        </w:rPr>
        <w:t>provided, however</w:t>
      </w:r>
      <w:r>
        <w:rPr>
          <w:rFonts w:ascii="Times New Roman" w:hAnsi="Times New Roman"/>
          <w:sz w:val="17"/>
        </w:rPr>
        <w:t xml:space="preserve">, that the indemnity agreement contained in this Section 8(b) shall not apply to amounts paid in settlement of any such loss, claim, damage, liability or action if such settlement is effected without the consent of such Holder (which consent shall not be unreasonably withheld, conditioned, delayed or denied); and </w:t>
      </w:r>
      <w:r>
        <w:rPr>
          <w:rFonts w:ascii="Times New Roman" w:hAnsi="Times New Roman"/>
          <w:i/>
          <w:sz w:val="17"/>
        </w:rPr>
        <w:t>provided</w:t>
      </w:r>
      <w:r>
        <w:rPr>
          <w:rFonts w:ascii="Times New Roman" w:hAnsi="Times New Roman"/>
          <w:sz w:val="17"/>
        </w:rPr>
        <w:t>, that in no event shall any indemnity under this Section 8(b) exceed the net proceeds from the offering received by such Holder.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Promptly after receipt by an indemnified party under this Section 8 of notice of the commencement of any action (including any governmental action), such indemnified party will, if a claim in respect thereof is to be made against any indemnifying party under this Section 8, notify the indemnifying party in writing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Times New Roman" w:hAnsi="Times New Roman"/>
          <w:i/>
          <w:sz w:val="17"/>
        </w:rPr>
        <w:t>provided, however</w:t>
      </w:r>
      <w:r>
        <w:rPr>
          <w:rFonts w:ascii="Times New Roman" w:hAnsi="Times New Roman"/>
          <w:sz w:val="17"/>
        </w:rPr>
        <w:t>, that an indemnified party shall have the right to retain its own counsel, with the fees and expenses to be paid by the indemnifying party, if the indemnified party shall have been advised by counsel that representation of such indemnified party by the counsel retained by the indemnifying party would be inappropriate due to actual or potential differing interests between such indemnified party and any other party represented by such counsel in such proceeding. The failure of any indemnified party to notify an indemnifying party within a reasonable time of the commencement of any such action, if prejudicial to its ability to defend such action, shall relieve such indemnifying party of liability to the indemnified party under this Section 8 only to the extent that such failure to give notice shall materially prejudice the indemnifying party in the defense of any such claim or any such litigation, but the failure to notify the indemnifying party will not relieve the indemnifying party of any liability that it may have to any indemnified party otherwise than under this Section 8.</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If the indemnification provided for in this Section 8 is held by a court of competent jurisdiction to be unavailable to an indemnified party with respect to any losses,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171" w:name="15636-2-KG-03_PB_14_073546_3020"/>
      <w:bookmarkEnd w:id="17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Times New Roman" w:hAnsi="Times New Roman"/>
          <w:i/>
          <w:sz w:val="17"/>
        </w:rPr>
        <w:t>provided</w:t>
      </w:r>
      <w:r>
        <w:rPr>
          <w:rFonts w:ascii="Times New Roman" w:hAnsi="Times New Roman"/>
          <w:sz w:val="17"/>
        </w:rPr>
        <w:t>, that in no event shall any contribution by a Holder hereunder exceed the net proceeds from the offering received by such Holder.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obligations of the Company and the Holders under this Section 8 shall survive completion of any offering of Registrable Securities pursuant to any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Notwithstanding the foregoing, to the extent that the provisions on indemnification and contribution contained in the underwriting agreement entered into in connection with any registration or offering provided for under Sections 2, 3 or 4 are in conflict with the foregoing provisions of this Section 8, the provisions in such underwriting agreement shall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w:t>
      </w:r>
      <w:r>
        <w:rPr>
          <w:rFonts w:ascii="Times New Roman" w:hAnsi="Times New Roman"/>
        </w:rPr>
        <w:t xml:space="preserve">                                           </w:t>
      </w:r>
      <w:r>
        <w:rPr>
          <w:rFonts w:ascii="Times New Roman" w:hAnsi="Times New Roman"/>
          <w:i/>
          <w:sz w:val="17"/>
        </w:rPr>
        <w:t>Rule 144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Company shall file the reports required to be filed by it under the Securities Act and the Exchange Act, and will take such further action as any Holder of Registrable Securities may reasonably request, all to the extent required from time to time to enable such Holder following an exchange of AAP Class A Units and PAGP Class B Shares for PAGP Class A Shares to sell Registrable Securities without registration under the Securities Act within the limitations of the exemption provided by Rule 144.  Upon the request of any Holder of Registrable Securities, the Company shall deliver to such Holder a written statement as to whether it has complied with such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10.</w:t>
      </w:r>
      <w:r>
        <w:rPr>
          <w:rFonts w:ascii="Times New Roman" w:hAnsi="Times New Roman"/>
        </w:rPr>
        <w:t xml:space="preserve">                                    </w:t>
      </w:r>
      <w:r>
        <w:rPr>
          <w:rFonts w:ascii="Times New Roman" w:hAnsi="Times New Roman"/>
          <w:i/>
          <w:sz w:val="17"/>
        </w:rPr>
        <w:t>Assignment of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provisions hereof will inure to the benefit of and be binding upon the successors and assigns of each of the Parties hereto, except as otherwise provided herein; </w:t>
      </w:r>
      <w:r>
        <w:rPr>
          <w:rFonts w:ascii="Times New Roman" w:hAnsi="Times New Roman"/>
          <w:i/>
          <w:sz w:val="17"/>
        </w:rPr>
        <w:t>provided, however,</w:t>
      </w:r>
      <w:r>
        <w:rPr>
          <w:rFonts w:ascii="Times New Roman" w:hAnsi="Times New Roman"/>
          <w:sz w:val="17"/>
        </w:rPr>
        <w:t xml:space="preserve"> that the registration rights granted hereby may be transferred to any Person to whom a Holder transfers Registrable Securities pursuant to a Permitted Transfer in accordance with the terms of the AAP Partnership Agreement, </w:t>
      </w:r>
      <w:r>
        <w:rPr>
          <w:rFonts w:ascii="Times New Roman" w:hAnsi="Times New Roman"/>
          <w:i/>
          <w:sz w:val="17"/>
        </w:rPr>
        <w:t>provided further</w:t>
      </w:r>
      <w:r>
        <w:rPr>
          <w:rFonts w:ascii="Times New Roman" w:hAnsi="Times New Roman"/>
          <w:sz w:val="17"/>
        </w:rPr>
        <w:t xml:space="preserve"> that any such transferee shall not be entitled to rights pursuant to Sections 2, 3 or 4 hereof unless such transferee of registration rights hereunder agrees to be bound by the terms and conditions hereof and executes and delivers to the Company a customary acknowledgment and agreement to such effect; and </w:t>
      </w:r>
      <w:r>
        <w:rPr>
          <w:rFonts w:ascii="Times New Roman" w:hAnsi="Times New Roman"/>
          <w:i/>
          <w:sz w:val="17"/>
        </w:rPr>
        <w:t>provided further</w:t>
      </w:r>
      <w:r>
        <w:rPr>
          <w:rFonts w:ascii="Times New Roman" w:hAnsi="Times New Roman"/>
          <w:sz w:val="17"/>
        </w:rPr>
        <w:t xml:space="preserve"> that a Demanding Holders right to make a single and final request with respect to its remaining Registrable Securities may not be assigned to any transferee unless the transferee acquires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172" w:name="15636-2-KG-03_PB_15_073702_7748"/>
      <w:bookmarkEnd w:id="17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Registrable Securities having a fair market value at the time of transfer of the last prior transfer of Registrable Securities, of at least two hundred million dollars ($200,000,000).  Any Holder transferring Registrable Securities shall provide notice of any such transfer to the Company, including the identity and notice information for the transferee.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event that EMG effects a Permitted Transfer to one or more of its members in accordance with the terms of the AAP Partnership Agreement, notwithstanding any such Transfer, EMG shall act as the representative of such transferees for all purposes under this Agreement and thereafter remain the notice party for all purposes under this Agreement with respect to such transferees, and EMG shall be responsible for providing notices to, and delivering responses from, such transferees.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11.</w:t>
      </w:r>
      <w:r>
        <w:rPr>
          <w:rFonts w:ascii="Times New Roman" w:hAnsi="Times New Roman"/>
        </w:rPr>
        <w:t xml:space="preserve">                                    </w:t>
      </w:r>
      <w:r>
        <w:rPr>
          <w:rFonts w:ascii="Times New Roman" w:hAnsi="Times New Roman"/>
          <w:i/>
          <w:sz w:val="17"/>
        </w:rPr>
        <w:t>Amendment of Registration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otherwise provided in this Agreement, any provision of this Agreement may be amended and the observance thereof may be waived (either generally or in a particular instance and either retroactively or prospectively) only with the written consent of the Company and the Holders of at least [a majority] of the Registrable Securities; </w:t>
      </w:r>
      <w:r>
        <w:rPr>
          <w:rFonts w:ascii="Times New Roman" w:hAnsi="Times New Roman"/>
          <w:i/>
          <w:sz w:val="17"/>
        </w:rPr>
        <w:t>provided that</w:t>
      </w:r>
      <w:r>
        <w:rPr>
          <w:rFonts w:ascii="Times New Roman" w:hAnsi="Times New Roman"/>
          <w:sz w:val="17"/>
        </w:rPr>
        <w:t xml:space="preserve"> Section 13(a) may only be amended with the written consent of the Company, acting through the board of directors of its general partner (without participation of any representative of Oxy, EMG or Kayne Anderson).  Any amendment or waiver effected in accordance with this Section 11 shall be binding upon each Holder and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Annex A hereto may be amended or supplemented from time to time by the Company to reflect any Transfers that result in Registrable Securities no longer qualifying as Registrable Securities or Transfers involving an assignment of Registrable Securities effected in accordance with Section 10, and any such amendment or supplement shall not be considered an amendment of this Agreement. Upon the reasonable request of the Company from time to time, each Holder hereby agrees to provide a certification to the Company as to the number of Registrable Securities held by such Holder. In addition, upon the execution of a customary acknowledgement and agreement agreeing to be bound by the terms and conditions hereof, the Company shall promptly amend or supplement Annex A from time to time to reflect the inclusion of any holder of vested AAP Class B Units, it being the intent of the Parties that all holders of vested AAP Class B Units become a Party to this Agreement subject to the execution and delivery of such customary acknowledgment and agreement.  Further, upon any such amendment or supplement of Annex A to reflect the inclusion of any holder of vested AAP Class B Units, the Company will take all appropriate action to include such Holders Registrable Securities in any effective Shelf Registration Statement.  Any such addition of a holder of AAP Class B Units shall not be considered an amendment of this Agreement.  The Company may also amend or supplement Annex A from time to time to reflect any increase or reduction in the ownership of vested AAP Class B Units held by any Holder and any such amendment or supplement shall not be considered an amendment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12.</w:t>
      </w:r>
      <w:r>
        <w:rPr>
          <w:rFonts w:ascii="Times New Roman" w:hAnsi="Times New Roman"/>
        </w:rPr>
        <w:t xml:space="preserve">                                    </w:t>
      </w:r>
      <w:r>
        <w:rPr>
          <w:rFonts w:ascii="Times New Roman" w:hAnsi="Times New Roman"/>
          <w:i/>
          <w:sz w:val="17"/>
        </w:rPr>
        <w:t>Limitations on Subsequent Registration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From and after the date of this Agreement and so long as the original Parties to this Agreement continue to own at least ten percent (10%) of the Registrable Securities initially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173" w:name="15636-2-KG-03_PB_16_073735_141"/>
      <w:bookmarkEnd w:id="17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this Agreement, the Company shall not, without approval of the Holders of at least sixty-six and two-thirds percent (66 2/3%) of the Registrable Securities, enter into any agreement with any holder or prospective holder of any securities of the Company giving such holder or prospective holder any registration rights the terms of which are equivalent to or more favorable than the registration rights granted to holders of Registrable Securities hereunder, or which would reduce the amount of Registrable Securities the holders can include in any registration filed or offering effected pursuant to Section 3 or Section 4 hereof, unless such rights are subordinate to those of the Holders of Registrable Securities.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13.</w:t>
      </w:r>
      <w:r>
        <w:rPr>
          <w:rFonts w:ascii="Times New Roman" w:hAnsi="Times New Roman"/>
        </w:rPr>
        <w:t xml:space="preserve">                                    </w:t>
      </w:r>
      <w:r>
        <w:rPr>
          <w:rFonts w:ascii="Times New Roman" w:hAnsi="Times New Roman"/>
          <w:i/>
          <w:sz w:val="17"/>
        </w:rPr>
        <w:t>Transfer Restrictions; Market Stand-off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During the Lock-Up Period, each of Oxy, EMG and Kayne Anderson hereby agrees not to, and hereby agrees to cause its respective Affiliates not to, directly or indirectly, Transfer any PAGP Class A Shares issuable upon exchange of their AAP Class A Units and PAGP Class B Shares; </w:t>
      </w:r>
      <w:r>
        <w:rPr>
          <w:rFonts w:ascii="Times New Roman" w:hAnsi="Times New Roman"/>
          <w:i/>
          <w:sz w:val="17"/>
        </w:rPr>
        <w:t>provided that</w:t>
      </w:r>
      <w:r>
        <w:rPr>
          <w:rFonts w:ascii="Times New Roman" w:hAnsi="Times New Roman"/>
          <w:sz w:val="17"/>
        </w:rPr>
        <w:t xml:space="preserve"> the foregoing Persons may (i) effect any Permitted Transfer (as such term is defined in the AAP Partnership Agreement), (ii) effect, following any such exchange, any Transfer of PAGP Class A Shares that would have been permitted under subclauses (a), (b) and (c) of the definition of Permitted Transfer (as such term is defined in the AAP Partnership Agreement) prior to such exchange, in each of clauses (i) and (ii) above so long as any transferee in such Transfer agrees in writing to be subject to the restrictions contained in this Section 13 for the remaining term of the Lock-Up Period, and (iii) make </w:t>
      </w:r>
      <w:r>
        <w:rPr>
          <w:rFonts w:ascii="Times New Roman" w:hAnsi="Times New Roman"/>
          <w:i/>
          <w:sz w:val="17"/>
        </w:rPr>
        <w:t>de minimus</w:t>
      </w:r>
      <w:r>
        <w:rPr>
          <w:rFonts w:ascii="Times New Roman" w:hAnsi="Times New Roman"/>
          <w:sz w:val="17"/>
        </w:rPr>
        <w:t xml:space="preserve"> charitable gifts to any entity or organization registered under Section 501(c)(3) of the Internal Revenue Code.  The restrictions contained in this Section 13 may only be waived by the Company, acting through the board of directors of its general partner (without participation of any representative of Oxy, EMG or Kayne Anderson), which may grant or refuse to grant any such waiver in its sole discretion.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connection with any underwritten offering pursuant to this Agreement, each Holder, other than the Wachovia Holders, hereby agrees, subject to and following its receipt of notice from the Company, that it (i) will not, to the extent requested by the Company and any underwriter, sell or otherwise transfer or dispose of any Registrable Securities, except securities included in such offering or certain permitted transfers of securities pursuant to the AAP Partnership Agreement, during the period beginning fifteen (15) days prior to the expected date of pricing of such offering and continuing for a period not to exceed forty-five (45) days with respect to any offering beginning on the date of such final prospectus (or prospectus supplement if the offering is made pursuant to a Shelf Registration Statement), and (ii) will enter into agreements with the underwriter in connection with any such sale to give effect to the foregoing.  In order to enforce the foregoing covenant, the Company may impose stop-transfer instructions with respect to the Registrable Securities of each such Holder (and the shares or securities of every other Person subject to the foregoing restriction) until the end of such forty-five (45)-day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14.</w:t>
      </w:r>
      <w:r>
        <w:rPr>
          <w:rFonts w:ascii="Times New Roman" w:hAnsi="Times New Roman"/>
        </w:rPr>
        <w:t xml:space="preserve">                                    </w:t>
      </w:r>
      <w:r>
        <w:rPr>
          <w:rFonts w:ascii="Times New Roman" w:hAnsi="Times New Roman"/>
          <w:i/>
          <w:sz w:val="17"/>
        </w:rPr>
        <w:t>Miscellaneous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Notices</w:t>
      </w:r>
      <w:r>
        <w:rPr>
          <w:rFonts w:ascii="Times New Roman" w:hAnsi="Times New Roman"/>
          <w:sz w:val="17"/>
        </w:rPr>
        <w:t xml:space="preserve">. All notices and other communications provided for or permitted hereunder shall be in writing or be delivered via e-mail (which shall also constitute written notice) and shall be deemed to have been duly given and received when, if in writing, delivered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174" w:name="15636-2-KG-03_PB_17_073806_7608"/>
      <w:bookmarkEnd w:id="17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by overnight courier or hand delivery, when sent via e-mail, receipt of such e-mail is confirmed by the recipient thereof (either by e-mail or orally), when sent by fax, or three (3) days after mailing if sent by registered or certified mail (return receipt requested) postage prepaid, to the Parties at the following addresses (or at such other address for any Party as shall be specified by like notices, provided that notices of a change of address shall be effective only upon receipt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the Company, 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333 Clay Street, Suite 1600</w:t>
        <w:br/>
        <w:t>Houston, Texas 77002</w:t>
        <w:br/>
        <w:t>Attention: General Counsel</w:t>
        <w:br/>
        <w:t>Fax: 713.[</w:t>
      </w:r>
      <w:r>
        <w:rPr>
          <w:rFonts w:ascii="Symbol" w:hAnsi="Symbol"/>
          <w:sz w:val="17"/>
        </w:rPr>
        <w:t>·</w:t>
      </w:r>
      <w:r>
        <w:rPr>
          <w:rFonts w:ascii="Times New Roman" w:hAnsi="Times New Roman"/>
          <w:sz w:val="17"/>
        </w:rPr>
        <w:t>]</w:t>
      </w:r>
    </w:p>
    <w:p>
      <w:pPr>
        <w:pStyle w:val="TextBody"/>
        <w:spacing w:before="0" w:after="0"/>
        <w:ind w:left="0" w:right="0" w:hanging="0"/>
        <w:rPr>
          <w:rFonts w:ascii="Times New Roman" w:hAnsi="Times New Roman"/>
          <w:sz w:val="17"/>
        </w:rPr>
      </w:pPr>
      <w:r>
        <w:rPr>
          <w:rFonts w:ascii="Times New Roman" w:hAnsi="Times New Roman"/>
          <w:sz w:val="17"/>
        </w:rPr>
        <w:t>Email: RKMcGee@paalp.com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to any Holder of Registrable Securities, to such Persons address set forth on </w:t>
      </w:r>
      <w:r>
        <w:rPr>
          <w:rFonts w:ascii="Times New Roman" w:hAnsi="Times New Roman"/>
          <w:sz w:val="17"/>
          <w:u w:val="single"/>
        </w:rPr>
        <w:t>Annex A</w:t>
      </w:r>
      <w:r>
        <w:rPr>
          <w:rFonts w:ascii="Times New Roman" w:hAnsi="Times New Roman"/>
          <w:sz w:val="17"/>
        </w:rPr>
        <w:t xml:space="preserve"> or as set forth on the records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Counterparts</w:t>
      </w:r>
      <w:r>
        <w:rPr>
          <w:rFonts w:ascii="Times New Roman" w:hAnsi="Times New Roman"/>
          <w:sz w:val="17"/>
        </w:rPr>
        <w:t>. This Agreement may be executed in any number of counterparts, each of which shall be deemed an original, but all of which together shall constitute one and the same instrument.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Headings</w:t>
      </w:r>
      <w:r>
        <w:rPr>
          <w:rFonts w:ascii="Times New Roman" w:hAnsi="Times New Roman"/>
          <w:sz w:val="17"/>
        </w:rPr>
        <w:t>. The section and paragraph headings contained in this Agreement are for reference purposes only and shall not affect in any way the meaning or interpretation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b/>
          <w:i/>
          <w:sz w:val="17"/>
        </w:rPr>
        <w:t>Governing Law</w:t>
      </w:r>
      <w:r>
        <w:rPr>
          <w:rFonts w:ascii="Times New Roman" w:hAnsi="Times New Roman"/>
          <w:b/>
          <w:sz w:val="17"/>
        </w:rPr>
        <w:t>. THIS AGREEMENT SHALL BE GOVERNED BY AND CONSTRUED IN ACCORDANCE WITH THE LAWS OF THE STATE OF TEXAS, EXCLUDING ANY CONFLICT-OF-LAWS RULE OR PRINCIPLE THAT MIGHT REFER THE GOVERNANCE OR THE CONSTRUCTION OF THIS AGREEMENT TO THE LAW OF ANOTHER JURISDICTION.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i/>
          <w:sz w:val="17"/>
        </w:rPr>
        <w:t>Severability</w:t>
      </w:r>
      <w:r>
        <w:rPr>
          <w:rFonts w:ascii="Times New Roman" w:hAnsi="Times New Roman"/>
          <w:sz w:val="17"/>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i/>
          <w:sz w:val="17"/>
        </w:rPr>
        <w:t>Entire Agreement</w:t>
      </w:r>
      <w:r>
        <w:rPr>
          <w:rFonts w:ascii="Times New Roman" w:hAnsi="Times New Roman"/>
          <w:sz w:val="17"/>
        </w:rPr>
        <w:t>. This Agreement is intended by the Parties as a final expression of their agreement, and is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Registrable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175" w:name="15636-2-KG-03_PB_18_073900_8146"/>
      <w:bookmarkEnd w:id="17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Securities. This Agreement supersedes all prior written or oral agreements and understandings between the Parties with respect to such subject matter.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i/>
          <w:sz w:val="17"/>
        </w:rPr>
        <w:t>Securities Held by the Company or its Subsidiaries</w:t>
      </w:r>
      <w:r>
        <w:rPr>
          <w:rFonts w:ascii="Times New Roman" w:hAnsi="Times New Roman"/>
          <w:sz w:val="17"/>
        </w:rPr>
        <w:t>. Whenever the consent or approval of Holders of a specified percentage of Registrable Securities is required hereunder, Registrable Securities held by the Company or its subsidiaries shall not be counted in determining whether such consent or approval was given by the Holders of such required percentage.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i/>
          <w:sz w:val="17"/>
        </w:rPr>
        <w:t>Termination</w:t>
      </w:r>
      <w:r>
        <w:rPr>
          <w:rFonts w:ascii="Times New Roman" w:hAnsi="Times New Roman"/>
          <w:sz w:val="17"/>
        </w:rPr>
        <w:t xml:space="preserve">. This Agreement shall terminate when no shares of Registrable Securities remain outstanding; </w:t>
      </w:r>
      <w:r>
        <w:rPr>
          <w:rFonts w:ascii="Times New Roman" w:hAnsi="Times New Roman"/>
          <w:i/>
          <w:sz w:val="17"/>
        </w:rPr>
        <w:t>provided that</w:t>
      </w:r>
      <w:r>
        <w:rPr>
          <w:rFonts w:ascii="Times New Roman" w:hAnsi="Times New Roman"/>
          <w:sz w:val="17"/>
        </w:rPr>
        <w:t xml:space="preserve"> Sections 8 and 14 shall survive any termination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i/>
          <w:sz w:val="17"/>
        </w:rPr>
        <w:t>Specific Performance</w:t>
      </w:r>
      <w:r>
        <w:rPr>
          <w:rFonts w:ascii="Times New Roman" w:hAnsi="Times New Roman"/>
          <w:sz w:val="17"/>
        </w:rPr>
        <w:t>. The Parties hereto recognize and agree that money damages may be insufficient to compensate the Holders of any Registrable Securities for breaches by the Company of the terms hereof and, consequently, that the equitable remedy of specific performance of the terms hereof will be available in the event of any such breach.</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pages follow</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176" w:name="15636-2-KG-03_PB_19_073914_7091"/>
      <w:bookmarkEnd w:id="17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hereto have caused this Shareholder and Registration Rights Agreement to be duly executed as of the date first above written.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14"/>
        <w:gridCol w:w="524"/>
        <w:gridCol w:w="533"/>
        <w:gridCol w:w="4134"/>
      </w:tblGrid>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COMPANY:</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GP HOLDINGS, L.P.</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 its general partner</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533" w:type="dxa"/>
            <w:tcBorders/>
            <w:shd w:fill="auto" w:val="clear"/>
          </w:tcPr>
          <w:p>
            <w:pPr>
              <w:pStyle w:val="TableContents"/>
              <w:spacing w:before="0" w:after="0"/>
              <w:ind w:left="0" w:right="0" w:hanging="0"/>
              <w:rPr/>
            </w:pPr>
            <w:r>
              <w:rPr/>
              <w:t> </w:t>
            </w:r>
          </w:p>
        </w:tc>
        <w:tc>
          <w:tcPr>
            <w:tcW w:w="4134" w:type="dxa"/>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5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134"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HOLDERS:</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OXY HOLDING COMPANY (PIPELINE), INC.</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7"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EMG INVESTMENT, LLC</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pPr>
            <w:r>
              <w:rPr/>
              <w:t> </w:t>
            </w:r>
          </w:p>
        </w:tc>
        <w:tc>
          <w:tcPr>
            <w:tcW w:w="4667" w:type="dxa"/>
            <w:gridSpan w:val="2"/>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67"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pPr>
            <w:r>
              <w:rPr/>
              <w:t> </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014" w:type="dxa"/>
            <w:tcBorders/>
            <w:shd w:fill="auto" w:val="clear"/>
          </w:tcPr>
          <w:p>
            <w:pPr>
              <w:pStyle w:val="TableContents"/>
              <w:spacing w:before="0" w:after="0"/>
              <w:ind w:left="0" w:right="0" w:hanging="0"/>
              <w:rPr/>
            </w:pPr>
            <w:r>
              <w:rPr/>
              <w:t> </w:t>
            </w:r>
          </w:p>
        </w:tc>
        <w:tc>
          <w:tcPr>
            <w:tcW w:w="519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Registration Rights Agreement</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2"/>
        <w:gridCol w:w="4639"/>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KAFU HOLDINGS, L.P.</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KAFU Holdings,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 FIRST RESERVE XII, LLC</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MANAGEMENT, L.P.</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Management LLC,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Registration Rights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412"/>
        <w:gridCol w:w="4639"/>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STROME PAA, L.P.</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MARK E. STROME LIVING TRUST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WINDY,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Registration Rights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845"/>
        <w:gridCol w:w="911"/>
        <w:gridCol w:w="4449"/>
      </w:tblGrid>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LYNX HOLDINGS I, LLC</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911" w:type="dxa"/>
            <w:tcBorders/>
            <w:shd w:fill="auto" w:val="clear"/>
          </w:tcPr>
          <w:p>
            <w:pPr>
              <w:pStyle w:val="TableContents"/>
              <w:spacing w:before="0" w:after="0"/>
              <w:ind w:left="0" w:right="0" w:hanging="0"/>
              <w:rPr/>
            </w:pPr>
            <w:r>
              <w:rPr/>
              <w:t> </w:t>
            </w:r>
          </w:p>
        </w:tc>
        <w:tc>
          <w:tcPr>
            <w:tcW w:w="4449" w:type="dxa"/>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9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4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4845" w:type="dxa"/>
            <w:tcBorders/>
            <w:shd w:fill="auto" w:val="clear"/>
          </w:tcPr>
          <w:p>
            <w:pPr>
              <w:pStyle w:val="TableContents"/>
              <w:spacing w:before="0" w:after="0"/>
              <w:ind w:left="0" w:right="0" w:hanging="0"/>
              <w:rPr/>
            </w:pPr>
            <w:r>
              <w:rPr/>
              <w:t> </w:t>
            </w:r>
          </w:p>
        </w:tc>
        <w:tc>
          <w:tcPr>
            <w:tcW w:w="911" w:type="dxa"/>
            <w:tcBorders/>
            <w:shd w:fill="auto" w:val="clear"/>
          </w:tcPr>
          <w:p>
            <w:pPr>
              <w:pStyle w:val="TableContents"/>
              <w:spacing w:before="0" w:after="0"/>
              <w:ind w:left="0" w:right="0" w:hanging="0"/>
              <w:rPr/>
            </w:pPr>
            <w:r>
              <w:rPr/>
              <w:t> </w:t>
            </w:r>
          </w:p>
        </w:tc>
        <w:tc>
          <w:tcPr>
            <w:tcW w:w="4449" w:type="dxa"/>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KAFU HOLDINGS II, L.P.</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911" w:type="dxa"/>
            <w:tcBorders/>
            <w:shd w:fill="auto" w:val="clear"/>
          </w:tcPr>
          <w:p>
            <w:pPr>
              <w:pStyle w:val="TableContents"/>
              <w:spacing w:before="0" w:after="0"/>
              <w:ind w:left="0" w:right="0" w:hanging="0"/>
              <w:rPr/>
            </w:pPr>
            <w:r>
              <w:rPr/>
              <w:t> </w:t>
            </w:r>
          </w:p>
        </w:tc>
        <w:tc>
          <w:tcPr>
            <w:tcW w:w="4449" w:type="dxa"/>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9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4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MLP INVESTMENT</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COMPANY</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911" w:type="dxa"/>
            <w:tcBorders/>
            <w:shd w:fill="auto" w:val="clear"/>
          </w:tcPr>
          <w:p>
            <w:pPr>
              <w:pStyle w:val="TableContents"/>
              <w:spacing w:before="0" w:after="0"/>
              <w:ind w:left="0" w:right="0" w:hanging="0"/>
              <w:rPr/>
            </w:pPr>
            <w:r>
              <w:rPr/>
              <w:t> </w:t>
            </w:r>
          </w:p>
        </w:tc>
        <w:tc>
          <w:tcPr>
            <w:tcW w:w="4449" w:type="dxa"/>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9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4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4845" w:type="dxa"/>
            <w:tcBorders/>
            <w:shd w:fill="auto" w:val="clear"/>
          </w:tcPr>
          <w:p>
            <w:pPr>
              <w:pStyle w:val="TableContents"/>
              <w:spacing w:before="0" w:after="0"/>
              <w:ind w:left="0" w:right="0" w:hanging="0"/>
              <w:rPr/>
            </w:pPr>
            <w:r>
              <w:rPr/>
              <w:t> </w:t>
            </w:r>
          </w:p>
        </w:tc>
        <w:tc>
          <w:tcPr>
            <w:tcW w:w="911" w:type="dxa"/>
            <w:tcBorders/>
            <w:shd w:fill="auto" w:val="clear"/>
          </w:tcPr>
          <w:p>
            <w:pPr>
              <w:pStyle w:val="TableContents"/>
              <w:spacing w:before="0" w:after="0"/>
              <w:ind w:left="0" w:right="0" w:hanging="0"/>
              <w:rPr/>
            </w:pPr>
            <w:r>
              <w:rPr/>
              <w:t> </w:t>
            </w:r>
          </w:p>
        </w:tc>
        <w:tc>
          <w:tcPr>
            <w:tcW w:w="4449" w:type="dxa"/>
            <w:tcBorders/>
            <w:shd w:fill="auto" w:val="clear"/>
          </w:tcPr>
          <w:p>
            <w:pPr>
              <w:pStyle w:val="TableContents"/>
              <w:spacing w:before="0" w:after="0"/>
              <w:ind w:left="0" w:right="0" w:hanging="0"/>
              <w:rPr/>
            </w:pPr>
            <w:r>
              <w:rPr/>
              <w:t> </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4845" w:type="dxa"/>
            <w:tcBorders/>
            <w:shd w:fill="auto" w:val="clear"/>
          </w:tcPr>
          <w:p>
            <w:pPr>
              <w:pStyle w:val="TableContents"/>
              <w:spacing w:before="0" w:after="0"/>
              <w:ind w:left="0" w:right="0" w:hanging="0"/>
              <w:rPr/>
            </w:pPr>
            <w:r>
              <w:rPr/>
              <w:t> </w:t>
            </w:r>
          </w:p>
        </w:tc>
        <w:tc>
          <w:tcPr>
            <w:tcW w:w="536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Registration Rights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23"/>
        <w:gridCol w:w="408"/>
        <w:gridCol w:w="165"/>
        <w:gridCol w:w="4509"/>
      </w:tblGrid>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ENERGY</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DEVELOPMENT COMPANY</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408" w:type="dxa"/>
            <w:tcBorders/>
            <w:shd w:fill="auto" w:val="clear"/>
          </w:tcPr>
          <w:p>
            <w:pPr>
              <w:pStyle w:val="TableContents"/>
              <w:spacing w:before="0" w:after="0"/>
              <w:ind w:left="0" w:right="0" w:hanging="0"/>
              <w:rPr/>
            </w:pPr>
            <w:r>
              <w:rPr/>
              <w:t> </w:t>
            </w:r>
          </w:p>
        </w:tc>
        <w:tc>
          <w:tcPr>
            <w:tcW w:w="4674" w:type="dxa"/>
            <w:gridSpan w:val="2"/>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4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74"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MIDSTREAM/ENERGY</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FUND, INC.</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408" w:type="dxa"/>
            <w:tcBorders/>
            <w:shd w:fill="auto" w:val="clear"/>
          </w:tcPr>
          <w:p>
            <w:pPr>
              <w:pStyle w:val="TableContents"/>
              <w:spacing w:before="0" w:after="0"/>
              <w:ind w:left="0" w:right="0" w:hanging="0"/>
              <w:rPr/>
            </w:pPr>
            <w:r>
              <w:rPr/>
              <w:t> </w:t>
            </w:r>
          </w:p>
        </w:tc>
        <w:tc>
          <w:tcPr>
            <w:tcW w:w="4674" w:type="dxa"/>
            <w:gridSpan w:val="2"/>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4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74"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082" w:type="dxa"/>
            <w:gridSpan w:val="3"/>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Name: Jay Chernosky</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Paul N. Riddle</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pPr>
            <w:r>
              <w:rPr/>
              <w:t> </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123" w:type="dxa"/>
            <w:tcBorders/>
            <w:shd w:fill="auto" w:val="clear"/>
          </w:tcPr>
          <w:p>
            <w:pPr>
              <w:pStyle w:val="TableContents"/>
              <w:spacing w:before="0" w:after="0"/>
              <w:ind w:left="0" w:right="0" w:hanging="0"/>
              <w:rPr/>
            </w:pPr>
            <w:r>
              <w:rPr/>
              <w:t> </w:t>
            </w:r>
          </w:p>
        </w:tc>
        <w:tc>
          <w:tcPr>
            <w:tcW w:w="573" w:type="dxa"/>
            <w:gridSpan w:val="2"/>
            <w:tcBorders/>
            <w:shd w:fill="auto" w:val="clear"/>
          </w:tcPr>
          <w:p>
            <w:pPr>
              <w:pStyle w:val="TableContents"/>
              <w:spacing w:before="0" w:after="0"/>
              <w:ind w:left="0" w:right="0" w:hanging="0"/>
              <w:rPr/>
            </w:pPr>
            <w:r>
              <w:rPr/>
              <w:t> </w:t>
            </w:r>
          </w:p>
        </w:tc>
        <w:tc>
          <w:tcPr>
            <w:tcW w:w="4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123"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50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Registration Rights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49"/>
        <w:gridCol w:w="314"/>
        <w:gridCol w:w="23"/>
        <w:gridCol w:w="4619"/>
      </w:tblGrid>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Russell T. Clingman</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David E. Humphreys</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Phillip J. Trinder</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37" w:type="dxa"/>
            <w:gridSpan w:val="2"/>
            <w:tcBorders/>
            <w:shd w:fill="auto" w:val="clear"/>
          </w:tcPr>
          <w:p>
            <w:pPr>
              <w:pStyle w:val="TableContents"/>
              <w:spacing w:before="0" w:after="0"/>
              <w:ind w:left="0" w:right="0" w:hanging="0"/>
              <w:rPr/>
            </w:pPr>
            <w:r>
              <w:rPr/>
              <w:t> </w:t>
            </w:r>
          </w:p>
        </w:tc>
        <w:tc>
          <w:tcPr>
            <w:tcW w:w="4619" w:type="dxa"/>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4956" w:type="dxa"/>
            <w:gridSpan w:val="3"/>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KIPP PAA TRUST</w:t>
            </w:r>
          </w:p>
        </w:tc>
      </w:tr>
      <w:tr>
        <w:trPr/>
        <w:tc>
          <w:tcPr>
            <w:tcW w:w="5249" w:type="dxa"/>
            <w:tcBorders/>
            <w:shd w:fill="auto" w:val="clear"/>
          </w:tcPr>
          <w:p>
            <w:pPr>
              <w:pStyle w:val="TableContents"/>
              <w:spacing w:before="0" w:after="0"/>
              <w:ind w:left="0" w:right="0" w:hanging="0"/>
              <w:rPr/>
            </w:pPr>
            <w:r>
              <w:rPr/>
              <w:t> </w:t>
            </w:r>
          </w:p>
        </w:tc>
        <w:tc>
          <w:tcPr>
            <w:tcW w:w="4956" w:type="dxa"/>
            <w:gridSpan w:val="3"/>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14" w:type="dxa"/>
            <w:tcBorders/>
            <w:shd w:fill="auto" w:val="clear"/>
          </w:tcPr>
          <w:p>
            <w:pPr>
              <w:pStyle w:val="TableContents"/>
              <w:spacing w:before="0" w:after="0"/>
              <w:ind w:left="0" w:right="0" w:hanging="0"/>
              <w:rPr/>
            </w:pPr>
            <w:r>
              <w:rPr/>
              <w:t> </w:t>
            </w:r>
          </w:p>
        </w:tc>
        <w:tc>
          <w:tcPr>
            <w:tcW w:w="4642" w:type="dxa"/>
            <w:gridSpan w:val="2"/>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3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2"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49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249" w:type="dxa"/>
            <w:tcBorders/>
            <w:shd w:fill="auto" w:val="clear"/>
          </w:tcPr>
          <w:p>
            <w:pPr>
              <w:pStyle w:val="TableContents"/>
              <w:spacing w:before="0" w:after="0"/>
              <w:ind w:left="0" w:right="0" w:hanging="0"/>
              <w:rPr/>
            </w:pPr>
            <w:r>
              <w:rPr/>
              <w:t> </w:t>
            </w:r>
          </w:p>
        </w:tc>
        <w:tc>
          <w:tcPr>
            <w:tcW w:w="49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249" w:type="dxa"/>
            <w:tcBorders/>
            <w:shd w:fill="auto" w:val="clear"/>
          </w:tcPr>
          <w:p>
            <w:pPr>
              <w:pStyle w:val="TableContents"/>
              <w:spacing w:before="0" w:after="0"/>
              <w:ind w:left="0" w:right="0" w:hanging="0"/>
              <w:rPr/>
            </w:pPr>
            <w:r>
              <w:rPr/>
              <w:t> </w:t>
            </w:r>
          </w:p>
        </w:tc>
        <w:tc>
          <w:tcPr>
            <w:tcW w:w="4956" w:type="dxa"/>
            <w:gridSpan w:val="3"/>
            <w:tcBorders/>
            <w:shd w:fill="auto" w:val="clear"/>
          </w:tcPr>
          <w:p>
            <w:pPr>
              <w:pStyle w:val="TableContents"/>
              <w:spacing w:before="0" w:after="0"/>
              <w:ind w:left="0" w:right="0" w:hanging="0"/>
              <w:rPr/>
            </w:pPr>
            <w:r>
              <w:rPr/>
              <w:t> </w:t>
            </w:r>
          </w:p>
        </w:tc>
      </w:tr>
      <w:tr>
        <w:trPr/>
        <w:tc>
          <w:tcPr>
            <w:tcW w:w="5249" w:type="dxa"/>
            <w:tcBorders/>
            <w:shd w:fill="auto" w:val="clear"/>
          </w:tcPr>
          <w:p>
            <w:pPr>
              <w:pStyle w:val="TableContents"/>
              <w:spacing w:before="0" w:after="0"/>
              <w:ind w:left="0" w:right="0" w:hanging="0"/>
              <w:rPr/>
            </w:pPr>
            <w:r>
              <w:rPr/>
              <w:t> </w:t>
            </w:r>
          </w:p>
        </w:tc>
        <w:tc>
          <w:tcPr>
            <w:tcW w:w="49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Address for notice:</w:t>
            </w:r>
          </w:p>
        </w:tc>
      </w:tr>
      <w:tr>
        <w:trPr/>
        <w:tc>
          <w:tcPr>
            <w:tcW w:w="5249" w:type="dxa"/>
            <w:tcBorders/>
            <w:shd w:fill="auto" w:val="clear"/>
          </w:tcPr>
          <w:p>
            <w:pPr>
              <w:pStyle w:val="TableContents"/>
              <w:spacing w:before="0" w:after="0"/>
              <w:ind w:left="0" w:right="0" w:hanging="0"/>
              <w:rPr/>
            </w:pPr>
            <w:r>
              <w:rPr/>
              <w:t> </w:t>
            </w:r>
          </w:p>
        </w:tc>
        <w:tc>
          <w:tcPr>
            <w:tcW w:w="4956" w:type="dxa"/>
            <w:gridSpan w:val="3"/>
            <w:tcBorders/>
            <w:shd w:fill="auto" w:val="clear"/>
          </w:tcPr>
          <w:p>
            <w:pPr>
              <w:pStyle w:val="TableContents"/>
              <w:spacing w:before="0" w:after="0"/>
              <w:ind w:left="0" w:right="0" w:hanging="0"/>
              <w:rPr/>
            </w:pPr>
            <w:r>
              <w:rPr>
                <w:rFonts w:ascii="Times New Roman" w:hAnsi="Times New Roman"/>
                <w:sz w:val="17"/>
              </w:rPr>
              <w:t>[</w:t>
            </w:r>
            <w:r>
              <w:rPr>
                <w:rFonts w:ascii="Symbol" w:hAnsi="Symbol"/>
                <w:sz w:val="17"/>
              </w:rPr>
              <w:t>·</w:t>
            </w:r>
            <w:r>
              <w:rPr>
                <w:sz w:val="17"/>
              </w:rPr>
              <w:t>]</w:t>
            </w:r>
          </w:p>
        </w:tc>
      </w:tr>
      <w:tr>
        <w:trPr/>
        <w:tc>
          <w:tcPr>
            <w:tcW w:w="5249" w:type="dxa"/>
            <w:tcBorders/>
            <w:shd w:fill="auto" w:val="clear"/>
          </w:tcPr>
          <w:p>
            <w:pPr>
              <w:pStyle w:val="TableContents"/>
              <w:spacing w:before="0" w:after="0"/>
              <w:ind w:left="0" w:right="0" w:hanging="0"/>
              <w:rPr/>
            </w:pPr>
            <w:r>
              <w:rPr/>
              <w:t> </w:t>
            </w:r>
          </w:p>
        </w:tc>
        <w:tc>
          <w:tcPr>
            <w:tcW w:w="49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w:t>
            </w:r>
          </w:p>
        </w:tc>
      </w:tr>
      <w:tr>
        <w:trPr/>
        <w:tc>
          <w:tcPr>
            <w:tcW w:w="5249" w:type="dxa"/>
            <w:tcBorders/>
            <w:shd w:fill="auto" w:val="clear"/>
          </w:tcPr>
          <w:p>
            <w:pPr>
              <w:pStyle w:val="TableContents"/>
              <w:spacing w:before="0" w:after="0"/>
              <w:ind w:left="0" w:right="0" w:hanging="0"/>
              <w:rPr/>
            </w:pPr>
            <w:r>
              <w:rPr/>
              <w:t> </w:t>
            </w:r>
          </w:p>
        </w:tc>
        <w:tc>
          <w:tcPr>
            <w:tcW w:w="49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Email:</w:t>
            </w:r>
          </w:p>
        </w:tc>
      </w:tr>
      <w:tr>
        <w:trPr/>
        <w:tc>
          <w:tcPr>
            <w:tcW w:w="524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61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Registration Rights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Annex A</w:t>
      </w:r>
    </w:p>
    <w:p>
      <w:pPr>
        <w:pStyle w:val="TextBody"/>
        <w:spacing w:before="0" w:after="0"/>
        <w:ind w:left="0" w:right="0" w:hanging="0"/>
        <w:rPr/>
      </w:pPr>
      <w:r>
        <w:rPr/>
        <w:t> </w:t>
      </w:r>
    </w:p>
    <w:tbl>
      <w:tblPr>
        <w:tblW w:w="3650" w:type="pct"/>
        <w:jc w:val="left"/>
        <w:tblInd w:w="0" w:type="dxa"/>
        <w:tblCellMar>
          <w:top w:w="0" w:type="dxa"/>
          <w:left w:w="0" w:type="dxa"/>
          <w:bottom w:w="28" w:type="dxa"/>
          <w:right w:w="0" w:type="dxa"/>
        </w:tblCellMar>
      </w:tblPr>
      <w:tblGrid>
        <w:gridCol w:w="4215"/>
        <w:gridCol w:w="149"/>
        <w:gridCol w:w="3085"/>
      </w:tblGrid>
      <w:tr>
        <w:trPr/>
        <w:tc>
          <w:tcPr>
            <w:tcW w:w="4215"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Contributing Party</w:t>
            </w:r>
          </w:p>
        </w:tc>
        <w:tc>
          <w:tcPr>
            <w:tcW w:w="149" w:type="dxa"/>
            <w:tcBorders/>
            <w:shd w:fill="auto" w:val="clear"/>
            <w:tcMar>
              <w:bottom w:w="0" w:type="dxa"/>
            </w:tcMar>
            <w:vAlign w:val="bottom"/>
          </w:tcPr>
          <w:p>
            <w:pPr>
              <w:pStyle w:val="TableContents"/>
              <w:spacing w:before="0" w:after="0"/>
              <w:ind w:left="0" w:right="0" w:hanging="0"/>
              <w:jc w:val="center"/>
              <w:rPr/>
            </w:pPr>
            <w:r>
              <w:rPr/>
              <w:t> </w:t>
            </w:r>
          </w:p>
        </w:tc>
        <w:tc>
          <w:tcPr>
            <w:tcW w:w="308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Registrable</w:t>
              <w:br/>
              <w:t>Securities</w:t>
              <w:br/>
              <w:t>(Exchangeable</w:t>
              <w:br/>
              <w:t>PAGP Class A</w:t>
              <w:br/>
              <w:t>Shares)</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Oxy Holding Company (Pipeline), Inc.</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Investment, LLC</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KAFU Holdings, L.P.</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 First Reserve XII, LLC</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 First Holdings II, L.P.</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MLP Investment Company</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Energy Development Company</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Midstream/ Energy Fund, Inc.</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Management, L.P.</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Mark E. Strome Living Trust</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Strome PAA, L.P.</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Windy, L.L.C.</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Lynx Holdings I, LLC</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Jay M. Chernosky</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Kipp PAA Trust</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Paul N. Riddle</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Russell T. Clingman</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David E. Humphreys</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shd w:fill="CCEEFF" w:val="clear"/>
            <w:tcMar>
              <w:bottom w:w="0" w:type="dxa"/>
            </w:tcMar>
          </w:tcPr>
          <w:p>
            <w:pPr>
              <w:pStyle w:val="TableContents"/>
              <w:spacing w:before="0" w:after="0"/>
              <w:ind w:left="0" w:right="0" w:hanging="0"/>
              <w:rPr/>
            </w:pPr>
            <w:r>
              <w:rPr/>
              <w:t> </w:t>
            </w:r>
          </w:p>
        </w:tc>
      </w:tr>
      <w:tr>
        <w:trPr/>
        <w:tc>
          <w:tcPr>
            <w:tcW w:w="421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Phillip J. Trinder</w:t>
            </w:r>
          </w:p>
        </w:tc>
        <w:tc>
          <w:tcPr>
            <w:tcW w:w="149" w:type="dxa"/>
            <w:tcBorders/>
            <w:shd w:fill="auto" w:val="clear"/>
            <w:tcMar>
              <w:bottom w:w="0" w:type="dxa"/>
            </w:tcMar>
            <w:vAlign w:val="bottom"/>
          </w:tcPr>
          <w:p>
            <w:pPr>
              <w:pStyle w:val="TableContents"/>
              <w:spacing w:before="0" w:after="0"/>
              <w:ind w:left="0" w:right="0" w:hanging="0"/>
              <w:rPr/>
            </w:pPr>
            <w:r>
              <w:rPr/>
              <w:t> </w:t>
            </w:r>
          </w:p>
        </w:tc>
        <w:tc>
          <w:tcPr>
            <w:tcW w:w="3085" w:type="dxa"/>
            <w:tcBorders/>
            <w:shd w:fill="auto" w:val="clear"/>
            <w:tcMar>
              <w:bottom w:w="0" w:type="dxa"/>
            </w:tcMar>
          </w:tcPr>
          <w:p>
            <w:pPr>
              <w:pStyle w:val="TableContents"/>
              <w:spacing w:before="0" w:after="0"/>
              <w:ind w:left="0" w:right="0" w:hanging="0"/>
              <w:rPr/>
            </w:pPr>
            <w:r>
              <w:rPr/>
              <w:t> </w:t>
            </w:r>
          </w:p>
        </w:tc>
      </w:tr>
      <w:tr>
        <w:trPr/>
        <w:tc>
          <w:tcPr>
            <w:tcW w:w="421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49" w:type="dxa"/>
            <w:tcBorders/>
            <w:shd w:fill="CCEEFF" w:val="clear"/>
            <w:tcMar>
              <w:bottom w:w="0" w:type="dxa"/>
            </w:tcMar>
            <w:vAlign w:val="bottom"/>
          </w:tcPr>
          <w:p>
            <w:pPr>
              <w:pStyle w:val="TableContents"/>
              <w:spacing w:before="0" w:after="0"/>
              <w:ind w:left="0" w:right="0" w:hanging="0"/>
              <w:rPr/>
            </w:pPr>
            <w:r>
              <w:rPr/>
              <w:t> </w:t>
            </w:r>
          </w:p>
        </w:tc>
        <w:tc>
          <w:tcPr>
            <w:tcW w:w="3085" w:type="dxa"/>
            <w:tcBorders>
              <w:bottom w:val="double" w:sz="6" w:space="0" w:color="000000"/>
            </w:tcBorders>
            <w:shd w:fill="CCEEFF"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177" w:name="a2216857zex-10_46.htm"/>
      <w:bookmarkStart w:id="178" w:name="ksa2216857zex10_46"/>
      <w:bookmarkStart w:id="179" w:name="a2216857zex-10_46.htm"/>
      <w:bookmarkStart w:id="180" w:name="ksa2216857zex10_46"/>
      <w:bookmarkEnd w:id="179"/>
      <w:bookmarkEnd w:id="180"/>
    </w:p>
    <w:p>
      <w:pPr>
        <w:pStyle w:val="TextBody"/>
        <w:spacing w:before="0" w:after="0"/>
        <w:ind w:left="0" w:right="0" w:hanging="0"/>
        <w:jc w:val="right"/>
        <w:rPr>
          <w:rFonts w:ascii="Times New Roman" w:hAnsi="Times New Roman"/>
          <w:b/>
          <w:sz w:val="17"/>
        </w:rPr>
      </w:pPr>
      <w:r>
        <w:rPr>
          <w:rFonts w:ascii="Times New Roman" w:hAnsi="Times New Roman"/>
          <w:b/>
          <w:sz w:val="17"/>
        </w:rPr>
        <w:t>Exhibit 10.46</w:t>
      </w:r>
    </w:p>
    <w:p>
      <w:pPr>
        <w:pStyle w:val="TextBody"/>
        <w:pBdr/>
        <w:spacing w:before="0" w:after="0"/>
        <w:ind w:left="0" w:right="0" w:hanging="0"/>
        <w:jc w:val="right"/>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SECOND AMENDED AND RESTATED CREDIT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$500,000,000 Term Loan Facility</w:t>
        <w:br/>
        <w:t>$75,000,000 Revolving Facility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dated as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September 26,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among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The Lenders Party Hereto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CITIBANK, N.A.,</w:t>
        <w:br/>
        <w:t>as Administrative Agent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JPMORGAN CHASE BANK, NATIONAL ASSOCIATION,</w:t>
        <w:br/>
        <w:t>BANK OF AMERICA, N.A.,</w:t>
        <w:br/>
        <w:t xml:space="preserve">MIZUHO CORPORATE BANK, LTD., </w:t>
        <w:br/>
        <w:t>DNB BANK ASA, NEW YORK BRANCH</w:t>
        <w:br/>
        <w:t>as Co-Syndication Agents</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CITIGROUP GLOBAL MARKETS INC.,</w:t>
        <w:br/>
        <w:t>J.P. MORGAN SECURITIES, LTD.,</w:t>
        <w:br/>
        <w:t>MERRILL LYNCH, PIERCE, FENNER &amp; SMITH INCORPORATED,</w:t>
        <w:br/>
        <w:t>MIZUHO CORPORATE BANK, LTD.,</w:t>
        <w:br/>
        <w:t>DNB MARKETS, INC.,</w:t>
        <w:br/>
        <w:t>as Joint Arrangers and Joint Bookrunners</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648"/>
        <w:gridCol w:w="8145"/>
        <w:gridCol w:w="412"/>
      </w:tblGrid>
      <w:tr>
        <w:trPr/>
        <w:tc>
          <w:tcPr>
            <w:tcW w:w="1648" w:type="dxa"/>
            <w:tcBorders/>
            <w:shd w:fill="auto" w:val="clear"/>
            <w:vAlign w:val="bottom"/>
          </w:tcPr>
          <w:p>
            <w:pPr>
              <w:pStyle w:val="TableContents"/>
              <w:spacing w:before="0" w:after="0"/>
              <w:ind w:left="0" w:right="0" w:hanging="0"/>
              <w:rPr/>
            </w:pPr>
            <w:r>
              <w:rPr/>
              <w:t> </w:t>
            </w:r>
          </w:p>
        </w:tc>
        <w:tc>
          <w:tcPr>
            <w:tcW w:w="8145" w:type="dxa"/>
            <w:tcBorders/>
            <w:shd w:fill="auto" w:val="clear"/>
            <w:vAlign w:val="bottom"/>
          </w:tcPr>
          <w:p>
            <w:pPr>
              <w:pStyle w:val="TableContents"/>
              <w:spacing w:before="0" w:after="0"/>
              <w:ind w:left="0" w:right="0" w:hanging="0"/>
              <w:jc w:val="center"/>
              <w:rPr/>
            </w:pPr>
            <w:r>
              <w:rPr/>
              <w:t> </w:t>
            </w:r>
          </w:p>
        </w:tc>
        <w:tc>
          <w:tcPr>
            <w:tcW w:w="41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1648" w:type="dxa"/>
            <w:tcBorders/>
            <w:shd w:fill="auto" w:val="clear"/>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pPr>
            <w:r>
              <w:rPr/>
              <w:t> </w:t>
            </w:r>
          </w:p>
        </w:tc>
        <w:tc>
          <w:tcPr>
            <w:tcW w:w="412" w:type="dxa"/>
            <w:tcBorders/>
            <w:shd w:fill="auto" w:val="clear"/>
            <w:vAlign w:val="bottom"/>
          </w:tcPr>
          <w:p>
            <w:pPr>
              <w:pStyle w:val="TableContents"/>
              <w:spacing w:before="0" w:after="0"/>
              <w:ind w:left="0" w:right="0" w:hanging="0"/>
              <w:jc w:val="right"/>
              <w:rPr/>
            </w:pPr>
            <w:r>
              <w:rPr/>
              <w:t> </w:t>
            </w:r>
          </w:p>
        </w:tc>
      </w:tr>
      <w:tr>
        <w:trPr/>
        <w:tc>
          <w:tcPr>
            <w:tcW w:w="979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I DEFINITIONS</w:t>
            </w:r>
          </w:p>
        </w:tc>
        <w:tc>
          <w:tcPr>
            <w:tcW w:w="41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1.01</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DEFINED TERMS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1.02</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CLASSIFICATION OF LOANS AND BORROWINGS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1.03</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TERMS GENERALLY</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1.04</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ACCOUNTING TERMS; GAAP</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648" w:type="dxa"/>
            <w:tcBorders/>
            <w:shd w:fill="auto" w:val="clear"/>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pPr>
            <w:r>
              <w:rPr/>
              <w:t> </w:t>
            </w:r>
          </w:p>
        </w:tc>
        <w:tc>
          <w:tcPr>
            <w:tcW w:w="412" w:type="dxa"/>
            <w:tcBorders/>
            <w:shd w:fill="auto" w:val="clear"/>
            <w:vAlign w:val="bottom"/>
          </w:tcPr>
          <w:p>
            <w:pPr>
              <w:pStyle w:val="TableContents"/>
              <w:spacing w:before="0" w:after="0"/>
              <w:ind w:left="0" w:right="0" w:hanging="0"/>
              <w:jc w:val="right"/>
              <w:rPr/>
            </w:pPr>
            <w:r>
              <w:rPr/>
              <w:t> </w:t>
            </w:r>
          </w:p>
        </w:tc>
      </w:tr>
      <w:tr>
        <w:trPr/>
        <w:tc>
          <w:tcPr>
            <w:tcW w:w="979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II THE CREDITS</w:t>
            </w:r>
          </w:p>
        </w:tc>
        <w:tc>
          <w:tcPr>
            <w:tcW w:w="41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2.01</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COMMITMENTS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2.02</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LOANS AND BORROWINGS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2.03</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REQUESTS FOR BORROWING</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2.04</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AGENT ADVANCES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2.05</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EXISTING CREDIT AGREEMENT</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2.06</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DEFAULTING LENDERS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2.07</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FUNDING OF BORROWINGS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2.08</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ELECTIONS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2.09</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 AND REDUCTION OF COMMITMENTS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2.10</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REPAYMENT OF LOANS; EVIDENCE OF DEBT</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2.11</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PREPAYMENT OF LOANS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2.12</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2.13</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2.14</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ALTERNATE RATE OF INTEREST</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2.15</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ILLEGALITY; INCREASED COSTS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2.16</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BREAK FUNDING PAYMENTS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2.17</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2.18</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PAYMENTS GENERALLY; PRO RATA TREATMENT; SHARING OF SET-OFFS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2.19</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MITIGATION OBLIGATIONS; REPLACEMENT OF LENDERS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2.20</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INCREASE OF REVOLVING COMMITMENTS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2.21</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EXTENSION OF MATURITY DATE</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1648" w:type="dxa"/>
            <w:tcBorders/>
            <w:shd w:fill="auto" w:val="clear"/>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pPr>
            <w:r>
              <w:rPr/>
              <w:t> </w:t>
            </w:r>
          </w:p>
        </w:tc>
        <w:tc>
          <w:tcPr>
            <w:tcW w:w="412" w:type="dxa"/>
            <w:tcBorders/>
            <w:shd w:fill="auto" w:val="clear"/>
            <w:vAlign w:val="bottom"/>
          </w:tcPr>
          <w:p>
            <w:pPr>
              <w:pStyle w:val="TableContents"/>
              <w:spacing w:before="0" w:after="0"/>
              <w:ind w:left="0" w:right="0" w:hanging="0"/>
              <w:jc w:val="right"/>
              <w:rPr/>
            </w:pPr>
            <w:r>
              <w:rPr/>
              <w:t> </w:t>
            </w:r>
          </w:p>
        </w:tc>
      </w:tr>
      <w:tr>
        <w:trPr/>
        <w:tc>
          <w:tcPr>
            <w:tcW w:w="979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III REPRESENTATIONS AND WARRANTIES</w:t>
            </w:r>
          </w:p>
        </w:tc>
        <w:tc>
          <w:tcPr>
            <w:tcW w:w="41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3.01</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ORGANIZATION; POWERS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3.02</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AUTHORIZATION; ENFORCEABILITY</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3.03</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GOVERNMENTAL APPROVALS; NO CONFLICTS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3.04</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CONDITION; NO MATERIAL ADVERSE CHANGE</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3.05</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SOLVENCY</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3.06</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LITIGATION AND ENVIRONMENTAL MATTERS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3.07</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COMPLIANCE WITH LAWS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3.08</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INVESTMENT COMPANY STATUS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3.09</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3.10</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ERISA</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3.11</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DISCLOSURE</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3.12</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SUBSIDIARIES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3.13</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MARGIN SECURITIES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3.14</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PRIORITY; SECURITY MATTERS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3.15</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ASSETS CONTROL REGULATION</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648" w:type="dxa"/>
            <w:tcBorders/>
            <w:shd w:fill="auto" w:val="clear"/>
          </w:tcPr>
          <w:p>
            <w:pPr>
              <w:pStyle w:val="TableContents"/>
              <w:spacing w:before="0" w:after="0"/>
              <w:ind w:left="0" w:right="0" w:hanging="0"/>
              <w:rPr/>
            </w:pPr>
            <w:r>
              <w:rPr/>
              <w:t> </w:t>
            </w:r>
          </w:p>
        </w:tc>
        <w:tc>
          <w:tcPr>
            <w:tcW w:w="8145" w:type="dxa"/>
            <w:tcBorders/>
            <w:shd w:fill="auto" w:val="clear"/>
          </w:tcPr>
          <w:p>
            <w:pPr>
              <w:pStyle w:val="TableContents"/>
              <w:spacing w:before="0" w:after="0"/>
              <w:ind w:left="0" w:right="0" w:hanging="0"/>
              <w:rPr/>
            </w:pPr>
            <w:r>
              <w:rPr/>
              <w:t> </w:t>
            </w:r>
          </w:p>
        </w:tc>
        <w:tc>
          <w:tcPr>
            <w:tcW w:w="412" w:type="dxa"/>
            <w:tcBorders/>
            <w:shd w:fill="auto" w:val="clear"/>
            <w:vAlign w:val="bottom"/>
          </w:tcPr>
          <w:p>
            <w:pPr>
              <w:pStyle w:val="TableContents"/>
              <w:spacing w:before="0" w:after="0"/>
              <w:ind w:left="0" w:right="0" w:hanging="0"/>
              <w:jc w:val="right"/>
              <w:rPr/>
            </w:pPr>
            <w:r>
              <w:rPr/>
              <w:t> </w:t>
            </w:r>
          </w:p>
        </w:tc>
      </w:tr>
      <w:tr>
        <w:trPr/>
        <w:tc>
          <w:tcPr>
            <w:tcW w:w="979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IV CONDITIONS</w:t>
            </w:r>
          </w:p>
        </w:tc>
        <w:tc>
          <w:tcPr>
            <w:tcW w:w="41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40</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4.01</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EFFECTIVE DATE</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4.02</w:t>
            </w:r>
          </w:p>
        </w:tc>
        <w:tc>
          <w:tcPr>
            <w:tcW w:w="81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EACH CREDIT EVENT</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bookmarkStart w:id="181" w:name="15636-2-LM-01_PB_i_014004_455"/>
      <w:bookmarkEnd w:id="18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649"/>
        <w:gridCol w:w="8144"/>
        <w:gridCol w:w="412"/>
      </w:tblGrid>
      <w:tr>
        <w:trPr/>
        <w:tc>
          <w:tcPr>
            <w:tcW w:w="979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V AFFIRMATIVE COVENANTS</w:t>
            </w:r>
          </w:p>
        </w:tc>
        <w:tc>
          <w:tcPr>
            <w:tcW w:w="41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42</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5.01</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STATEMENTS AND OTHER INFORMATION</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5.02</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NOTICES OF MATERIAL EVENTS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5.03</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EXISTENCE; CONDUCT OF BUSINESS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5.04</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FURTHER ASSURANCES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5.05</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OF PROPERTIES; INSURANCE</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5.06</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BOOKS AND RECORDS; INSPECTION RIGHTS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5.07</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COMPLIANCE WITH LAWS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5.08</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USE OF PROCEEDS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5.09</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ENVIRONMENTAL MATTERS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5.10</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ERISA INFORMATION</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5.11</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1649" w:type="dxa"/>
            <w:tcBorders/>
            <w:shd w:fill="auto" w:val="clear"/>
          </w:tcPr>
          <w:p>
            <w:pPr>
              <w:pStyle w:val="TableContents"/>
              <w:spacing w:before="0" w:after="0"/>
              <w:ind w:left="0" w:right="0" w:hanging="0"/>
              <w:rPr/>
            </w:pPr>
            <w:r>
              <w:rPr/>
              <w:t> </w:t>
            </w:r>
          </w:p>
        </w:tc>
        <w:tc>
          <w:tcPr>
            <w:tcW w:w="8144" w:type="dxa"/>
            <w:tcBorders/>
            <w:shd w:fill="auto" w:val="clear"/>
          </w:tcPr>
          <w:p>
            <w:pPr>
              <w:pStyle w:val="TableContents"/>
              <w:spacing w:before="0" w:after="0"/>
              <w:ind w:left="0" w:right="0" w:hanging="0"/>
              <w:rPr/>
            </w:pPr>
            <w:r>
              <w:rPr/>
              <w:t> </w:t>
            </w:r>
          </w:p>
        </w:tc>
        <w:tc>
          <w:tcPr>
            <w:tcW w:w="412" w:type="dxa"/>
            <w:tcBorders/>
            <w:shd w:fill="auto" w:val="clear"/>
            <w:vAlign w:val="bottom"/>
          </w:tcPr>
          <w:p>
            <w:pPr>
              <w:pStyle w:val="TableContents"/>
              <w:spacing w:before="0" w:after="0"/>
              <w:ind w:left="0" w:right="0" w:hanging="0"/>
              <w:jc w:val="right"/>
              <w:rPr/>
            </w:pPr>
            <w:r>
              <w:rPr/>
              <w:t> </w:t>
            </w:r>
          </w:p>
        </w:tc>
      </w:tr>
      <w:tr>
        <w:trPr/>
        <w:tc>
          <w:tcPr>
            <w:tcW w:w="979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VI NEGATIVE COVENANTS</w:t>
            </w:r>
          </w:p>
        </w:tc>
        <w:tc>
          <w:tcPr>
            <w:tcW w:w="41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6.01</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INDEBTEDNESS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6.02</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LIENS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6.03</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FUNDAMENTAL CHANGES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6.04</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RESTRICTED PAYMENTS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6.05</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RESTRICTIVE AGREEMENTS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6.06</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LEVERAGE RATIO</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1649" w:type="dxa"/>
            <w:tcBorders/>
            <w:shd w:fill="auto" w:val="clear"/>
          </w:tcPr>
          <w:p>
            <w:pPr>
              <w:pStyle w:val="TableContents"/>
              <w:spacing w:before="0" w:after="0"/>
              <w:ind w:left="0" w:right="0" w:hanging="0"/>
              <w:rPr/>
            </w:pPr>
            <w:r>
              <w:rPr/>
              <w:t> </w:t>
            </w:r>
          </w:p>
        </w:tc>
        <w:tc>
          <w:tcPr>
            <w:tcW w:w="8144" w:type="dxa"/>
            <w:tcBorders/>
            <w:shd w:fill="auto" w:val="clear"/>
          </w:tcPr>
          <w:p>
            <w:pPr>
              <w:pStyle w:val="TableContents"/>
              <w:spacing w:before="0" w:after="0"/>
              <w:ind w:left="0" w:right="0" w:hanging="0"/>
              <w:rPr/>
            </w:pPr>
            <w:r>
              <w:rPr/>
              <w:t> </w:t>
            </w:r>
          </w:p>
        </w:tc>
        <w:tc>
          <w:tcPr>
            <w:tcW w:w="412" w:type="dxa"/>
            <w:tcBorders/>
            <w:shd w:fill="auto" w:val="clear"/>
            <w:vAlign w:val="bottom"/>
          </w:tcPr>
          <w:p>
            <w:pPr>
              <w:pStyle w:val="TableContents"/>
              <w:spacing w:before="0" w:after="0"/>
              <w:ind w:left="0" w:right="0" w:hanging="0"/>
              <w:jc w:val="right"/>
              <w:rPr/>
            </w:pPr>
            <w:r>
              <w:rPr/>
              <w:t> </w:t>
            </w:r>
          </w:p>
        </w:tc>
      </w:tr>
      <w:tr>
        <w:trPr/>
        <w:tc>
          <w:tcPr>
            <w:tcW w:w="979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VII EVENTS OF DEFAULT</w:t>
            </w:r>
          </w:p>
        </w:tc>
        <w:tc>
          <w:tcPr>
            <w:tcW w:w="41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47</w:t>
            </w:r>
          </w:p>
        </w:tc>
      </w:tr>
      <w:tr>
        <w:trPr/>
        <w:tc>
          <w:tcPr>
            <w:tcW w:w="1649" w:type="dxa"/>
            <w:tcBorders/>
            <w:shd w:fill="auto" w:val="clear"/>
          </w:tcPr>
          <w:p>
            <w:pPr>
              <w:pStyle w:val="TableContents"/>
              <w:spacing w:before="0" w:after="0"/>
              <w:ind w:left="0" w:right="0" w:hanging="0"/>
              <w:rPr/>
            </w:pPr>
            <w:r>
              <w:rPr/>
              <w:t> </w:t>
            </w:r>
          </w:p>
        </w:tc>
        <w:tc>
          <w:tcPr>
            <w:tcW w:w="8144" w:type="dxa"/>
            <w:tcBorders/>
            <w:shd w:fill="auto" w:val="clear"/>
          </w:tcPr>
          <w:p>
            <w:pPr>
              <w:pStyle w:val="TableContents"/>
              <w:spacing w:before="0" w:after="0"/>
              <w:ind w:left="0" w:right="0" w:hanging="0"/>
              <w:rPr/>
            </w:pPr>
            <w:r>
              <w:rPr/>
              <w:t> </w:t>
            </w:r>
          </w:p>
        </w:tc>
        <w:tc>
          <w:tcPr>
            <w:tcW w:w="412" w:type="dxa"/>
            <w:tcBorders/>
            <w:shd w:fill="auto" w:val="clear"/>
            <w:vAlign w:val="bottom"/>
          </w:tcPr>
          <w:p>
            <w:pPr>
              <w:pStyle w:val="TableContents"/>
              <w:spacing w:before="0" w:after="0"/>
              <w:ind w:left="0" w:right="0" w:hanging="0"/>
              <w:jc w:val="right"/>
              <w:rPr/>
            </w:pPr>
            <w:r>
              <w:rPr/>
              <w:t> </w:t>
            </w:r>
          </w:p>
        </w:tc>
      </w:tr>
      <w:tr>
        <w:trPr/>
        <w:tc>
          <w:tcPr>
            <w:tcW w:w="979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VIII THE AGENT</w:t>
            </w:r>
          </w:p>
        </w:tc>
        <w:tc>
          <w:tcPr>
            <w:tcW w:w="41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50</w:t>
            </w:r>
          </w:p>
        </w:tc>
      </w:tr>
      <w:tr>
        <w:trPr/>
        <w:tc>
          <w:tcPr>
            <w:tcW w:w="1649" w:type="dxa"/>
            <w:tcBorders/>
            <w:shd w:fill="auto" w:val="clear"/>
          </w:tcPr>
          <w:p>
            <w:pPr>
              <w:pStyle w:val="TableContents"/>
              <w:spacing w:before="0" w:after="0"/>
              <w:ind w:left="0" w:right="0" w:hanging="0"/>
              <w:rPr/>
            </w:pPr>
            <w:r>
              <w:rPr/>
              <w:t> </w:t>
            </w:r>
          </w:p>
        </w:tc>
        <w:tc>
          <w:tcPr>
            <w:tcW w:w="8144" w:type="dxa"/>
            <w:tcBorders/>
            <w:shd w:fill="auto" w:val="clear"/>
          </w:tcPr>
          <w:p>
            <w:pPr>
              <w:pStyle w:val="TableContents"/>
              <w:spacing w:before="0" w:after="0"/>
              <w:ind w:left="0" w:right="0" w:hanging="0"/>
              <w:rPr/>
            </w:pPr>
            <w:r>
              <w:rPr/>
              <w:t> </w:t>
            </w:r>
          </w:p>
        </w:tc>
        <w:tc>
          <w:tcPr>
            <w:tcW w:w="412" w:type="dxa"/>
            <w:tcBorders/>
            <w:shd w:fill="auto" w:val="clear"/>
            <w:vAlign w:val="bottom"/>
          </w:tcPr>
          <w:p>
            <w:pPr>
              <w:pStyle w:val="TableContents"/>
              <w:spacing w:before="0" w:after="0"/>
              <w:ind w:left="0" w:right="0" w:hanging="0"/>
              <w:jc w:val="right"/>
              <w:rPr/>
            </w:pPr>
            <w:r>
              <w:rPr/>
              <w:t> </w:t>
            </w:r>
          </w:p>
        </w:tc>
      </w:tr>
      <w:tr>
        <w:trPr/>
        <w:tc>
          <w:tcPr>
            <w:tcW w:w="979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ARTICLE IX MISCELLANEOUS</w:t>
            </w:r>
          </w:p>
        </w:tc>
        <w:tc>
          <w:tcPr>
            <w:tcW w:w="412" w:type="dxa"/>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53</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9.01</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NOTICES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9.02</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WAIVERS; AMENDMENTS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9.03</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EXPENSES; INDEMNITY; DAMAGE WAIVER</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9.04</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SUCCESSORS AND ASSIGNS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9.05</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SURVIVAL</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9.06</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COUNTERPARTS; INTEGRATION; EFFECTIVENESS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9.07</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SEVERABILITY</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9.08</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RIGHT OF SETOFF</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9.09</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GOVERNING LAW; JURISDICTION; CONSENT TO SERVICE OF PROCESS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9.10</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OF JURY TRIAL</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9.11</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HEADINGS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9.12</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CONFIDENTIALITY</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9.13</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RATE LIMITATION</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9.14</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RECOURSE TO CERTAIN PERSONS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9.15</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USA PATRIOT ACT NOTICE</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r>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9.16</w:t>
            </w:r>
          </w:p>
        </w:tc>
        <w:tc>
          <w:tcPr>
            <w:tcW w:w="814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ACKNOWLEDGMENT OF THE PARTIES</w:t>
            </w:r>
          </w:p>
        </w:tc>
        <w:tc>
          <w:tcPr>
            <w:tcW w:w="41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SCHEDULES:</w:t>
      </w:r>
    </w:p>
    <w:p>
      <w:pPr>
        <w:pStyle w:val="TextBody"/>
        <w:spacing w:before="0" w:after="0"/>
        <w:ind w:left="0" w:right="0" w:hanging="0"/>
        <w:rPr>
          <w:rFonts w:ascii="Times New Roman" w:hAnsi="Times New Roman"/>
          <w:sz w:val="17"/>
        </w:rPr>
      </w:pPr>
      <w:r>
        <w:rPr>
          <w:rFonts w:ascii="Times New Roman" w:hAnsi="Times New Roman"/>
          <w:sz w:val="17"/>
        </w:rPr>
        <w:t>Schedule 2.01  Commitments</w:t>
      </w:r>
    </w:p>
    <w:p>
      <w:pPr>
        <w:pStyle w:val="TextBody"/>
        <w:spacing w:before="0" w:after="0"/>
        <w:ind w:left="0" w:right="0" w:hanging="0"/>
        <w:rPr>
          <w:rFonts w:ascii="Times New Roman" w:hAnsi="Times New Roman"/>
          <w:sz w:val="17"/>
        </w:rPr>
      </w:pPr>
      <w:r>
        <w:rPr>
          <w:rFonts w:ascii="Times New Roman" w:hAnsi="Times New Roman"/>
          <w:sz w:val="17"/>
        </w:rPr>
        <w:t>Schedule 3.06  Disclosed Matters</w:t>
      </w:r>
    </w:p>
    <w:p>
      <w:pPr>
        <w:pStyle w:val="TextBody"/>
        <w:spacing w:before="0" w:after="0"/>
        <w:ind w:left="0" w:right="0" w:hanging="0"/>
        <w:rPr>
          <w:rFonts w:ascii="Times New Roman" w:hAnsi="Times New Roman"/>
          <w:sz w:val="17"/>
        </w:rPr>
      </w:pPr>
      <w:r>
        <w:rPr>
          <w:rFonts w:ascii="Times New Roman" w:hAnsi="Times New Roman"/>
          <w:sz w:val="17"/>
        </w:rPr>
        <w:t>Schedule 3.07  Compliance with Law</w:t>
      </w:r>
    </w:p>
    <w:p>
      <w:pPr>
        <w:pStyle w:val="TextBody"/>
        <w:spacing w:before="0" w:after="0"/>
        <w:ind w:left="0" w:right="0" w:hanging="0"/>
        <w:rPr>
          <w:rFonts w:ascii="Times New Roman" w:hAnsi="Times New Roman"/>
          <w:sz w:val="17"/>
        </w:rPr>
      </w:pPr>
      <w:r>
        <w:rPr>
          <w:rFonts w:ascii="Times New Roman" w:hAnsi="Times New Roman"/>
          <w:sz w:val="17"/>
        </w:rPr>
        <w:t>Schedule 3.10  ERISA</w:t>
      </w:r>
    </w:p>
    <w:p>
      <w:pPr>
        <w:pStyle w:val="TextBody"/>
        <w:spacing w:before="0" w:after="0"/>
        <w:ind w:left="0" w:right="0" w:hanging="0"/>
        <w:rPr>
          <w:rFonts w:ascii="Times New Roman" w:hAnsi="Times New Roman"/>
          <w:sz w:val="17"/>
        </w:rPr>
      </w:pPr>
      <w:r>
        <w:rPr>
          <w:rFonts w:ascii="Times New Roman" w:hAnsi="Times New Roman"/>
          <w:sz w:val="17"/>
        </w:rPr>
        <w:t>Schedule 3.12  Subsidiaries</w:t>
      </w:r>
    </w:p>
    <w:p>
      <w:pPr>
        <w:pStyle w:val="TextBody"/>
        <w:spacing w:before="0" w:after="0"/>
        <w:ind w:left="0" w:right="0" w:hanging="0"/>
        <w:rPr>
          <w:rFonts w:ascii="Times New Roman" w:hAnsi="Times New Roman"/>
          <w:sz w:val="17"/>
        </w:rPr>
      </w:pPr>
      <w:r>
        <w:rPr>
          <w:rFonts w:ascii="Times New Roman" w:hAnsi="Times New Roman"/>
          <w:sz w:val="17"/>
        </w:rPr>
        <w:t>Schedule 6.02  Permitted Liens</w:t>
      </w:r>
    </w:p>
    <w:p>
      <w:pPr>
        <w:pStyle w:val="TextBody"/>
        <w:spacing w:before="0" w:after="0"/>
        <w:ind w:left="0" w:right="0" w:hanging="0"/>
        <w:rPr>
          <w:rFonts w:ascii="Times New Roman" w:hAnsi="Times New Roman"/>
          <w:sz w:val="17"/>
        </w:rPr>
      </w:pPr>
      <w:r>
        <w:rPr>
          <w:rFonts w:ascii="Times New Roman" w:hAnsi="Times New Roman"/>
          <w:sz w:val="17"/>
        </w:rPr>
        <w:t>Schedule 6.05  Restrictive Agreements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bookmarkStart w:id="182" w:name="15636-2-LM-01_PB_ii_011910_5335"/>
      <w:bookmarkEnd w:id="18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EXHIBITS:</w:t>
      </w:r>
    </w:p>
    <w:p>
      <w:pPr>
        <w:pStyle w:val="TextBody"/>
        <w:spacing w:before="0" w:after="0"/>
        <w:ind w:left="0" w:right="0" w:hanging="0"/>
        <w:rPr>
          <w:rFonts w:ascii="Times New Roman" w:hAnsi="Times New Roman"/>
          <w:sz w:val="17"/>
        </w:rPr>
      </w:pPr>
      <w:r>
        <w:rPr>
          <w:rFonts w:ascii="Times New Roman" w:hAnsi="Times New Roman"/>
          <w:sz w:val="17"/>
        </w:rPr>
        <w:t>Exhibit A  Form of Assignment and Acceptance</w:t>
      </w:r>
    </w:p>
    <w:p>
      <w:pPr>
        <w:pStyle w:val="TextBody"/>
        <w:spacing w:before="0" w:after="0"/>
        <w:ind w:left="0" w:right="0" w:hanging="0"/>
        <w:rPr>
          <w:rFonts w:ascii="Times New Roman" w:hAnsi="Times New Roman"/>
          <w:sz w:val="17"/>
        </w:rPr>
      </w:pPr>
      <w:r>
        <w:rPr>
          <w:rFonts w:ascii="Times New Roman" w:hAnsi="Times New Roman"/>
          <w:sz w:val="17"/>
        </w:rPr>
        <w:t>Exhibit B  Form of Borrowing Request</w:t>
      </w:r>
    </w:p>
    <w:p>
      <w:pPr>
        <w:pStyle w:val="TextBody"/>
        <w:spacing w:before="0" w:after="0"/>
        <w:ind w:left="0" w:right="0" w:hanging="0"/>
        <w:rPr>
          <w:rFonts w:ascii="Times New Roman" w:hAnsi="Times New Roman"/>
          <w:sz w:val="17"/>
        </w:rPr>
      </w:pPr>
      <w:r>
        <w:rPr>
          <w:rFonts w:ascii="Times New Roman" w:hAnsi="Times New Roman"/>
          <w:sz w:val="17"/>
        </w:rPr>
        <w:t>Exhibit C  Form of Interest Election Request</w:t>
      </w:r>
    </w:p>
    <w:p>
      <w:pPr>
        <w:pStyle w:val="TextBody"/>
        <w:spacing w:before="0" w:after="0"/>
        <w:ind w:left="0" w:right="0" w:hanging="0"/>
        <w:rPr>
          <w:rFonts w:ascii="Times New Roman" w:hAnsi="Times New Roman"/>
          <w:sz w:val="17"/>
        </w:rPr>
      </w:pPr>
      <w:r>
        <w:rPr>
          <w:rFonts w:ascii="Times New Roman" w:hAnsi="Times New Roman"/>
          <w:sz w:val="17"/>
        </w:rPr>
        <w:t>Exhibit D  Form of Compliance Certificate</w:t>
      </w:r>
    </w:p>
    <w:p>
      <w:pPr>
        <w:pStyle w:val="TextBody"/>
        <w:spacing w:before="0" w:after="0"/>
        <w:ind w:left="0" w:right="0" w:hanging="0"/>
        <w:rPr>
          <w:rFonts w:ascii="Times New Roman" w:hAnsi="Times New Roman"/>
          <w:sz w:val="17"/>
        </w:rPr>
      </w:pPr>
      <w:r>
        <w:rPr>
          <w:rFonts w:ascii="Times New Roman" w:hAnsi="Times New Roman"/>
          <w:sz w:val="17"/>
        </w:rPr>
        <w:t>Exhibit E-1  Form of Revolving Credit Note</w:t>
      </w:r>
    </w:p>
    <w:p>
      <w:pPr>
        <w:pStyle w:val="TextBody"/>
        <w:spacing w:before="0" w:after="0"/>
        <w:ind w:left="0" w:right="0" w:hanging="0"/>
        <w:rPr>
          <w:rFonts w:ascii="Times New Roman" w:hAnsi="Times New Roman"/>
          <w:sz w:val="17"/>
        </w:rPr>
      </w:pPr>
      <w:r>
        <w:rPr>
          <w:rFonts w:ascii="Times New Roman" w:hAnsi="Times New Roman"/>
          <w:sz w:val="17"/>
        </w:rPr>
        <w:t>Exhibit E-2  Form of Term Loan Note</w:t>
      </w:r>
    </w:p>
    <w:p>
      <w:pPr>
        <w:pStyle w:val="TextBody"/>
        <w:spacing w:before="0" w:after="0"/>
        <w:ind w:left="0" w:right="0" w:hanging="0"/>
        <w:rPr>
          <w:rFonts w:ascii="Times New Roman" w:hAnsi="Times New Roman"/>
          <w:sz w:val="17"/>
        </w:rPr>
      </w:pPr>
      <w:r>
        <w:rPr>
          <w:rFonts w:ascii="Times New Roman" w:hAnsi="Times New Roman"/>
          <w:sz w:val="17"/>
        </w:rPr>
        <w:t>Exhibit F  List of Security Instruments</w:t>
      </w:r>
    </w:p>
    <w:p>
      <w:pPr>
        <w:pStyle w:val="TextBody"/>
        <w:spacing w:before="0" w:after="0"/>
        <w:ind w:left="0" w:right="0" w:hanging="0"/>
        <w:rPr>
          <w:rFonts w:ascii="Times New Roman" w:hAnsi="Times New Roman"/>
          <w:sz w:val="17"/>
        </w:rPr>
      </w:pPr>
      <w:r>
        <w:rPr>
          <w:rFonts w:ascii="Times New Roman" w:hAnsi="Times New Roman"/>
          <w:sz w:val="17"/>
        </w:rPr>
        <w:t>Exhibit G  Form of Commitment Increase Agreement</w:t>
      </w:r>
    </w:p>
    <w:p>
      <w:pPr>
        <w:pStyle w:val="TextBody"/>
        <w:spacing w:before="0" w:after="0"/>
        <w:ind w:left="0" w:right="0" w:hanging="0"/>
        <w:rPr>
          <w:rFonts w:ascii="Times New Roman" w:hAnsi="Times New Roman"/>
          <w:sz w:val="17"/>
        </w:rPr>
      </w:pPr>
      <w:r>
        <w:rPr>
          <w:rFonts w:ascii="Times New Roman" w:hAnsi="Times New Roman"/>
          <w:sz w:val="17"/>
        </w:rPr>
        <w:t>Exhibit H  Form of New Lender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iii</w:t>
      </w:r>
      <w:bookmarkStart w:id="183" w:name="15636-2-LM-01_PB_iii_011926_5796"/>
      <w:bookmarkEnd w:id="18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SECOND AMENDED AND RESTATED CREDIT AGREEMENT (this </w:t>
      </w:r>
      <w:r>
        <w:rPr>
          <w:rFonts w:ascii="Times New Roman" w:hAnsi="Times New Roman"/>
          <w:sz w:val="17"/>
          <w:u w:val="single"/>
        </w:rPr>
        <w:t>Agreement</w:t>
      </w:r>
      <w:r>
        <w:rPr>
          <w:rFonts w:ascii="Times New Roman" w:hAnsi="Times New Roman"/>
          <w:sz w:val="17"/>
        </w:rPr>
        <w:t>) dated as of September 26, 2013, is among PLAINS AAP, L.P., a Delaware limited partnership, as Borrower, the LENDERS party hereto, and CITIBANK, N.A., as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Borrower, certain of the Lenders and Citibank, N.A., as administrative agent, entered into that certain Amended and Restated Credit Agreement dated as of June 27, 2012 (the </w:t>
      </w:r>
      <w:r>
        <w:rPr>
          <w:rFonts w:ascii="Times New Roman" w:hAnsi="Times New Roman"/>
          <w:sz w:val="17"/>
          <w:u w:val="single"/>
        </w:rPr>
        <w:t>Existing Credit Agreement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Borrower has requested that the Existing Credit Agreement be amended and restated as more fully set forth herein;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Lenders and the Administrative Agent are willing to so amend and restate the Existing Credit Agreement, but only on the terms and subject to the conditions set forth 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in consideration of the premises and the mutual covenants contained herein, the parties hereto hereby agree that, on the Effective Date, the Existing Credit Agreement shall be amended and restated in its entirety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ARTICLE I</w:t>
        <w:br/>
        <w:t>Definitions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1.01</w:t>
      </w:r>
      <w:r>
        <w:rPr>
          <w:rFonts w:ascii="Times New Roman" w:hAnsi="Times New Roman"/>
        </w:rPr>
        <w:t xml:space="preserve">                             </w:t>
      </w:r>
      <w:r>
        <w:rPr>
          <w:rFonts w:ascii="Times New Roman" w:hAnsi="Times New Roman"/>
          <w:sz w:val="17"/>
          <w:u w:val="single"/>
        </w:rPr>
        <w:t>Defined Terms</w:t>
      </w:r>
      <w:r>
        <w:rPr>
          <w:rFonts w:ascii="Times New Roman" w:hAnsi="Times New Roman"/>
          <w:sz w:val="17"/>
        </w:rPr>
        <w:t>.  As used in this Agreement, the following terms have the meanings specified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ABR</w:t>
      </w:r>
      <w:r>
        <w:rPr>
          <w:rFonts w:ascii="Times New Roman" w:hAnsi="Times New Roman"/>
          <w:sz w:val="17"/>
        </w:rPr>
        <w:t>, when used in reference to any Loan or Borrowing, refers to a Loan, or Loans, in the case of a Borrowing, which bear interest at a rate determined by reference to the Alternate Base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Administrative Agent</w:t>
      </w:r>
      <w:r>
        <w:rPr>
          <w:rFonts w:ascii="Times New Roman" w:hAnsi="Times New Roman"/>
          <w:sz w:val="17"/>
        </w:rPr>
        <w:t> means Citibank, N.A., in its capacity as administrative agent for the Lenders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Administrative Questionnaire</w:t>
      </w:r>
      <w:r>
        <w:rPr>
          <w:rFonts w:ascii="Times New Roman" w:hAnsi="Times New Roman"/>
          <w:sz w:val="17"/>
        </w:rPr>
        <w:t> means an Administrative Questionnaire in a form supplied by the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Affiliate</w:t>
      </w:r>
      <w:r>
        <w:rPr>
          <w:rFonts w:ascii="Times New Roman" w:hAnsi="Times New Roman"/>
          <w:sz w:val="17"/>
        </w:rPr>
        <w:t> means, with respect to a specified Person, another Person that directly, or indirectly through one or more intermediaries, Controls or is Controlled by or is under common Control with the Person specified.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Agreement</w:t>
      </w:r>
      <w:r>
        <w:rPr>
          <w:rFonts w:ascii="Times New Roman" w:hAnsi="Times New Roman"/>
          <w:sz w:val="17"/>
        </w:rPr>
        <w:t> has the meaning given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Alternate Base Rate</w:t>
      </w:r>
      <w:r>
        <w:rPr>
          <w:rFonts w:ascii="Times New Roman" w:hAnsi="Times New Roman"/>
          <w:sz w:val="17"/>
        </w:rPr>
        <w:t> means, for any day, a rate per annum equal to the greater of (a) the Base Rate of Citibank, N.A., (b) the Federal Funds Effective Rate in effect on such day plus 0.50% and (c) the LIBO Rate in effect on such day (or if such day is not a Business Day, the immediately preceding Business Day) for a deposit in dollars with a maturity of one month, plus 1% per annum.  Any change in the Alternate Base Rate due to a change in the Base Rate, the Federal Funds Effective Rate or the LIBO Rate shall be effective as of the opening of business</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on the effective day of such change in the Base Rate, the Federal Funds Effective Rate or the LIBO Rate,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Applicable Percentage</w:t>
      </w:r>
      <w:r>
        <w:rPr>
          <w:rFonts w:ascii="Times New Roman" w:hAnsi="Times New Roman"/>
          <w:sz w:val="17"/>
        </w:rPr>
        <w:t xml:space="preserve"> means, with respect to any Lender, the percentage of the total amount of outstanding Loans (or if no Loans are outstanding, the then in-effect Commitments) represented by the amount of such Lenders outstanding Loans (or if no Loans are outstanding, the then in-effect Commitments), as modified from time to time to reflect any assignments permitted by </w:t>
      </w:r>
      <w:r>
        <w:rPr>
          <w:rFonts w:ascii="Times New Roman" w:hAnsi="Times New Roman"/>
          <w:sz w:val="17"/>
          <w:u w:val="single"/>
        </w:rPr>
        <w:t>Section 9.04</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Applicable Rate</w:t>
      </w:r>
      <w:r>
        <w:rPr>
          <w:rFonts w:ascii="Times New Roman" w:hAnsi="Times New Roman"/>
          <w:sz w:val="17"/>
        </w:rPr>
        <w:t> means, for any day, with respect to the Revolving Loans and the Term Loan or with respect to the commitment fees payable hereunder, as the case may be, the applicable rate per annum set forth below under the caption </w:t>
      </w:r>
      <w:r>
        <w:rPr>
          <w:rFonts w:ascii="Times New Roman" w:hAnsi="Times New Roman"/>
          <w:sz w:val="17"/>
          <w:u w:val="single"/>
        </w:rPr>
        <w:t>Eurodollar Spread</w:t>
      </w:r>
      <w:r>
        <w:rPr>
          <w:rFonts w:ascii="Times New Roman" w:hAnsi="Times New Roman"/>
          <w:sz w:val="17"/>
        </w:rPr>
        <w:t>, </w:t>
      </w:r>
      <w:r>
        <w:rPr>
          <w:rFonts w:ascii="Times New Roman" w:hAnsi="Times New Roman"/>
          <w:sz w:val="17"/>
          <w:u w:val="single"/>
        </w:rPr>
        <w:t>ABR Spread</w:t>
      </w:r>
      <w:r>
        <w:rPr>
          <w:rFonts w:ascii="Times New Roman" w:hAnsi="Times New Roman"/>
          <w:sz w:val="17"/>
        </w:rPr>
        <w:t>, or </w:t>
      </w:r>
      <w:r>
        <w:rPr>
          <w:rFonts w:ascii="Times New Roman" w:hAnsi="Times New Roman"/>
          <w:sz w:val="17"/>
          <w:u w:val="single"/>
        </w:rPr>
        <w:t>Commitment Fee</w:t>
      </w:r>
      <w:r>
        <w:rPr>
          <w:rFonts w:ascii="Times New Roman" w:hAnsi="Times New Roman"/>
          <w:sz w:val="17"/>
        </w:rPr>
        <w:t>, as the case may be, based upon the Leverage Ratio applicable on such date: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Pricing Grid</w:t>
      </w:r>
    </w:p>
    <w:p>
      <w:pPr>
        <w:pStyle w:val="TextBody"/>
        <w:spacing w:before="0" w:after="0"/>
        <w:ind w:left="0" w:right="0" w:hanging="0"/>
        <w:rPr/>
      </w:pPr>
      <w:r>
        <w:rPr/>
        <w:t> </w:t>
      </w:r>
    </w:p>
    <w:tbl>
      <w:tblPr>
        <w:tblW w:w="4500" w:type="pct"/>
        <w:jc w:val="left"/>
        <w:tblInd w:w="0" w:type="dxa"/>
        <w:tblCellMar>
          <w:top w:w="0" w:type="dxa"/>
          <w:left w:w="0" w:type="dxa"/>
          <w:bottom w:w="28" w:type="dxa"/>
          <w:right w:w="0" w:type="dxa"/>
        </w:tblCellMar>
      </w:tblPr>
      <w:tblGrid>
        <w:gridCol w:w="2798"/>
        <w:gridCol w:w="191"/>
        <w:gridCol w:w="1758"/>
        <w:gridCol w:w="237"/>
        <w:gridCol w:w="1882"/>
        <w:gridCol w:w="237"/>
        <w:gridCol w:w="1919"/>
        <w:gridCol w:w="162"/>
      </w:tblGrid>
      <w:tr>
        <w:trPr/>
        <w:tc>
          <w:tcPr>
            <w:tcW w:w="2798" w:type="dxa"/>
            <w:tcBorders>
              <w:bottom w:val="single" w:sz="8" w:space="0" w:color="000000"/>
            </w:tcBorders>
            <w:shd w:fill="auto" w:val="clear"/>
          </w:tcPr>
          <w:p>
            <w:pPr>
              <w:pStyle w:val="TableContents"/>
              <w:spacing w:before="0" w:after="0"/>
              <w:ind w:left="0" w:right="0" w:hanging="0"/>
              <w:rPr>
                <w:rFonts w:ascii="Times New Roman" w:hAnsi="Times New Roman"/>
                <w:b/>
                <w:sz w:val="13"/>
              </w:rPr>
            </w:pPr>
            <w:r>
              <w:rPr>
                <w:rFonts w:ascii="Times New Roman" w:hAnsi="Times New Roman"/>
                <w:b/>
                <w:sz w:val="13"/>
              </w:rPr>
              <w:t>Leverage</w:t>
              <w:br/>
              <w:t>Ratio</w:t>
            </w:r>
          </w:p>
        </w:tc>
        <w:tc>
          <w:tcPr>
            <w:tcW w:w="191" w:type="dxa"/>
            <w:tcBorders/>
            <w:shd w:fill="auto" w:val="clear"/>
            <w:tcMar>
              <w:bottom w:w="0" w:type="dxa"/>
            </w:tcMar>
            <w:vAlign w:val="bottom"/>
          </w:tcPr>
          <w:p>
            <w:pPr>
              <w:pStyle w:val="TableContents"/>
              <w:spacing w:before="0" w:after="0"/>
              <w:ind w:left="0" w:right="0" w:hanging="0"/>
              <w:jc w:val="center"/>
              <w:rPr/>
            </w:pPr>
            <w:r>
              <w:rPr/>
              <w:t> </w:t>
            </w:r>
          </w:p>
        </w:tc>
        <w:tc>
          <w:tcPr>
            <w:tcW w:w="175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ABR</w:t>
              <w:br/>
              <w:t>Spread</w:t>
            </w:r>
          </w:p>
        </w:tc>
        <w:tc>
          <w:tcPr>
            <w:tcW w:w="237" w:type="dxa"/>
            <w:tcBorders/>
            <w:shd w:fill="auto" w:val="clear"/>
            <w:tcMar>
              <w:bottom w:w="0" w:type="dxa"/>
            </w:tcMar>
            <w:vAlign w:val="bottom"/>
          </w:tcPr>
          <w:p>
            <w:pPr>
              <w:pStyle w:val="TableContents"/>
              <w:spacing w:before="0" w:after="0"/>
              <w:ind w:left="0" w:right="0" w:hanging="0"/>
              <w:jc w:val="center"/>
              <w:rPr/>
            </w:pPr>
            <w:r>
              <w:rPr/>
              <w:t> </w:t>
            </w:r>
          </w:p>
        </w:tc>
        <w:tc>
          <w:tcPr>
            <w:tcW w:w="188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Eurodollar</w:t>
              <w:br/>
              <w:t>Spread</w:t>
            </w:r>
          </w:p>
        </w:tc>
        <w:tc>
          <w:tcPr>
            <w:tcW w:w="237" w:type="dxa"/>
            <w:tcBorders/>
            <w:shd w:fill="auto" w:val="clear"/>
            <w:tcMar>
              <w:bottom w:w="0" w:type="dxa"/>
            </w:tcMar>
            <w:vAlign w:val="bottom"/>
          </w:tcPr>
          <w:p>
            <w:pPr>
              <w:pStyle w:val="TableContents"/>
              <w:spacing w:before="0" w:after="0"/>
              <w:ind w:left="0" w:right="0" w:hanging="0"/>
              <w:jc w:val="center"/>
              <w:rPr/>
            </w:pPr>
            <w:r>
              <w:rPr/>
              <w:t> </w:t>
            </w:r>
          </w:p>
        </w:tc>
        <w:tc>
          <w:tcPr>
            <w:tcW w:w="191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Commitment</w:t>
              <w:br/>
              <w:t>Fee</w:t>
            </w:r>
          </w:p>
        </w:tc>
        <w:tc>
          <w:tcPr>
            <w:tcW w:w="162" w:type="dxa"/>
            <w:tcBorders/>
            <w:shd w:fill="auto" w:val="clear"/>
            <w:tcMar>
              <w:bottom w:w="0" w:type="dxa"/>
            </w:tcMar>
            <w:vAlign w:val="bottom"/>
          </w:tcPr>
          <w:p>
            <w:pPr>
              <w:pStyle w:val="TableContents"/>
              <w:spacing w:before="0" w:after="0"/>
              <w:ind w:left="0" w:right="0" w:hanging="0"/>
              <w:jc w:val="center"/>
              <w:rPr/>
            </w:pPr>
            <w:r>
              <w:rPr/>
              <w:t> </w:t>
            </w:r>
          </w:p>
        </w:tc>
      </w:tr>
      <w:tr>
        <w:trPr/>
        <w:tc>
          <w:tcPr>
            <w:tcW w:w="2798" w:type="dxa"/>
            <w:tcBorders/>
            <w:shd w:fill="CCEEFF" w:val="clear"/>
            <w:tcMar>
              <w:bottom w:w="0" w:type="dxa"/>
            </w:tcMar>
          </w:tcPr>
          <w:p>
            <w:pPr>
              <w:pStyle w:val="TableContents"/>
              <w:spacing w:before="0" w:after="0"/>
              <w:ind w:left="0" w:right="0" w:hanging="0"/>
              <w:rPr/>
            </w:pPr>
            <w:r>
              <w:rPr>
                <w:rFonts w:ascii="Times New Roman" w:hAnsi="Times New Roman"/>
                <w:sz w:val="17"/>
                <w:u w:val="single"/>
              </w:rPr>
              <w:t>&lt;</w:t>
            </w:r>
            <w:r>
              <w:rPr/>
              <w:t xml:space="preserve"> </w:t>
            </w:r>
            <w:r>
              <w:rPr>
                <w:sz w:val="17"/>
              </w:rPr>
              <w:t>0.75x</w:t>
            </w:r>
          </w:p>
        </w:tc>
        <w:tc>
          <w:tcPr>
            <w:tcW w:w="191" w:type="dxa"/>
            <w:tcBorders/>
            <w:shd w:fill="CCEEFF" w:val="clear"/>
            <w:tcMar>
              <w:bottom w:w="0" w:type="dxa"/>
            </w:tcMar>
            <w:vAlign w:val="bottom"/>
          </w:tcPr>
          <w:p>
            <w:pPr>
              <w:pStyle w:val="TableContents"/>
              <w:spacing w:before="0" w:after="0"/>
              <w:ind w:left="0" w:right="0" w:hanging="0"/>
              <w:rPr/>
            </w:pPr>
            <w:r>
              <w:rPr/>
              <w:t> </w:t>
            </w:r>
          </w:p>
        </w:tc>
        <w:tc>
          <w:tcPr>
            <w:tcW w:w="17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0.500</w:t>
            </w:r>
          </w:p>
        </w:tc>
        <w:tc>
          <w:tcPr>
            <w:tcW w:w="2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w:t>
            </w:r>
          </w:p>
        </w:tc>
        <w:tc>
          <w:tcPr>
            <w:tcW w:w="2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0.175</w:t>
            </w:r>
          </w:p>
        </w:tc>
        <w:tc>
          <w:tcPr>
            <w:tcW w:w="1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&gt; 0.75x </w:t>
            </w:r>
            <w:r>
              <w:rPr>
                <w:rFonts w:ascii="Times New Roman" w:hAnsi="Times New Roman"/>
                <w:sz w:val="17"/>
                <w:u w:val="single"/>
              </w:rPr>
              <w:t>&lt;</w:t>
            </w:r>
            <w:r>
              <w:rPr>
                <w:rFonts w:ascii="Times New Roman" w:hAnsi="Times New Roman"/>
                <w:sz w:val="17"/>
              </w:rPr>
              <w:t xml:space="preserve"> 1.25x</w:t>
            </w:r>
          </w:p>
        </w:tc>
        <w:tc>
          <w:tcPr>
            <w:tcW w:w="191" w:type="dxa"/>
            <w:tcBorders/>
            <w:shd w:fill="auto" w:val="clear"/>
            <w:tcMar>
              <w:bottom w:w="0" w:type="dxa"/>
            </w:tcMar>
            <w:vAlign w:val="bottom"/>
          </w:tcPr>
          <w:p>
            <w:pPr>
              <w:pStyle w:val="TableContents"/>
              <w:spacing w:before="0" w:after="0"/>
              <w:ind w:left="0" w:right="0" w:hanging="0"/>
              <w:rPr/>
            </w:pPr>
            <w:r>
              <w:rPr/>
              <w:t> </w:t>
            </w:r>
          </w:p>
        </w:tc>
        <w:tc>
          <w:tcPr>
            <w:tcW w:w="1758"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0.625</w:t>
            </w:r>
          </w:p>
        </w:tc>
        <w:tc>
          <w:tcPr>
            <w:tcW w:w="23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1.625</w:t>
            </w:r>
          </w:p>
        </w:tc>
        <w:tc>
          <w:tcPr>
            <w:tcW w:w="23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0.200</w:t>
            </w:r>
          </w:p>
        </w:tc>
        <w:tc>
          <w:tcPr>
            <w:tcW w:w="1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&gt; 1.25x </w:t>
            </w:r>
            <w:r>
              <w:rPr>
                <w:rFonts w:ascii="Times New Roman" w:hAnsi="Times New Roman"/>
                <w:sz w:val="17"/>
                <w:u w:val="single"/>
              </w:rPr>
              <w:t>&lt;</w:t>
            </w:r>
            <w:r>
              <w:rPr>
                <w:rFonts w:ascii="Times New Roman" w:hAnsi="Times New Roman"/>
                <w:sz w:val="17"/>
              </w:rPr>
              <w:t xml:space="preserve"> 2.00x</w:t>
            </w:r>
          </w:p>
        </w:tc>
        <w:tc>
          <w:tcPr>
            <w:tcW w:w="191" w:type="dxa"/>
            <w:tcBorders/>
            <w:shd w:fill="CCEEFF" w:val="clear"/>
            <w:tcMar>
              <w:bottom w:w="0" w:type="dxa"/>
            </w:tcMar>
            <w:vAlign w:val="bottom"/>
          </w:tcPr>
          <w:p>
            <w:pPr>
              <w:pStyle w:val="TableContents"/>
              <w:spacing w:before="0" w:after="0"/>
              <w:ind w:left="0" w:right="0" w:hanging="0"/>
              <w:rPr/>
            </w:pPr>
            <w:r>
              <w:rPr/>
              <w:t> </w:t>
            </w:r>
          </w:p>
        </w:tc>
        <w:tc>
          <w:tcPr>
            <w:tcW w:w="17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0.750</w:t>
            </w:r>
          </w:p>
        </w:tc>
        <w:tc>
          <w:tcPr>
            <w:tcW w:w="2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1.750</w:t>
            </w:r>
          </w:p>
        </w:tc>
        <w:tc>
          <w:tcPr>
            <w:tcW w:w="2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0.250</w:t>
            </w:r>
          </w:p>
        </w:tc>
        <w:tc>
          <w:tcPr>
            <w:tcW w:w="1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&gt; 2.00x </w:t>
            </w:r>
            <w:r>
              <w:rPr>
                <w:rFonts w:ascii="Times New Roman" w:hAnsi="Times New Roman"/>
                <w:sz w:val="17"/>
                <w:u w:val="single"/>
              </w:rPr>
              <w:t>&lt;</w:t>
            </w:r>
            <w:r>
              <w:rPr>
                <w:rFonts w:ascii="Times New Roman" w:hAnsi="Times New Roman"/>
                <w:sz w:val="17"/>
              </w:rPr>
              <w:t xml:space="preserve"> 2.75x</w:t>
            </w:r>
          </w:p>
        </w:tc>
        <w:tc>
          <w:tcPr>
            <w:tcW w:w="191" w:type="dxa"/>
            <w:tcBorders/>
            <w:shd w:fill="auto" w:val="clear"/>
            <w:tcMar>
              <w:bottom w:w="0" w:type="dxa"/>
            </w:tcMar>
            <w:vAlign w:val="bottom"/>
          </w:tcPr>
          <w:p>
            <w:pPr>
              <w:pStyle w:val="TableContents"/>
              <w:spacing w:before="0" w:after="0"/>
              <w:ind w:left="0" w:right="0" w:hanging="0"/>
              <w:rPr/>
            </w:pPr>
            <w:r>
              <w:rPr/>
              <w:t> </w:t>
            </w:r>
          </w:p>
        </w:tc>
        <w:tc>
          <w:tcPr>
            <w:tcW w:w="1758"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0.875</w:t>
            </w:r>
          </w:p>
        </w:tc>
        <w:tc>
          <w:tcPr>
            <w:tcW w:w="23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1.875</w:t>
            </w:r>
          </w:p>
        </w:tc>
        <w:tc>
          <w:tcPr>
            <w:tcW w:w="23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0.300</w:t>
            </w:r>
          </w:p>
        </w:tc>
        <w:tc>
          <w:tcPr>
            <w:tcW w:w="1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8"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&gt; 2.75x </w:t>
            </w:r>
            <w:r>
              <w:rPr>
                <w:rFonts w:ascii="Times New Roman" w:hAnsi="Times New Roman"/>
                <w:sz w:val="17"/>
                <w:u w:val="single"/>
              </w:rPr>
              <w:t>&lt;</w:t>
            </w:r>
            <w:r>
              <w:rPr>
                <w:rFonts w:ascii="Times New Roman" w:hAnsi="Times New Roman"/>
                <w:sz w:val="17"/>
              </w:rPr>
              <w:t xml:space="preserve"> 3.50x</w:t>
            </w:r>
          </w:p>
        </w:tc>
        <w:tc>
          <w:tcPr>
            <w:tcW w:w="191" w:type="dxa"/>
            <w:tcBorders/>
            <w:shd w:fill="CCEEFF" w:val="clear"/>
            <w:tcMar>
              <w:bottom w:w="0" w:type="dxa"/>
            </w:tcMar>
            <w:vAlign w:val="bottom"/>
          </w:tcPr>
          <w:p>
            <w:pPr>
              <w:pStyle w:val="TableContents"/>
              <w:spacing w:before="0" w:after="0"/>
              <w:ind w:left="0" w:right="0" w:hanging="0"/>
              <w:rPr/>
            </w:pPr>
            <w:r>
              <w:rPr/>
              <w:t> </w:t>
            </w:r>
          </w:p>
        </w:tc>
        <w:tc>
          <w:tcPr>
            <w:tcW w:w="1758"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w:t>
            </w:r>
          </w:p>
        </w:tc>
        <w:tc>
          <w:tcPr>
            <w:tcW w:w="2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w:t>
            </w:r>
          </w:p>
        </w:tc>
        <w:tc>
          <w:tcPr>
            <w:tcW w:w="237"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0.325</w:t>
            </w:r>
          </w:p>
        </w:tc>
        <w:tc>
          <w:tcPr>
            <w:tcW w:w="162"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9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 xml:space="preserve">&gt; 3.50x </w:t>
            </w:r>
          </w:p>
        </w:tc>
        <w:tc>
          <w:tcPr>
            <w:tcW w:w="191" w:type="dxa"/>
            <w:tcBorders/>
            <w:shd w:fill="auto" w:val="clear"/>
            <w:tcMar>
              <w:bottom w:w="0" w:type="dxa"/>
            </w:tcMar>
            <w:vAlign w:val="bottom"/>
          </w:tcPr>
          <w:p>
            <w:pPr>
              <w:pStyle w:val="TableContents"/>
              <w:spacing w:before="0" w:after="0"/>
              <w:ind w:left="0" w:right="0" w:hanging="0"/>
              <w:rPr/>
            </w:pPr>
            <w:r>
              <w:rPr/>
              <w:t> </w:t>
            </w:r>
          </w:p>
        </w:tc>
        <w:tc>
          <w:tcPr>
            <w:tcW w:w="1758"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1.250</w:t>
            </w:r>
          </w:p>
        </w:tc>
        <w:tc>
          <w:tcPr>
            <w:tcW w:w="23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2.250</w:t>
            </w:r>
          </w:p>
        </w:tc>
        <w:tc>
          <w:tcPr>
            <w:tcW w:w="237"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9"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0.350</w:t>
            </w:r>
          </w:p>
        </w:tc>
        <w:tc>
          <w:tcPr>
            <w:tcW w:w="162" w:type="dxa"/>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change in the Applicable Rate shall apply during the period commencing on the effective date of such change and ending on the date immediately preceding the effective date of the next such change;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if at any time the Borrower is (a) late twenty-nine (29) days or less in delivering a compliance certificate as provided for in </w:t>
      </w:r>
      <w:r>
        <w:rPr>
          <w:rFonts w:ascii="Times New Roman" w:hAnsi="Times New Roman"/>
          <w:sz w:val="17"/>
          <w:u w:val="single"/>
        </w:rPr>
        <w:t>Section 5.01(c)</w:t>
      </w:r>
      <w:r>
        <w:rPr>
          <w:rFonts w:ascii="Times New Roman" w:hAnsi="Times New Roman"/>
          <w:sz w:val="17"/>
        </w:rPr>
        <w:t>, any change in the Applicable Rate shall take effect on the date such compliance certificate is delivered unless such change results in a higher Applicable Rate, in which event such change shall take effect as of the date such compliance certificate was due, or (b) late thirty (30) days or more in delivering such compliance certificate, the </w:t>
      </w:r>
      <w:r>
        <w:rPr>
          <w:rFonts w:ascii="Times New Roman" w:hAnsi="Times New Roman"/>
          <w:sz w:val="17"/>
          <w:u w:val="single"/>
        </w:rPr>
        <w:t>Applicable Rate</w:t>
      </w:r>
      <w:r>
        <w:rPr>
          <w:rFonts w:ascii="Times New Roman" w:hAnsi="Times New Roman"/>
          <w:sz w:val="17"/>
        </w:rPr>
        <w:t xml:space="preserve"> shall mean the rate per annum set forth on the foregoing grid when the Leverage Ratio is at its highest level (&gt; 3.50x) and shall take effect as of the date such compliance certificate was due; </w:t>
      </w:r>
      <w:r>
        <w:rPr>
          <w:rFonts w:ascii="Times New Roman" w:hAnsi="Times New Roman"/>
          <w:sz w:val="17"/>
          <w:u w:val="single"/>
        </w:rPr>
        <w:t>provided</w:t>
      </w:r>
      <w:r>
        <w:rPr>
          <w:rFonts w:ascii="Times New Roman" w:hAnsi="Times New Roman"/>
          <w:sz w:val="17"/>
        </w:rPr>
        <w:t> </w:t>
      </w:r>
      <w:r>
        <w:rPr>
          <w:rFonts w:ascii="Times New Roman" w:hAnsi="Times New Roman"/>
          <w:sz w:val="17"/>
          <w:u w:val="single"/>
        </w:rPr>
        <w:t>further</w:t>
      </w:r>
      <w:r>
        <w:rPr>
          <w:rFonts w:ascii="Times New Roman" w:hAnsi="Times New Roman"/>
          <w:sz w:val="17"/>
        </w:rPr>
        <w:t xml:space="preserve">, however, any change that would decrease the Applicable Rate as a result of a compliance certificate delivered 30 days or more late, shall take effect on the date such compliance certificate is delivered.  Notwithstanding the above, the Applicable Rate from the Effective Date through the earlier of the first date on which the financial statements of the Borrower are delivered or are required to be delivered to the Administrative Agent pursuant to </w:t>
      </w:r>
      <w:r>
        <w:rPr>
          <w:rFonts w:ascii="Times New Roman" w:hAnsi="Times New Roman"/>
          <w:sz w:val="17"/>
          <w:u w:val="single"/>
        </w:rPr>
        <w:t>Section 5.01(a)</w:t>
      </w:r>
      <w:r>
        <w:rPr>
          <w:rFonts w:ascii="Times New Roman" w:hAnsi="Times New Roman"/>
          <w:sz w:val="17"/>
        </w:rPr>
        <w:t xml:space="preserve"> or </w:t>
      </w:r>
      <w:r>
        <w:rPr>
          <w:rFonts w:ascii="Times New Roman" w:hAnsi="Times New Roman"/>
          <w:sz w:val="17"/>
          <w:u w:val="single"/>
        </w:rPr>
        <w:t>Section 5.01(b)</w:t>
      </w:r>
      <w:r>
        <w:rPr>
          <w:rFonts w:ascii="Times New Roman" w:hAnsi="Times New Roman"/>
          <w:sz w:val="17"/>
        </w:rPr>
        <w:t> hereof, as the case may be, shall be 0.750% for ABR Loans, 1.750% for Eurodollar Loans and 0.250% with respect to the commitment fee.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Assignment and Acceptance</w:t>
      </w:r>
      <w:r>
        <w:rPr>
          <w:rFonts w:ascii="Times New Roman" w:hAnsi="Times New Roman"/>
          <w:sz w:val="17"/>
        </w:rPr>
        <w:t xml:space="preserve"> means an assignment and acceptance entered into by a Lender and an assignee (with the consent of any party whose consent is required by </w:t>
      </w:r>
      <w:r>
        <w:rPr>
          <w:rFonts w:ascii="Times New Roman" w:hAnsi="Times New Roman"/>
          <w:sz w:val="17"/>
          <w:u w:val="single"/>
        </w:rPr>
        <w:t>Section 9.04</w:t>
      </w:r>
      <w:r>
        <w:rPr>
          <w:rFonts w:ascii="Times New Roman" w:hAnsi="Times New Roman"/>
          <w:sz w:val="17"/>
        </w:rPr>
        <w:t xml:space="preserve">), and accepted by the Administrative Agent, in substantially the form of </w:t>
      </w:r>
      <w:r>
        <w:rPr>
          <w:rFonts w:ascii="Times New Roman" w:hAnsi="Times New Roman"/>
          <w:sz w:val="17"/>
          <w:u w:val="single"/>
        </w:rPr>
        <w:t>Exhibit A</w:t>
      </w:r>
      <w:r>
        <w:rPr>
          <w:rFonts w:ascii="Times New Roman" w:hAnsi="Times New Roman"/>
          <w:sz w:val="17"/>
        </w:rPr>
        <w:t xml:space="preserve"> or any other form approved by the Administrative Agent.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184" w:name="15636-2-LM-01_PB_2_012316_2897"/>
      <w:bookmarkEnd w:id="18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Availability Period</w:t>
      </w:r>
      <w:r>
        <w:rPr>
          <w:rFonts w:ascii="Times New Roman" w:hAnsi="Times New Roman"/>
          <w:sz w:val="17"/>
        </w:rPr>
        <w:t> means the period from and including the Effective Date to but excluding the earlier of the Maturity Date applicable to the Revolving Loans and the Termination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Available Cash</w:t>
      </w:r>
      <w:r>
        <w:rPr>
          <w:rFonts w:ascii="Times New Roman" w:hAnsi="Times New Roman"/>
          <w:sz w:val="17"/>
        </w:rPr>
        <w:t> has the meaning set forth in the Partnership Agreement as it is in effect on the Effective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Base Rate</w:t>
      </w:r>
      <w:r>
        <w:rPr>
          <w:rFonts w:ascii="Times New Roman" w:hAnsi="Times New Roman"/>
          <w:sz w:val="17"/>
        </w:rPr>
        <w:t> means (a) the rate of interest per annum publicly announced from time to time by Citibank, N.A. as its base rate in effect at its principal office in New York City; each change in the Base Rate shall be effective from and including the date such change is publicly announced as being effective, or (b) if the rate specified in clause (a) above is not readily available for any reason, the Base Rate shall be the prime lending rate as set forth on the British Banking Association Telerate page 5 (or such other comparable page as may, in the opinion of the Administrative Agent, replace such page for the purpose of displaying such rate).  The Base Rate is a reference rate and does not represent the lowest rate actually available.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Board</w:t>
      </w:r>
      <w:r>
        <w:rPr>
          <w:rFonts w:ascii="Times New Roman" w:hAnsi="Times New Roman"/>
          <w:sz w:val="17"/>
        </w:rPr>
        <w:t> means the Board of Governors of the Federal Reserve System of the United States of America.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Board of Directors</w:t>
      </w:r>
      <w:r>
        <w:rPr>
          <w:rFonts w:ascii="Times New Roman" w:hAnsi="Times New Roman"/>
          <w:sz w:val="17"/>
        </w:rPr>
        <w:t> means the board of directors or equivalent body of the general partner of Borrower.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Borrower</w:t>
      </w:r>
      <w:r>
        <w:rPr>
          <w:rFonts w:ascii="Times New Roman" w:hAnsi="Times New Roman"/>
          <w:sz w:val="17"/>
        </w:rPr>
        <w:t> means Plains AAP, L.P., a Delaware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Borrower Material Amount means $25,000,000.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Borrowing</w:t>
      </w:r>
      <w:r>
        <w:rPr>
          <w:rFonts w:ascii="Times New Roman" w:hAnsi="Times New Roman"/>
          <w:sz w:val="17"/>
        </w:rPr>
        <w:t> means Loans of the same Class and Type, made, converted or continued on the same date and, in the case of Eurodollar Loans, as to which a single Interest Period is in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Borrowing Request</w:t>
      </w:r>
      <w:r>
        <w:rPr>
          <w:rFonts w:ascii="Times New Roman" w:hAnsi="Times New Roman"/>
          <w:sz w:val="17"/>
        </w:rPr>
        <w:t xml:space="preserve"> means a request by the Borrower for a Borrowing in accordance with </w:t>
      </w:r>
      <w:r>
        <w:rPr>
          <w:rFonts w:ascii="Times New Roman" w:hAnsi="Times New Roman"/>
          <w:sz w:val="17"/>
          <w:u w:val="single"/>
        </w:rPr>
        <w:t>Section 2.03</w:t>
      </w:r>
      <w:r>
        <w:rPr>
          <w:rFonts w:ascii="Times New Roman" w:hAnsi="Times New Roman"/>
          <w:sz w:val="17"/>
        </w:rPr>
        <w:t xml:space="preserve"> and being in the form attached hereto as </w:t>
      </w:r>
      <w:r>
        <w:rPr>
          <w:rFonts w:ascii="Times New Roman" w:hAnsi="Times New Roman"/>
          <w:sz w:val="17"/>
          <w:u w:val="single"/>
        </w:rPr>
        <w:t>Exhibit 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Business Day</w:t>
      </w:r>
      <w:r>
        <w:rPr>
          <w:rFonts w:ascii="Times New Roman" w:hAnsi="Times New Roman"/>
          <w:sz w:val="17"/>
        </w:rPr>
        <w:t xml:space="preserve"> means any day that is not a Saturday, Sunday or other day on which commercial banks in New York City or Houston are authorized or required by law to remain closed; </w:t>
      </w:r>
      <w:r>
        <w:rPr>
          <w:rFonts w:ascii="Times New Roman" w:hAnsi="Times New Roman"/>
          <w:sz w:val="17"/>
          <w:u w:val="single"/>
        </w:rPr>
        <w:t>provided</w:t>
      </w:r>
      <w:r>
        <w:rPr>
          <w:rFonts w:ascii="Times New Roman" w:hAnsi="Times New Roman"/>
          <w:sz w:val="17"/>
        </w:rPr>
        <w:t xml:space="preserve"> that, when used in connection with a Eurodollar Loan, the term </w:t>
      </w:r>
      <w:r>
        <w:rPr>
          <w:rFonts w:ascii="Times New Roman" w:hAnsi="Times New Roman"/>
          <w:sz w:val="17"/>
          <w:u w:val="single"/>
        </w:rPr>
        <w:t>Business Day</w:t>
      </w:r>
      <w:r>
        <w:rPr>
          <w:rFonts w:ascii="Times New Roman" w:hAnsi="Times New Roman"/>
          <w:sz w:val="17"/>
        </w:rPr>
        <w:t> shall also exclude any day on which banks are not open for dealings in dollar deposits in the London interbank market.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CERCLA</w:t>
      </w:r>
      <w:r>
        <w:rPr>
          <w:rFonts w:ascii="Times New Roman" w:hAnsi="Times New Roman"/>
          <w:sz w:val="17"/>
        </w:rPr>
        <w:t> means the Comprehensive Environmental, Response, Compensation, and Liability Act of 1980,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Change in Law</w:t>
      </w:r>
      <w:r>
        <w:rPr>
          <w:rFonts w:ascii="Times New Roman" w:hAnsi="Times New Roman"/>
          <w:sz w:val="17"/>
        </w:rPr>
        <w:t xml:space="preserve"> means the occurrence, after the date of this Agreement, of any of the following:  (a) the adoption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sz w:val="17"/>
          <w:u w:val="single"/>
        </w:rPr>
        <w:t>provided</w:t>
      </w:r>
      <w:r>
        <w:rPr>
          <w:rFonts w:ascii="Times New Roman" w:hAnsi="Times New Roman"/>
          <w:sz w:val="17"/>
        </w:rPr>
        <w:t xml:space="preserve"> that notwithstanding anything contained herein to the contrary, (x) the Dodd-Frank Wall Street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185" w:name="15636-2-LM-01_PB_3_012348_3020"/>
      <w:bookmarkEnd w:id="18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a Change in Law, regardless of the date enacted, adopted or issued.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Change in Control</w:t>
      </w:r>
      <w:r>
        <w:rPr>
          <w:rFonts w:ascii="Times New Roman" w:hAnsi="Times New Roman"/>
          <w:sz w:val="17"/>
        </w:rPr>
        <w:t xml:space="preserve"> means the acquisition of more than 50% of the Equity Interest in the general partner of the Borrower by a Person that is not a Current Owner if (i) the Equity Interest held by such Person gives such Person the right to elect more than half of the members of the Board of Directors, (ii) such Person exercises its right to elect more than half of the members of the Board of Directors and (iii) giving effect to such election, more than half of the members of the Board of Directors are not Continuing Directors; </w:t>
      </w:r>
      <w:r>
        <w:rPr>
          <w:rFonts w:ascii="Times New Roman" w:hAnsi="Times New Roman"/>
          <w:sz w:val="17"/>
          <w:u w:val="single"/>
        </w:rPr>
        <w:t>provided</w:t>
      </w:r>
      <w:r>
        <w:rPr>
          <w:rFonts w:ascii="Times New Roman" w:hAnsi="Times New Roman"/>
          <w:sz w:val="17"/>
        </w:rPr>
        <w:t>, however, that such an acquisition by Plains GP Holdings, L.P. (or any Affiliate of Plains GP Holdings, L.P.) shall not constitute a Change in Control for purposes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Class</w:t>
      </w:r>
      <w:r>
        <w:rPr>
          <w:rFonts w:ascii="Times New Roman" w:hAnsi="Times New Roman"/>
          <w:sz w:val="17"/>
        </w:rPr>
        <w:t>, when used in reference to any Loan or Borrowing, refers to whether such Loan, or the Loans comprising such Borrowing, are Revolving Loans or Term Loans and, when used in reference to any Commitment, refers to whether such Commitment is a Revolving Commitment or a Term Commitment.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Co-Syndication Agents</w:t>
      </w:r>
      <w:r>
        <w:rPr>
          <w:rFonts w:ascii="Times New Roman" w:hAnsi="Times New Roman"/>
          <w:sz w:val="17"/>
        </w:rPr>
        <w:t> means each of JPMorgan Chase Bank, National Association, Bank of America, N.A., Mizuho Corporate Bank, Ltd. and DNB Bank ASA, New York Branch.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Code</w:t>
      </w:r>
      <w:r>
        <w:rPr>
          <w:rFonts w:ascii="Times New Roman" w:hAnsi="Times New Roman"/>
          <w:sz w:val="17"/>
        </w:rPr>
        <w:t> means the Internal Revenue Code of 1986, as amended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Collateral</w:t>
      </w:r>
      <w:r>
        <w:rPr>
          <w:rFonts w:ascii="Times New Roman" w:hAnsi="Times New Roman"/>
          <w:sz w:val="17"/>
        </w:rPr>
        <w:t> means all of the assets described in the Security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Commitment</w:t>
      </w:r>
      <w:r>
        <w:rPr>
          <w:rFonts w:ascii="Times New Roman" w:hAnsi="Times New Roman"/>
          <w:sz w:val="17"/>
        </w:rPr>
        <w:t> means, with respect to each Lender, such Lenders Revolving Commitment or Term Loan Commitment,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Commitment Increase Agreement</w:t>
      </w:r>
      <w:r>
        <w:rPr>
          <w:rFonts w:ascii="Times New Roman" w:hAnsi="Times New Roman"/>
          <w:sz w:val="17"/>
        </w:rPr>
        <w:t xml:space="preserve"> has the meaning assigned to such term in </w:t>
      </w:r>
      <w:r>
        <w:rPr>
          <w:rFonts w:ascii="Times New Roman" w:hAnsi="Times New Roman"/>
          <w:sz w:val="17"/>
          <w:u w:val="single"/>
        </w:rPr>
        <w:t>Section 2.20</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consolidated</w:t>
      </w:r>
      <w:r>
        <w:rPr>
          <w:rFonts w:ascii="Times New Roman" w:hAnsi="Times New Roman"/>
          <w:sz w:val="17"/>
        </w:rPr>
        <w:t> when used in relation to the Borrower, excludes any reference to, or inclusion of, the PAA Entities and their respective assets, liabilities, financial condition and results of operations, except as otherwise expressly set forth 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Consolidated EBITDA</w:t>
      </w:r>
      <w:r>
        <w:rPr>
          <w:rFonts w:ascii="Times New Roman" w:hAnsi="Times New Roman"/>
          <w:sz w:val="17"/>
        </w:rPr>
        <w:t xml:space="preserve"> means for any applicable period, without duplication, the sum of (i) the amount of the distributions payable with respect to such period by PAA or any of the other PAA Entities to the Borrower or its Subsidiaries and which are actually made on or prior to the date the financial statements with respect to such period referred to in </w:t>
      </w:r>
      <w:r>
        <w:rPr>
          <w:rFonts w:ascii="Times New Roman" w:hAnsi="Times New Roman"/>
          <w:sz w:val="17"/>
          <w:u w:val="single"/>
        </w:rPr>
        <w:t>Section 5.01</w:t>
      </w:r>
      <w:r>
        <w:rPr>
          <w:rFonts w:ascii="Times New Roman" w:hAnsi="Times New Roman"/>
          <w:sz w:val="17"/>
        </w:rPr>
        <w:t xml:space="preserve"> are required to be furnished by the Borrower, plus (ii) operating income of the Borrower and its consolidated Subsidiaries for such period, plus (iii) depreciation and amortization for such period, plus (iv) cash distributions or dividends received by the Borrower and its Subsidiaries during such period from Persons not consolidated with the Borrower, plus (v) other cash income received by the Borrower and its consolidated Subsidiaries during such period, minus (vi) operating lease expense and general and administrative expenses of the Borrower and 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186" w:name="15636-2-LM-01_PB_4_012405_7748"/>
      <w:bookmarkEnd w:id="18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consolidated Subsidiaries for such period to the extent not already deducted in the calculation of operating income, determined in each case, on a consolidated basis in accordance with GAAP.  Consolidated EBITDA will not include any extraordinary, unusual or non-recurring gains or losses from asset sales, non-cash items of revenues or expense, or the operating activities or results of the PAA Entities except to the extent of cash distributions noted in clause (i) above.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For purposes of determining compliance with </w:t>
      </w:r>
      <w:r>
        <w:rPr>
          <w:rFonts w:ascii="Times New Roman" w:hAnsi="Times New Roman"/>
          <w:sz w:val="17"/>
          <w:u w:val="single"/>
        </w:rPr>
        <w:t>Sections 6.06</w:t>
      </w:r>
      <w:r>
        <w:rPr>
          <w:rFonts w:ascii="Times New Roman" w:hAnsi="Times New Roman"/>
          <w:sz w:val="17"/>
        </w:rPr>
        <w:t>, if since the beginning of an applicable period ending on the date for which Consolidated EBITDA is determined, the Borrower or its Subsidiaries have made any disposition or acquisition that would result in an increase or decrease in Consolidated EBITDA, then Consolidated EBITDA shall be calculated giving pro forma effect as if such disposition or acquisition had occurred on the first day of such period, as determined (y) in good faith by a Vice President or Financial Officer of the Borrower, and (z) without giving effect to any anticipated or proposed changes in operations, revenues, expenses, or other items included in the computation of Consolidated EBITDA.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Consolidated Indebtedness</w:t>
      </w:r>
      <w:r>
        <w:rPr>
          <w:rFonts w:ascii="Times New Roman" w:hAnsi="Times New Roman"/>
          <w:sz w:val="17"/>
        </w:rPr>
        <w:t> means for any period, the Indebtedness of the Borrower and its consolidated Subsidiaries, determined on a consolidated basis for such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Consolidated Net Worth</w:t>
      </w:r>
      <w:r>
        <w:rPr>
          <w:rFonts w:ascii="Times New Roman" w:hAnsi="Times New Roman"/>
          <w:sz w:val="17"/>
        </w:rPr>
        <w:t> means as to any Person,  at any date of determination, the sum of preferred stock (if any), par value of common stock, capital in excess of par value of common stock, partners capital or equity, and retained earnings, less treasury stock (if any), of such Person, all as determined on a consolidated basis.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Continuing Directors</w:t>
      </w:r>
      <w:r>
        <w:rPr>
          <w:rFonts w:ascii="Times New Roman" w:hAnsi="Times New Roman"/>
          <w:sz w:val="17"/>
        </w:rPr>
        <w:t> means the members of the Board of Directors elected, appointed or otherwise designated by a Current Owner, the Current Owners or Plains GP Holdings, L.P. (or any Affiliate of Plains GP Holdings,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Control</w:t>
      </w:r>
      <w:r>
        <w:rPr>
          <w:rFonts w:ascii="Times New Roman" w:hAnsi="Times New Roman"/>
          <w:sz w:val="17"/>
        </w:rPr>
        <w:t> means the possession, directly or indirectly, of the power to direct or cause the direction of the management and policies of a Person, whether through the ability to exercise voting power, by contract or otherwise.  </w:t>
      </w:r>
      <w:r>
        <w:rPr>
          <w:rFonts w:ascii="Times New Roman" w:hAnsi="Times New Roman"/>
          <w:sz w:val="17"/>
          <w:u w:val="single"/>
        </w:rPr>
        <w:t>Controlling</w:t>
      </w:r>
      <w:r>
        <w:rPr>
          <w:rFonts w:ascii="Times New Roman" w:hAnsi="Times New Roman"/>
          <w:sz w:val="17"/>
        </w:rPr>
        <w:t> and </w:t>
      </w:r>
      <w:r>
        <w:rPr>
          <w:rFonts w:ascii="Times New Roman" w:hAnsi="Times New Roman"/>
          <w:sz w:val="17"/>
          <w:u w:val="single"/>
        </w:rPr>
        <w:t>Controlled</w:t>
      </w:r>
      <w:r>
        <w:rPr>
          <w:rFonts w:ascii="Times New Roman" w:hAnsi="Times New Roman"/>
          <w:sz w:val="17"/>
        </w:rPr>
        <w:t> have meanings correlative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Current Owner</w:t>
      </w:r>
      <w:r>
        <w:rPr>
          <w:rFonts w:ascii="Times New Roman" w:hAnsi="Times New Roman"/>
          <w:sz w:val="17"/>
        </w:rPr>
        <w:t> means an owner as of the date hereof of an Equity Interest in the general partner of the Borrower and any Affiliate of such owner.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Debtor Relief Laws</w:t>
      </w:r>
      <w:r>
        <w:rPr>
          <w:rFonts w:ascii="Times New Roman" w:hAnsi="Times New Roman"/>
          <w:sz w:val="17"/>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Default</w:t>
      </w:r>
      <w:r>
        <w:rPr>
          <w:rFonts w:ascii="Times New Roman" w:hAnsi="Times New Roman"/>
          <w:sz w:val="17"/>
        </w:rPr>
        <w:t> means any event or condition which constitutes an Event of Default or which upon notice, lapse of time or both would, unless cured or waived, become an Event of Default.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Defaulting Lender</w:t>
      </w:r>
      <w:r>
        <w:rPr>
          <w:rFonts w:ascii="Times New Roman" w:hAnsi="Times New Roman"/>
          <w:sz w:val="17"/>
        </w:rPr>
        <w:t xml:space="preserve"> means, subject to </w:t>
      </w:r>
      <w:r>
        <w:rPr>
          <w:rFonts w:ascii="Times New Roman" w:hAnsi="Times New Roman"/>
          <w:sz w:val="17"/>
          <w:u w:val="single"/>
        </w:rPr>
        <w:t>Section 2.06(b)</w:t>
      </w:r>
      <w:r>
        <w:rPr>
          <w:rFonts w:ascii="Times New Roman" w:hAnsi="Times New Roman"/>
          <w:sz w:val="17"/>
        </w:rPr>
        <w:t>, any Lender that, as determined by the Administrative Agent, (a) has failed to fund any of its funding obligations hereunder in respect of its Loans within two Business Days of the date required to be funded by it hereunder, or has failed to make any payment to the Administrative Agent required under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87" w:name="15636-2-LM-01_PB_5_012430_141"/>
      <w:bookmarkEnd w:id="18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within the time specified therein, and the Administrative Agent shall have exercised its indemnification right against any Borrower pursuant to </w:t>
      </w:r>
      <w:r>
        <w:rPr>
          <w:rFonts w:ascii="Times New Roman" w:hAnsi="Times New Roman"/>
          <w:sz w:val="17"/>
          <w:u w:val="single"/>
        </w:rPr>
        <w:t>Section 2.17</w:t>
      </w:r>
      <w:r>
        <w:rPr>
          <w:rFonts w:ascii="Times New Roman" w:hAnsi="Times New Roman"/>
          <w:sz w:val="17"/>
        </w:rPr>
        <w:t xml:space="preserve">, (b) has notified the Borrower or the Administrative Agent that it does not intend to comply with its funding obligations hereunder or has made a public statement to that effect with respect to its funding obligations hereunder or under other agreements in which it commits to extend credit, (c) has failed, within two Business Days after request by the Administrative Agent, to confirm in a manner satisfactory to the Administrative Agent that it will comply with its funding obligations 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Times New Roman" w:hAnsi="Times New Roman"/>
          <w:sz w:val="17"/>
          <w:u w:val="single"/>
        </w:rPr>
        <w:t>provided</w:t>
      </w:r>
      <w:r>
        <w:rPr>
          <w:rFonts w:ascii="Times New Roman" w:hAnsi="Times New Roman"/>
          <w:sz w:val="17"/>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permits such Lender (or Governmental Authority) to reject, repudiate, disavow or disaffirm any contracts or agreements made by such Lender.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Disclosed Matters</w:t>
      </w:r>
      <w:r>
        <w:rPr>
          <w:rFonts w:ascii="Times New Roman" w:hAnsi="Times New Roman"/>
          <w:sz w:val="17"/>
        </w:rPr>
        <w:t xml:space="preserve"> means the actions, suits and proceedings and the environmental matters disclosed in </w:t>
      </w:r>
      <w:r>
        <w:rPr>
          <w:rFonts w:ascii="Times New Roman" w:hAnsi="Times New Roman"/>
          <w:sz w:val="17"/>
          <w:u w:val="single"/>
        </w:rPr>
        <w:t>Schedules 3.06</w:t>
      </w:r>
      <w:r>
        <w:rPr>
          <w:rFonts w:ascii="Times New Roman" w:hAnsi="Times New Roman"/>
          <w:sz w:val="17"/>
        </w:rPr>
        <w:t xml:space="preserve">, </w:t>
      </w:r>
      <w:r>
        <w:rPr>
          <w:rFonts w:ascii="Times New Roman" w:hAnsi="Times New Roman"/>
          <w:sz w:val="17"/>
          <w:u w:val="single"/>
        </w:rPr>
        <w:t>3.07</w:t>
      </w:r>
      <w:r>
        <w:rPr>
          <w:rFonts w:ascii="Times New Roman" w:hAnsi="Times New Roman"/>
          <w:sz w:val="17"/>
        </w:rPr>
        <w:t xml:space="preserve"> and </w:t>
      </w:r>
      <w:r>
        <w:rPr>
          <w:rFonts w:ascii="Times New Roman" w:hAnsi="Times New Roman"/>
          <w:sz w:val="17"/>
          <w:u w:val="single"/>
        </w:rPr>
        <w:t>3.10</w:t>
      </w:r>
      <w:r>
        <w:rPr>
          <w:rFonts w:ascii="Times New Roman" w:hAnsi="Times New Roman"/>
          <w:sz w:val="17"/>
        </w:rPr>
        <w:t xml:space="preserve"> and from time to time disclosed pursuant to </w:t>
      </w:r>
      <w:r>
        <w:rPr>
          <w:rFonts w:ascii="Times New Roman" w:hAnsi="Times New Roman"/>
          <w:sz w:val="17"/>
          <w:u w:val="single"/>
        </w:rPr>
        <w:t>Section 5.02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dollars</w:t>
      </w:r>
      <w:r>
        <w:rPr>
          <w:rFonts w:ascii="Times New Roman" w:hAnsi="Times New Roman"/>
          <w:sz w:val="17"/>
        </w:rPr>
        <w:t> or </w:t>
      </w:r>
      <w:r>
        <w:rPr>
          <w:rFonts w:ascii="Times New Roman" w:hAnsi="Times New Roman"/>
          <w:sz w:val="17"/>
          <w:u w:val="single"/>
        </w:rPr>
        <w:t>$</w:t>
      </w:r>
      <w:r>
        <w:rPr>
          <w:rFonts w:ascii="Times New Roman" w:hAnsi="Times New Roman"/>
          <w:sz w:val="17"/>
        </w:rPr>
        <w:t> refers to lawful money of the United States of America.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EDGAR</w:t>
      </w:r>
      <w:r>
        <w:rPr>
          <w:rFonts w:ascii="Times New Roman" w:hAnsi="Times New Roman"/>
          <w:sz w:val="17"/>
        </w:rPr>
        <w:t> means the Electronic Data Gathering, Analysis, and Retrieval computer system for the receipt, acceptance, review and dissemination of documents submitted to the SEC in electronic format.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Effective Date</w:t>
      </w:r>
      <w:r>
        <w:rPr>
          <w:rFonts w:ascii="Times New Roman" w:hAnsi="Times New Roman"/>
          <w:sz w:val="17"/>
        </w:rPr>
        <w:t xml:space="preserve"> means the date specified in the notice referred to in </w:t>
      </w:r>
      <w:r>
        <w:rPr>
          <w:rFonts w:ascii="Times New Roman" w:hAnsi="Times New Roman"/>
          <w:sz w:val="17"/>
          <w:u w:val="single"/>
        </w:rPr>
        <w:t>Section 4.01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Environmental Laws</w:t>
      </w:r>
      <w:r>
        <w:rPr>
          <w:rFonts w:ascii="Times New Roman" w:hAnsi="Times New Roman"/>
          <w:sz w:val="17"/>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Environmental Liability</w:t>
      </w:r>
      <w:r>
        <w:rPr>
          <w:rFonts w:ascii="Times New Roman" w:hAnsi="Times New Roman"/>
          <w:sz w:val="17"/>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88" w:name="15636-2-LM-01_PB_6_012445_7608"/>
      <w:bookmarkEnd w:id="188"/>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Equity Interest</w:t>
      </w:r>
      <w:r>
        <w:rPr>
          <w:rFonts w:ascii="Times New Roman" w:hAnsi="Times New Roman"/>
          <w:sz w:val="17"/>
        </w:rPr>
        <w:t> means shares of the capital stock, partnership interests, membership interests in a limited liability company, beneficial interests in a trust or other equity interests in any Person, or any warrants, options or other rights to acquire such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ERISA</w:t>
      </w:r>
      <w:r>
        <w:rPr>
          <w:rFonts w:ascii="Times New Roman" w:hAnsi="Times New Roman"/>
          <w:sz w:val="17"/>
        </w:rPr>
        <w:t> means the Employee Retirement Income Security Act of 1974, as amended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ERISA Affiliate</w:t>
      </w:r>
      <w:r>
        <w:rPr>
          <w:rFonts w:ascii="Times New Roman" w:hAnsi="Times New Roman"/>
          <w:sz w:val="17"/>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ERISA Event</w:t>
      </w:r>
      <w:r>
        <w:rPr>
          <w:rFonts w:ascii="Times New Roman" w:hAnsi="Times New Roman"/>
          <w:sz w:val="17"/>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Eurocurrency Liabilities</w:t>
      </w:r>
      <w:r>
        <w:rPr>
          <w:rFonts w:ascii="Times New Roman" w:hAnsi="Times New Roman"/>
          <w:sz w:val="17"/>
        </w:rPr>
        <w:t> has the meaning assigned to that term in Regulation D of the Board, as in effect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Eurodollar</w:t>
      </w:r>
      <w:r>
        <w:rPr>
          <w:rFonts w:ascii="Times New Roman" w:hAnsi="Times New Roman"/>
          <w:sz w:val="17"/>
        </w:rPr>
        <w:t> when used in reference to any Loan or Borrowing, refers to a Loan, or Loans, in the case of a Borrowing, which bear interest at a rate determined by reference to the LIBO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Eurodollar Rate Reserve Percentage</w:t>
      </w:r>
      <w:r>
        <w:rPr>
          <w:rFonts w:ascii="Times New Roman" w:hAnsi="Times New Roman"/>
          <w:sz w:val="17"/>
        </w:rPr>
        <w:t> of any Lender for any Interest Period for each Eurodollar Borrowing means the reserve percentage applicable during such Interest Period (or if more than one such percentage shall be so applicable, the daily average of such percentages for those days in such Interest Period during which any such percentage shall be so applicable) under regulations issued from time to time by the Board for determining the maximum reserve requirement (including, without limitation, any emergency, supplemental or other marginal reserve requirement) for such Lender with respect to liabilities or assets consisting of or including Eurocurrency Liabilities having a term equal to such Interest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Event of Default</w:t>
      </w:r>
      <w:r>
        <w:rPr>
          <w:rFonts w:ascii="Times New Roman" w:hAnsi="Times New Roman"/>
          <w:sz w:val="17"/>
        </w:rPr>
        <w:t xml:space="preserve"> has the meaning assigned to such term in </w:t>
      </w:r>
      <w:r>
        <w:rPr>
          <w:rFonts w:ascii="Times New Roman" w:hAnsi="Times New Roman"/>
          <w:sz w:val="17"/>
          <w:u w:val="single"/>
        </w:rPr>
        <w:t>ARTICLE VII</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89" w:name="15636-2-LM-03_PB_7_012931_7056"/>
      <w:bookmarkEnd w:id="18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Excluded Taxes</w:t>
      </w:r>
      <w:r>
        <w:rPr>
          <w:rFonts w:ascii="Times New Roman" w:hAnsi="Times New Roman"/>
          <w:sz w:val="17"/>
        </w:rPr>
        <w:t xml:space="preserve"> means, with respect to the Administrative Agent, any Lender or any other recipient of any payment to be made by or on account of any obligation of the Borrower hereunder, (a) income or franchise taxes (however denominated) imposed on (or measured by) its net income or revenue by the United States of America, by any state thereof or the District of Columbia or by the jurisdiction under the laws of which such recipient is organized or in which its principal office is located or, in the case of any Lender, in which its applicable lending office is located, (b) any branch profits taxes imposed by the United States of America, any state thereof or the District of Columbia or any similar tax imposed by any other jurisdiction in which the recipient is located, (c) in the case of a Lender (other than an assignee pursuant to a request by the Borrower under </w:t>
      </w:r>
      <w:r>
        <w:rPr>
          <w:rFonts w:ascii="Times New Roman" w:hAnsi="Times New Roman"/>
          <w:sz w:val="17"/>
          <w:u w:val="single"/>
        </w:rPr>
        <w:t>Section 2.19(b)</w:t>
      </w:r>
      <w:r>
        <w:rPr>
          <w:rFonts w:ascii="Times New Roman" w:hAnsi="Times New Roman"/>
          <w:sz w:val="17"/>
        </w:rPr>
        <w:t xml:space="preserve">), any withholding tax that is imposed on amounts payable to such Lender at the time such Lender becomes a party to this Agreement (or designates a new lending office) or is attributable to such Lenders failure or inability to comply with </w:t>
      </w:r>
      <w:r>
        <w:rPr>
          <w:rFonts w:ascii="Times New Roman" w:hAnsi="Times New Roman"/>
          <w:sz w:val="17"/>
          <w:u w:val="single"/>
        </w:rPr>
        <w:t>Section 2.17(e)</w:t>
      </w:r>
      <w:r>
        <w:rPr>
          <w:rFonts w:ascii="Times New Roman" w:hAnsi="Times New Roman"/>
          <w:sz w:val="17"/>
        </w:rPr>
        <w:t xml:space="preserve">; provided that with respect to an additional interest in a Loan acquired by a Lender as an assignee, such Lender shall be entitled to receive additional amounts from the Borrower pursuant to </w:t>
      </w:r>
      <w:r>
        <w:rPr>
          <w:rFonts w:ascii="Times New Roman" w:hAnsi="Times New Roman"/>
          <w:sz w:val="17"/>
          <w:u w:val="single"/>
        </w:rPr>
        <w:t>Section 2.17(a)</w:t>
      </w:r>
      <w:r>
        <w:rPr>
          <w:rFonts w:ascii="Times New Roman" w:hAnsi="Times New Roman"/>
          <w:sz w:val="17"/>
        </w:rPr>
        <w:t xml:space="preserve"> with respect to such additional interest only to the extent that the assignor was entitled, at the time of such assignment, to receive additional amounts from the Borrower pursuant to </w:t>
      </w:r>
      <w:r>
        <w:rPr>
          <w:rFonts w:ascii="Times New Roman" w:hAnsi="Times New Roman"/>
          <w:sz w:val="17"/>
          <w:u w:val="single"/>
        </w:rPr>
        <w:t>Section 2.17(a)</w:t>
      </w:r>
      <w:r>
        <w:rPr>
          <w:rFonts w:ascii="Times New Roman" w:hAnsi="Times New Roman"/>
          <w:sz w:val="17"/>
        </w:rPr>
        <w:t>, and (d) any U.S. federal withholding taxes imposed under FATCA.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Existing Credit Agreement</w:t>
      </w:r>
      <w:r>
        <w:rPr>
          <w:rFonts w:ascii="Times New Roman" w:hAnsi="Times New Roman"/>
          <w:sz w:val="17"/>
        </w:rPr>
        <w:t> has the meaning specified in the recitals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FATCA</w:t>
      </w:r>
      <w:r>
        <w:rPr>
          <w:rFonts w:ascii="Times New Roman" w:hAnsi="Times New Roman"/>
          <w:sz w:val="17"/>
        </w:rPr>
        <w:t> means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Federal Funds Effective Rate</w:t>
      </w:r>
      <w:r>
        <w:rPr>
          <w:rFonts w:ascii="Times New Roman" w:hAnsi="Times New Roman"/>
          <w:sz w:val="17"/>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Financial Officer</w:t>
      </w:r>
      <w:r>
        <w:rPr>
          <w:rFonts w:ascii="Times New Roman" w:hAnsi="Times New Roman"/>
          <w:sz w:val="17"/>
        </w:rPr>
        <w:t> means the chief financial officer, financial vice president (howsoever designated), principal accounting officer, treasurer or controller of the Borrower.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Foreign Lender</w:t>
      </w:r>
      <w:r>
        <w:rPr>
          <w:rFonts w:ascii="Times New Roman" w:hAnsi="Times New Roman"/>
          <w:sz w:val="17"/>
        </w:rPr>
        <w:t> means any Lender that is organized under the laws of a jurisdiction other than the United States of America, any state thereof or the District of Columbia.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GAAP</w:t>
      </w:r>
      <w:r>
        <w:rPr>
          <w:rFonts w:ascii="Times New Roman" w:hAnsi="Times New Roman"/>
          <w:sz w:val="17"/>
        </w:rPr>
        <w:t> means generally accepted accounting principles in the United States of America.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Governmental Authority</w:t>
      </w:r>
      <w:r>
        <w:rPr>
          <w:rFonts w:ascii="Times New Roman" w:hAnsi="Times New Roman"/>
          <w:sz w:val="17"/>
        </w:rPr>
        <w:t xml:space="preserve">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90" w:name="15636-2-LM-03_PB_8_012945_5335"/>
      <w:bookmarkEnd w:id="19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pertaining to government (including any supra-national bodies such as the European Union or the European Central Bank).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Hazardous Materials</w:t>
      </w:r>
      <w:r>
        <w:rPr>
          <w:rFonts w:ascii="Times New Roman" w:hAnsi="Times New Roman"/>
          <w:sz w:val="17"/>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in each case regulated pursuant to any Environmental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Indebtedness</w:t>
      </w:r>
      <w:r>
        <w:rPr>
          <w:rFonts w:ascii="Times New Roman" w:hAnsi="Times New Roman"/>
          <w:sz w:val="17"/>
        </w:rPr>
        <w:t xml:space="preserve"> of any Person means, without duplication, (a) all obligations of such Person for the repayment of money borrowed which are or should be shown on a balance sheet as debt in accordance with GAAP, (b) obligations of such Person as lessee under leases which, in accordance with GAAP, are capital leases, other than Operating Leases, (c) guaranties of such Person of payment or collection of any obligations described in clauses (a) and (b) of other Persons; provided, that clauses (a) and (b) include, in the case of obligations of the Borrower or any Subsidiary, only such obligations as are or should be shown as debt or capital lease liabilities on a consolidated balance sheet of the Borrower in accordance with GAAP, and (d) all obligations of such Person under any synthetic lease, tax retention operating lease, off-balance sheet loan or similar off-balance sheet financing if the obligation under such synthetic lease, tax retention operating lease, off-balance sheet loan or similar off-balance sheet financing, as the case may be, is considered indebtedness for borrowed money for tax purposes but is classified as an operating lease in accordance with GAAP,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to the extent included in the foregoing clause (d), Operating Leases entered into in the ordinary course of business are excluded from this clause (d);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that the liability of any Person as a general partner of a partnership for Indebtedness of such partnership, shall not constitute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Indemnified Taxes</w:t>
      </w:r>
      <w:r>
        <w:rPr>
          <w:rFonts w:ascii="Times New Roman" w:hAnsi="Times New Roman"/>
          <w:sz w:val="17"/>
        </w:rPr>
        <w:t> means Taxes other than Excluded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Interest Election Request</w:t>
      </w:r>
      <w:r>
        <w:rPr>
          <w:rFonts w:ascii="Times New Roman" w:hAnsi="Times New Roman"/>
          <w:sz w:val="17"/>
        </w:rPr>
        <w:t xml:space="preserve"> means a request by the Borrower to convert or continue a Borrowing in accordance with </w:t>
      </w:r>
      <w:r>
        <w:rPr>
          <w:rFonts w:ascii="Times New Roman" w:hAnsi="Times New Roman"/>
          <w:sz w:val="17"/>
          <w:u w:val="single"/>
        </w:rPr>
        <w:t>Section 2.08</w:t>
      </w:r>
      <w:r>
        <w:rPr>
          <w:rFonts w:ascii="Times New Roman" w:hAnsi="Times New Roman"/>
          <w:sz w:val="17"/>
        </w:rPr>
        <w:t xml:space="preserve">, and being in the form of attached </w:t>
      </w:r>
      <w:r>
        <w:rPr>
          <w:rFonts w:ascii="Times New Roman" w:hAnsi="Times New Roman"/>
          <w:sz w:val="17"/>
          <w:u w:val="single"/>
        </w:rPr>
        <w:t>Exhibit 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Interest Payment Date</w:t>
      </w:r>
      <w:r>
        <w:rPr>
          <w:rFonts w:ascii="Times New Roman" w:hAnsi="Times New Roman"/>
          <w:sz w:val="17"/>
        </w:rPr>
        <w:t> means (a) with respect to any ABR Loan, each Quarterly Date, and (b) with respect to any Eurodollar Loan, the last day of the Interest Period applicable to the Borrowing of which such Loan is a part and, in the case of a Eurodollar Borrowing with an Interest Period of more than three (3) months duration, each day prior to the last day of such Interest Period that occurs at intervals of three months duration after the first day of such Interest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Interest Period</w:t>
      </w:r>
      <w:r>
        <w:rPr>
          <w:rFonts w:ascii="Times New Roman" w:hAnsi="Times New Roman"/>
          <w:sz w:val="17"/>
        </w:rPr>
        <w:t xml:space="preserve"> means, with respect to any Eurodollar Borrowing, the period commencing on the date of such Borrowing and ending on the numerically corresponding day in the calendar month that is seven (7) days (to the extent available to all Lenders) or one, two, three or six months thereafter, as the Borrower may elect; </w:t>
      </w:r>
      <w:r>
        <w:rPr>
          <w:rFonts w:ascii="Times New Roman" w:hAnsi="Times New Roman"/>
          <w:sz w:val="17"/>
          <w:u w:val="single"/>
        </w:rPr>
        <w:t>provided</w:t>
      </w:r>
      <w:r>
        <w:rPr>
          <w:rFonts w:ascii="Times New Roman" w:hAnsi="Times New Roman"/>
          <w:sz w:val="17"/>
        </w:rPr>
        <w:t xml:space="preserve">, that (a) if any Interest Period would end on a day other than a Business Day, such Interest Period shall be extended to the next succeeding Business Day unless, in the case of a Eurodollar Borrowing only, such next succeeding Business Day would fall in the next calendar month, in which case such Interest Period shall end on the next preceding Business Day and (b) any Interest Period pertaining to a Eurodollar Borrowing that commences on the last Business Day of a calendar month (or on a day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191" w:name="15636-2-LM-03_PB_9_012959_5796"/>
      <w:bookmarkEnd w:id="19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Joint Arrangers and Joint Bookrunners</w:t>
      </w:r>
      <w:r>
        <w:rPr>
          <w:rFonts w:ascii="Times New Roman" w:hAnsi="Times New Roman"/>
          <w:sz w:val="17"/>
        </w:rPr>
        <w:t> means each of Citigroup Global Markets Inc., J.P. Morgan Securities LLC, Merrill Lynch, Pierce, Fenner &amp; Smith, Incorporated, Mizuho Corporate Bank, Ltd. and DNB Markets, Inc.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Lenders</w:t>
      </w:r>
      <w:r>
        <w:rPr>
          <w:rFonts w:ascii="Times New Roman" w:hAnsi="Times New Roman"/>
          <w:sz w:val="17"/>
        </w:rPr>
        <w:t xml:space="preserve"> means the Persons listed on </w:t>
      </w:r>
      <w:r>
        <w:rPr>
          <w:rFonts w:ascii="Times New Roman" w:hAnsi="Times New Roman"/>
          <w:sz w:val="17"/>
          <w:u w:val="single"/>
        </w:rPr>
        <w:t>Schedule 2.01</w:t>
      </w:r>
      <w:r>
        <w:rPr>
          <w:rFonts w:ascii="Times New Roman" w:hAnsi="Times New Roman"/>
          <w:sz w:val="17"/>
        </w:rPr>
        <w:t xml:space="preserve"> and any other Person that shall have become a party hereto pursuant to (i) an Assignment and Acceptance, other than any such Person that ceases to be a party hereto pursuant to an Assignment and Acceptance or (ii) a New Lender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Leverage Ratio</w:t>
      </w:r>
      <w:r>
        <w:rPr>
          <w:rFonts w:ascii="Times New Roman" w:hAnsi="Times New Roman"/>
          <w:sz w:val="17"/>
        </w:rPr>
        <w:t> means the ratio of Consolidated Indebtedness as of the last day of a fiscal quarter to Consolidated EBITDA for the applicable period ending on such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LIBO Rate</w:t>
      </w:r>
      <w:r>
        <w:rPr>
          <w:rFonts w:ascii="Times New Roman" w:hAnsi="Times New Roman"/>
          <w:sz w:val="17"/>
        </w:rPr>
        <w:t> means for any Interest Period with respect to a Eurodollar Borrowing, the rate per annum equal to (i) the British Bankers Association LIBOR Rate (</w:t>
      </w:r>
      <w:r>
        <w:rPr>
          <w:rFonts w:ascii="Times New Roman" w:hAnsi="Times New Roman"/>
          <w:sz w:val="17"/>
          <w:u w:val="single"/>
        </w:rPr>
        <w:t>BBA LIBOR</w:t>
      </w:r>
      <w:r>
        <w:rPr>
          <w:rFonts w:ascii="Times New Roman" w:hAnsi="Times New Roman"/>
          <w:sz w:val="17"/>
        </w:rPr>
        <w:t>), as published by Reuters (or such other commercially available source providing quotations of BBA LIBOR as may be designated by the Administrative Agent from time to time) at approximately 12:00 p.m., London time, two Business Days prior to the commencement of such Interest Period, for dollar deposits (for delivery on the first day of such Interest Period) with a term equivalent to such Interest Period or (ii) if such rate is not available at such time for any reason, the rate per annum determined by the Administrative Agent to be the rate at which dollar deposits for delivery on the first day of such Interest Period in immediately available funds in the approximate amount of the Eurodollar Loan being made, continued or converted and with a term equivalent to such Interest Period would be offered by Administrative Agents London branch (or other Citibank, N.A. branch or Affiliate) to major banks in the London or other offshore interbank market for such currency at their request at approximately 12:00 p.m. (London time) two Business Days prior to the commencement of such Interest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Lien</w:t>
      </w:r>
      <w:r>
        <w:rPr>
          <w:rFonts w:ascii="Times New Roman" w:hAnsi="Times New Roman"/>
          <w:sz w:val="17"/>
        </w:rPr>
        <w:t> means, with respect to any asset, (a) any mortgage, deed of trust, lien, pledge, hypothecation, encumbrance, charge or security interest in, on or of such asset, (b) the interest of a vendor or a lessor under any conditional sale agreement, capital lease or title retention agreement relating to such asset and (c) in the case of securities, any purchase option, call or similar right of a third party with respect to such securities.  For avoidance of doubt, (i) transfer restrictions that do not prevent the valid creation of security interests in the Collateral pursuant to the Security Instruments and do not prevent foreclosure on such security interests, and (ii) operating leases, shall not constitute Liens.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Loan Documents</w:t>
      </w:r>
      <w:r>
        <w:rPr>
          <w:rFonts w:ascii="Times New Roman" w:hAnsi="Times New Roman"/>
          <w:sz w:val="17"/>
        </w:rPr>
        <w:t xml:space="preserve"> means this Agreement, all promissory notes executed and delivered pursuant to </w:t>
      </w:r>
      <w:r>
        <w:rPr>
          <w:rFonts w:ascii="Times New Roman" w:hAnsi="Times New Roman"/>
          <w:sz w:val="17"/>
          <w:u w:val="single"/>
        </w:rPr>
        <w:t>Section 2.10(f)</w:t>
      </w:r>
      <w:r>
        <w:rPr>
          <w:rFonts w:ascii="Times New Roman" w:hAnsi="Times New Roman"/>
          <w:sz w:val="17"/>
        </w:rPr>
        <w:t xml:space="preserve">, the Security Instruments and the Borrowing Requests, together with any other document, instrument or agreement now or hereafter entered into by or at the request of the Borrower in connection with the Loans or any other Indebtedness under this Agreement,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92" w:name="15636-2-LM-03_PB_10_013013_2897"/>
      <w:bookmarkEnd w:id="19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such documents, instruments or agreements may be amended, supplemented, restated, or otherwise modified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Loans</w:t>
      </w:r>
      <w:r>
        <w:rPr>
          <w:rFonts w:ascii="Times New Roman" w:hAnsi="Times New Roman"/>
          <w:sz w:val="17"/>
        </w:rPr>
        <w:t> means the Revolving Loans and Term Loans made pursuant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Material Adverse Change</w:t>
      </w:r>
      <w:r>
        <w:rPr>
          <w:rFonts w:ascii="Times New Roman" w:hAnsi="Times New Roman"/>
          <w:sz w:val="17"/>
        </w:rPr>
        <w:t> means a material adverse change in the financial condition or results of operations of the Borrower and its consolidated Subsidiaries, taken as a whole, as indicated in the most recent quarterly or annual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Material Adverse Effect</w:t>
      </w:r>
      <w:r>
        <w:rPr>
          <w:rFonts w:ascii="Times New Roman" w:hAnsi="Times New Roman"/>
          <w:sz w:val="17"/>
        </w:rPr>
        <w:t> means a material adverse effect on financial condition or results of operations of the Borrower and its consolidated Subsidiaries, taken as a whole.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Material Indebtedness</w:t>
      </w:r>
      <w:r>
        <w:rPr>
          <w:rFonts w:ascii="Times New Roman" w:hAnsi="Times New Roman"/>
          <w:sz w:val="17"/>
        </w:rPr>
        <w:t> means, (i) with respect to Borrower, Indebtedness (other than the Loans), in an aggregate principal amount equal to $25,000,000 or more, and (ii) with respect to PAA, Indebtedness (other than in respect of the Loans), in an aggregate principal amount equal to $50,000,000 or more.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Material Subsidiary</w:t>
      </w:r>
      <w:r>
        <w:rPr>
          <w:rFonts w:ascii="Times New Roman" w:hAnsi="Times New Roman"/>
          <w:sz w:val="17"/>
        </w:rPr>
        <w:t> means each Subsidiary that, as of the last day of the fiscal year of the Borrower most recently ended prior to the relevant determination of Material Subsidiaries, has a net worth determined in accordance with GAAP that is greater than 10% of the Consolidated Net Worth of the Borrower as of such day.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Maturity Date</w:t>
      </w:r>
      <w:r>
        <w:rPr>
          <w:rFonts w:ascii="Times New Roman" w:hAnsi="Times New Roman"/>
          <w:sz w:val="17"/>
        </w:rPr>
        <w:t xml:space="preserve"> means, with respect to the Revolving Loans and the Term Loan, the fifth anniversary of the Effective Date, unless accelerated pursuant to </w:t>
      </w:r>
      <w:r>
        <w:rPr>
          <w:rFonts w:ascii="Times New Roman" w:hAnsi="Times New Roman"/>
          <w:sz w:val="17"/>
          <w:u w:val="single"/>
        </w:rPr>
        <w:t>ARTICLE VII</w:t>
      </w:r>
      <w:r>
        <w:rPr>
          <w:rFonts w:ascii="Times New Roman" w:hAnsi="Times New Roman"/>
          <w:sz w:val="17"/>
        </w:rPr>
        <w:t xml:space="preserve"> or, in respect to the Loans so extended, extended pursuant to </w:t>
      </w:r>
      <w:r>
        <w:rPr>
          <w:rFonts w:ascii="Times New Roman" w:hAnsi="Times New Roman"/>
          <w:sz w:val="17"/>
          <w:u w:val="single"/>
        </w:rPr>
        <w:t>Section 2.21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Multiemployer Plan</w:t>
      </w:r>
      <w:r>
        <w:rPr>
          <w:rFonts w:ascii="Times New Roman" w:hAnsi="Times New Roman"/>
          <w:sz w:val="17"/>
        </w:rPr>
        <w:t> means a multiemployer plan as defined in Section 4001(a)(3) of ERISA.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New Lender</w:t>
      </w:r>
      <w:r>
        <w:rPr>
          <w:rFonts w:ascii="Times New Roman" w:hAnsi="Times New Roman"/>
          <w:sz w:val="17"/>
        </w:rPr>
        <w:t xml:space="preserve"> has the meaning assigned to such term in </w:t>
      </w:r>
      <w:r>
        <w:rPr>
          <w:rFonts w:ascii="Times New Roman" w:hAnsi="Times New Roman"/>
          <w:sz w:val="17"/>
          <w:u w:val="single"/>
        </w:rPr>
        <w:t>Section 2.20</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New Lender Agreement</w:t>
      </w:r>
      <w:r>
        <w:rPr>
          <w:rFonts w:ascii="Times New Roman" w:hAnsi="Times New Roman"/>
          <w:sz w:val="17"/>
        </w:rPr>
        <w:t xml:space="preserve"> has the meaning assigned to such term in </w:t>
      </w:r>
      <w:r>
        <w:rPr>
          <w:rFonts w:ascii="Times New Roman" w:hAnsi="Times New Roman"/>
          <w:sz w:val="17"/>
          <w:u w:val="single"/>
        </w:rPr>
        <w:t>Section 2.20</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Obligations</w:t>
      </w:r>
      <w:r>
        <w:rPr>
          <w:rFonts w:ascii="Times New Roman" w:hAnsi="Times New Roman"/>
          <w:sz w:val="17"/>
        </w:rPr>
        <w:t> means all obligations (monetary or otherwise) of the Borrower and each of its Subsidiaries arising under or in connection with this Agreement and each other Loan Document and the obligations of Borrower or any Subsidiary under any Swap Agreements owing to a Lender or an Affiliate of a Lender (excluding, however, obligations owed under any Swap Agreement to any Person that was a Lender or an Affiliate of a Lender counterparty at the time such Swap Agreement was entered into or any Person that was a counterparty to such Swap Agreement prior to the Effective Date if such Person was a Lender or an Affiliate of a Lender as of the Effective Date, but, in each case, is no longer a Lender or an Affiliate of a Lender).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OFAC</w:t>
      </w:r>
      <w:r>
        <w:rPr>
          <w:rFonts w:ascii="Times New Roman" w:hAnsi="Times New Roman"/>
          <w:sz w:val="17"/>
        </w:rPr>
        <w:t> shall mean the Office of Foreign Assets Control of the United States Department of the Treasury, or any successor agency.</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w:t>
      </w:r>
      <w:r>
        <w:rPr>
          <w:rFonts w:ascii="Times New Roman" w:hAnsi="Times New Roman"/>
          <w:sz w:val="17"/>
          <w:u w:val="single"/>
        </w:rPr>
        <w:t>Organizational Documents</w:t>
      </w:r>
      <w:r>
        <w:rPr>
          <w:rFonts w:ascii="Times New Roman" w:hAnsi="Times New Roman"/>
          <w:sz w:val="17"/>
        </w:rPr>
        <w:t xml:space="preserve"> means, (i) with respect to any corporation, the certificate or articles of incorporation and the bylaws (or equivalent or comparable constitutive documents with respect to any non U.S. jurisdiction); (ii) with respect to any limited liability company,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93" w:name="15636-2-LM-03_PB_11_013029_3020"/>
      <w:bookmarkEnd w:id="19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Other Taxes</w:t>
      </w:r>
      <w:r>
        <w:rPr>
          <w:rFonts w:ascii="Times New Roman" w:hAnsi="Times New Roman"/>
          <w:sz w:val="17"/>
        </w:rPr>
        <w:t> means any and all present or future stamp or documentary taxes or any other excise or property taxes, charges or similar levies arising from any payment made hereunder or from the execution, delivery or registration of, or otherwise with respect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PAA</w:t>
      </w:r>
      <w:r>
        <w:rPr>
          <w:rFonts w:ascii="Times New Roman" w:hAnsi="Times New Roman"/>
          <w:sz w:val="17"/>
        </w:rPr>
        <w:t> means Plains All American Pipeline, L.P., a Delaware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PAA Entities</w:t>
      </w:r>
      <w:r>
        <w:rPr>
          <w:rFonts w:ascii="Times New Roman" w:hAnsi="Times New Roman"/>
          <w:sz w:val="17"/>
        </w:rPr>
        <w:t> means PAA and its successors, PAA GP LLC and its successors and any now or hereafter existing subsidiaries of PAA or PAA GP LLC and their respective successors.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PAA GP LLC</w:t>
      </w:r>
      <w:r>
        <w:rPr>
          <w:rFonts w:ascii="Times New Roman" w:hAnsi="Times New Roman"/>
          <w:sz w:val="17"/>
        </w:rPr>
        <w:t> means PAA GP LLC, a Delaware limited liability company, the general partner of PAA.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PAA Material Amount</w:t>
      </w:r>
      <w:r>
        <w:rPr>
          <w:rFonts w:ascii="Times New Roman" w:hAnsi="Times New Roman"/>
          <w:sz w:val="17"/>
        </w:rPr>
        <w:t> means $50,000,000.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Partnership Agreement</w:t>
      </w:r>
      <w:r>
        <w:rPr>
          <w:rFonts w:ascii="Times New Roman" w:hAnsi="Times New Roman"/>
          <w:sz w:val="17"/>
        </w:rPr>
        <w:t> means the Sixth Amended and Restated Limited Partnership Agreement of Borrower dated December 23,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PBGC</w:t>
      </w:r>
      <w:r>
        <w:rPr>
          <w:rFonts w:ascii="Times New Roman" w:hAnsi="Times New Roman"/>
          <w:sz w:val="17"/>
        </w:rPr>
        <w:t> means the Pension Benefit Guaranty Corporation referred to and defined in ERISA and any successor entity performing similar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Permitted Liens</w:t>
      </w:r>
      <w:r>
        <w:rPr>
          <w:rFonts w:ascii="Times New Roman" w:hAnsi="Times New Roman"/>
          <w:sz w:val="17"/>
        </w:rPr>
        <w:t> means: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liens existing on the Effective Date and listed on </w:t>
      </w:r>
      <w:r>
        <w:rPr>
          <w:rFonts w:ascii="Times New Roman" w:hAnsi="Times New Roman"/>
          <w:sz w:val="17"/>
          <w:u w:val="single"/>
        </w:rPr>
        <w:t>Schedule 6.02</w:t>
      </w:r>
      <w:r>
        <w:rPr>
          <w:rFonts w:ascii="Times New Roman" w:hAnsi="Times New Roman"/>
          <w:sz w:val="17"/>
        </w:rPr>
        <w:t xml:space="preserve"> on property other than the Collateral;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or any right reserved to, or vested in, any municipality or public authority by the terms of any right, power, franchise, grant, license, permit or by any provision of law, to purchase or recapture or to designate a purchaser of, any property;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liens for taxes and assessments which are (i) for the then current year, (ii) not at the time delinquent, or (iii) delinquent but the validity or amount of which is being contested at the time by the Borrower or any Subsidiary in good faith by appropriate proceedings;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liens of, or to secure performance of, leases, other than capital leases, or any lien securing industrial development, pollution control or similar revenue bonds;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94" w:name="15636-2-LM-03_PB_12_013048_7748"/>
      <w:bookmarkEnd w:id="19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any lien upon property or assets acquired or sold by the Borrower or any Subsidiary resulting from the exercise of any rights arising out of defaults on receivables;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any lien in favor of the Borrower or any Subsidiary;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the Borrower or any Subsidiary for the purpose of financing all or any part of the purchase price of, or the cost of constructing, developing, repairing or improving, the property or assets subject to such lien;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any lien incurred in the ordinary course of business in connection with workmens compensation, unemployment insurance, temporary disability, social security, retiree health or similar laws or regulations or to secure obligations imposed by statute or governmental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liens in favor of any Person to secure obligations under provisions of any letters of credit, bank guarantees, bonds or surety obligations required or requested by any governmental authority in connection with any contract or statute; or any lien upon or deposits of any assets to secure performance of bids, trade contracts, leases or statutory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any lien upon any property or assets created at the time of acquisition of such property or assets by the Borrower or any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or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 xml:space="preserve">any lien upon any property or assets existing thereon at the time of the acquisition thereof by the Borrower or any Subsidiary and any lien upon any property or assets of a Person existing thereon at the time such Person becomes a Subsidiary by acquisition, merger or otherwise; </w:t>
      </w:r>
      <w:r>
        <w:rPr>
          <w:rFonts w:ascii="Times New Roman" w:hAnsi="Times New Roman"/>
          <w:sz w:val="17"/>
          <w:u w:val="single"/>
        </w:rPr>
        <w:t>provided</w:t>
      </w:r>
      <w:r>
        <w:rPr>
          <w:rFonts w:ascii="Times New Roman" w:hAnsi="Times New Roman"/>
          <w:sz w:val="17"/>
        </w:rPr>
        <w:t xml:space="preserve"> that, in each case, such lien (i) does not encumber the Collateral, and (ii) with respect to other property or assets, only encumbers the property or assets so acquired or owned by such Person at the time such Person becomes a Subsidiary;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sz w:val="17"/>
        </w:rPr>
        <w:t>liens imposed by law or order as a result of any proceeding before any court or regulatory body that is being contested in good faith, and liens which secure a judgment or other court-ordered award or settlement as to which the Borrower or the applicable Subsidiary has not exhausted its appellate rights;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sz w:val="17"/>
        </w:rPr>
        <w:t xml:space="preserve">any extension, renewal, refinancing, refunding or replacement (or successive extensions, renewals, refinancing, refunding or replacements) of liens, in whole or in part, referred to in clauses (a) through (l) above;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any such extension, renewal, refinancing, refunding or replacement lien shall be limited to the property or assets covered by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195" w:name="15636-2-LM-03_PB_13_013107_141"/>
      <w:bookmarkEnd w:id="19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Borrower and its Subsidiaries (including any premium) incurred in connection with such extension, renewal, refinancing, refunding or replacement;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w:t>
      </w:r>
      <w:r>
        <w:rPr>
          <w:rFonts w:ascii="Times New Roman" w:hAnsi="Times New Roman"/>
        </w:rPr>
        <w:t xml:space="preserve">                                 </w:t>
      </w:r>
      <w:r>
        <w:rPr>
          <w:rFonts w:ascii="Times New Roman" w:hAnsi="Times New Roman"/>
          <w:sz w:val="17"/>
        </w:rPr>
        <w:t>any lien resulting from the deposit of moneys or evidence of indebtedness in trust for the purpose of defeasing debt of the Borrower or any Subsidiary;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w:t>
      </w:r>
      <w:r>
        <w:rPr>
          <w:rFonts w:ascii="Times New Roman" w:hAnsi="Times New Roman"/>
        </w:rPr>
        <w:t xml:space="preserve">                                 </w:t>
      </w:r>
      <w:r>
        <w:rPr>
          <w:rFonts w:ascii="Times New Roman" w:hAnsi="Times New Roman"/>
          <w:sz w:val="17"/>
        </w:rPr>
        <w:t xml:space="preserve">any Lien to secure obligations under an interest rate Swap Agreement that was entered into between the Borrower and any financial counterparty that, (A) at the time of entering into such Swap Agreement, was a Lender, or (B) is a Lender as of the Effective Date and such Swap Agreement was entered into prior to the Effective Date, but when such Lien is granted, such financial counterparty is no longer a Lender; </w:t>
      </w:r>
      <w:r>
        <w:rPr>
          <w:rFonts w:ascii="Times New Roman" w:hAnsi="Times New Roman"/>
          <w:sz w:val="17"/>
          <w:u w:val="single"/>
        </w:rPr>
        <w:t>provided</w:t>
      </w:r>
      <w:r>
        <w:rPr>
          <w:rFonts w:ascii="Times New Roman" w:hAnsi="Times New Roman"/>
          <w:sz w:val="17"/>
        </w:rPr>
        <w:t> </w:t>
      </w:r>
      <w:r>
        <w:rPr>
          <w:rFonts w:ascii="Times New Roman" w:hAnsi="Times New Roman"/>
          <w:sz w:val="17"/>
          <w:u w:val="single"/>
        </w:rPr>
        <w:t>however</w:t>
      </w:r>
      <w:r>
        <w:rPr>
          <w:rFonts w:ascii="Times New Roman" w:hAnsi="Times New Roman"/>
          <w:sz w:val="17"/>
        </w:rPr>
        <w:t xml:space="preserve"> that (i) such Lien shall be only on cash or cash equivalents, and (ii) the value of the assets encumbered by such Lien shall be reasonable considering the Swap Agreement being secured.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Person</w:t>
      </w:r>
      <w:r>
        <w:rPr>
          <w:rFonts w:ascii="Times New Roman" w:hAnsi="Times New Roman"/>
          <w:sz w:val="17"/>
        </w:rPr>
        <w:t> means any natural person, corporation, limited liability company, trust, joint venture, association, company, partnership, Governmental Authority or other entity.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Plan</w:t>
      </w:r>
      <w:r>
        <w:rPr>
          <w:rFonts w:ascii="Times New Roman" w:hAnsi="Times New Roman"/>
          <w:sz w:val="17"/>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Quarterly Date</w:t>
      </w:r>
      <w:r>
        <w:rPr>
          <w:rFonts w:ascii="Times New Roman" w:hAnsi="Times New Roman"/>
          <w:sz w:val="17"/>
        </w:rPr>
        <w:t xml:space="preserve"> means the last day of each March, June, September and December, in each year, the first of which shall be December 31, 2013;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if any such day is not a Business Day, such Quarterly Date shall be the next succeeding Business Day.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Register</w:t>
      </w:r>
      <w:r>
        <w:rPr>
          <w:rFonts w:ascii="Times New Roman" w:hAnsi="Times New Roman"/>
          <w:sz w:val="17"/>
        </w:rPr>
        <w:t xml:space="preserve"> has the meaning set forth in </w:t>
      </w:r>
      <w:r>
        <w:rPr>
          <w:rFonts w:ascii="Times New Roman" w:hAnsi="Times New Roman"/>
          <w:sz w:val="17"/>
          <w:u w:val="single"/>
        </w:rPr>
        <w:t>Section 9.04</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Related Parties</w:t>
      </w:r>
      <w:r>
        <w:rPr>
          <w:rFonts w:ascii="Times New Roman" w:hAnsi="Times New Roman"/>
          <w:sz w:val="17"/>
        </w:rPr>
        <w:t> means, with respect to any specified Person, such Persons Affiliates and the respective directors, officers, employees, agents and advisors of such Person and such Persons Affiliates.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Required Lenders</w:t>
      </w:r>
      <w:r>
        <w:rPr>
          <w:rFonts w:ascii="Times New Roman" w:hAnsi="Times New Roman"/>
          <w:sz w:val="17"/>
        </w:rPr>
        <w:t xml:space="preserve"> means, at any relevant date of determination, Lenders having Loans and unused Commitments representing more than 50% of the sum of the total Loans and unused Commitments at such time; </w:t>
      </w:r>
      <w:r>
        <w:rPr>
          <w:rFonts w:ascii="Times New Roman" w:hAnsi="Times New Roman"/>
          <w:sz w:val="17"/>
          <w:u w:val="single"/>
        </w:rPr>
        <w:t>provided</w:t>
      </w:r>
      <w:r>
        <w:rPr>
          <w:rFonts w:ascii="Times New Roman" w:hAnsi="Times New Roman"/>
          <w:sz w:val="17"/>
        </w:rPr>
        <w:t xml:space="preserve"> that the Commitment of, and the portion of the total Loans held or deemed held by, any Defaulting Lender shall be excluded for the purposes of making a determination of Required Lenders.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Restricted Payment</w:t>
      </w:r>
      <w:r>
        <w:rPr>
          <w:rFonts w:ascii="Times New Roman" w:hAnsi="Times New Roman"/>
          <w:sz w:val="17"/>
        </w:rPr>
        <w:t xml:space="preserve"> means (i) any dividend or other distribution (whether in cash, securities or other property) with respect to any class of Equity Interests of the Borrower and any Subsidiary, or (ii) any payment (whether in cash, securities or other property), including any sinking fund or similar deposit, on account of the purchase, redemption, retirement, acquisition, cancellation or termination of any Equity Interests of the Borrower or any Subsidiary or any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196" w:name="15636-2-LM-03_PB_14_013121_7608"/>
      <w:bookmarkEnd w:id="19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option, warrant or other right to acquire any Equity Interests of the Borrower or any Subsidiary (other than any such option, warrant or other right granted to an officer, director or employee of the Borrower or any Subsidiary).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Revolving Commitment</w:t>
      </w:r>
      <w:r>
        <w:rPr>
          <w:rFonts w:ascii="Times New Roman" w:hAnsi="Times New Roman"/>
          <w:sz w:val="17"/>
        </w:rPr>
        <w:t xml:space="preserve"> means the commitment of each Lender to make Revolving Loans, as such commitment may be (a) reduced from time to time pursuant to </w:t>
      </w:r>
      <w:r>
        <w:rPr>
          <w:rFonts w:ascii="Times New Roman" w:hAnsi="Times New Roman"/>
          <w:sz w:val="17"/>
          <w:u w:val="single"/>
        </w:rPr>
        <w:t>Section 2.09</w:t>
      </w:r>
      <w:r>
        <w:rPr>
          <w:rFonts w:ascii="Times New Roman" w:hAnsi="Times New Roman"/>
          <w:sz w:val="17"/>
        </w:rPr>
        <w:t xml:space="preserve">, (b) increased from time to time pursuant to </w:t>
      </w:r>
      <w:r>
        <w:rPr>
          <w:rFonts w:ascii="Times New Roman" w:hAnsi="Times New Roman"/>
          <w:sz w:val="17"/>
          <w:u w:val="single"/>
        </w:rPr>
        <w:t>Section 2.20</w:t>
      </w:r>
      <w:r>
        <w:rPr>
          <w:rFonts w:ascii="Times New Roman" w:hAnsi="Times New Roman"/>
          <w:sz w:val="17"/>
        </w:rPr>
        <w:t xml:space="preserve">, and (c) adjusted from time to time pursuant to assignments by or to such Lender pursuant to </w:t>
      </w:r>
      <w:r>
        <w:rPr>
          <w:rFonts w:ascii="Times New Roman" w:hAnsi="Times New Roman"/>
          <w:sz w:val="17"/>
          <w:u w:val="single"/>
        </w:rPr>
        <w:t>Section 9.04</w:t>
      </w:r>
      <w:r>
        <w:rPr>
          <w:rFonts w:ascii="Times New Roman" w:hAnsi="Times New Roman"/>
          <w:sz w:val="17"/>
        </w:rPr>
        <w:t xml:space="preserve">.  The aggregate principal amount of the Lenders Revolving Commitment is initially $75,000,000 as set forth on </w:t>
      </w:r>
      <w:r>
        <w:rPr>
          <w:rFonts w:ascii="Times New Roman" w:hAnsi="Times New Roman"/>
          <w:sz w:val="17"/>
          <w:u w:val="single"/>
        </w:rPr>
        <w:t>Schedule 2.01</w:t>
      </w:r>
      <w:r>
        <w:rPr>
          <w:rFonts w:ascii="Times New Roman" w:hAnsi="Times New Roman"/>
          <w:sz w:val="17"/>
        </w:rPr>
        <w:t xml:space="preserve"> under </w:t>
      </w:r>
      <w:r>
        <w:rPr>
          <w:rFonts w:ascii="Times New Roman" w:hAnsi="Times New Roman"/>
          <w:sz w:val="17"/>
          <w:u w:val="single"/>
        </w:rPr>
        <w:t>Revolving Commitment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Revolving Exposure</w:t>
      </w:r>
      <w:r>
        <w:rPr>
          <w:rFonts w:ascii="Times New Roman" w:hAnsi="Times New Roman"/>
          <w:sz w:val="17"/>
        </w:rPr>
        <w:t> means, with respect to any Lender at any time, the sum of the outstanding principal amount of such Lenders Revolving Loans.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Revolving Loans</w:t>
      </w:r>
      <w:r>
        <w:rPr>
          <w:rFonts w:ascii="Times New Roman" w:hAnsi="Times New Roman"/>
          <w:sz w:val="17"/>
        </w:rPr>
        <w:t xml:space="preserve"> means Loans made pursuant to </w:t>
      </w:r>
      <w:r>
        <w:rPr>
          <w:rFonts w:ascii="Times New Roman" w:hAnsi="Times New Roman"/>
          <w:sz w:val="17"/>
          <w:u w:val="single"/>
        </w:rPr>
        <w:t>Section 2.01(a)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Sanctioned Country</w:t>
      </w:r>
      <w:r>
        <w:rPr>
          <w:rFonts w:ascii="Times New Roman" w:hAnsi="Times New Roman"/>
          <w:sz w:val="17"/>
        </w:rPr>
        <w:t> shall mean a country subject to a sanctions program identified on the list maintained by OFAC and available at http://www.ustreas.gov/offices/ enforcement/ofac/programs/, as amended or as otherwise published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SEC</w:t>
      </w:r>
      <w:r>
        <w:rPr>
          <w:rFonts w:ascii="Times New Roman" w:hAnsi="Times New Roman"/>
          <w:sz w:val="17"/>
        </w:rPr>
        <w:t> means the U.S.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Security Instruments</w:t>
      </w:r>
      <w:r>
        <w:rPr>
          <w:rFonts w:ascii="Times New Roman" w:hAnsi="Times New Roman"/>
          <w:sz w:val="17"/>
        </w:rPr>
        <w:t xml:space="preserve"> means the agreements or instruments described or referred to in </w:t>
      </w:r>
      <w:r>
        <w:rPr>
          <w:rFonts w:ascii="Times New Roman" w:hAnsi="Times New Roman"/>
          <w:sz w:val="17"/>
          <w:u w:val="single"/>
        </w:rPr>
        <w:t>Exhibit F</w:t>
      </w:r>
      <w:r>
        <w:rPr>
          <w:rFonts w:ascii="Times New Roman" w:hAnsi="Times New Roman"/>
          <w:sz w:val="17"/>
        </w:rPr>
        <w:t xml:space="preserve"> and any and all other guaranties, agreements and instruments now or hereafter executed and delivered by or at the request of the Borrower pursuant to this Agreement to secure the payment or performance of any such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Solvent</w:t>
      </w:r>
      <w:r>
        <w:rPr>
          <w:rFonts w:ascii="Times New Roman" w:hAnsi="Times New Roman"/>
          <w:sz w:val="17"/>
        </w:rPr>
        <w:t> means, with respect to any Person at each relevant date of determination and after giving effect to the consummation of the transactions occurring on such date, including the application of proceeds by or on behalf of such Person in respect of any financing occurring on such date, that on such date (i) the present fair saleable value of the assets of such Person is not less than the amount that will be required to pay the probable liability of such Person on its debts as they become absolute and matured, (ii) such Person does not intend to, and does not believe that it will, incur debts and liabilities beyond such Persons ability to pay as such debts and liabilities as they become absolute and mature, taking into account, among other things, the possibility of refinancing such debt or selling such assets, and (iii) such Person is not engaged in business or a transaction, and is not about to engage in business or a transaction, for which such Persons property would constitute unreasonably small capital.  The determination of the term Solvent will be based, in part, on the following: (x)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 (y) the level of capital customarily maintained by such Person and other entities in the same or similar business as the business of such Person; and (z) all payments of debts and liabilities will be made in accordance with applicable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subsidiary</w:t>
      </w:r>
      <w:r>
        <w:rPr>
          <w:rFonts w:ascii="Times New Roman" w:hAnsi="Times New Roman"/>
          <w:sz w:val="17"/>
        </w:rPr>
        <w:t> means, with respect to any Person (the </w:t>
      </w:r>
      <w:r>
        <w:rPr>
          <w:rFonts w:ascii="Times New Roman" w:hAnsi="Times New Roman"/>
          <w:sz w:val="17"/>
          <w:u w:val="single"/>
        </w:rPr>
        <w:t>parent</w:t>
      </w:r>
      <w:r>
        <w:rPr>
          <w:rFonts w:ascii="Times New Roman" w:hAnsi="Times New Roman"/>
          <w:sz w:val="17"/>
        </w:rPr>
        <w:t xml:space="preserve">) at any date, any corporation, limited liability company, association or other entity (other than a partnership) of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197" w:name="15636-2-LM-03_PB_15_013136_8146"/>
      <w:bookmarkEnd w:id="19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which securities or other ownership interests representing more than 50% of the equity or more than 50% of the ordinary voting power or, in the case of a partnership, more than 50% of the partnership interests, are, as of such date, owned, controlled or held by the parent and one or more subsidiaries of the parent.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Subsidiary</w:t>
      </w:r>
      <w:r>
        <w:rPr>
          <w:rFonts w:ascii="Times New Roman" w:hAnsi="Times New Roman"/>
          <w:sz w:val="17"/>
        </w:rPr>
        <w:t> means any subsidiary of Borrower, other than the PAA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Swap Agreement</w:t>
      </w:r>
      <w:r>
        <w:rPr>
          <w:rFonts w:ascii="Times New Roman" w:hAnsi="Times New Roman"/>
          <w:sz w:val="17"/>
        </w:rPr>
        <w:t> means any interest rate or currency swap, rate cap, rate floor, rate collar, forward rate agreement or other exchange or rate protection agreement or any option with respect to any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Taxes</w:t>
      </w:r>
      <w:r>
        <w:rPr>
          <w:rFonts w:ascii="Times New Roman" w:hAnsi="Times New Roman"/>
          <w:sz w:val="17"/>
        </w:rPr>
        <w:t> means any and all present or future taxes, levies, imposts, duties, deductions, charges or withholdings imposed by any Governmental Authority.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Term Commitment</w:t>
      </w:r>
      <w:r>
        <w:rPr>
          <w:rFonts w:ascii="Times New Roman" w:hAnsi="Times New Roman"/>
          <w:sz w:val="17"/>
        </w:rPr>
        <w:t> means, as to each Lender, the commitment of such Lender to make a Term Loan in the amount set forth opposite such Lenders name under </w:t>
      </w:r>
      <w:r>
        <w:rPr>
          <w:rFonts w:ascii="Times New Roman" w:hAnsi="Times New Roman"/>
          <w:sz w:val="17"/>
          <w:u w:val="single"/>
        </w:rPr>
        <w:t>Term Loan</w:t>
      </w:r>
      <w:r>
        <w:rPr>
          <w:rFonts w:ascii="Times New Roman" w:hAnsi="Times New Roman"/>
          <w:sz w:val="17"/>
        </w:rPr>
        <w:t xml:space="preserve"> on </w:t>
      </w:r>
      <w:r>
        <w:rPr>
          <w:rFonts w:ascii="Times New Roman" w:hAnsi="Times New Roman"/>
          <w:sz w:val="17"/>
          <w:u w:val="single"/>
        </w:rPr>
        <w:t>Schedule 2.01</w:t>
      </w:r>
      <w:r>
        <w:rPr>
          <w:rFonts w:ascii="Times New Roman" w:hAnsi="Times New Roman"/>
          <w:sz w:val="17"/>
        </w:rPr>
        <w:t xml:space="preserve">, as the same may be modified from time to time to reflect any assignment permitted by </w:t>
      </w:r>
      <w:r>
        <w:rPr>
          <w:rFonts w:ascii="Times New Roman" w:hAnsi="Times New Roman"/>
          <w:sz w:val="17"/>
          <w:u w:val="single"/>
        </w:rPr>
        <w:t>Section 9.04</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Term Commitments</w:t>
      </w:r>
      <w:r>
        <w:rPr>
          <w:rFonts w:ascii="Times New Roman" w:hAnsi="Times New Roman"/>
          <w:sz w:val="17"/>
        </w:rPr>
        <w:t> means the aggregate principal amount of the Lenders Term Commitments in an amount equal to $500,000,000.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Term Loan</w:t>
      </w:r>
      <w:r>
        <w:rPr>
          <w:rFonts w:ascii="Times New Roman" w:hAnsi="Times New Roman"/>
          <w:sz w:val="17"/>
        </w:rPr>
        <w:t xml:space="preserve"> means the term loan made pursuant to </w:t>
      </w:r>
      <w:r>
        <w:rPr>
          <w:rFonts w:ascii="Times New Roman" w:hAnsi="Times New Roman"/>
          <w:sz w:val="17"/>
          <w:u w:val="single"/>
        </w:rPr>
        <w:t>Section 2.01(b)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Termination Date</w:t>
      </w:r>
      <w:r>
        <w:rPr>
          <w:rFonts w:ascii="Times New Roman" w:hAnsi="Times New Roman"/>
          <w:sz w:val="17"/>
        </w:rPr>
        <w:t xml:space="preserve"> means the earlier to occur of (i) the Maturity Date or (ii) the date that the applicable Revolving Commitments are terminated pursuant to </w:t>
      </w:r>
      <w:r>
        <w:rPr>
          <w:rFonts w:ascii="Times New Roman" w:hAnsi="Times New Roman"/>
          <w:sz w:val="17"/>
          <w:u w:val="single"/>
        </w:rPr>
        <w:t>Section 2.09</w:t>
      </w:r>
      <w:r>
        <w:rPr>
          <w:rFonts w:ascii="Times New Roman" w:hAnsi="Times New Roman"/>
          <w:sz w:val="17"/>
        </w:rPr>
        <w:t xml:space="preserve"> or </w:t>
      </w:r>
      <w:r>
        <w:rPr>
          <w:rFonts w:ascii="Times New Roman" w:hAnsi="Times New Roman"/>
          <w:sz w:val="17"/>
          <w:u w:val="single"/>
        </w:rPr>
        <w:t>ARTICLE VII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Transaction Obligations</w:t>
      </w:r>
      <w:r>
        <w:rPr>
          <w:rFonts w:ascii="Times New Roman" w:hAnsi="Times New Roman"/>
          <w:sz w:val="17"/>
        </w:rPr>
        <w:t xml:space="preserve"> has the meaning assigned to such term in </w:t>
      </w:r>
      <w:r>
        <w:rPr>
          <w:rFonts w:ascii="Times New Roman" w:hAnsi="Times New Roman"/>
          <w:sz w:val="17"/>
          <w:u w:val="single"/>
        </w:rPr>
        <w:t>Section 9.14</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Transactions</w:t>
      </w:r>
      <w:r>
        <w:rPr>
          <w:rFonts w:ascii="Times New Roman" w:hAnsi="Times New Roman"/>
          <w:sz w:val="17"/>
        </w:rPr>
        <w:t> means the execution, delivery and performance by the Borrower of this Agreement and the Security Instruments, the borrowing of Loans and the use of the proceeds thereof, and the execution, delivery and performance by the Borrower pursuant to each of the Security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Type</w:t>
      </w:r>
      <w:r>
        <w:rPr>
          <w:rFonts w:ascii="Times New Roman" w:hAnsi="Times New Roman"/>
          <w:sz w:val="17"/>
        </w:rPr>
        <w:t>, when used in reference to any Loan or Borrowing, refers to whether the rate of interest on such Loan, or on the Loans comprising such Borrowing, is determined by reference to the LIBO Rate or the Alternate Base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U.S. Person</w:t>
      </w:r>
      <w:r>
        <w:rPr>
          <w:rFonts w:ascii="Times New Roman" w:hAnsi="Times New Roman"/>
          <w:sz w:val="17"/>
        </w:rPr>
        <w:t> means a United States person within the meaning of Section 7701(a)(30) of the Code.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Withdrawal Liability</w:t>
      </w:r>
      <w:r>
        <w:rPr>
          <w:rFonts w:ascii="Times New Roman" w:hAnsi="Times New Roman"/>
          <w:sz w:val="17"/>
        </w:rPr>
        <w:t> means liability to a Multiemployer Plan as a result of a complete or partial withdrawal from such Multiemployer Plan, as such terms are defined in Part I of Subtitle E of Title IV of ERISA.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Withholding Agent</w:t>
      </w:r>
      <w:r>
        <w:rPr>
          <w:rFonts w:ascii="Times New Roman" w:hAnsi="Times New Roman"/>
          <w:sz w:val="17"/>
        </w:rPr>
        <w:t> means the Borrower and the Administrative Agent.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198" w:name="15636-2-LM-03_PB_16_013152_7091"/>
      <w:bookmarkEnd w:id="198"/>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1.02</w:t>
      </w:r>
      <w:r>
        <w:rPr>
          <w:rFonts w:ascii="Times New Roman" w:hAnsi="Times New Roman"/>
        </w:rPr>
        <w:t xml:space="preserve">                             </w:t>
      </w:r>
      <w:r>
        <w:rPr>
          <w:rFonts w:ascii="Times New Roman" w:hAnsi="Times New Roman"/>
          <w:sz w:val="17"/>
          <w:u w:val="single"/>
        </w:rPr>
        <w:t>Classification of Loans and Borrowings</w:t>
      </w:r>
      <w:r>
        <w:rPr>
          <w:rFonts w:ascii="Times New Roman" w:hAnsi="Times New Roman"/>
          <w:sz w:val="17"/>
        </w:rPr>
        <w:t>.  For purposes of this Agreement, Loans may be classified and referred to by Class (</w:t>
      </w:r>
      <w:r>
        <w:rPr>
          <w:rFonts w:ascii="Times New Roman" w:hAnsi="Times New Roman"/>
          <w:i/>
          <w:sz w:val="17"/>
        </w:rPr>
        <w:t>e.g.</w:t>
      </w:r>
      <w:r>
        <w:rPr>
          <w:rFonts w:ascii="Times New Roman" w:hAnsi="Times New Roman"/>
          <w:sz w:val="17"/>
        </w:rPr>
        <w:t>, a </w:t>
      </w:r>
      <w:r>
        <w:rPr>
          <w:rFonts w:ascii="Times New Roman" w:hAnsi="Times New Roman"/>
          <w:sz w:val="17"/>
          <w:u w:val="single"/>
        </w:rPr>
        <w:t>Revolving Loan</w:t>
      </w:r>
      <w:r>
        <w:rPr>
          <w:rFonts w:ascii="Times New Roman" w:hAnsi="Times New Roman"/>
          <w:sz w:val="17"/>
        </w:rPr>
        <w:t>) or by Type (</w:t>
      </w:r>
      <w:r>
        <w:rPr>
          <w:rFonts w:ascii="Times New Roman" w:hAnsi="Times New Roman"/>
          <w:i/>
          <w:sz w:val="17"/>
        </w:rPr>
        <w:t>e.g.</w:t>
      </w:r>
      <w:r>
        <w:rPr>
          <w:rFonts w:ascii="Times New Roman" w:hAnsi="Times New Roman"/>
          <w:sz w:val="17"/>
        </w:rPr>
        <w:t>, a </w:t>
      </w:r>
      <w:r>
        <w:rPr>
          <w:rFonts w:ascii="Times New Roman" w:hAnsi="Times New Roman"/>
          <w:sz w:val="17"/>
          <w:u w:val="single"/>
        </w:rPr>
        <w:t>Eurodollar Loan</w:t>
      </w:r>
      <w:r>
        <w:rPr>
          <w:rFonts w:ascii="Times New Roman" w:hAnsi="Times New Roman"/>
          <w:sz w:val="17"/>
        </w:rPr>
        <w:t> or an </w:t>
      </w:r>
      <w:r>
        <w:rPr>
          <w:rFonts w:ascii="Times New Roman" w:hAnsi="Times New Roman"/>
          <w:sz w:val="17"/>
          <w:u w:val="single"/>
        </w:rPr>
        <w:t>ABR Loan</w:t>
      </w:r>
      <w:r>
        <w:rPr>
          <w:rFonts w:ascii="Times New Roman" w:hAnsi="Times New Roman"/>
          <w:sz w:val="17"/>
        </w:rPr>
        <w:t>) or by Class and Type (</w:t>
      </w:r>
      <w:r>
        <w:rPr>
          <w:rFonts w:ascii="Times New Roman" w:hAnsi="Times New Roman"/>
          <w:i/>
          <w:sz w:val="17"/>
        </w:rPr>
        <w:t>e.g.</w:t>
      </w:r>
      <w:r>
        <w:rPr>
          <w:rFonts w:ascii="Times New Roman" w:hAnsi="Times New Roman"/>
          <w:sz w:val="17"/>
        </w:rPr>
        <w:t>, a </w:t>
      </w:r>
      <w:r>
        <w:rPr>
          <w:rFonts w:ascii="Times New Roman" w:hAnsi="Times New Roman"/>
          <w:sz w:val="17"/>
          <w:u w:val="single"/>
        </w:rPr>
        <w:t>Eurodollar Revolving Loan</w:t>
      </w:r>
      <w:r>
        <w:rPr>
          <w:rFonts w:ascii="Times New Roman" w:hAnsi="Times New Roman"/>
          <w:sz w:val="17"/>
        </w:rPr>
        <w:t>).  Borrowings also may be classified and referred to by Class (</w:t>
      </w:r>
      <w:r>
        <w:rPr>
          <w:rFonts w:ascii="Times New Roman" w:hAnsi="Times New Roman"/>
          <w:i/>
          <w:sz w:val="17"/>
        </w:rPr>
        <w:t>e.g.</w:t>
      </w:r>
      <w:r>
        <w:rPr>
          <w:rFonts w:ascii="Times New Roman" w:hAnsi="Times New Roman"/>
          <w:sz w:val="17"/>
        </w:rPr>
        <w:t>, a </w:t>
      </w:r>
      <w:r>
        <w:rPr>
          <w:rFonts w:ascii="Times New Roman" w:hAnsi="Times New Roman"/>
          <w:sz w:val="17"/>
          <w:u w:val="single"/>
        </w:rPr>
        <w:t>Revolving Borrowing</w:t>
      </w:r>
      <w:r>
        <w:rPr>
          <w:rFonts w:ascii="Times New Roman" w:hAnsi="Times New Roman"/>
          <w:sz w:val="17"/>
        </w:rPr>
        <w:t>) or by Type (</w:t>
      </w:r>
      <w:r>
        <w:rPr>
          <w:rFonts w:ascii="Times New Roman" w:hAnsi="Times New Roman"/>
          <w:i/>
          <w:sz w:val="17"/>
        </w:rPr>
        <w:t>e.g.</w:t>
      </w:r>
      <w:r>
        <w:rPr>
          <w:rFonts w:ascii="Times New Roman" w:hAnsi="Times New Roman"/>
          <w:sz w:val="17"/>
        </w:rPr>
        <w:t>, a </w:t>
      </w:r>
      <w:r>
        <w:rPr>
          <w:rFonts w:ascii="Times New Roman" w:hAnsi="Times New Roman"/>
          <w:sz w:val="17"/>
          <w:u w:val="single"/>
        </w:rPr>
        <w:t>Eurodollar Borrowing</w:t>
      </w:r>
      <w:r>
        <w:rPr>
          <w:rFonts w:ascii="Times New Roman" w:hAnsi="Times New Roman"/>
          <w:sz w:val="17"/>
        </w:rPr>
        <w:t> or an </w:t>
      </w:r>
      <w:r>
        <w:rPr>
          <w:rFonts w:ascii="Times New Roman" w:hAnsi="Times New Roman"/>
          <w:sz w:val="17"/>
          <w:u w:val="single"/>
        </w:rPr>
        <w:t>ABR Borrowing</w:t>
      </w:r>
      <w:r>
        <w:rPr>
          <w:rFonts w:ascii="Times New Roman" w:hAnsi="Times New Roman"/>
          <w:sz w:val="17"/>
        </w:rPr>
        <w:t>) or by Class and Type (</w:t>
      </w:r>
      <w:r>
        <w:rPr>
          <w:rFonts w:ascii="Times New Roman" w:hAnsi="Times New Roman"/>
          <w:i/>
          <w:sz w:val="17"/>
        </w:rPr>
        <w:t>e.g.</w:t>
      </w:r>
      <w:r>
        <w:rPr>
          <w:rFonts w:ascii="Times New Roman" w:hAnsi="Times New Roman"/>
          <w:sz w:val="17"/>
        </w:rPr>
        <w:t>, a </w:t>
      </w:r>
      <w:r>
        <w:rPr>
          <w:rFonts w:ascii="Times New Roman" w:hAnsi="Times New Roman"/>
          <w:sz w:val="17"/>
          <w:u w:val="single"/>
        </w:rPr>
        <w:t>Eurodollar Revolving Borrowing</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1.03</w:t>
      </w:r>
      <w:r>
        <w:rPr>
          <w:rFonts w:ascii="Times New Roman" w:hAnsi="Times New Roman"/>
        </w:rPr>
        <w:t xml:space="preserve">                             </w:t>
      </w:r>
      <w:r>
        <w:rPr>
          <w:rFonts w:ascii="Times New Roman" w:hAnsi="Times New Roman"/>
          <w:sz w:val="17"/>
          <w:u w:val="single"/>
        </w:rPr>
        <w:t>Terms Generally</w:t>
      </w:r>
      <w:r>
        <w:rPr>
          <w:rFonts w:ascii="Times New Roman" w:hAnsi="Times New Roman"/>
          <w:sz w:val="17"/>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is not exclusive.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1.04</w:t>
      </w:r>
      <w:r>
        <w:rPr>
          <w:rFonts w:ascii="Times New Roman" w:hAnsi="Times New Roman"/>
        </w:rPr>
        <w:t xml:space="preserve">                             </w:t>
      </w:r>
      <w:r>
        <w:rPr>
          <w:rFonts w:ascii="Times New Roman" w:hAnsi="Times New Roman"/>
          <w:sz w:val="17"/>
          <w:u w:val="single"/>
        </w:rPr>
        <w:t>Accounting Terms; GAAP</w:t>
      </w:r>
      <w:r>
        <w:rPr>
          <w:rFonts w:ascii="Times New Roman" w:hAnsi="Times New Roman"/>
          <w:sz w:val="17"/>
        </w:rPr>
        <w:t xml:space="preserve">.  Except as otherwise expressly provided herein, all terms of an accounting or financial nature shall be construed in accordance with GAAP, as in effect from time to time; </w:t>
      </w:r>
      <w:r>
        <w:rPr>
          <w:rFonts w:ascii="Times New Roman" w:hAnsi="Times New Roman"/>
          <w:sz w:val="17"/>
          <w:u w:val="single"/>
        </w:rPr>
        <w:t>provided</w:t>
      </w:r>
      <w:r>
        <w:rPr>
          <w:rFonts w:ascii="Times New Roman" w:hAnsi="Times New Roman"/>
          <w:sz w:val="17"/>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ARTICLE II</w:t>
        <w:br/>
        <w:t>The Credits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2.01</w:t>
      </w:r>
      <w:r>
        <w:rPr>
          <w:rFonts w:ascii="Times New Roman" w:hAnsi="Times New Roman"/>
        </w:rPr>
        <w:t xml:space="preserve">                             </w:t>
      </w:r>
      <w:r>
        <w:rPr>
          <w:rFonts w:ascii="Times New Roman" w:hAnsi="Times New Roman"/>
          <w:sz w:val="17"/>
          <w:u w:val="single"/>
        </w:rPr>
        <w:t>Commitments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Revolving Loans</w:t>
      </w:r>
      <w:r>
        <w:rPr>
          <w:rFonts w:ascii="Times New Roman" w:hAnsi="Times New Roman"/>
          <w:sz w:val="17"/>
        </w:rPr>
        <w:t>.  Subject to the terms and conditions set forth herein, each Lender agrees to make loans of a revolving nature to the Borrower (the </w:t>
      </w:r>
      <w:r>
        <w:rPr>
          <w:rFonts w:ascii="Times New Roman" w:hAnsi="Times New Roman"/>
          <w:sz w:val="17"/>
          <w:u w:val="single"/>
        </w:rPr>
        <w:t>Revolving Loans</w:t>
      </w:r>
      <w:r>
        <w:rPr>
          <w:rFonts w:ascii="Times New Roman" w:hAnsi="Times New Roman"/>
          <w:sz w:val="17"/>
        </w:rPr>
        <w:t>), from time to time during the Availability Period in an aggregate principal amount that will not result in such Lenders Revolving Exposure exceeding such Lenders Revolving Commitment.  All amounts outstanding under the Revolving Loans shall, at the option of the Borrower, be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199" w:name="15636-2-LM-05_PB_17_012207_7056"/>
      <w:bookmarkEnd w:id="19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made and maintained as ABR Borrowings or Eurodollar Borrowings, or a combination thereof, bearing interest in accordance with </w:t>
      </w:r>
      <w:r>
        <w:rPr>
          <w:rFonts w:ascii="Times New Roman" w:hAnsi="Times New Roman"/>
          <w:sz w:val="17"/>
          <w:u w:val="single"/>
        </w:rPr>
        <w:t>Section 2.13(a)</w:t>
      </w:r>
      <w:r>
        <w:rPr>
          <w:rFonts w:ascii="Times New Roman" w:hAnsi="Times New Roman"/>
          <w:sz w:val="17"/>
        </w:rPr>
        <w:t xml:space="preserve"> or </w:t>
      </w:r>
      <w:r>
        <w:rPr>
          <w:rFonts w:ascii="Times New Roman" w:hAnsi="Times New Roman"/>
          <w:sz w:val="17"/>
          <w:u w:val="single"/>
        </w:rPr>
        <w:t>(b)</w:t>
      </w:r>
      <w:r>
        <w:rPr>
          <w:rFonts w:ascii="Times New Roman" w:hAnsi="Times New Roman"/>
          <w:sz w:val="17"/>
        </w:rPr>
        <w:t>, as applicable.  Within the foregoing limits and subject to the terms and conditions set forth herein, the Borrower may borrow, prepay and re-borrow Revolving Loans.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Term Loan</w:t>
      </w:r>
      <w:r>
        <w:rPr>
          <w:rFonts w:ascii="Times New Roman" w:hAnsi="Times New Roman"/>
          <w:sz w:val="17"/>
        </w:rPr>
        <w:t>.  Subject to the terms and conditions set forth herein, each Lender agrees to make a term loan (the </w:t>
      </w:r>
      <w:r>
        <w:rPr>
          <w:rFonts w:ascii="Times New Roman" w:hAnsi="Times New Roman"/>
          <w:sz w:val="17"/>
          <w:u w:val="single"/>
        </w:rPr>
        <w:t>Term Loan</w:t>
      </w:r>
      <w:r>
        <w:rPr>
          <w:rFonts w:ascii="Times New Roman" w:hAnsi="Times New Roman"/>
          <w:sz w:val="17"/>
        </w:rPr>
        <w:t xml:space="preserve">) to the Borrower not to exceed its Term Commitment.  Such Term Loan shall be made by way of a single Borrowing funded pursuant to a Borrowing Request made on or before the Effective Date.  Any portion of each Lenders Term Commitment not utilized by such Borrowing on such date shall be permanently canceled.  All amounts outstanding under the Term Loan shall, at the option of the Borrower, be made and maintained as ABR Borrowings or Eurodollar Borrowings, or a combination thereof, bearing interest in accordance with </w:t>
      </w:r>
      <w:r>
        <w:rPr>
          <w:rFonts w:ascii="Times New Roman" w:hAnsi="Times New Roman"/>
          <w:sz w:val="17"/>
          <w:u w:val="single"/>
        </w:rPr>
        <w:t>Section 2.13(a)</w:t>
      </w:r>
      <w:r>
        <w:rPr>
          <w:rFonts w:ascii="Times New Roman" w:hAnsi="Times New Roman"/>
          <w:sz w:val="17"/>
        </w:rPr>
        <w:t xml:space="preserve"> or </w:t>
      </w:r>
      <w:r>
        <w:rPr>
          <w:rFonts w:ascii="Times New Roman" w:hAnsi="Times New Roman"/>
          <w:sz w:val="17"/>
          <w:u w:val="single"/>
        </w:rPr>
        <w:t>(b)</w:t>
      </w:r>
      <w:r>
        <w:rPr>
          <w:rFonts w:ascii="Times New Roman" w:hAnsi="Times New Roman"/>
          <w:sz w:val="17"/>
        </w:rPr>
        <w:t>,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2.02</w:t>
      </w:r>
      <w:r>
        <w:rPr>
          <w:rFonts w:ascii="Times New Roman" w:hAnsi="Times New Roman"/>
        </w:rPr>
        <w:t xml:space="preserve">                             </w:t>
      </w:r>
      <w:r>
        <w:rPr>
          <w:rFonts w:ascii="Times New Roman" w:hAnsi="Times New Roman"/>
          <w:sz w:val="17"/>
          <w:u w:val="single"/>
        </w:rPr>
        <w:t>Loans and Borrowings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Each Loan of any Class shall be made as part of a Borrowing consisting of Loans of such Class made by the Lenders ratably in accordance with their respective Commitments of such Class.  The failure of any Lender to make any Loan required to be made by it shall not relieve any other Lender of its obligations hereunder; </w:t>
      </w:r>
      <w:r>
        <w:rPr>
          <w:rFonts w:ascii="Times New Roman" w:hAnsi="Times New Roman"/>
          <w:sz w:val="17"/>
          <w:u w:val="single"/>
        </w:rPr>
        <w:t>provided</w:t>
      </w:r>
      <w:r>
        <w:rPr>
          <w:rFonts w:ascii="Times New Roman" w:hAnsi="Times New Roman"/>
          <w:sz w:val="17"/>
        </w:rPr>
        <w:t xml:space="preserve"> that the Commitments of the Lenders are several and no Lender shall be responsible for any other Lenders failure to make Loans as required.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Subject to </w:t>
      </w:r>
      <w:r>
        <w:rPr>
          <w:rFonts w:ascii="Times New Roman" w:hAnsi="Times New Roman"/>
          <w:sz w:val="17"/>
          <w:u w:val="single"/>
        </w:rPr>
        <w:t>Section 2.14</w:t>
      </w:r>
      <w:r>
        <w:rPr>
          <w:rFonts w:ascii="Times New Roman" w:hAnsi="Times New Roman"/>
          <w:sz w:val="17"/>
        </w:rPr>
        <w:t>, each Borrowing shall be comprised entirely of ABR Loans or Eurodollar Loans as the Borrower may request in accordance herewith.  Each Lender at its option may make any Eurodollar Loan by causing any domestic or foreign branch or Affiliate of such Lender to make such Loan; provided that any exercise of such option shall not affect the obligation of the Borrower to repay such Loan in accordance with the terms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At the commencement of each Interest Period for any Eurodollar Borrowing, such Borrowing shall be in an aggregate principal amount that is an integral multiple of $1,000,000 and not less than $1,000,000.  At the time that each ABR Borrowing is made, such Borrowing shall be in an aggregate principal amount that is an integral multiple of $500,000 and not less than $1,000,000; </w:t>
      </w:r>
      <w:r>
        <w:rPr>
          <w:rFonts w:ascii="Times New Roman" w:hAnsi="Times New Roman"/>
          <w:sz w:val="17"/>
          <w:u w:val="single"/>
        </w:rPr>
        <w:t>provided</w:t>
      </w:r>
      <w:r>
        <w:rPr>
          <w:rFonts w:ascii="Times New Roman" w:hAnsi="Times New Roman"/>
          <w:sz w:val="17"/>
        </w:rPr>
        <w:t xml:space="preserve"> that an ABR Borrowing may be in an aggregate principal amount that is equal to the entire unused balance of the total Revolving Commitments.  Borrowings of more than one Type and Class may be outstanding at the same time; provided that there shall not at any time be more than a total of ten Eurodollar Borrowings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Notwithstanding any other provision of this Agreement, the Borrower shall not be entitled to request or elect to continue any Eurodollar Borrowing, or elect to convert any ABR Borrowing to a Eurodollar Borrowing, with respect to any Loans if the Interest Period requested with respect thereto would end after the Maturity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2.03</w:t>
      </w:r>
      <w:r>
        <w:rPr>
          <w:rFonts w:ascii="Times New Roman" w:hAnsi="Times New Roman"/>
        </w:rPr>
        <w:t xml:space="preserve">                             </w:t>
      </w:r>
      <w:r>
        <w:rPr>
          <w:rFonts w:ascii="Times New Roman" w:hAnsi="Times New Roman"/>
          <w:sz w:val="17"/>
          <w:u w:val="single"/>
        </w:rPr>
        <w:t>Requests for Borrowing</w:t>
      </w:r>
      <w:r>
        <w:rPr>
          <w:rFonts w:ascii="Times New Roman" w:hAnsi="Times New Roman"/>
          <w:sz w:val="17"/>
        </w:rPr>
        <w:t>.  To request a Borrowing, the Borrower shall notify the Administrative Agent of such request by telephone (a) in the case of a Eurodollar Borrowing, not later than 12:00 p.m. (Noon), New York City time, three Business Days before the date of the proposed Borrowing or (b) in the case of an ABR Borrowing, not later than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200" w:name="15636-2-LM-05_PB_18_012230_5335"/>
      <w:bookmarkEnd w:id="20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12:00 p.m. (Noon), New York City time, on the date of the proposed Borrowing.  Each such telephonic Borrowing Request shall be irrevocable and shall be confirmed promptly by hand delivery or telecopy to the Administrative Agent of a written Borrowing Request signed by the Borrower.  Each such Borrowing Request shall specify the following information in compliance with </w:t>
      </w:r>
      <w:r>
        <w:rPr>
          <w:rFonts w:ascii="Times New Roman" w:hAnsi="Times New Roman"/>
          <w:sz w:val="17"/>
          <w:u w:val="single"/>
        </w:rPr>
        <w:t>Section 2.02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aggregate principal amount of the requested Borrowing;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date of such Borrowing, which shall be a Business Day;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Class of such Borrowing and whether such Borrowing is to be an ABR Borrowing or a Eurodollar Borrowing;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in the case of a Eurodollar Borrowing, the initial Interest Period to be applicable thereto, which shall be a period contemplated by the definition of the term </w:t>
      </w:r>
      <w:r>
        <w:rPr>
          <w:rFonts w:ascii="Times New Roman" w:hAnsi="Times New Roman"/>
          <w:sz w:val="17"/>
          <w:u w:val="single"/>
        </w:rPr>
        <w:t>Interest Period;</w:t>
      </w:r>
      <w:r>
        <w:rPr>
          <w:rFonts w:ascii="Times New Roman" w:hAnsi="Times New Roman"/>
          <w:sz w:val="17"/>
        </w:rPr>
        <w: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 location and number of the Borrowers account to which funds are to be disbursed.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2.04</w:t>
      </w:r>
      <w:r>
        <w:rPr>
          <w:rFonts w:ascii="Times New Roman" w:hAnsi="Times New Roman"/>
        </w:rPr>
        <w:t xml:space="preserve">                             </w:t>
      </w:r>
      <w:r>
        <w:rPr>
          <w:rFonts w:ascii="Times New Roman" w:hAnsi="Times New Roman"/>
          <w:sz w:val="17"/>
          <w:u w:val="single"/>
        </w:rPr>
        <w:t>Agent Advances</w:t>
      </w:r>
      <w:r>
        <w:rPr>
          <w:rFonts w:ascii="Times New Roman" w:hAnsi="Times New Roman"/>
          <w:sz w:val="17"/>
        </w:rPr>
        <w:t>.  Subject to the limitations set forth below, the Administrative Agent is authorized by the Borrower and the Lenders, from time to time, at the request of the Required Lenders and during the continuance of an Event of Default and following the delivery by Administrative Agent of written notice to Borrower, to make Revolving Loans on behalf of the Borrower which the Required Lenders, in their reasonable business judgment, deem necessary or desirable to preserve or protect the collateral or any portion thereof (any of such advances are herein referred to as </w:t>
      </w:r>
      <w:r>
        <w:rPr>
          <w:rFonts w:ascii="Times New Roman" w:hAnsi="Times New Roman"/>
          <w:sz w:val="17"/>
          <w:u w:val="single"/>
        </w:rPr>
        <w:t>Agent Advances</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that the Required Lenders may at any time revoke the Administrative Agents authorization to make Agent Advances.  Any such revocation must be in writing and shall become effective prospectively upon the Administrative Agents receipt thereof.  The Agent Advances shall be secured by the liens on the collateral created under the Security Instruments and shall constitute ABR Borrowings and for all purposes shall be part of the Obligations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2.05</w:t>
      </w:r>
      <w:r>
        <w:rPr>
          <w:rFonts w:ascii="Times New Roman" w:hAnsi="Times New Roman"/>
        </w:rPr>
        <w:t xml:space="preserve">                             </w:t>
      </w:r>
      <w:r>
        <w:rPr>
          <w:rFonts w:ascii="Times New Roman" w:hAnsi="Times New Roman"/>
          <w:sz w:val="17"/>
          <w:u w:val="single"/>
        </w:rPr>
        <w:t>Existing Credit Agreement</w:t>
      </w:r>
      <w:r>
        <w:rPr>
          <w:rFonts w:ascii="Times New Roman" w:hAnsi="Times New Roman"/>
          <w:sz w:val="17"/>
        </w:rPr>
        <w:t>.  In connection with the amendment and restatement of the Existing Credit Agreement pursuant hereto, Borrower, Administrative Agent and Lenders shall, as of the Effective Date, make adjustments to the outstanding principal amount of the Loans under the Existing Credit Agreement (as such term is defined therein) (but not any interest accrued thereon prior to the Effective Date or any accrued commitment fees under the Existing Credit Agreement prior to the Effective Date), including the borrowing of additional Loans hereunder and the repayment of Loans under the Existing Credit Agreement (as such term is defined therein) plus all applicable accrued interest, fees and expenses as shall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201" w:name="15636-2-LM-05_PB_19_012252_5796"/>
      <w:bookmarkEnd w:id="20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be necessary to provide for Loans by each Lender in proportion to, and in any event not in excess of, the amount of its relevant Commitments as of the Effective Date, but in no event shall such adjustment of any Eurodollar Loans entitle any Lender to any reimbursement under </w:t>
      </w:r>
      <w:r>
        <w:rPr>
          <w:rFonts w:ascii="Times New Roman" w:hAnsi="Times New Roman"/>
          <w:sz w:val="17"/>
          <w:u w:val="single"/>
        </w:rPr>
        <w:t>Section 2.16</w:t>
      </w:r>
      <w:r>
        <w:rPr>
          <w:rFonts w:ascii="Times New Roman" w:hAnsi="Times New Roman"/>
          <w:sz w:val="17"/>
        </w:rPr>
        <w:t xml:space="preserve"> hereof or </w:t>
      </w:r>
      <w:r>
        <w:rPr>
          <w:rFonts w:ascii="Times New Roman" w:hAnsi="Times New Roman"/>
          <w:sz w:val="17"/>
          <w:u w:val="single"/>
        </w:rPr>
        <w:t>Section 2.16</w:t>
      </w:r>
      <w:r>
        <w:rPr>
          <w:rFonts w:ascii="Times New Roman" w:hAnsi="Times New Roman"/>
          <w:sz w:val="17"/>
        </w:rPr>
        <w:t xml:space="preserve"> of the Existing Credit Agreement; </w:t>
      </w:r>
      <w:r>
        <w:rPr>
          <w:rFonts w:ascii="Times New Roman" w:hAnsi="Times New Roman"/>
          <w:sz w:val="17"/>
          <w:u w:val="single"/>
        </w:rPr>
        <w:t>provided</w:t>
      </w:r>
      <w:r>
        <w:rPr>
          <w:rFonts w:ascii="Times New Roman" w:hAnsi="Times New Roman"/>
          <w:sz w:val="17"/>
        </w:rPr>
        <w:t xml:space="preserve"> that the foregoing is not intended to relieve Borrower for paying any such costs to lenders under the Existing Credit Agreement to the extent such lenders are not Lenders under this Agreement, and each Lender shall be deemed to have made an assignment of its outstanding Loans and commitments under the Existing Credit Agreement, and assumed outstanding Loans and commitments under the Existing Credit Agreement, and assumed outstanding Loans and commitments of other Lenders under the Existing Credit Agreement as may be necessary to effect the foregoing.  In addition, as of the Effective Date (i) the Existing Credit Agreement and the Commitments thereunder shall terminate and be superseded by this Agreement, and (ii) the Obligations of the Borrower hereunder are in renewal and extension of the obligations and indebtedness of the Borrower under the Existing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2.06</w:t>
      </w:r>
      <w:r>
        <w:rPr>
          <w:rFonts w:ascii="Times New Roman" w:hAnsi="Times New Roman"/>
        </w:rPr>
        <w:t xml:space="preserve">                             </w:t>
      </w:r>
      <w:r>
        <w:rPr>
          <w:rFonts w:ascii="Times New Roman" w:hAnsi="Times New Roman"/>
          <w:sz w:val="17"/>
          <w:u w:val="single"/>
        </w:rPr>
        <w:t>Defaulting Lenders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Adjustments</w:t>
      </w:r>
      <w:r>
        <w:rPr>
          <w:rFonts w:ascii="Times New Roman" w:hAnsi="Times New Roman"/>
          <w:sz w:val="17"/>
        </w:rPr>
        <w:t>.  Notwithstanding anything to the contrary contained in this Agreement, if any Lender becomes a Defaulting Lender, then, until such time as that Lender is no longer a Defaulting Lender, to the extent not prohibited by applicable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u w:val="single"/>
        </w:rPr>
        <w:t>Waivers and Amendments</w:t>
      </w:r>
      <w:r>
        <w:rPr>
          <w:rFonts w:ascii="Times New Roman" w:hAnsi="Times New Roman"/>
          <w:sz w:val="17"/>
        </w:rPr>
        <w:t xml:space="preserve">.  That Defaulting Lenders right to approve or disapprove any amendment, waiver or consent with respect to this Agreement shall be restricted as set forth in </w:t>
      </w:r>
      <w:r>
        <w:rPr>
          <w:rFonts w:ascii="Times New Roman" w:hAnsi="Times New Roman"/>
          <w:sz w:val="17"/>
          <w:u w:val="single"/>
        </w:rPr>
        <w:t>Section 9.02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u w:val="single"/>
        </w:rPr>
        <w:t>Reallocation of Payments</w:t>
      </w:r>
      <w:r>
        <w:rPr>
          <w:rFonts w:ascii="Times New Roman" w:hAnsi="Times New Roman"/>
          <w:sz w:val="17"/>
        </w:rPr>
        <w:t xml:space="preserve">.  Any payment of principal, interest, fees or other amounts received by the Administrative Agent for the account of that Defaulting Lender (whether voluntary or mandatory, at maturity, pursuant to </w:t>
      </w:r>
      <w:r>
        <w:rPr>
          <w:rFonts w:ascii="Times New Roman" w:hAnsi="Times New Roman"/>
          <w:sz w:val="17"/>
          <w:u w:val="single"/>
        </w:rPr>
        <w:t>ARTICLE VII</w:t>
      </w:r>
      <w:r>
        <w:rPr>
          <w:rFonts w:ascii="Times New Roman" w:hAnsi="Times New Roman"/>
          <w:sz w:val="17"/>
        </w:rPr>
        <w:t xml:space="preserve"> or otherwise, and including any amounts made available to the Administrative Agent by that Defaulting Lender pursuant to </w:t>
      </w:r>
      <w:r>
        <w:rPr>
          <w:rFonts w:ascii="Times New Roman" w:hAnsi="Times New Roman"/>
          <w:sz w:val="17"/>
          <w:u w:val="single"/>
        </w:rPr>
        <w:t>Section 9.08</w:t>
      </w:r>
      <w:r>
        <w:rPr>
          <w:rFonts w:ascii="Times New Roman" w:hAnsi="Times New Roman"/>
          <w:sz w:val="17"/>
        </w:rPr>
        <w:t xml:space="preserve">), shall, following application by Administrative Agent of any such payment by or on behalf of the Borrower to the account of such Defaulting Lender with respect to such Obligation paid (and in lieu of being distributed to such Defaulting Lender pursuant to </w:t>
      </w:r>
      <w:r>
        <w:rPr>
          <w:rFonts w:ascii="Times New Roman" w:hAnsi="Times New Roman"/>
          <w:sz w:val="17"/>
          <w:u w:val="single"/>
        </w:rPr>
        <w:t>Section 2.18</w:t>
      </w:r>
      <w:r>
        <w:rPr>
          <w:rFonts w:ascii="Times New Roman" w:hAnsi="Times New Roman"/>
          <w:sz w:val="17"/>
        </w:rPr>
        <w:t xml:space="preserve"> or such other provision of this Agreement applicable with respect to the distribution thereof), be applied at such time or times as may be determined by the Administrative Agent as follows:  </w:t>
      </w:r>
      <w:r>
        <w:rPr>
          <w:rFonts w:ascii="Times New Roman" w:hAnsi="Times New Roman"/>
          <w:i/>
          <w:sz w:val="17"/>
        </w:rPr>
        <w:t>first</w:t>
      </w:r>
      <w:r>
        <w:rPr>
          <w:rFonts w:ascii="Times New Roman" w:hAnsi="Times New Roman"/>
          <w:sz w:val="17"/>
        </w:rPr>
        <w:t xml:space="preserve">, to the payment of any amounts owing by that Defaulting Lender to the Administrative Agent hereunder; </w:t>
      </w:r>
      <w:r>
        <w:rPr>
          <w:rFonts w:ascii="Times New Roman" w:hAnsi="Times New Roman"/>
          <w:i/>
          <w:sz w:val="17"/>
        </w:rPr>
        <w:t>second</w:t>
      </w:r>
      <w:r>
        <w:rPr>
          <w:rFonts w:ascii="Times New Roman" w:hAnsi="Times New Roman"/>
          <w:sz w:val="17"/>
        </w:rPr>
        <w:t xml:space="preserve">, as the Borrower may request (so long as no Default or Event of Default exists), to the funding of any Loan in respect of which that Defaulting Lender has failed to fund its portion thereof as required by this Agreement, </w:t>
      </w:r>
      <w:r>
        <w:rPr>
          <w:rFonts w:ascii="Times New Roman" w:hAnsi="Times New Roman"/>
          <w:i/>
          <w:sz w:val="17"/>
        </w:rPr>
        <w:t>third</w:t>
      </w:r>
      <w:r>
        <w:rPr>
          <w:rFonts w:ascii="Times New Roman" w:hAnsi="Times New Roman"/>
          <w:sz w:val="17"/>
        </w:rPr>
        <w:t xml:space="preserve">, if so determined by the Administrative Agent and the Borrower, to be held in an interest bearing deposit account and released pro rata in order to satisfy obligations of that Defaulting Lender to fund Loans under this Agreement; </w:t>
      </w:r>
      <w:r>
        <w:rPr>
          <w:rFonts w:ascii="Times New Roman" w:hAnsi="Times New Roman"/>
          <w:i/>
          <w:sz w:val="17"/>
        </w:rPr>
        <w:t>fourth</w:t>
      </w:r>
      <w:r>
        <w:rPr>
          <w:rFonts w:ascii="Times New Roman" w:hAnsi="Times New Roman"/>
          <w:sz w:val="17"/>
        </w:rPr>
        <w:t xml:space="preserve">, to the payment of any amounts owing to the Lenders hereunder or as a result of any judgment of a court of competent jurisdiction obtained by any Lender against that Defaulting Lender as a result of that Defaulting Lenders breach of its obligations under this Agreement; </w:t>
      </w:r>
      <w:r>
        <w:rPr>
          <w:rFonts w:ascii="Times New Roman" w:hAnsi="Times New Roman"/>
          <w:i/>
          <w:sz w:val="17"/>
        </w:rPr>
        <w:t>fifth</w:t>
      </w:r>
      <w:r>
        <w:rPr>
          <w:rFonts w:ascii="Times New Roman" w:hAnsi="Times New Roman"/>
          <w:sz w:val="17"/>
        </w:rPr>
        <w:t>, to the payment of any amounts owing to the Borrower hereunder or as a result of any judgment of a court of competent jurisdiction obtained by the Borrower against that Defaulting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202" w:name="15636-2-LM-05_PB_20_012307_2897"/>
      <w:bookmarkEnd w:id="20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Lender as a result of that Defaulting Lenders breach of its obligations under this Agreement; and </w:t>
      </w:r>
      <w:r>
        <w:rPr>
          <w:rFonts w:ascii="Times New Roman" w:hAnsi="Times New Roman"/>
          <w:i/>
          <w:sz w:val="17"/>
        </w:rPr>
        <w:t>sixth</w:t>
      </w:r>
      <w:r>
        <w:rPr>
          <w:rFonts w:ascii="Times New Roman" w:hAnsi="Times New Roman"/>
          <w:sz w:val="17"/>
        </w:rPr>
        <w:t xml:space="preserve">, to that Defaulting Lender or as otherwise directed by a court of competent jurisdiction; </w:t>
      </w:r>
      <w:r>
        <w:rPr>
          <w:rFonts w:ascii="Times New Roman" w:hAnsi="Times New Roman"/>
          <w:sz w:val="17"/>
          <w:u w:val="single"/>
        </w:rPr>
        <w:t>provided</w:t>
      </w:r>
      <w:r>
        <w:rPr>
          <w:rFonts w:ascii="Times New Roman" w:hAnsi="Times New Roman"/>
          <w:sz w:val="17"/>
        </w:rPr>
        <w:t xml:space="preserve"> that, with respect to this clause </w:t>
      </w:r>
      <w:r>
        <w:rPr>
          <w:rFonts w:ascii="Times New Roman" w:hAnsi="Times New Roman"/>
          <w:i/>
          <w:sz w:val="17"/>
        </w:rPr>
        <w:t>sixth</w:t>
      </w:r>
      <w:r>
        <w:rPr>
          <w:rFonts w:ascii="Times New Roman" w:hAnsi="Times New Roman"/>
          <w:sz w:val="17"/>
        </w:rPr>
        <w:t xml:space="preserve">, if (x) such payment is a payment of the principal amount of any Loans in respect of which that Defaulting Lender has not fully funded its appropriate share and (y) such Loans were made at a time when the conditions set forth in </w:t>
      </w:r>
      <w:r>
        <w:rPr>
          <w:rFonts w:ascii="Times New Roman" w:hAnsi="Times New Roman"/>
          <w:sz w:val="17"/>
          <w:u w:val="single"/>
        </w:rPr>
        <w:t>Section 4.02</w:t>
      </w:r>
      <w:r>
        <w:rPr>
          <w:rFonts w:ascii="Times New Roman" w:hAnsi="Times New Roman"/>
          <w:sz w:val="17"/>
        </w:rPr>
        <w:t xml:space="preserve"> were satisfied or waived, such payment shall be applied solely to pay the Loans of all respective non-Defaulting Lenders on a pro rata basis prior to being applied to the payment of any Loans of that Defaulting Lender.  Any payments, prepayments or other amounts paid or payable to a Defaulting Lender that are applied (or held) to pay amounts owed by a Defaulting Lender pursuant to this </w:t>
      </w:r>
      <w:r>
        <w:rPr>
          <w:rFonts w:ascii="Times New Roman" w:hAnsi="Times New Roman"/>
          <w:sz w:val="17"/>
          <w:u w:val="single"/>
        </w:rPr>
        <w:t>Section 2.06(a)(ii)</w:t>
      </w:r>
      <w:r>
        <w:rPr>
          <w:rFonts w:ascii="Times New Roman" w:hAnsi="Times New Roman"/>
          <w:sz w:val="17"/>
        </w:rPr>
        <w:t> shall be deemed paid to and redirected by that Defaulting Lender, and each Lender irrevocably consents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u w:val="single"/>
        </w:rPr>
        <w:t>Certain Fees</w:t>
      </w:r>
      <w:r>
        <w:rPr>
          <w:rFonts w:ascii="Times New Roman" w:hAnsi="Times New Roman"/>
          <w:sz w:val="17"/>
        </w:rPr>
        <w:t xml:space="preserve">.  That Defaulting Lender shall not be entitled to receive any commitment fee pursuant to </w:t>
      </w:r>
      <w:r>
        <w:rPr>
          <w:rFonts w:ascii="Times New Roman" w:hAnsi="Times New Roman"/>
          <w:sz w:val="17"/>
          <w:u w:val="single"/>
        </w:rPr>
        <w:t>Section 2.12(a)</w:t>
      </w:r>
      <w:r>
        <w:rPr>
          <w:rFonts w:ascii="Times New Roman" w:hAnsi="Times New Roman"/>
          <w:sz w:val="17"/>
        </w:rPr>
        <w:t> for any period during which that Lender is a Defaulting Lender and the Borrower shall not be required to pay to the Administrative Agent for the account of the Defaulting Lender or the Defaulting Lender any such fee, and no such fees shall accrue for the account of the Defaulting Lender, that otherwise would have been required to have been paid to that Defaulting Lender.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Defaulting Lender Cure</w:t>
      </w:r>
      <w:r>
        <w:rPr>
          <w:rFonts w:ascii="Times New Roman" w:hAnsi="Times New Roman"/>
          <w:sz w:val="17"/>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reimbursement of costs and expenses to the Borrower), that Lender will, to the extent applicable, purchase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w:t>
      </w:r>
      <w:r>
        <w:rPr>
          <w:rFonts w:ascii="Times New Roman" w:hAnsi="Times New Roman"/>
          <w:sz w:val="17"/>
          <w:u w:val="single"/>
        </w:rPr>
        <w:t>provided</w:t>
      </w:r>
      <w:r>
        <w:rPr>
          <w:rFonts w:ascii="Times New Roman" w:hAnsi="Times New Roman"/>
          <w:sz w:val="17"/>
        </w:rPr>
        <w:t xml:space="preserve"> that no adjustments will be made retroactively with respect to fees accrued or payments made by or on behalf of the Borrower while that Lender was a Defaulting Lender; and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further</w:t>
      </w:r>
      <w:r>
        <w:rPr>
          <w:rFonts w:ascii="Times New Roman" w:hAnsi="Times New Roman"/>
          <w:sz w:val="17"/>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u w:val="single"/>
        </w:rPr>
        <w:t>Rights and Remedies against a Defaulting Lender</w:t>
      </w:r>
      <w:r>
        <w:rPr>
          <w:rFonts w:ascii="Times New Roman" w:hAnsi="Times New Roman"/>
          <w:sz w:val="17"/>
        </w:rPr>
        <w:t xml:space="preserve">.  The Borrower may replace any Defaulting Lender in accordance with </w:t>
      </w:r>
      <w:r>
        <w:rPr>
          <w:rFonts w:ascii="Times New Roman" w:hAnsi="Times New Roman"/>
          <w:sz w:val="17"/>
          <w:u w:val="single"/>
        </w:rPr>
        <w:t>Section 2.19</w:t>
      </w:r>
      <w:r>
        <w:rPr>
          <w:rFonts w:ascii="Times New Roman" w:hAnsi="Times New Roman"/>
          <w:sz w:val="17"/>
        </w:rPr>
        <w:t xml:space="preserve">.  The rights and remedies against, and with respect to, a Defaulting Lender under this </w:t>
      </w:r>
      <w:r>
        <w:rPr>
          <w:rFonts w:ascii="Times New Roman" w:hAnsi="Times New Roman"/>
          <w:sz w:val="17"/>
          <w:u w:val="single"/>
        </w:rPr>
        <w:t>Section 2.06</w:t>
      </w:r>
      <w:r>
        <w:rPr>
          <w:rFonts w:ascii="Times New Roman" w:hAnsi="Times New Roman"/>
          <w:sz w:val="17"/>
        </w:rPr>
        <w:t xml:space="preserve"> are in addition to, and cumulative and not in limitation of, all other rights and remedies that each of the Administrative Agent, the Lenders and the Borrower may, at any time, have against, or with respect to, such Defaulting Lender.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2.07</w:t>
      </w:r>
      <w:r>
        <w:rPr>
          <w:rFonts w:ascii="Times New Roman" w:hAnsi="Times New Roman"/>
        </w:rPr>
        <w:t xml:space="preserve">                             </w:t>
      </w:r>
      <w:r>
        <w:rPr>
          <w:rFonts w:ascii="Times New Roman" w:hAnsi="Times New Roman"/>
          <w:sz w:val="17"/>
          <w:u w:val="single"/>
        </w:rPr>
        <w:t>Funding of Borrowings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Each Lender shall make each Loan to be made by it hereunder on the proposed date thereof by wire transfer of immediately available funds by 1:00 p.m., New York City time, to the account of the Administrative Agent most recently designated by it for such purpose by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203" w:name="15636-2-LM-05_PB_21_012347_7748"/>
      <w:bookmarkEnd w:id="20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notice to the Lenders.  The Administrative Agent will make such Loans available to the Borrower by promptly crediting the amounts so received, in like funds, to an account designated by the Borrower in the applicable Borrowing Request.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Unless the Administrative Agent shall have received notice from a Lender on or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If such Lender pays such amount to the Administrative Agent, then such amount shall constitute such Lenders Loan included in such Borrowing.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2.08</w:t>
      </w:r>
      <w:r>
        <w:rPr>
          <w:rFonts w:ascii="Times New Roman" w:hAnsi="Times New Roman"/>
        </w:rPr>
        <w:t xml:space="preserve">                             </w:t>
      </w:r>
      <w:r>
        <w:rPr>
          <w:rFonts w:ascii="Times New Roman" w:hAnsi="Times New Roman"/>
          <w:sz w:val="17"/>
          <w:u w:val="single"/>
        </w:rPr>
        <w:t>Interest Elections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Each Borrowing initially shall be of the Type specified in the applicable Borrowing Request and, in the case of a Eurodollar Borrowing, shall have an initial Interest Period as specified in such Borrowing Request or, if no Interest Period is so specified, of one months duration.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To make an election pursuant to this Section, the Borrower shall notify the Administrative Agent of such election by telephone by (i) in the case of a conversion to or a continuation of a Eurodollar Loan, 12:00 p.m. (Noon), New York City time, three Business Days before the date of the proposed election, or (ii) in the case of a conversion to an ABR Borrowing, not later than 12:00 p.m. (Noon), New York City time, on the date of the proposed conversion.  Each such telephonic Interest Election Request shall be irrevocable and shall be confirmed promptly by hand delivery or telecopy to the Administrative Agent of a written Interest Election Request signed by the Borrower.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Each telephonic and written Interest Election Request shall specify the following information in compliance with </w:t>
      </w:r>
      <w:r>
        <w:rPr>
          <w:rFonts w:ascii="Times New Roman" w:hAnsi="Times New Roman"/>
          <w:sz w:val="17"/>
          <w:u w:val="single"/>
        </w:rPr>
        <w:t>Section 2.02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Borrowing to which such Interest Election Request applies and, if different options are being elected with respect to different portions thereof, the portions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204" w:name="15636-2-LM-05_PB_22_012406_141"/>
      <w:bookmarkEnd w:id="20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thereof to be allocated to each resulting Borrowing (in which case the information to be specified pursuant to clauses (iii) and (iv) below shall be specified for each resulting Borrowing);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effective date of the election made pursuant to such Interest Election Request, which shall be a Business Day;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whether the resulting Borrowing is to be an ABR Borrowing or a Eurodollar Borrowing;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if the resulting Borrowing is a Eurodollar Borrowing, the Interest Period to be applicable thereto after giving effect to such election, which shall be a period contemplated by the definition of the term </w:t>
      </w:r>
      <w:r>
        <w:rPr>
          <w:rFonts w:ascii="Times New Roman" w:hAnsi="Times New Roman"/>
          <w:sz w:val="17"/>
          <w:u w:val="single"/>
        </w:rPr>
        <w:t>Interest Period.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any such Interest Election Request requests a Eurodollar Borrowing but does not specify an Interest Period, then the Borrower shall be deemed to have selected an Interest Period of one months duration.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Promptly following receipt of an Interest Election Request, the Administrative Agent shall advise each Lender of the details thereof and of such Lenders portion of each resulting Borrowing.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2.09</w:t>
      </w:r>
      <w:r>
        <w:rPr>
          <w:rFonts w:ascii="Times New Roman" w:hAnsi="Times New Roman"/>
        </w:rPr>
        <w:t xml:space="preserve">                             </w:t>
      </w:r>
      <w:r>
        <w:rPr>
          <w:rFonts w:ascii="Times New Roman" w:hAnsi="Times New Roman"/>
          <w:sz w:val="17"/>
          <w:u w:val="single"/>
        </w:rPr>
        <w:t>Termination and Reduction of Commitments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Term Commitment of each Lender shall terminate at the close of business on the Effective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Unless previously terminated, each Lenders Revolving Commitment shall terminate on the Maturity Date applicable to such Lenders Revolving Loans.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The Borrower may at any time terminate, or from time to time reduce, the Revolving Commitments; </w:t>
      </w:r>
      <w:r>
        <w:rPr>
          <w:rFonts w:ascii="Times New Roman" w:hAnsi="Times New Roman"/>
          <w:sz w:val="17"/>
          <w:u w:val="single"/>
        </w:rPr>
        <w:t>provided</w:t>
      </w:r>
      <w:r>
        <w:rPr>
          <w:rFonts w:ascii="Times New Roman" w:hAnsi="Times New Roman"/>
          <w:sz w:val="17"/>
        </w:rPr>
        <w:t xml:space="preserve"> that (i) each reduction of the Revolving Commitments shall be in an amount that is an integral multiple of $1,000,000 and not less than $5,000,000 and (ii) the Borrower shall not terminate or reduce the Revolving Commitments if, after giving effect to any concurrent prepayment of the Revolving Loans in accordance with </w:t>
      </w:r>
      <w:r>
        <w:rPr>
          <w:rFonts w:ascii="Times New Roman" w:hAnsi="Times New Roman"/>
          <w:sz w:val="17"/>
          <w:u w:val="single"/>
        </w:rPr>
        <w:t>Section 2.11</w:t>
      </w:r>
      <w:r>
        <w:rPr>
          <w:rFonts w:ascii="Times New Roman" w:hAnsi="Times New Roman"/>
          <w:sz w:val="17"/>
        </w:rPr>
        <w:t>, the total Revolving Exposures would exceed the total Revolving Commitments.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205" w:name="15636-2-LM-05_PB_23_012428_7608"/>
      <w:bookmarkEnd w:id="20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Borrower shall notify the Administrative Agent of any election to terminate or reduce the Revolving Commitments under paragraph (c) of this Section not later than 11:00 a.m., New York City time on the proposed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hAnsi="Times New Roman"/>
          <w:sz w:val="17"/>
          <w:u w:val="single"/>
        </w:rPr>
        <w:t>provided</w:t>
      </w:r>
      <w:r>
        <w:rPr>
          <w:rFonts w:ascii="Times New Roman" w:hAnsi="Times New Roman"/>
          <w:sz w:val="17"/>
        </w:rPr>
        <w:t xml:space="preserve"> that a notice of termination of the Revolving Commitments delivered by the Borrower may state that such notice is conditioned upon the effectiveness of other credit facilities or financings, in which case such notice may be revoked by the Borrower (by notice to the Administrative Agent on or prior to the specified effective date) if such condition is not satisfied.  Each reduction of the Revolving Commitments shall be made ratably among the respective Lenders thereof in accordance with their respective Revolving Commitment.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Any termination of the Commitments pursuant to this </w:t>
      </w:r>
      <w:r>
        <w:rPr>
          <w:rFonts w:ascii="Times New Roman" w:hAnsi="Times New Roman"/>
          <w:sz w:val="17"/>
          <w:u w:val="single"/>
        </w:rPr>
        <w:t>Section 2.09</w:t>
      </w:r>
      <w:r>
        <w:rPr>
          <w:rFonts w:ascii="Times New Roman" w:hAnsi="Times New Roman"/>
          <w:sz w:val="17"/>
        </w:rPr>
        <w:t xml:space="preserve"> or </w:t>
      </w:r>
      <w:r>
        <w:rPr>
          <w:rFonts w:ascii="Times New Roman" w:hAnsi="Times New Roman"/>
          <w:sz w:val="17"/>
          <w:u w:val="single"/>
        </w:rPr>
        <w:t>ARTICLE VII</w:t>
      </w:r>
      <w:r>
        <w:rPr>
          <w:rFonts w:ascii="Times New Roman" w:hAnsi="Times New Roman"/>
          <w:sz w:val="17"/>
        </w:rPr>
        <w:t xml:space="preserve"> shall be permanent.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2.10</w:t>
      </w:r>
      <w:r>
        <w:rPr>
          <w:rFonts w:ascii="Times New Roman" w:hAnsi="Times New Roman"/>
        </w:rPr>
        <w:t xml:space="preserve">                             </w:t>
      </w:r>
      <w:r>
        <w:rPr>
          <w:rFonts w:ascii="Times New Roman" w:hAnsi="Times New Roman"/>
          <w:sz w:val="17"/>
          <w:u w:val="single"/>
        </w:rPr>
        <w:t>Repayment of Loans; Evidence of Debt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Borrower hereby unconditionally promises to pay to the Administrative Agent for the ratable account of each Revolving Loan Lender the then unpaid principal amount of such Lenders Revolving Loans (and all accrued and unpaid interest thereon) on the Maturity Date applicable to such Revolving Loans.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Borrower hereby unconditionally promises to pay to the Administrative Agent for the ratable account of each Term Loan Lender the then unpaid principal amount of such Lenders Term Loans (and all accrued and unpaid interest thereon) on the Maturity Date applicable to such Term Loans.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(iii) the amount of any sum received by the Administrative Agent hereunder for the account of the Lenders and each Lenders share thereof and (iv) the Maturity Date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entries made in the accounts maintained pursuant to paragraph (c) or (d) of this Section shall be prima facie evidence of the existence and amounts of the obligations recorded therein; provided that the failure of any Lender or the Administrative Agent to maintain such accounts or any error therein shall not in any manner affect the obligation of the Borrower to repay the Loans in accordance with the terms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Any Lender may request that Loans made by it be evidenced by a promissory note.  In such event, the Borrower shall prepare, execute and deliver to such Lender promissory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206" w:name="15636-2-LM-05_PB_24_012449_8146"/>
      <w:bookmarkEnd w:id="20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notes in the amount of such Lenders Revolving Commitment or Term Loan Commitment, as applicable, payable to the order of such Lender (or, if requested by such Lender, to such Lender and, subject to compliance with </w:t>
      </w:r>
      <w:r>
        <w:rPr>
          <w:rFonts w:ascii="Times New Roman" w:hAnsi="Times New Roman"/>
          <w:sz w:val="17"/>
          <w:u w:val="single"/>
        </w:rPr>
        <w:t>Section 9.04</w:t>
      </w:r>
      <w:r>
        <w:rPr>
          <w:rFonts w:ascii="Times New Roman" w:hAnsi="Times New Roman"/>
          <w:sz w:val="17"/>
        </w:rPr>
        <w:t xml:space="preserve">, its registered assigns) and in substantially the form of </w:t>
      </w:r>
      <w:r>
        <w:rPr>
          <w:rFonts w:ascii="Times New Roman" w:hAnsi="Times New Roman"/>
          <w:sz w:val="17"/>
          <w:u w:val="single"/>
        </w:rPr>
        <w:t>Exhibit E-1</w:t>
      </w:r>
      <w:r>
        <w:rPr>
          <w:rFonts w:ascii="Times New Roman" w:hAnsi="Times New Roman"/>
          <w:sz w:val="17"/>
        </w:rPr>
        <w:t xml:space="preserve"> or </w:t>
      </w:r>
      <w:r>
        <w:rPr>
          <w:rFonts w:ascii="Times New Roman" w:hAnsi="Times New Roman"/>
          <w:sz w:val="17"/>
          <w:u w:val="single"/>
        </w:rPr>
        <w:t>Exhibit E-2</w:t>
      </w:r>
      <w:r>
        <w:rPr>
          <w:rFonts w:ascii="Times New Roman" w:hAnsi="Times New Roman"/>
          <w:sz w:val="17"/>
        </w:rPr>
        <w:t xml:space="preserve">, as appropriate.  Thereafter, the Loans evidenced by such promissory notes and interest thereon shall at all times (including after assignment pursuant to </w:t>
      </w:r>
      <w:r>
        <w:rPr>
          <w:rFonts w:ascii="Times New Roman" w:hAnsi="Times New Roman"/>
          <w:sz w:val="17"/>
          <w:u w:val="single"/>
        </w:rPr>
        <w:t>Section 9.04</w:t>
      </w:r>
      <w:r>
        <w:rPr>
          <w:rFonts w:ascii="Times New Roman" w:hAnsi="Times New Roman"/>
          <w:sz w:val="17"/>
        </w:rPr>
        <w:t xml:space="preserve">) be represented by one or more promissory notes in such form payable to the order of the payee named therein (or, if such promissory note is a registered note, to such payee and, subject to compliance with </w:t>
      </w:r>
      <w:r>
        <w:rPr>
          <w:rFonts w:ascii="Times New Roman" w:hAnsi="Times New Roman"/>
          <w:sz w:val="17"/>
          <w:u w:val="single"/>
        </w:rPr>
        <w:t>Section 9.04</w:t>
      </w:r>
      <w:r>
        <w:rPr>
          <w:rFonts w:ascii="Times New Roman" w:hAnsi="Times New Roman"/>
          <w:sz w:val="17"/>
        </w:rPr>
        <w:t>, its registered assigns) unless the Borrower is otherwise instructed.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2.11</w:t>
      </w:r>
      <w:r>
        <w:rPr>
          <w:rFonts w:ascii="Times New Roman" w:hAnsi="Times New Roman"/>
        </w:rPr>
        <w:t xml:space="preserve">                             </w:t>
      </w:r>
      <w:r>
        <w:rPr>
          <w:rFonts w:ascii="Times New Roman" w:hAnsi="Times New Roman"/>
          <w:sz w:val="17"/>
          <w:u w:val="single"/>
        </w:rPr>
        <w:t>Prepayment of Loans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Borrower shall have the right at any time and from time to time to prepay any Borrowing in whole or in part, subject to prior notice and other limitations set forth in this Section.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Each prepayment pursuant to </w:t>
      </w:r>
      <w:r>
        <w:rPr>
          <w:rFonts w:ascii="Times New Roman" w:hAnsi="Times New Roman"/>
          <w:sz w:val="17"/>
          <w:u w:val="single"/>
        </w:rPr>
        <w:t>Section 2.11(a)</w:t>
      </w:r>
      <w:r>
        <w:rPr>
          <w:rFonts w:ascii="Times New Roman" w:hAnsi="Times New Roman"/>
          <w:sz w:val="17"/>
        </w:rPr>
        <w:t xml:space="preserve"> shall be applied to reduce pro rata all Loans comprising the designated Borrowing being prepaid.  Prepayments shall be accompanied by accrued interest to the extent required by </w:t>
      </w:r>
      <w:r>
        <w:rPr>
          <w:rFonts w:ascii="Times New Roman" w:hAnsi="Times New Roman"/>
          <w:sz w:val="17"/>
          <w:u w:val="single"/>
        </w:rPr>
        <w:t>Section 2.13</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The Borrower shall notify the Administrative Agent by telephone (confirmed by telecopy) of any prepayment hereunder (i) in the case of prepayment of a Eurodollar Borrowing, not later than 11:00 a.m., New York City time, three Business Days before the date of prepayment (or not later than 11:00 a.m., New York City time on the date of termination if all of the Commitments are being terminated), or (ii) in the case of prepayment of an ABR Borrowing, not later than 11:00 a.m., New York City time, on the date of prepayment.  Each such notice shall be irrevocable and shall specify the prepayment date and the principal amount of each Borrowing or portion thereof to be prepaid; </w:t>
      </w:r>
      <w:r>
        <w:rPr>
          <w:rFonts w:ascii="Times New Roman" w:hAnsi="Times New Roman"/>
          <w:sz w:val="17"/>
          <w:u w:val="single"/>
        </w:rPr>
        <w:t>provided</w:t>
      </w:r>
      <w:r>
        <w:rPr>
          <w:rFonts w:ascii="Times New Roman" w:hAnsi="Times New Roman"/>
          <w:sz w:val="17"/>
        </w:rPr>
        <w:t xml:space="preserve"> that, if a notice of prepayment is given in connection with a conditional notice of termination of the Revolving Commitments as contemplated by </w:t>
      </w:r>
      <w:r>
        <w:rPr>
          <w:rFonts w:ascii="Times New Roman" w:hAnsi="Times New Roman"/>
          <w:sz w:val="17"/>
          <w:u w:val="single"/>
        </w:rPr>
        <w:t>Section 2.09</w:t>
      </w:r>
      <w:r>
        <w:rPr>
          <w:rFonts w:ascii="Times New Roman" w:hAnsi="Times New Roman"/>
          <w:sz w:val="17"/>
        </w:rPr>
        <w:t xml:space="preserve">, then such notice of prepayment may be revoked if such notice of termination is revoked in accordance with </w:t>
      </w:r>
      <w:r>
        <w:rPr>
          <w:rFonts w:ascii="Times New Roman" w:hAnsi="Times New Roman"/>
          <w:sz w:val="17"/>
          <w:u w:val="single"/>
        </w:rPr>
        <w:t>Section 2.09</w:t>
      </w:r>
      <w:r>
        <w:rPr>
          <w:rFonts w:ascii="Times New Roman" w:hAnsi="Times New Roman"/>
          <w:sz w:val="17"/>
        </w:rPr>
        <w:t xml:space="preserve">.  Promptly following receipt of any such notice relating to a Borrowing, the Administrative Agent shall advise the Lenders of the contents thereof.  Each partial prepayment of any Borrowing pursuant to </w:t>
      </w:r>
      <w:r>
        <w:rPr>
          <w:rFonts w:ascii="Times New Roman" w:hAnsi="Times New Roman"/>
          <w:sz w:val="17"/>
          <w:u w:val="single"/>
        </w:rPr>
        <w:t>Section 2.11(a)</w:t>
      </w:r>
      <w:r>
        <w:rPr>
          <w:rFonts w:ascii="Times New Roman" w:hAnsi="Times New Roman"/>
          <w:sz w:val="17"/>
        </w:rPr>
        <w:t xml:space="preserve"> shall be in minimum amounts of $1,000,000 in the case of an ABR Borrowing and not less than $3,000,000 in the case of a Eurodollar Borrowing, and increments of $1,000,000 in excess thereof.  Pursuant to </w:t>
      </w:r>
      <w:r>
        <w:rPr>
          <w:rFonts w:ascii="Times New Roman" w:hAnsi="Times New Roman"/>
          <w:sz w:val="17"/>
          <w:u w:val="single"/>
        </w:rPr>
        <w:t>Section 2.16</w:t>
      </w:r>
      <w:r>
        <w:rPr>
          <w:rFonts w:ascii="Times New Roman" w:hAnsi="Times New Roman"/>
          <w:sz w:val="17"/>
        </w:rPr>
        <w:t>, the Borrower shall bear breakage costs related to the prepayment of any Eurodollar Borrowing prior to the last day of the Interest Period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If at any time the total Revolving Exposures would exceed the total Revolving Commitments, except as a result of termination of Revolving Commitments pursuant to </w:t>
      </w:r>
      <w:r>
        <w:rPr>
          <w:rFonts w:ascii="Times New Roman" w:hAnsi="Times New Roman"/>
          <w:sz w:val="17"/>
          <w:u w:val="single"/>
        </w:rPr>
        <w:t>ARTICLE VII</w:t>
      </w:r>
      <w:r>
        <w:rPr>
          <w:rFonts w:ascii="Times New Roman" w:hAnsi="Times New Roman"/>
          <w:sz w:val="17"/>
        </w:rPr>
        <w:t>, the Borrower shall prepay the Revolving Loans in an amount equal to such excess.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All prepayments shall be payable without premium or penalty, except for compensation required by </w:t>
      </w:r>
      <w:r>
        <w:rPr>
          <w:rFonts w:ascii="Times New Roman" w:hAnsi="Times New Roman"/>
          <w:sz w:val="17"/>
          <w:u w:val="single"/>
        </w:rPr>
        <w:t>Section 2.16</w:t>
      </w:r>
      <w:r>
        <w:rPr>
          <w:rFonts w:ascii="Times New Roman" w:hAnsi="Times New Roman"/>
          <w:sz w:val="17"/>
        </w:rPr>
        <w:t xml:space="preserve"> and/or any other provision of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207" w:name="15636-2-LM-05_PB_25_012510_7091"/>
      <w:bookmarkEnd w:id="20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2.12</w:t>
      </w:r>
      <w:r>
        <w:rPr>
          <w:rFonts w:ascii="Times New Roman" w:hAnsi="Times New Roman"/>
        </w:rPr>
        <w:t xml:space="preserve">                             </w:t>
      </w:r>
      <w:r>
        <w:rPr>
          <w:rFonts w:ascii="Times New Roman" w:hAnsi="Times New Roman"/>
          <w:sz w:val="17"/>
          <w:u w:val="single"/>
        </w:rPr>
        <w:t>Fees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Borrower shall pay to the Administrative Agent for the account of each Lender a commitment fee on the daily average unused amount of such Lenders Revolving Commitment for the period from and including the first day of the Availability Period up to, but excluding, the Termination Date, at the Applicable Rate for commitment fees.  Accrued commitment fees shall be payable quarterly in arrears on each Quarterly Date and, with respect to each Lender, on the earlier of the date such Lenders Revolving Commitment is terminated or the Termination Date.  All commitment fees shall be computed on the basis of a year of 365 days (or 366 days in leap year) and shall be payable for the actual number of days elapsed (including the first day but excluding the last day).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Borrower agrees to pay to the Administrative Agent, for its own account, fees payable in the amounts and at the times separately agreed upon between the Borrower and the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All fees payable hereunder shall be paid on the dates due, in immediately available funds, to the Administrative Agent for distribution, in the case of commitment fees, to the Lenders.  Except as otherwise agreed, fees paid shall not be refundable under any circumstances.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2.13</w:t>
      </w:r>
      <w:r>
        <w:rPr>
          <w:rFonts w:ascii="Times New Roman" w:hAnsi="Times New Roman"/>
        </w:rPr>
        <w:t xml:space="preserve">                             </w:t>
      </w:r>
      <w:r>
        <w:rPr>
          <w:rFonts w:ascii="Times New Roman" w:hAnsi="Times New Roman"/>
          <w:sz w:val="17"/>
          <w:u w:val="single"/>
        </w:rPr>
        <w:t>Interest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Loans comprising each ABR Borrowing shall bear interest at the Alternate Base Rate plus the Applicable Rate for ABR Loans.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Loans comprising each Eurodollar Borrowing shall bear interest at the LIBO Rate for the Interest Period in effect for such Borrowing plus the Applicable Rate for Eurodollar Loans.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Accrued interest on each Loan shall be payable in arrears on each Interest Payment Date for such Loan and, in the case of Revolving Loans, upon termination of the Revolving Commitments; </w:t>
      </w:r>
      <w:r>
        <w:rPr>
          <w:rFonts w:ascii="Times New Roman" w:hAnsi="Times New Roman"/>
          <w:sz w:val="17"/>
          <w:u w:val="single"/>
        </w:rPr>
        <w:t>provided</w:t>
      </w:r>
      <w:r>
        <w:rPr>
          <w:rFonts w:ascii="Times New Roman" w:hAnsi="Times New Roman"/>
          <w:sz w:val="17"/>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All interest determined by reference to the LIBO Rate or clause (c) of the definition of Alternate Base Rate shall be computed on the basis of a year of 360 days, and all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208" w:name="15636-2-LM-05_PB_26_012528_455"/>
      <w:bookmarkEnd w:id="208"/>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interest shall be computed on the basis of a year of 365 days (or 366 days in a leap year), and in each case shall be payable for the actual number of days elapsed (including the first day but excluding the last day).  The applicable Alternate Base Rate or LIBO Rate shall be determined by the Administrative Agent, and such determination shall be conclusive absent manifest error.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The Borrower shall pay to each Lender, so long as such Lender shall be required, in respect to the Eurodollar Loans made hereunder, under regulations of the Board to maintain reserves with respect to liabilities or assets consisting of or including Eurocurrency Liabilities, additional interest on the unpaid principal amount of each Borrowing of such Lender during such periods as such Borrowing is a Eurodollar Borrowing, from the date of such Borrowing until such principal amount is paid in full, at an interest rate per annum equal at all times to the remainder obtained by subtracting (i) the LIBO Rate for the Interest Period in effect for such Eurodollar Borrowing from (ii) the rate obtained by dividing such LIBO Rate by a percentage equal to 100% minus the Eurodollar Rate Reserve Percentage of such Lender for such Interest Period.  Such additional interest shall be determined by such Lender.  The Borrower shall from time to time, within 15 days after demand (which demand shall be accompanied by a certificate comporting with the requirements set forth in </w:t>
      </w:r>
      <w:r>
        <w:rPr>
          <w:rFonts w:ascii="Times New Roman" w:hAnsi="Times New Roman"/>
          <w:sz w:val="17"/>
          <w:u w:val="single"/>
        </w:rPr>
        <w:t>Section 2.15(d)</w:t>
      </w:r>
      <w:r>
        <w:rPr>
          <w:rFonts w:ascii="Times New Roman" w:hAnsi="Times New Roman"/>
          <w:sz w:val="17"/>
        </w:rPr>
        <w:t xml:space="preserve">) by such Lender (with a copy of such demand and certificate to the Administrative Agent) pay to the Lender giving such notice such additional interest;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the Borrower shall not be required to pay to such Lender any portion of such additional interest that accrued more than 90 days prior to any such demand, unless such additional interest was not determinable on the date that is 90 days prior to such demand.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2.14</w:t>
      </w:r>
      <w:r>
        <w:rPr>
          <w:rFonts w:ascii="Times New Roman" w:hAnsi="Times New Roman"/>
        </w:rPr>
        <w:t xml:space="preserve">                             </w:t>
      </w:r>
      <w:r>
        <w:rPr>
          <w:rFonts w:ascii="Times New Roman" w:hAnsi="Times New Roman"/>
          <w:sz w:val="17"/>
          <w:u w:val="single"/>
        </w:rPr>
        <w:t>Alternate Rate of Interest</w:t>
      </w:r>
      <w:r>
        <w:rPr>
          <w:rFonts w:ascii="Times New Roman" w:hAnsi="Times New Roman"/>
          <w:sz w:val="17"/>
        </w:rPr>
        <w:t>.  If prior to the commencement of any Interest Period for a Eurodollar Borrowing: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Administrative Agent determines (which determination shall be conclusive absent manifest error) that adequate and reasonable means do not exist for ascertaining the LIBO Rate, as applicable, for such Interest Period;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Administrative Agent is advised by the Required Lenders that the LIBO Rate, as applicable, for such Interest Period will not adequately and fairly reflect the cost to such Lenders (or Lender) of making or maintaining their Loans (or its Loan) included in such Borrowing for such Interest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then the Administrative Agent shall give notice thereof to the Borrower and the Lenders by telephone or telecopy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for such Interest Period shall be ineffective, and (ii) if any Borrowing Request requests a Eurodollar Borrowing for such Interest Period, such Borrowing shall be made as an ABR Borrowing; </w:t>
      </w:r>
      <w:r>
        <w:rPr>
          <w:rFonts w:ascii="Times New Roman" w:hAnsi="Times New Roman"/>
          <w:sz w:val="17"/>
          <w:u w:val="single"/>
        </w:rPr>
        <w:t>provided</w:t>
      </w:r>
      <w:r>
        <w:rPr>
          <w:rFonts w:ascii="Times New Roman" w:hAnsi="Times New Roman"/>
          <w:sz w:val="17"/>
        </w:rPr>
        <w:t xml:space="preserve"> that if the circumstances giving rise to such notice affect only one Type of Borrowing, then the other Type of Borrowing shall be permitted.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209" w:name="15636-2-LM-07_PB_27_011400_7056"/>
      <w:bookmarkEnd w:id="20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2.15</w:t>
      </w:r>
      <w:r>
        <w:rPr>
          <w:rFonts w:ascii="Times New Roman" w:hAnsi="Times New Roman"/>
        </w:rPr>
        <w:t xml:space="preserve">                             </w:t>
      </w:r>
      <w:r>
        <w:rPr>
          <w:rFonts w:ascii="Times New Roman" w:hAnsi="Times New Roman"/>
          <w:sz w:val="17"/>
          <w:u w:val="single"/>
        </w:rPr>
        <w:t>Illegality; Increased Costs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If any Change in Law shall make it unlawful for any Lender to make, maintain or fund its Eurodollar Loans, such Lender shall so notify the Administrative Agent.  Upon receipt of such notice, the Administrative Agent shall immediately give notice thereof to the other Lenders and to the Borrower, whereupon until such Lender notifies the Borrower and the Administrative Agent that the circumstances giving rise to such suspension no longer exist, the obligation of such Lender to make Eurodollar Loans shall be suspended.  If such Lender shall determine that it may not lawfully continue to maintain and fund any of its outstanding Eurodollar Loans to maturity and shall so specify in such notice, the Borrower shall immediately prepay (which prepayment shall not be subject to </w:t>
      </w:r>
      <w:r>
        <w:rPr>
          <w:rFonts w:ascii="Times New Roman" w:hAnsi="Times New Roman"/>
          <w:sz w:val="17"/>
          <w:u w:val="single"/>
        </w:rPr>
        <w:t>Section 2.11</w:t>
      </w:r>
      <w:r>
        <w:rPr>
          <w:rFonts w:ascii="Times New Roman" w:hAnsi="Times New Roman"/>
          <w:sz w:val="17"/>
        </w:rPr>
        <w:t>) in full the then outstanding principal amount of such Eurodollar Loans, together with the accrued interest thereon.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any Change in Law shall: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impose, modify or deem applicable any reserve, special deposit or similar requirement against assets of, deposits with or for the account of, or credit extended by, any Lender (except any such reserve requirement reflected in </w:t>
      </w:r>
      <w:r>
        <w:rPr>
          <w:rFonts w:ascii="Times New Roman" w:hAnsi="Times New Roman"/>
          <w:sz w:val="17"/>
          <w:u w:val="single"/>
        </w:rPr>
        <w:t>Section 2.13(f)</w:t>
      </w:r>
      <w:r>
        <w:rPr>
          <w:rFonts w:ascii="Times New Roman" w:hAnsi="Times New Roman"/>
          <w:sz w:val="17"/>
        </w:rPr>
        <w:t>);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impose on any Lender or the London interbank market any other condition affecting this Agreement or Eurodollar Loans made by such Lender;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and the result of any of the foregoing shall be to increase the cost to such Lender of making or maintaining any Eurodollar Loan (or of maintaining its obligation to make any such Loan) or to reduce the amount of any sum received or receivable by such Lender hereunder (whether of principal, interest or otherwise), then the Borrower will pay to such Lender such additional amount or amounts as will compensate such Lender for such additional costs incurred or reduction suffered.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If any Lender determines that any Change in Law regarding capital requirements or liquidity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 certificate of a Lender setting forth, in reasonable detail showing the computation thereof, the amount or amounts necessary to compensate such Lender or its holding company, as the case may be, as specified in paragraph (b) or (c) of this Section shall be delivered to the Borrower and shall be conclusive absent manifest error.  Such certificate shall further certify that such Lender is making similar demands of its other similarly situated borrowers.  The Borrower shall pay such Lender the amount shown as due on any such certificate within 10 days after receipt thereof, if such certificate complies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Failure or delay on the part of any Lender to demand compensation pursuant to this Section shall not constitute a waiver of such Lenders right to demand such compensation;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210" w:name="15636-2-LM-07_PB_28_011417_5335"/>
      <w:bookmarkEnd w:id="2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u w:val="single"/>
        </w:rPr>
        <w:t>provided</w:t>
      </w:r>
      <w:r>
        <w:rPr>
          <w:rFonts w:ascii="Times New Roman" w:hAnsi="Times New Roman"/>
        </w:rPr>
        <w:t xml:space="preserve"> </w:t>
      </w:r>
      <w:r>
        <w:rPr>
          <w:rFonts w:ascii="Times New Roman" w:hAnsi="Times New Roman"/>
          <w:sz w:val="17"/>
        </w:rPr>
        <w:t xml:space="preserve">that the Borrower shall not be required to compensate a Lender pursuant to this Section for any increased costs or reductions incurred more than 90 days prior to the date that such Lender notifies the Borrower of the Change in Law giving rise to such increased costs or reductions and of such Lenders intention to claim compensation therefor; </w:t>
      </w:r>
      <w:r>
        <w:rPr>
          <w:rFonts w:ascii="Times New Roman" w:hAnsi="Times New Roman"/>
          <w:sz w:val="17"/>
          <w:u w:val="single"/>
        </w:rPr>
        <w:t>provided further</w:t>
      </w:r>
      <w:r>
        <w:rPr>
          <w:rFonts w:ascii="Times New Roman" w:hAnsi="Times New Roman"/>
          <w:sz w:val="17"/>
        </w:rPr>
        <w:t xml:space="preserve"> that, if the Change in Law giving rise to such increased costs or reductions is retroactive, then the 90-day period referred to above shall be extended to include the period of retroactive effect thereof (to the extent that such period of retroactive effect is not already included in such 90-day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2.16</w:t>
      </w:r>
      <w:r>
        <w:rPr>
          <w:rFonts w:ascii="Times New Roman" w:hAnsi="Times New Roman"/>
        </w:rPr>
        <w:t xml:space="preserve">                             </w:t>
      </w:r>
      <w:r>
        <w:rPr>
          <w:rFonts w:ascii="Times New Roman" w:hAnsi="Times New Roman"/>
          <w:sz w:val="17"/>
          <w:u w:val="single"/>
        </w:rPr>
        <w:t>Break Funding Payments</w:t>
      </w:r>
      <w:r>
        <w:rPr>
          <w:rFonts w:ascii="Times New Roman" w:hAnsi="Times New Roman"/>
          <w:sz w:val="17"/>
        </w:rPr>
        <w:t xml:space="preserve">.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Loan on the date specified in any notice delivered pursuant hereto (regardless of whether such notice may be revoked under </w:t>
      </w:r>
      <w:r>
        <w:rPr>
          <w:rFonts w:ascii="Times New Roman" w:hAnsi="Times New Roman"/>
          <w:sz w:val="17"/>
          <w:u w:val="single"/>
        </w:rPr>
        <w:t>Section 2.11(c)</w:t>
      </w:r>
      <w:r>
        <w:rPr>
          <w:rFonts w:ascii="Times New Roman" w:hAnsi="Times New Roman"/>
          <w:sz w:val="17"/>
        </w:rPr>
        <w:t xml:space="preserve"> and is revoked in accordance therewith), or (d) the assignment of any Eurodollar Loan other than on the last day of the Interest Period applicable thereto as a result of a request by the Borrower pursuant to </w:t>
      </w:r>
      <w:r>
        <w:rPr>
          <w:rFonts w:ascii="Times New Roman" w:hAnsi="Times New Roman"/>
          <w:sz w:val="17"/>
          <w:u w:val="single"/>
        </w:rPr>
        <w:t>Section 2.19</w:t>
      </w:r>
      <w:r>
        <w:rPr>
          <w:rFonts w:ascii="Times New Roman" w:hAnsi="Times New Roman"/>
          <w:sz w:val="17"/>
        </w:rPr>
        <w:t>, then, in any such event, the Borrower shall compensate each Lender for the loss, cost and expense (excluding loss of anticipated profits) attributable to such event.  A certificate of any Lender setting forth, in reasonable detail showing the computation thereof,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 if such certificate complies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2.17</w:t>
      </w:r>
      <w:r>
        <w:rPr>
          <w:rFonts w:ascii="Times New Roman" w:hAnsi="Times New Roman"/>
        </w:rPr>
        <w:t xml:space="preserve">                             </w:t>
      </w:r>
      <w:r>
        <w:rPr>
          <w:rFonts w:ascii="Times New Roman" w:hAnsi="Times New Roman"/>
          <w:sz w:val="17"/>
          <w:u w:val="single"/>
        </w:rPr>
        <w:t>Taxes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Any and all payments by or on account of any obligation of the Borrower hereunder shall be made free and clear of and without deduction for any Indemnified Taxes or Other Taxes; </w:t>
      </w:r>
      <w:r>
        <w:rPr>
          <w:rFonts w:ascii="Times New Roman" w:hAnsi="Times New Roman"/>
          <w:sz w:val="17"/>
          <w:u w:val="single"/>
        </w:rPr>
        <w:t>provided</w:t>
      </w:r>
      <w:r>
        <w:rPr>
          <w:rFonts w:ascii="Times New Roman" w:hAnsi="Times New Roman"/>
          <w:sz w:val="17"/>
        </w:rPr>
        <w:t xml:space="preserve"> that if the applicable Withholding Agent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or Lender (as the case may be) receives an amount equal to the sum it would have received had no such deductions been made, (ii) the applicable Withholding Agent shall make such deductions, and (iii) the applicable Withholding Agent shall pay the full amount deducted to the relevant Governmental Authority in accordance with applicable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addition, the Borrower shall pay any Other Taxes to the relevant Governmental Authority in accordance with applicable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Borrower shall indemnify the Administrative Agent and each Lender, within thirty (30) days after written demand therefor, for the full amount of any Indemnified Taxes or Other Taxes paid by the Administrative Agent or such Lender,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211" w:name="15636-2-LM-07_PB_29_011433_5796"/>
      <w:bookmarkEnd w:id="2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imposed or asserted by the relevant Governmental Authority; </w:t>
      </w:r>
      <w:r>
        <w:rPr>
          <w:rFonts w:ascii="Times New Roman" w:hAnsi="Times New Roman"/>
          <w:sz w:val="17"/>
          <w:u w:val="single"/>
        </w:rPr>
        <w:t>provided</w:t>
      </w:r>
      <w:r>
        <w:rPr>
          <w:rFonts w:ascii="Times New Roman" w:hAnsi="Times New Roman"/>
          <w:sz w:val="17"/>
        </w:rPr>
        <w:t xml:space="preserve"> that the Borrower shall not be required to indemnify or reimburse a Lender pursuant to this Section for any Indemnified Taxes or Other Taxes imposed or asserted more than 90 days prior to the date that such Lender notifies the Borrower of the Indemnified Taxes or Other Taxes imposed or asserted and of such Lenders intention to claim compensation therefor; </w:t>
      </w:r>
      <w:r>
        <w:rPr>
          <w:rFonts w:ascii="Times New Roman" w:hAnsi="Times New Roman"/>
          <w:sz w:val="17"/>
          <w:u w:val="single"/>
        </w:rPr>
        <w:t>provided</w:t>
      </w:r>
      <w:r>
        <w:rPr>
          <w:rFonts w:ascii="Times New Roman" w:hAnsi="Times New Roman"/>
          <w:sz w:val="17"/>
        </w:rPr>
        <w:t> </w:t>
      </w:r>
      <w:r>
        <w:rPr>
          <w:rFonts w:ascii="Times New Roman" w:hAnsi="Times New Roman"/>
          <w:sz w:val="17"/>
          <w:u w:val="single"/>
        </w:rPr>
        <w:t>further</w:t>
      </w:r>
      <w:r>
        <w:rPr>
          <w:rFonts w:ascii="Times New Roman" w:hAnsi="Times New Roman"/>
          <w:sz w:val="17"/>
        </w:rPr>
        <w:t xml:space="preserve"> that, if the Indemnified Taxes or Other Taxes imposed or asserted giving rise to such claims are retroactive, then the 90-day period referred to above shall be extended to include the period of retroactive effect thereof (to the extent that such period of retroactive effect is not already included in such 90-day period).  A certificate setting forth, in reasonable detail showing the computation thereof, the amount of such payment or liability delivered to the Borrower by a Lender or the Administrative Agent on its own behalf or on behalf of a Lender, shall be conclusive absent manifest error.  Without limiting this Agreement, each Lender shall, and does hereby, indemnify the Borrower and the Administrative Agent, and shall make payment in respect thereof within 10 days after demand therefor, against any and all Taxes and any and all related losses, claims, liabilities, penalties, interest and expenses (including the reasonable fees, charges and disbursements of any counsel for the Borrower or the Administrative Agent) incurred by or asserted against the Borrower or the Administrative Agent by any Governmental Authority as a result of the failure by such Lender to deliver, or as a result of the inaccuracy, inadequacy or deficiency of, any documentation required to be delivered by such Lender to the Borrower or the Administrative Agent pursuant to this Agreement.  Each Lender hereby authorizes the Administrative Agent to set off and apply any and all amounts at any time owing to such Lender under this Agreement or any other Loan Document against any amount due to the Administrative Agent under this provision.  The agreements in this provision shall survive the resignation and/or replacement of the Administrative Agent, any assignment of rights by, or the replacement of, a Lender the termination of the Commitments and the repayment, satisfaction or discharge of all other payment Obligations.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Any Foreign Lender that is entitled to an exemption from or reduction of withholding tax under the law of the jurisdiction in which the Borrower is located, or any treaty to which such jurisdiction is a party, with respect to payments under this Agreement or any other Loan Document shall deliver to the Borrower (with a copy to the Administrative Agent), at the time or times prescribed by applicable law or reasonably requested by the Borrower or the Administrative Agent, such properly completed and executed documentation prescribed by applicable law or reasonably requested by the Borrower or the Administrative Agent as will permit such payments to be made without withholding or at such reduced rate.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any Lender, if requested by the Borrower or the Administrative Agent, shall deliver such properly completed and executed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Lender shall promptly (i) notify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212" w:name="15636-2-LM-07_PB_30_011448_2897"/>
      <w:bookmarkEnd w:id="21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Borrower and the Administrative Agent of any change in circumstances which would modify or render invalid any such claimed exemption or reduction, and (ii) take such steps as may be reasonably necessary (including the designation of a new lending office) to avoid any requirement of the applicable laws of any such jurisdiction that any Borrower make any deduction or withholding for taxes from amounts payable to such Lender.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Without limiting the generality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any Lender that is a U.S. Person shall deliver to the Borrower and the Administrative Agent (in such number of copies as shall be reasonably requested by the recipient) on or prior to the date on which such Lender becomes a Lender under this Agreement (and from time to time thereafter upon the request of the Borrower or the Administrative Agent) duly completed copies of Internal Revenue Service Form W-9 (or any successor form) certifying that such Lender is exempt from U.S. backup withholding tax;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Foreign Lender shall deliver to the Borrower and the Administrative Agent (in such number of copies as shall be reasonably requested by the recipient)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duly completed copies of Internal Revenue Service Form W-8BEN (or any successor form) claiming eligibility for benefits of an income tax treaty to which the United States is a party;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duly completed copies of Internal Revenue Service Form W-8ECI (or any successor form);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duly completed copies of Internal Revenue Service Form W-8BEN (or any successor form);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any other form prescribed by applicable law as a basis for claiming exemption from or a reduction in United States federal withholding tax duly completed together with such supplementary documentation as may be prescribed by applicable law to permit the Borrower to determine the withholding or deduction required to be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if a payment made to a Lender under this Agreement or any other Loan Document would be subject to U.S. federal withholding tax imposed by FATCA if such Lender were to fail to comply with the applicable reporting requirements of FATCA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213" w:name="15636-2-LM-07_PB_31_011503_3020"/>
      <w:bookmarkEnd w:id="21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(iii), FATCA shall include any amendments made to FATCA after the date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Should any Lender or the Administrative Agent during the term of this Agreement receive any refund, credit or deduction from any taxing authority as to which it has been indemnified by any Person then a Borrower or with respect to any Person then a Borrower has paid additional amount pursuant to this </w:t>
      </w:r>
      <w:r>
        <w:rPr>
          <w:rFonts w:ascii="Times New Roman" w:hAnsi="Times New Roman"/>
          <w:sz w:val="17"/>
          <w:u w:val="single"/>
        </w:rPr>
        <w:t>Section 2.17</w:t>
      </w:r>
      <w:r>
        <w:rPr>
          <w:rFonts w:ascii="Times New Roman" w:hAnsi="Times New Roman"/>
          <w:sz w:val="17"/>
        </w:rPr>
        <w:t xml:space="preserve"> (it being understood that the decision as to whether or not to claim, and if claimed, as to the amount of any such refund, credit or deduction shall be made by such Lender or the Administrative Agent in its reasonable discretion), such Lender or the Administrative Agent, as the case may be, thereupon shall repay to such Person an amount with respect to such refund, credit or deduction equal to any net reduction in taxes actually obtained by such Lender or the Administrative Agent, as the case may be, and determined by such Lender or the Administrative Agent, as the case may be, to be attributable to such refund, credit or deduction.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 xml:space="preserve">Except for a request by the Borrower under </w:t>
      </w:r>
      <w:r>
        <w:rPr>
          <w:rFonts w:ascii="Times New Roman" w:hAnsi="Times New Roman"/>
          <w:sz w:val="17"/>
          <w:u w:val="single"/>
        </w:rPr>
        <w:t>Section 2.19(b)</w:t>
      </w:r>
      <w:r>
        <w:rPr>
          <w:rFonts w:ascii="Times New Roman" w:hAnsi="Times New Roman"/>
          <w:sz w:val="17"/>
        </w:rPr>
        <w:t xml:space="preserve">, no Foreign Lender shall be entitled to the benefits of </w:t>
      </w:r>
      <w:r>
        <w:rPr>
          <w:rFonts w:ascii="Times New Roman" w:hAnsi="Times New Roman"/>
          <w:sz w:val="17"/>
          <w:u w:val="single"/>
        </w:rPr>
        <w:t>Section 2.17(a)</w:t>
      </w:r>
      <w:r>
        <w:rPr>
          <w:rFonts w:ascii="Times New Roman" w:hAnsi="Times New Roman"/>
          <w:sz w:val="17"/>
        </w:rPr>
        <w:t xml:space="preserve"> or </w:t>
      </w:r>
      <w:r>
        <w:rPr>
          <w:rFonts w:ascii="Times New Roman" w:hAnsi="Times New Roman"/>
          <w:sz w:val="17"/>
          <w:u w:val="single"/>
        </w:rPr>
        <w:t>Section 2.17(c)</w:t>
      </w:r>
      <w:r>
        <w:rPr>
          <w:rFonts w:ascii="Times New Roman" w:hAnsi="Times New Roman"/>
          <w:sz w:val="17"/>
        </w:rPr>
        <w:t> if withholding tax is imposed on amounts payable to such Foreign Lender at the time such Foreign Lender becomes a party to this Agreement or designates a new lending office.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2.18</w:t>
      </w:r>
      <w:r>
        <w:rPr>
          <w:rFonts w:ascii="Times New Roman" w:hAnsi="Times New Roman"/>
        </w:rPr>
        <w:t xml:space="preserve">                             </w:t>
      </w:r>
      <w:r>
        <w:rPr>
          <w:rFonts w:ascii="Times New Roman" w:hAnsi="Times New Roman"/>
          <w:sz w:val="17"/>
          <w:u w:val="single"/>
        </w:rPr>
        <w:t>Payments Generally; Pro Rata Treatment; Sharing of Set-offs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The Borrower shall make each payment required to be made by it hereunder (whether of principal, interest, fees or of amounts payable under </w:t>
      </w:r>
      <w:r>
        <w:rPr>
          <w:rFonts w:ascii="Times New Roman" w:hAnsi="Times New Roman"/>
          <w:sz w:val="17"/>
          <w:u w:val="single"/>
        </w:rPr>
        <w:t>Section 2.15</w:t>
      </w:r>
      <w:r>
        <w:rPr>
          <w:rFonts w:ascii="Times New Roman" w:hAnsi="Times New Roman"/>
          <w:sz w:val="17"/>
        </w:rPr>
        <w:t xml:space="preserve">, </w:t>
      </w:r>
      <w:r>
        <w:rPr>
          <w:rFonts w:ascii="Times New Roman" w:hAnsi="Times New Roman"/>
          <w:sz w:val="17"/>
          <w:u w:val="single"/>
        </w:rPr>
        <w:t>Section 2.16</w:t>
      </w:r>
      <w:r>
        <w:rPr>
          <w:rFonts w:ascii="Times New Roman" w:hAnsi="Times New Roman"/>
          <w:sz w:val="17"/>
        </w:rPr>
        <w:t xml:space="preserve"> or </w:t>
      </w:r>
      <w:r>
        <w:rPr>
          <w:rFonts w:ascii="Times New Roman" w:hAnsi="Times New Roman"/>
          <w:sz w:val="17"/>
          <w:u w:val="single"/>
        </w:rPr>
        <w:t>Section 2.17</w:t>
      </w:r>
      <w:r>
        <w:rPr>
          <w:rFonts w:ascii="Times New Roman" w:hAnsi="Times New Roman"/>
          <w:sz w:val="17"/>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an account maintained with the Administrative Agent as notified to the Borrower and the Lenders, except as otherwise expressly provided in the relevant Loan Document and except that payments pursuant to </w:t>
      </w:r>
      <w:r>
        <w:rPr>
          <w:rFonts w:ascii="Times New Roman" w:hAnsi="Times New Roman"/>
          <w:sz w:val="17"/>
          <w:u w:val="single"/>
        </w:rPr>
        <w:t>Section 2.15</w:t>
      </w:r>
      <w:r>
        <w:rPr>
          <w:rFonts w:ascii="Times New Roman" w:hAnsi="Times New Roman"/>
          <w:sz w:val="17"/>
        </w:rPr>
        <w:t xml:space="preserve">, </w:t>
      </w:r>
      <w:r>
        <w:rPr>
          <w:rFonts w:ascii="Times New Roman" w:hAnsi="Times New Roman"/>
          <w:sz w:val="17"/>
          <w:u w:val="single"/>
        </w:rPr>
        <w:t>Section 2.16</w:t>
      </w:r>
      <w:r>
        <w:rPr>
          <w:rFonts w:ascii="Times New Roman" w:hAnsi="Times New Roman"/>
          <w:sz w:val="17"/>
        </w:rPr>
        <w:t xml:space="preserve">, </w:t>
      </w:r>
      <w:r>
        <w:rPr>
          <w:rFonts w:ascii="Times New Roman" w:hAnsi="Times New Roman"/>
          <w:sz w:val="17"/>
          <w:u w:val="single"/>
        </w:rPr>
        <w:t>Section 2.17</w:t>
      </w:r>
      <w:r>
        <w:rPr>
          <w:rFonts w:ascii="Times New Roman" w:hAnsi="Times New Roman"/>
          <w:sz w:val="17"/>
        </w:rPr>
        <w:t xml:space="preserve"> and </w:t>
      </w:r>
      <w:r>
        <w:rPr>
          <w:rFonts w:ascii="Times New Roman" w:hAnsi="Times New Roman"/>
          <w:sz w:val="17"/>
          <w:u w:val="single"/>
        </w:rPr>
        <w:t>Section 9.03</w:t>
      </w:r>
      <w:r>
        <w:rPr>
          <w:rFonts w:ascii="Times New Roman" w:hAnsi="Times New Roman"/>
          <w:sz w:val="17"/>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214" w:name="15636-2-LM-07_PB_32_011516_7748"/>
      <w:bookmarkEnd w:id="21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toward the payment of the Borrowers or its Subsidiaries obligations under any Swap Agreements, if any, owing to the Lenders or their Affiliates, ratably among the parties entitled thereto in accordance with the amounts of principal and obligations under Swap Agreements then due to such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Subject to </w:t>
      </w:r>
      <w:r>
        <w:rPr>
          <w:rFonts w:ascii="Times New Roman" w:hAnsi="Times New Roman"/>
          <w:sz w:val="17"/>
          <w:u w:val="single"/>
        </w:rPr>
        <w:t>Section 9.08</w:t>
      </w:r>
      <w:r>
        <w:rPr>
          <w:rFonts w:ascii="Times New Roman" w:hAnsi="Times New Roman"/>
          <w:sz w:val="17"/>
        </w:rPr>
        <w:t xml:space="preserve"> with respect to a Defaulting Lender, if any Lender shall, by exercising any right of set-off or counterclaim or otherwise, obtain payment in respect of any principal of or interest on any of its Loans resulting in such Lender receiving payment of a greater proportion of the aggregate principal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 w:hAnsi="Times New Roman"/>
          <w:sz w:val="17"/>
          <w:u w:val="single"/>
        </w:rPr>
        <w:t>provided</w:t>
      </w:r>
      <w:r>
        <w:rPr>
          <w:rFonts w:ascii="Times New Roman" w:hAnsi="Times New Roman"/>
          <w:sz w:val="17"/>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(including the application of funds arising from the existence of a Defaulting Lender)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If any Lender shall fail to make any payment required to be made by it pursuant to </w:t>
      </w:r>
      <w:r>
        <w:rPr>
          <w:rFonts w:ascii="Times New Roman" w:hAnsi="Times New Roman"/>
          <w:sz w:val="17"/>
          <w:u w:val="single"/>
        </w:rPr>
        <w:t>Section 2.07(b)</w:t>
      </w:r>
      <w:r>
        <w:rPr>
          <w:rFonts w:ascii="Times New Roman" w:hAnsi="Times New Roman"/>
          <w:sz w:val="17"/>
        </w:rPr>
        <w:t xml:space="preserve">, </w:t>
      </w:r>
      <w:r>
        <w:rPr>
          <w:rFonts w:ascii="Times New Roman" w:hAnsi="Times New Roman"/>
          <w:sz w:val="17"/>
          <w:u w:val="single"/>
        </w:rPr>
        <w:t>Section 2.18(d)</w:t>
      </w:r>
      <w:r>
        <w:rPr>
          <w:rFonts w:ascii="Times New Roman" w:hAnsi="Times New Roman"/>
          <w:sz w:val="17"/>
        </w:rPr>
        <w:t xml:space="preserve"> or </w:t>
      </w:r>
      <w:r>
        <w:rPr>
          <w:rFonts w:ascii="Times New Roman" w:hAnsi="Times New Roman"/>
          <w:sz w:val="17"/>
          <w:u w:val="single"/>
        </w:rPr>
        <w:t>Section 9.03(c)</w:t>
      </w:r>
      <w:r>
        <w:rPr>
          <w:rFonts w:ascii="Times New Roman" w:hAnsi="Times New Roman"/>
          <w:sz w:val="17"/>
        </w:rPr>
        <w:t>, then the Administrative Agent may, in its discretion (notwithstanding any contrary provision hereof), apply any amounts thereafter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215" w:name="15636-2-LM-07_PB_33_011534_141"/>
      <w:bookmarkEnd w:id="21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received by the Administrative Agent for the account of such Lender to satisfy such Lenders obligations under such Sections until all such unsatisfied obligations are fully paid.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2.19</w:t>
      </w:r>
      <w:r>
        <w:rPr>
          <w:rFonts w:ascii="Times New Roman" w:hAnsi="Times New Roman"/>
        </w:rPr>
        <w:t xml:space="preserve">                             </w:t>
      </w:r>
      <w:r>
        <w:rPr>
          <w:rFonts w:ascii="Times New Roman" w:hAnsi="Times New Roman"/>
          <w:sz w:val="17"/>
          <w:u w:val="single"/>
        </w:rPr>
        <w:t>Mitigation Obligations; Replacement of Lenders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If any Lender requests compensation under </w:t>
      </w:r>
      <w:r>
        <w:rPr>
          <w:rFonts w:ascii="Times New Roman" w:hAnsi="Times New Roman"/>
          <w:sz w:val="17"/>
          <w:u w:val="single"/>
        </w:rPr>
        <w:t>Section 2.13(f)</w:t>
      </w:r>
      <w:r>
        <w:rPr>
          <w:rFonts w:ascii="Times New Roman" w:hAnsi="Times New Roman"/>
          <w:sz w:val="17"/>
        </w:rPr>
        <w:t xml:space="preserve"> or </w:t>
      </w:r>
      <w:r>
        <w:rPr>
          <w:rFonts w:ascii="Times New Roman" w:hAnsi="Times New Roman"/>
          <w:sz w:val="17"/>
          <w:u w:val="single"/>
        </w:rPr>
        <w:t>Section 2.15</w:t>
      </w:r>
      <w:r>
        <w:rPr>
          <w:rFonts w:ascii="Times New Roman" w:hAnsi="Times New Roman"/>
          <w:sz w:val="17"/>
        </w:rPr>
        <w:t xml:space="preserve">, or if the Borrower is required to pay any additional amount to any Lender or any Governmental Authority for the account of any Lender pursuant to </w:t>
      </w:r>
      <w:r>
        <w:rPr>
          <w:rFonts w:ascii="Times New Roman" w:hAnsi="Times New Roman"/>
          <w:sz w:val="17"/>
          <w:u w:val="single"/>
        </w:rPr>
        <w:t>Section 2.17</w:t>
      </w:r>
      <w:r>
        <w:rPr>
          <w:rFonts w:ascii="Times New Roman" w:hAnsi="Times New Roman"/>
          <w:sz w:val="17"/>
        </w:rPr>
        <w:t xml:space="preserve">, or if a Lender gives notice pursuant to </w:t>
      </w:r>
      <w:r>
        <w:rPr>
          <w:rFonts w:ascii="Times New Roman" w:hAnsi="Times New Roman"/>
          <w:sz w:val="17"/>
          <w:u w:val="single"/>
        </w:rPr>
        <w:t>Section 2.15(a)</w:t>
      </w:r>
      <w:r>
        <w:rPr>
          <w:rFonts w:ascii="Times New Roman" w:hAnsi="Times New Roman"/>
          <w:sz w:val="17"/>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17"/>
          <w:u w:val="single"/>
        </w:rPr>
        <w:t>Section 2.13(f)</w:t>
      </w:r>
      <w:r>
        <w:rPr>
          <w:rFonts w:ascii="Times New Roman" w:hAnsi="Times New Roman"/>
          <w:sz w:val="17"/>
        </w:rPr>
        <w:t xml:space="preserve">, </w:t>
      </w:r>
      <w:r>
        <w:rPr>
          <w:rFonts w:ascii="Times New Roman" w:hAnsi="Times New Roman"/>
          <w:sz w:val="17"/>
          <w:u w:val="single"/>
        </w:rPr>
        <w:t>Section 2.15</w:t>
      </w:r>
      <w:r>
        <w:rPr>
          <w:rFonts w:ascii="Times New Roman" w:hAnsi="Times New Roman"/>
          <w:sz w:val="17"/>
        </w:rPr>
        <w:t xml:space="preserve">, or </w:t>
      </w:r>
      <w:r>
        <w:rPr>
          <w:rFonts w:ascii="Times New Roman" w:hAnsi="Times New Roman"/>
          <w:sz w:val="17"/>
          <w:u w:val="single"/>
        </w:rPr>
        <w:t>Section 2.17</w:t>
      </w:r>
      <w:r>
        <w:rPr>
          <w:rFonts w:ascii="Times New Roman" w:hAnsi="Times New Roman"/>
          <w:sz w:val="17"/>
        </w:rPr>
        <w:t xml:space="preserve">, or eliminate the need for the notice given pursuant to </w:t>
      </w:r>
      <w:r>
        <w:rPr>
          <w:rFonts w:ascii="Times New Roman" w:hAnsi="Times New Roman"/>
          <w:sz w:val="17"/>
          <w:u w:val="single"/>
        </w:rPr>
        <w:t>Section 2.15(a)</w:t>
      </w:r>
      <w:r>
        <w:rPr>
          <w:rFonts w:ascii="Times New Roman" w:hAnsi="Times New Roman"/>
          <w:sz w:val="17"/>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Subject to the foregoing, Lenders agree to use reasonable efforts to select lending offices which will minimize taxes and other costs and expenses for the Borrower.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If any Lender requests compensation under </w:t>
      </w:r>
      <w:r>
        <w:rPr>
          <w:rFonts w:ascii="Times New Roman" w:hAnsi="Times New Roman"/>
          <w:sz w:val="17"/>
          <w:u w:val="single"/>
        </w:rPr>
        <w:t>Section 2.13(f)</w:t>
      </w:r>
      <w:r>
        <w:rPr>
          <w:rFonts w:ascii="Times New Roman" w:hAnsi="Times New Roman"/>
          <w:sz w:val="17"/>
        </w:rPr>
        <w:t xml:space="preserve"> or </w:t>
      </w:r>
      <w:r>
        <w:rPr>
          <w:rFonts w:ascii="Times New Roman" w:hAnsi="Times New Roman"/>
          <w:sz w:val="17"/>
          <w:u w:val="single"/>
        </w:rPr>
        <w:t>Section 2.15</w:t>
      </w:r>
      <w:r>
        <w:rPr>
          <w:rFonts w:ascii="Times New Roman" w:hAnsi="Times New Roman"/>
          <w:sz w:val="17"/>
        </w:rPr>
        <w:t xml:space="preserve">, or if the Borrower is required to pay any additional amount to any Lender or any Governmental Authority for the account of any Lender pursuant to </w:t>
      </w:r>
      <w:r>
        <w:rPr>
          <w:rFonts w:ascii="Times New Roman" w:hAnsi="Times New Roman"/>
          <w:sz w:val="17"/>
          <w:u w:val="single"/>
        </w:rPr>
        <w:t>Section 2.17</w:t>
      </w:r>
      <w:r>
        <w:rPr>
          <w:rFonts w:ascii="Times New Roman" w:hAnsi="Times New Roman"/>
          <w:sz w:val="17"/>
        </w:rPr>
        <w:t xml:space="preserve">, or if a Lender gives notice pursuant to </w:t>
      </w:r>
      <w:r>
        <w:rPr>
          <w:rFonts w:ascii="Times New Roman" w:hAnsi="Times New Roman"/>
          <w:sz w:val="17"/>
          <w:u w:val="single"/>
        </w:rPr>
        <w:t>Section 2.15(a)</w:t>
      </w:r>
      <w:r>
        <w:rPr>
          <w:rFonts w:ascii="Times New Roman" w:hAnsi="Times New Roman"/>
          <w:sz w:val="17"/>
        </w:rPr>
        <w:t xml:space="preserve">, or if any Lender is a Defaulting Lender, or if any Lender does not consent to an extension of the Maturity Date requested pursuant to </w:t>
      </w:r>
      <w:r>
        <w:rPr>
          <w:rFonts w:ascii="Times New Roman" w:hAnsi="Times New Roman"/>
          <w:sz w:val="17"/>
          <w:u w:val="single"/>
        </w:rPr>
        <w:t>Section 2.21</w:t>
      </w:r>
      <w:r>
        <w:rPr>
          <w:rFonts w:ascii="Times New Roman" w:hAnsi="Times New Roman"/>
          <w:sz w:val="17"/>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hAnsi="Times New Roman"/>
          <w:sz w:val="17"/>
          <w:u w:val="single"/>
        </w:rPr>
        <w:t>Section 9.04</w:t>
      </w:r>
      <w:r>
        <w:rPr>
          <w:rFonts w:ascii="Times New Roman" w:hAnsi="Times New Roman"/>
          <w:sz w:val="17"/>
        </w:rPr>
        <w:t xml:space="preserve">), all its interests, rights and obligations under this Agreement and the related Loan Documents to an assignee that shall assume such obligations (which assignee may be another Lender, if a Lender accepts such assignment); </w:t>
      </w:r>
      <w:r>
        <w:rPr>
          <w:rFonts w:ascii="Times New Roman" w:hAnsi="Times New Roman"/>
          <w:sz w:val="17"/>
          <w:u w:val="single"/>
        </w:rPr>
        <w:t>provided</w:t>
      </w:r>
      <w:r>
        <w:rPr>
          <w:rFonts w:ascii="Times New Roman" w:hAnsi="Times New Roman"/>
          <w:sz w:val="17"/>
        </w:rPr>
        <w:t xml:space="preserve"> that (i) if such assignee is not a Lender or an Affiliate of a Lender, the Borrower shall have received the prior written consent of the Administrative Agent, which consent shall not unreasonably be withheld, delayed or conditioned,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hAnsi="Times New Roman"/>
          <w:sz w:val="17"/>
          <w:u w:val="single"/>
        </w:rPr>
        <w:t>Section 2.13(f)</w:t>
      </w:r>
      <w:r>
        <w:rPr>
          <w:rFonts w:ascii="Times New Roman" w:hAnsi="Times New Roman"/>
          <w:sz w:val="17"/>
        </w:rPr>
        <w:t xml:space="preserve">, </w:t>
      </w:r>
      <w:r>
        <w:rPr>
          <w:rFonts w:ascii="Times New Roman" w:hAnsi="Times New Roman"/>
          <w:sz w:val="17"/>
          <w:u w:val="single"/>
        </w:rPr>
        <w:t>Section 2.15</w:t>
      </w:r>
      <w:r>
        <w:rPr>
          <w:rFonts w:ascii="Times New Roman" w:hAnsi="Times New Roman"/>
          <w:sz w:val="17"/>
        </w:rPr>
        <w:t xml:space="preserve"> or payments required to be made pursuant to </w:t>
      </w:r>
      <w:r>
        <w:rPr>
          <w:rFonts w:ascii="Times New Roman" w:hAnsi="Times New Roman"/>
          <w:sz w:val="17"/>
          <w:u w:val="single"/>
        </w:rPr>
        <w:t>Section 2.17</w:t>
      </w:r>
      <w:r>
        <w:rPr>
          <w:rFonts w:ascii="Times New Roman" w:hAnsi="Times New Roman"/>
          <w:sz w:val="17"/>
        </w:rPr>
        <w:t xml:space="preserve">, such assignment will result in a reduction in such compensation or payments.  If any Lender refuses to assign and delegate all its interests, rights and obligations under this Agreement after the Borrower has required such Lender to do so as a result of a claim for compensation under </w:t>
      </w:r>
      <w:r>
        <w:rPr>
          <w:rFonts w:ascii="Times New Roman" w:hAnsi="Times New Roman"/>
          <w:sz w:val="17"/>
          <w:u w:val="single"/>
        </w:rPr>
        <w:t>Section 2.13(f)</w:t>
      </w:r>
      <w:r>
        <w:rPr>
          <w:rFonts w:ascii="Times New Roman" w:hAnsi="Times New Roman"/>
          <w:sz w:val="17"/>
        </w:rPr>
        <w:t xml:space="preserve">, </w:t>
      </w:r>
      <w:r>
        <w:rPr>
          <w:rFonts w:ascii="Times New Roman" w:hAnsi="Times New Roman"/>
          <w:sz w:val="17"/>
          <w:u w:val="single"/>
        </w:rPr>
        <w:t>Section 2.15</w:t>
      </w:r>
      <w:r>
        <w:rPr>
          <w:rFonts w:ascii="Times New Roman" w:hAnsi="Times New Roman"/>
          <w:sz w:val="17"/>
        </w:rPr>
        <w:t xml:space="preserve"> or payments required to be made pursuant to </w:t>
      </w:r>
      <w:r>
        <w:rPr>
          <w:rFonts w:ascii="Times New Roman" w:hAnsi="Times New Roman"/>
          <w:sz w:val="17"/>
          <w:u w:val="single"/>
        </w:rPr>
        <w:t>Section 2.17</w:t>
      </w:r>
      <w:r>
        <w:rPr>
          <w:rFonts w:ascii="Times New Roman" w:hAnsi="Times New Roman"/>
          <w:sz w:val="17"/>
        </w:rPr>
        <w:t xml:space="preserve">, such Lender shall not be entitled to any such compensation or required payments or, until such assignment is effective, to receive any other payment (whether principal, interest, fees or other amounts) due and owing to it;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nothing contained in the preceding clause of this sentence shall operate to excuse, delay or diminish such Lenders obligation to comply promptly and completely with the Borrowers request for such Lenders assignment, or impede,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216" w:name="15636-2-LM-07_PB_34_011550_7608"/>
      <w:bookmarkEnd w:id="21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prejudice or otherwise adversely affect the Borrowers right to enforce the prompt and complete compliance by such Lender with such request.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2.20</w:t>
      </w:r>
      <w:r>
        <w:rPr>
          <w:rFonts w:ascii="Times New Roman" w:hAnsi="Times New Roman"/>
        </w:rPr>
        <w:t xml:space="preserve">                             </w:t>
      </w:r>
      <w:r>
        <w:rPr>
          <w:rFonts w:ascii="Times New Roman" w:hAnsi="Times New Roman"/>
          <w:sz w:val="17"/>
          <w:u w:val="single"/>
        </w:rPr>
        <w:t>Increase of Revolving Commitments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If, immediately prior to and immediately after giving effect to any increase in the Revolving Commitments pursuant to this </w:t>
      </w:r>
      <w:r>
        <w:rPr>
          <w:rFonts w:ascii="Times New Roman" w:hAnsi="Times New Roman"/>
          <w:sz w:val="17"/>
          <w:u w:val="single"/>
        </w:rPr>
        <w:t>Section 2.20</w:t>
      </w:r>
      <w:r>
        <w:rPr>
          <w:rFonts w:ascii="Times New Roman" w:hAnsi="Times New Roman"/>
          <w:sz w:val="17"/>
        </w:rPr>
        <w:t>, no Default shall have occurred and be continuing, the Borrower may at any time and from time to time, but in no event more than one (1) time per fiscal quarter, request an increase of the aggregate Revolving Commitments by notice to the Administrative Agent in writing of the amount of such proposed increase (such notice, a </w:t>
      </w:r>
      <w:r>
        <w:rPr>
          <w:rFonts w:ascii="Times New Roman" w:hAnsi="Times New Roman"/>
          <w:sz w:val="17"/>
          <w:u w:val="single"/>
        </w:rPr>
        <w:t>Commitment Increase Notice</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(i) each such increase shall be in a principal amount of at least $5,000,000, (ii) the Revolving Commitment of any Lender may not be increased without such Lenders consent, and (iii) the Borrower shall not have the right to increase the Revolving Commitments if the effect of such increase would cause the aggregate principal amount of the Revolving Commitments to exceed $150,000,000.  The Administrative Agent shall promptly, and in any event within five (5) Business Days after Administrative Agents receipt of a Commitment Increase Notice, notify (A) each Lender and (B) with the consent of the Administrative Agent (which consent will not be unreasonably withheld, delayed or conditioned), each Person not then a Lender but which is a bank or other financial institution selected by the Borrower, in each case of the Borrowers request for such increase and the Borrowers invitation to participate in all or a portion of such increase.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Each Lender desiring to increase its Revolving Commitment shall notify the Administrative Agent in writing no later than fifteen (15) days after receipt by the Lender of such notice from the Administrative Agent.  Any Lender that accepts an offer to it by the Borrower to increase its Revolving Commitment pursuant to this </w:t>
      </w:r>
      <w:r>
        <w:rPr>
          <w:rFonts w:ascii="Times New Roman" w:hAnsi="Times New Roman"/>
          <w:sz w:val="17"/>
          <w:u w:val="single"/>
        </w:rPr>
        <w:t>Section 2.20</w:t>
      </w:r>
      <w:r>
        <w:rPr>
          <w:rFonts w:ascii="Times New Roman" w:hAnsi="Times New Roman"/>
          <w:sz w:val="17"/>
        </w:rPr>
        <w:t xml:space="preserve"> shall, in each case, execute an agreement (a </w:t>
      </w:r>
      <w:r>
        <w:rPr>
          <w:rFonts w:ascii="Times New Roman" w:hAnsi="Times New Roman"/>
          <w:sz w:val="17"/>
          <w:u w:val="single"/>
        </w:rPr>
        <w:t>Commitment Increase Agreement</w:t>
      </w:r>
      <w:r>
        <w:rPr>
          <w:rFonts w:ascii="Times New Roman" w:hAnsi="Times New Roman"/>
          <w:sz w:val="17"/>
        </w:rPr>
        <w:t xml:space="preserve">), in substantially the form attached hereto as </w:t>
      </w:r>
      <w:r>
        <w:rPr>
          <w:rFonts w:ascii="Times New Roman" w:hAnsi="Times New Roman"/>
          <w:sz w:val="17"/>
          <w:u w:val="single"/>
        </w:rPr>
        <w:t>Exhibit G</w:t>
      </w:r>
      <w:r>
        <w:rPr>
          <w:rFonts w:ascii="Times New Roman" w:hAnsi="Times New Roman"/>
          <w:sz w:val="17"/>
        </w:rPr>
        <w:t xml:space="preserve">, with the Borrower and the Administrative Agent, whereupon such Lender shall be bound by and entitled to the benefits of this Agreement with respect to the full amount of its Revolving Commitment as so increased, and the definition of Revolving Commitment in </w:t>
      </w:r>
      <w:r>
        <w:rPr>
          <w:rFonts w:ascii="Times New Roman" w:hAnsi="Times New Roman"/>
          <w:sz w:val="17"/>
          <w:u w:val="single"/>
        </w:rPr>
        <w:t>Section 1.01</w:t>
      </w:r>
      <w:r>
        <w:rPr>
          <w:rFonts w:ascii="Times New Roman" w:hAnsi="Times New Roman"/>
          <w:sz w:val="17"/>
        </w:rPr>
        <w:t xml:space="preserve"> and </w:t>
      </w:r>
      <w:r>
        <w:rPr>
          <w:rFonts w:ascii="Times New Roman" w:hAnsi="Times New Roman"/>
          <w:sz w:val="17"/>
          <w:u w:val="single"/>
        </w:rPr>
        <w:t>Schedule 2.01</w:t>
      </w:r>
      <w:r>
        <w:rPr>
          <w:rFonts w:ascii="Times New Roman" w:hAnsi="Times New Roman"/>
          <w:sz w:val="17"/>
        </w:rPr>
        <w:t xml:space="preserve"> hereof shall be deemed to be amended to reflect such increase.  Any Lender that does not notify the Administrative Agent within such period that it will increase its Revolving Commitment shall be deemed to have rejected such offer to increase its Revolving Commitment.  No Lender shall have any obligation whatsoever to agree to increase its Revolving Commitment.  Any agreement to increase a Lenders pro rata share of the increased Revolving Commitment shall be irrevocable and shall be effective upon notice thereof by the Administrative Agent at the same time as that of all other increasing Lenders.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additional bank or financial institution that the Borrower selects to offer participation in the increased Revolving Commitments shall execute and deliver to the Administrative Agent a New Lender Agreement (a </w:t>
      </w:r>
      <w:r>
        <w:rPr>
          <w:rFonts w:ascii="Times New Roman" w:hAnsi="Times New Roman"/>
          <w:sz w:val="17"/>
          <w:u w:val="single"/>
        </w:rPr>
        <w:t>New Lender Agreement</w:t>
      </w:r>
      <w:r>
        <w:rPr>
          <w:rFonts w:ascii="Times New Roman" w:hAnsi="Times New Roman"/>
          <w:sz w:val="17"/>
        </w:rPr>
        <w:t xml:space="preserve">), in substantially the form attached hereto </w:t>
      </w:r>
      <w:r>
        <w:rPr>
          <w:rFonts w:ascii="Times New Roman" w:hAnsi="Times New Roman"/>
          <w:sz w:val="17"/>
          <w:u w:val="single"/>
        </w:rPr>
        <w:t>Exhibit H</w:t>
      </w:r>
      <w:r>
        <w:rPr>
          <w:rFonts w:ascii="Times New Roman" w:hAnsi="Times New Roman"/>
          <w:sz w:val="17"/>
        </w:rPr>
        <w:t>, setting forth its Revolving Commitment, and upon the effectiveness of such New Lender Agreement such bank or financial institution (a </w:t>
      </w:r>
      <w:r>
        <w:rPr>
          <w:rFonts w:ascii="Times New Roman" w:hAnsi="Times New Roman"/>
          <w:sz w:val="17"/>
          <w:u w:val="single"/>
        </w:rPr>
        <w:t>New Lender</w:t>
      </w:r>
      <w:r>
        <w:rPr>
          <w:rFonts w:ascii="Times New Roman" w:hAnsi="Times New Roman"/>
          <w:sz w:val="17"/>
        </w:rPr>
        <w:t xml:space="preserve">) shall become a Lender for all purposes and to the same extent as if originally a party hereto and shall be bound by and entitled to the benefits of this Agreement, and the signature pages hereof shall be deemed to be amended to add the name of such New Lender and the definition of Revolving Commitment in </w:t>
      </w:r>
      <w:r>
        <w:rPr>
          <w:rFonts w:ascii="Times New Roman" w:hAnsi="Times New Roman"/>
          <w:sz w:val="17"/>
          <w:u w:val="single"/>
        </w:rPr>
        <w:t>Section 1.01</w:t>
      </w:r>
      <w:r>
        <w:rPr>
          <w:rFonts w:ascii="Times New Roman" w:hAnsi="Times New Roman"/>
          <w:sz w:val="17"/>
        </w:rPr>
        <w:t xml:space="preserve"> and </w:t>
      </w:r>
      <w:r>
        <w:rPr>
          <w:rFonts w:ascii="Times New Roman" w:hAnsi="Times New Roman"/>
          <w:sz w:val="17"/>
          <w:u w:val="single"/>
        </w:rPr>
        <w:t>Schedule 2.01</w:t>
      </w:r>
      <w:r>
        <w:rPr>
          <w:rFonts w:ascii="Times New Roman" w:hAnsi="Times New Roman"/>
          <w:sz w:val="17"/>
        </w:rPr>
        <w:t xml:space="preserve"> hereof shall be deemed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217" w:name="15636-2-LM-07_PB_35_011608_8146"/>
      <w:bookmarkEnd w:id="21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amended to increase the aggregate Commitments of the Lenders by the Commitment of such New Lender; </w:t>
      </w:r>
      <w:r>
        <w:rPr>
          <w:rFonts w:ascii="Times New Roman" w:hAnsi="Times New Roman"/>
          <w:sz w:val="17"/>
          <w:u w:val="single"/>
        </w:rPr>
        <w:t>provided</w:t>
      </w:r>
      <w:r>
        <w:rPr>
          <w:rFonts w:ascii="Times New Roman" w:hAnsi="Times New Roman"/>
          <w:sz w:val="17"/>
        </w:rPr>
        <w:t xml:space="preserve"> that the Revolving Commitment of any New Lender shall be in a principal amount not less than $5,000,000.  Each New Lender Agreement shall be irrevocable and shall be effective upon notice thereof by the Administrative Agent at the same time as that of all other New Lenders.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effectiveness of any New Lender Agreement or Commitment Increase Agreement shall be contingent upon receipt by the Administrative Agent of such corporate resolutions of the Borrower and legal opinions of counsel to the Borrower as the Administrative Agent shall reasonably request with respect thereto, in each case in form and substance reasonably satisfactory to the Administrative Agent.  Once a New Lender Agreement or Commitment Increase Agreement becomes effective, the Administrative Agent shall reflect the increases in the Revolving Commitments effected by such agreements by appropriate entries in the Register.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If any bank or financial institution becomes a New Lender pursuant to </w:t>
      </w:r>
      <w:r>
        <w:rPr>
          <w:rFonts w:ascii="Times New Roman" w:hAnsi="Times New Roman"/>
          <w:sz w:val="17"/>
          <w:u w:val="single"/>
        </w:rPr>
        <w:t>Section 2.20(c)</w:t>
      </w:r>
      <w:r>
        <w:rPr>
          <w:rFonts w:ascii="Times New Roman" w:hAnsi="Times New Roman"/>
          <w:sz w:val="17"/>
        </w:rPr>
        <w:t xml:space="preserve"> or any Lenders Revolving Commitment is increased pursuant to </w:t>
      </w:r>
      <w:r>
        <w:rPr>
          <w:rFonts w:ascii="Times New Roman" w:hAnsi="Times New Roman"/>
          <w:sz w:val="17"/>
          <w:u w:val="single"/>
        </w:rPr>
        <w:t>Section 2.20(b)</w:t>
      </w:r>
      <w:r>
        <w:rPr>
          <w:rFonts w:ascii="Times New Roman" w:hAnsi="Times New Roman"/>
          <w:sz w:val="17"/>
        </w:rPr>
        <w:t>, additional Revolving Loans made on or after the effectiveness thereof (the </w:t>
      </w:r>
      <w:r>
        <w:rPr>
          <w:rFonts w:ascii="Times New Roman" w:hAnsi="Times New Roman"/>
          <w:sz w:val="17"/>
          <w:u w:val="single"/>
        </w:rPr>
        <w:t>Re-Allocation Date</w:t>
      </w:r>
      <w:r>
        <w:rPr>
          <w:rFonts w:ascii="Times New Roman" w:hAnsi="Times New Roman"/>
          <w:sz w:val="17"/>
        </w:rPr>
        <w:t xml:space="preserve">) shall be made pro rata based on their respective Revolving Commitments in effect on or after such Re-Allocation Date (except to the extent that any such pro rata borrowings would result in any Lender making an aggregate principal amount of Loans in excess of its Revolving Commitment, in which case such excess amount will be allocated to, and made by, such New Lender and/or Lenders with such increased Revolving Commitments to the extent of, and pro rata based on, their respective Revolving Commitments), and continuations of Loans outstanding on such Re-Allocation Date shall be effected by repayment of such Loans on the last day of the Interest Period applicable thereto or, in the case of ABR Loan(s), on the date of such increase, and the making of new Loans of the same Type pro rata based on the respective Revolving Commitments;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for the purpose of </w:t>
      </w:r>
      <w:r>
        <w:rPr>
          <w:rFonts w:ascii="Times New Roman" w:hAnsi="Times New Roman"/>
          <w:sz w:val="17"/>
          <w:u w:val="single"/>
        </w:rPr>
        <w:t>Section 4.02</w:t>
      </w:r>
      <w:r>
        <w:rPr>
          <w:rFonts w:ascii="Times New Roman" w:hAnsi="Times New Roman"/>
          <w:sz w:val="17"/>
        </w:rPr>
        <w:t>, the making of such new loans shall be deemed continuations of Borrowings.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If on any Re-Allocation Date there is an unpaid principal amount of Eurodollar Loans, such Eurodollar Loans shall remain outstanding with the respective holders thereof until the expiration of their respective Interest Periods (unless the Borrower elects to prepay any thereof in accordance with the applicable provisions of this Agreement), and interest on and repayments of such Eurodollar Loans pro rata based on the respective principal amounts thereof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2.21</w:t>
      </w:r>
      <w:r>
        <w:rPr>
          <w:rFonts w:ascii="Times New Roman" w:hAnsi="Times New Roman"/>
        </w:rPr>
        <w:t xml:space="preserve">                             </w:t>
      </w:r>
      <w:r>
        <w:rPr>
          <w:rFonts w:ascii="Times New Roman" w:hAnsi="Times New Roman"/>
          <w:sz w:val="17"/>
          <w:u w:val="single"/>
        </w:rPr>
        <w:t>Extension of Maturity Date</w:t>
      </w:r>
      <w:r>
        <w:rPr>
          <w:rFonts w:ascii="Times New Roman" w:hAnsi="Times New Roman"/>
          <w:sz w:val="17"/>
        </w:rPr>
        <w:t xml:space="preserve">.  The Borrower shall have the right once each calendar year to request one-year extensions of the Maturity Date of the Revolving Loans and/or the Term Loans, respectively (or such later respective dates to which the applicable Maturity Date may be extended as provided herein), </w:t>
      </w:r>
      <w:r>
        <w:rPr>
          <w:rFonts w:ascii="Times New Roman" w:hAnsi="Times New Roman"/>
          <w:sz w:val="17"/>
          <w:u w:val="single"/>
        </w:rPr>
        <w:t>provided</w:t>
      </w:r>
      <w:r>
        <w:rPr>
          <w:rFonts w:ascii="Times New Roman" w:hAnsi="Times New Roman"/>
          <w:sz w:val="17"/>
        </w:rPr>
        <w:t xml:space="preserve"> that no Default or Event of Default has occurred and is then continuing.  The Borrower shall request such extension by written notice to the Administrative Agent delivered (a) no earlier than thirty (30) days prior to the first anniversary of the Effective Date and (b) no later than thirty (30) days prior to the original Maturity Date (or, as applicable, the extended Maturity Date) of the applicable Loans; </w:t>
      </w:r>
      <w:r>
        <w:rPr>
          <w:rFonts w:ascii="Times New Roman" w:hAnsi="Times New Roman"/>
          <w:sz w:val="17"/>
          <w:u w:val="single"/>
        </w:rPr>
        <w:t>provided</w:t>
      </w:r>
      <w:r>
        <w:rPr>
          <w:rFonts w:ascii="Times New Roman" w:hAnsi="Times New Roman"/>
          <w:sz w:val="17"/>
        </w:rPr>
        <w:t xml:space="preserve"> that such notice is delivered no earlier than sixty (60) days prior to the original Maturity Date (or, as applicable, the extended Maturity Date) of the applicable Loans.  Each request to extend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218" w:name="15636-2-LM-07_PB_36_011627_7091"/>
      <w:bookmarkEnd w:id="218"/>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Maturity Date of the Revolving Loans shall require the consent of Lenders having Revolving Loans representing more than 50% of the sum of the then aggregate outstanding principal amount of the Revolving Loans and unused Revolving Commitments; </w:t>
      </w:r>
      <w:r>
        <w:rPr>
          <w:rFonts w:ascii="Times New Roman" w:hAnsi="Times New Roman"/>
          <w:sz w:val="17"/>
          <w:u w:val="single"/>
        </w:rPr>
        <w:t>provided</w:t>
      </w:r>
      <w:r>
        <w:rPr>
          <w:rFonts w:ascii="Times New Roman" w:hAnsi="Times New Roman"/>
          <w:sz w:val="17"/>
        </w:rPr>
        <w:t xml:space="preserve"> that the Revolving Commitment of, and the portion of the total Revolving Loans held or deemed held by, any Defaulting Lender shall be excluded for the purposes of making a determination of the requisite Lenders having Revolving Loans and unused Revolving Commitments.  Each request to extend the Maturity Date of the Term Loans shall require the consent of Lenders having Term Loans representing more than 50% of the then aggregate outstanding principal amount of the Term Loans; </w:t>
      </w:r>
      <w:r>
        <w:rPr>
          <w:rFonts w:ascii="Times New Roman" w:hAnsi="Times New Roman"/>
          <w:sz w:val="17"/>
          <w:u w:val="single"/>
        </w:rPr>
        <w:t>provided</w:t>
      </w:r>
      <w:r>
        <w:rPr>
          <w:rFonts w:ascii="Times New Roman" w:hAnsi="Times New Roman"/>
          <w:sz w:val="17"/>
        </w:rPr>
        <w:t xml:space="preserve"> that the portion of the total Term Loans held or deemed held by any Defaulting Lender shall be excluded for the purposes of making a determination of the requisite Lenders having Term Loans.  No Lender of Revolving Loans shall have any obligation to consent to an extension of the Maturity Date of the Revolving Loans and, if any Lender or Lenders of Revolving Loans do not consent to such an extension, the Revolving Commitments of such non-consenting Lender or Lenders shall terminate, and their Revolving Loans shall be due, in each case, on the then effective Maturity Date of the Revolving Loans without giving effect to such extension.  No Lender of Term Loans shall have any obligation to consent to an extension of the Maturity Date of the Term Loans and, if any Lender or Lenders of Term Loans do not consent to such an extension, their Term Loans shall be due on the then effective Maturity Date of the Term Loans without giving effect to such extension.  If any Lender does not consent to a request to extend the Maturity Date, the Borrower may, at its own expense, replace such non-consenting Lender pursuant to the provisions of </w:t>
      </w:r>
      <w:r>
        <w:rPr>
          <w:rFonts w:ascii="Times New Roman" w:hAnsi="Times New Roman"/>
          <w:sz w:val="17"/>
          <w:u w:val="single"/>
        </w:rPr>
        <w:t>Section 2.19</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ARTICLE III</w:t>
        <w:br/>
        <w:t>Representations and Warranties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Borrower represents and warrants to the Lenders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3.01</w:t>
      </w:r>
      <w:r>
        <w:rPr>
          <w:rFonts w:ascii="Times New Roman" w:hAnsi="Times New Roman"/>
        </w:rPr>
        <w:t xml:space="preserve">                             </w:t>
      </w:r>
      <w:r>
        <w:rPr>
          <w:rFonts w:ascii="Times New Roman" w:hAnsi="Times New Roman"/>
          <w:sz w:val="17"/>
          <w:u w:val="single"/>
        </w:rPr>
        <w:t>Organization; Powers</w:t>
      </w:r>
      <w:r>
        <w:rPr>
          <w:rFonts w:ascii="Times New Roman" w:hAnsi="Times New Roman"/>
          <w:sz w:val="17"/>
        </w:rPr>
        <w:t>.  The Borrower and each of its Subsidiaries is duly formed, validly existing and (if applicable) in good standing (except, with respect to Subsidiaries other than Material Subsidiaries, where the failure to be in good standing, individually or in the aggregate, would not reasonably be expected to result in a Material Adverse Effect) under the laws of the jurisdiction of its organization, has all requisite power and authority to carry on its business in all material respects as now conducted and, except where the failure to do so, individually or in the aggregate, would not reasonably be expected to result in a Material Adverse Effect, is qualified to do business in, and (if applicable) is in good standing in, every jurisdiction where such qualification is required.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3.02</w:t>
      </w:r>
      <w:r>
        <w:rPr>
          <w:rFonts w:ascii="Times New Roman" w:hAnsi="Times New Roman"/>
        </w:rPr>
        <w:t xml:space="preserve">                             </w:t>
      </w:r>
      <w:r>
        <w:rPr>
          <w:rFonts w:ascii="Times New Roman" w:hAnsi="Times New Roman"/>
          <w:sz w:val="17"/>
          <w:u w:val="single"/>
        </w:rPr>
        <w:t>Authorization; Enforceability</w:t>
      </w:r>
      <w:r>
        <w:rPr>
          <w:rFonts w:ascii="Times New Roman" w:hAnsi="Times New Roman"/>
          <w:sz w:val="17"/>
        </w:rPr>
        <w:t>.  The Transactions are within the Borrowers limited partnership powers and have been duly authorized by all necessary limited partnership action.  This Agreement has been duly executed and delivered by the Borrower and constitutes a legal, valid and binding obligation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3.03</w:t>
      </w:r>
      <w:r>
        <w:rPr>
          <w:rFonts w:ascii="Times New Roman" w:hAnsi="Times New Roman"/>
        </w:rPr>
        <w:t xml:space="preserve">                             </w:t>
      </w:r>
      <w:r>
        <w:rPr>
          <w:rFonts w:ascii="Times New Roman" w:hAnsi="Times New Roman"/>
          <w:sz w:val="17"/>
          <w:u w:val="single"/>
        </w:rPr>
        <w:t>Governmental Approvals; No Conflicts</w:t>
      </w:r>
      <w:r>
        <w:rPr>
          <w:rFonts w:ascii="Times New Roman" w:hAnsi="Times New Roman"/>
          <w:sz w:val="17"/>
        </w:rPr>
        <w:t>.  The execution, delivery and performance of the Loan Documents by the Borrower, and the consummation of the Transactions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219" w:name="15636-2-LM-09_PB_37_011315_7056"/>
      <w:bookmarkEnd w:id="21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by the Borrower (a) do not require any consent or approval of, registration or filing with, or any other action by, any Governmental Authority to be obtained or made by the Borrower, except (i) such as have been obtained or made and are in full force and effect, and (ii) filings and recordings required to perfect the Liens created under the Security Instruments, (b) will not violate any law or regulation applicable to the Borrower or the limited partnership agreement, charter, by-laws or other organizational documents of the Borrower or any of its Subsidiaries or any order of any Governmental Authority to which the Borrower or any of its Subsidiaries is subject, (c) will not result in a default under any material indenture, agreement or other instrument binding upon the Borrower or any of its Subsidiaries or assets of Borrower or any of its Subsidiaries, or give rise to a right thereunder to require any payment to be made by the Borrower or any of its Subsidiaries, and (d) will not result in the creation or imposition of any consensual Lien on any asset of the Borrower or any of its Subsidiaries that is prohibited hereby.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3.04</w:t>
      </w:r>
      <w:r>
        <w:rPr>
          <w:rFonts w:ascii="Times New Roman" w:hAnsi="Times New Roman"/>
        </w:rPr>
        <w:t xml:space="preserve">                             </w:t>
      </w:r>
      <w:r>
        <w:rPr>
          <w:rFonts w:ascii="Times New Roman" w:hAnsi="Times New Roman"/>
          <w:sz w:val="17"/>
          <w:u w:val="single"/>
        </w:rPr>
        <w:t>Financial Condition; No Material Adverse Change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Borrower has heretofore furnished to the Lenders its consolidated balance sheet and statements of income and cash flows as of and for the fiscal year ended December 31, 2012.  Such financial statements present fairly, in all material respects, the financial position and results of operations and cash flows of the Borrower and its consolidated subsidiaries as of such dates and for such periods in accordance with GAAP except that its ownership interest in PAA will be shown therein pursuant to the equity method of accounting.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As of the Effective Date, no Material Adverse Change exists with respect to the Borrower, its Subsidiaries, PAA GP LLC or PAA since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3.05</w:t>
      </w:r>
      <w:r>
        <w:rPr>
          <w:rFonts w:ascii="Times New Roman" w:hAnsi="Times New Roman"/>
        </w:rPr>
        <w:t xml:space="preserve">                             </w:t>
      </w:r>
      <w:r>
        <w:rPr>
          <w:rFonts w:ascii="Times New Roman" w:hAnsi="Times New Roman"/>
          <w:sz w:val="17"/>
          <w:u w:val="single"/>
        </w:rPr>
        <w:t>Solvency</w:t>
      </w:r>
      <w:r>
        <w:rPr>
          <w:rFonts w:ascii="Times New Roman" w:hAnsi="Times New Roman"/>
          <w:sz w:val="17"/>
        </w:rPr>
        <w:t>.  The Borrower, individually and together with its consolidated Subsidiaries, is Solvent.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3.06</w:t>
      </w:r>
      <w:r>
        <w:rPr>
          <w:rFonts w:ascii="Times New Roman" w:hAnsi="Times New Roman"/>
        </w:rPr>
        <w:t xml:space="preserve">                             </w:t>
      </w:r>
      <w:r>
        <w:rPr>
          <w:rFonts w:ascii="Times New Roman" w:hAnsi="Times New Roman"/>
          <w:sz w:val="17"/>
          <w:u w:val="single"/>
        </w:rPr>
        <w:t>Litigation and Environmental Matters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Except for Disclosed Matters, there are no actions, suits or proceedings by or before any arbitrator or Governmental Authority pending against or, to the knowledge of the Borrower, overtly threatened against or affecting the Borrower, any of its Subsidiaries, PAA GP LLC or PAA (i) that would reasonably be expected, individually or in the aggregate, to result in a Material Adverse Effect (other than the Disclosed Matters) or (ii) that affect the legality, validity or enforceability of this Agreement or the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Except for the Disclosed Matters and except with respect to any other matters that, individually or in the aggregate, would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3.07</w:t>
      </w:r>
      <w:r>
        <w:rPr>
          <w:rFonts w:ascii="Times New Roman" w:hAnsi="Times New Roman"/>
        </w:rPr>
        <w:t xml:space="preserve">                             </w:t>
      </w:r>
      <w:r>
        <w:rPr>
          <w:rFonts w:ascii="Times New Roman" w:hAnsi="Times New Roman"/>
          <w:sz w:val="17"/>
          <w:u w:val="single"/>
        </w:rPr>
        <w:t>Compliance with Laws</w:t>
      </w:r>
      <w:r>
        <w:rPr>
          <w:rFonts w:ascii="Times New Roman" w:hAnsi="Times New Roman"/>
          <w:sz w:val="17"/>
        </w:rPr>
        <w:t>.  Except for Disclosed Matters, the Borrower and each of its Subsidiaries and the PAA Entities are in compliance with all laws, regulations and orders of any Governmental Authority applicable to it or its property, except where the failure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220" w:name="15636-2-LM-09_PB_38_011337_5335"/>
      <w:bookmarkEnd w:id="22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do so, individually or in the aggregate, would not reasonably be expected to result in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3.08</w:t>
      </w:r>
      <w:r>
        <w:rPr>
          <w:rFonts w:ascii="Times New Roman" w:hAnsi="Times New Roman"/>
        </w:rPr>
        <w:t xml:space="preserve">                             </w:t>
      </w:r>
      <w:r>
        <w:rPr>
          <w:rFonts w:ascii="Times New Roman" w:hAnsi="Times New Roman"/>
          <w:sz w:val="17"/>
          <w:u w:val="single"/>
        </w:rPr>
        <w:t>Investment Company Status</w:t>
      </w:r>
      <w:r>
        <w:rPr>
          <w:rFonts w:ascii="Times New Roman" w:hAnsi="Times New Roman"/>
          <w:sz w:val="17"/>
        </w:rPr>
        <w:t>.  Neither the Borrower nor any of its Subsidiaries is an investment company as defined in, or subject to regulation under, the Investment Company Act of 1940.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3.09</w:t>
      </w:r>
      <w:r>
        <w:rPr>
          <w:rFonts w:ascii="Times New Roman" w:hAnsi="Times New Roman"/>
        </w:rPr>
        <w:t xml:space="preserve">                             </w:t>
      </w:r>
      <w:r>
        <w:rPr>
          <w:rFonts w:ascii="Times New Roman" w:hAnsi="Times New Roman"/>
          <w:sz w:val="17"/>
          <w:u w:val="single"/>
        </w:rPr>
        <w:t>Taxes</w:t>
      </w:r>
      <w:r>
        <w:rPr>
          <w:rFonts w:ascii="Times New Roman" w:hAnsi="Times New Roman"/>
          <w:sz w:val="17"/>
        </w:rPr>
        <w:t>.  The Borrower and each of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 (b) to the extent that the failure to do so would not reasonably be expected to result in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3.10</w:t>
      </w:r>
      <w:r>
        <w:rPr>
          <w:rFonts w:ascii="Times New Roman" w:hAnsi="Times New Roman"/>
        </w:rPr>
        <w:t xml:space="preserve">                             </w:t>
      </w:r>
      <w:r>
        <w:rPr>
          <w:rFonts w:ascii="Times New Roman" w:hAnsi="Times New Roman"/>
          <w:sz w:val="17"/>
          <w:u w:val="single"/>
        </w:rPr>
        <w:t>ERISA</w:t>
      </w:r>
      <w:r>
        <w:rPr>
          <w:rFonts w:ascii="Times New Roman" w:hAnsi="Times New Roman"/>
          <w:sz w:val="17"/>
        </w:rPr>
        <w:t>.  To the Borrowers knowledge, except for Disclosed Matters, no ERISA Event has occurred or is reasonably expected to occur that, when taken together with all other such ERISA Events for which liability is reasonably expected to occur, would reasonably be expected to result in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3.11</w:t>
      </w:r>
      <w:r>
        <w:rPr>
          <w:rFonts w:ascii="Times New Roman" w:hAnsi="Times New Roman"/>
        </w:rPr>
        <w:t xml:space="preserve">                             </w:t>
      </w:r>
      <w:r>
        <w:rPr>
          <w:rFonts w:ascii="Times New Roman" w:hAnsi="Times New Roman"/>
          <w:sz w:val="17"/>
          <w:u w:val="single"/>
        </w:rPr>
        <w:t>Disclosure</w:t>
      </w:r>
      <w:r>
        <w:rPr>
          <w:rFonts w:ascii="Times New Roman" w:hAnsi="Times New Roman"/>
          <w:sz w:val="17"/>
        </w:rPr>
        <w:t>.  None of the reports, financial statements, certificates or other information furnished by or on behalf of the Borrower to the Administrative Agent or any Lender in connection with the negotiation of this Agreement (as modified or supplemented by other information so furnished) contains any material misstatement of fact or omits to state any material fact necessary to make the statements therein, in the light of the circumstances under which they were made, not misleading, in each case as of the date made or deemed made (or if such information expressly related to an earlier date, as of such earlier date); provided that, with respect to projected financial information, the Borrower represents only that such information was prepared in good faith based upon assumptions believed to be reasonable at the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3.12</w:t>
      </w:r>
      <w:r>
        <w:rPr>
          <w:rFonts w:ascii="Times New Roman" w:hAnsi="Times New Roman"/>
        </w:rPr>
        <w:t xml:space="preserve">                             </w:t>
      </w:r>
      <w:r>
        <w:rPr>
          <w:rFonts w:ascii="Times New Roman" w:hAnsi="Times New Roman"/>
          <w:sz w:val="17"/>
          <w:u w:val="single"/>
        </w:rPr>
        <w:t>Subsidiaries</w:t>
      </w:r>
      <w:r>
        <w:rPr>
          <w:rFonts w:ascii="Times New Roman" w:hAnsi="Times New Roman"/>
          <w:sz w:val="17"/>
        </w:rPr>
        <w:t xml:space="preserve">.  As of the Effective Date, Borrower has no Subsidiaries other than those listed on </w:t>
      </w:r>
      <w:r>
        <w:rPr>
          <w:rFonts w:ascii="Times New Roman" w:hAnsi="Times New Roman"/>
          <w:sz w:val="17"/>
          <w:u w:val="single"/>
        </w:rPr>
        <w:t>Schedule 3.12</w:t>
      </w:r>
      <w:r>
        <w:rPr>
          <w:rFonts w:ascii="Times New Roman" w:hAnsi="Times New Roman"/>
          <w:sz w:val="17"/>
        </w:rPr>
        <w:t xml:space="preserve"> hereto.  As of the Effective Date, </w:t>
      </w:r>
      <w:r>
        <w:rPr>
          <w:rFonts w:ascii="Times New Roman" w:hAnsi="Times New Roman"/>
          <w:sz w:val="17"/>
          <w:u w:val="single"/>
        </w:rPr>
        <w:t>Schedule 3.12</w:t>
      </w:r>
      <w:r>
        <w:rPr>
          <w:rFonts w:ascii="Times New Roman" w:hAnsi="Times New Roman"/>
          <w:sz w:val="17"/>
        </w:rPr>
        <w:t xml:space="preserve"> sets forth the jurisdiction of incorporation or organization of each such Subsidiary, the percentage of Borrowers ownership of the outstanding Equity Interests of each Subsidiary directly owned by Borrower, and the percentage of each Subsidiarys ownership of the outstanding Equity Interests of each other Subsidiary.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3.13</w:t>
      </w:r>
      <w:r>
        <w:rPr>
          <w:rFonts w:ascii="Times New Roman" w:hAnsi="Times New Roman"/>
        </w:rPr>
        <w:t xml:space="preserve">                             </w:t>
      </w:r>
      <w:r>
        <w:rPr>
          <w:rFonts w:ascii="Times New Roman" w:hAnsi="Times New Roman"/>
          <w:sz w:val="17"/>
          <w:u w:val="single"/>
        </w:rPr>
        <w:t>Margin Securities</w:t>
      </w:r>
      <w:r>
        <w:rPr>
          <w:rFonts w:ascii="Times New Roman" w:hAnsi="Times New Roman"/>
          <w:sz w:val="17"/>
        </w:rPr>
        <w:t>.  Neither the Borrower nor any Subsidiary is engaged principally, or as one of its important activities, in the business of extending credit for the purpose of purchasing or carrying margin stock (within the meaning of Regulations U or X of the Board), and no part of the proceeds of any Loan will be used to purchase or carry any margin stock in violation of said Regulations U or X or to extend credit to others for the purpose of purchasing or carrying margin stock in violation of said Regulations U or 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3.14</w:t>
      </w:r>
      <w:r>
        <w:rPr>
          <w:rFonts w:ascii="Times New Roman" w:hAnsi="Times New Roman"/>
        </w:rPr>
        <w:t xml:space="preserve">                             </w:t>
      </w:r>
      <w:r>
        <w:rPr>
          <w:rFonts w:ascii="Times New Roman" w:hAnsi="Times New Roman"/>
          <w:sz w:val="17"/>
          <w:u w:val="single"/>
        </w:rPr>
        <w:t>Priority; Security Matters</w:t>
      </w:r>
      <w:r>
        <w:rPr>
          <w:rFonts w:ascii="Times New Roman" w:hAnsi="Times New Roman"/>
          <w:sz w:val="17"/>
        </w:rPr>
        <w:t>.  The Security Instruments create valid security interests in the Collateral described therein in favor of the Administrative Agent for the benefit of the Lenders securing the Obligations and constitute perfected first priority security interests in such Collateral described therein subject to no Liens other than those permitted by subclauses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221" w:name="15636-2-LM-09_PB_39_011356_5796"/>
      <w:bookmarkEnd w:id="22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(c), (g), (i), (l) and (o) of the definition of Permitted Liens, except to the extent such security interests are not perfected or do not have first priority status solely as a result of any action or inaction by either Administrative Agent or any Lender occurring after the execution and delivery of the Loan Documents.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3.15</w:t>
      </w:r>
      <w:r>
        <w:rPr>
          <w:rFonts w:ascii="Times New Roman" w:hAnsi="Times New Roman"/>
        </w:rPr>
        <w:t xml:space="preserve">                             </w:t>
      </w:r>
      <w:r>
        <w:rPr>
          <w:rFonts w:ascii="Times New Roman" w:hAnsi="Times New Roman"/>
          <w:sz w:val="17"/>
          <w:u w:val="single"/>
        </w:rPr>
        <w:t>Foreign Assets Control Regulation</w:t>
      </w:r>
      <w:r>
        <w:rPr>
          <w:rFonts w:ascii="Times New Roman" w:hAnsi="Times New Roman"/>
          <w:sz w:val="17"/>
        </w:rPr>
        <w:t>.  Neither Borrower nor any of its Subsidiaries (i)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(ii) engages in any dealings or transactions prohibited by Section 2 of such executive order, or is otherwise associated with any such person in any manner violative of Section 2, or (iii) is a person on the list of Specially Designated Nationals and Blocked Persons or subject to the limitations or prohibitions under any other U.S. Department of Treasurys Office of Foreign Assets Control regulation or executive order.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ARTICLE IV</w:t>
        <w:br/>
        <w:t>Conditions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4.01</w:t>
      </w:r>
      <w:r>
        <w:rPr>
          <w:rFonts w:ascii="Times New Roman" w:hAnsi="Times New Roman"/>
        </w:rPr>
        <w:t xml:space="preserve">                             </w:t>
      </w:r>
      <w:r>
        <w:rPr>
          <w:rFonts w:ascii="Times New Roman" w:hAnsi="Times New Roman"/>
          <w:sz w:val="17"/>
          <w:u w:val="single"/>
        </w:rPr>
        <w:t>Effective Date</w:t>
      </w:r>
      <w:r>
        <w:rPr>
          <w:rFonts w:ascii="Times New Roman" w:hAnsi="Times New Roman"/>
          <w:sz w:val="17"/>
        </w:rPr>
        <w:t>.  The obligations of the Lenders to make Loans hereunder shall not become effective until the Effective Date, which is scheduled to occur when each of the following conditions is satisfied: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Administrative Agent (or its counsel) shall have received from each party hereto either (i) a counterpart of this Agreement signed on behalf of such party or (ii) written evidence satisfactory to the Administrative Agent (which may include telecopy or other electronic transmission of a signed signature page of this Agreement) that such party has signed a counterpart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The Administrative Agent shall have received each of the Security Instruments described on </w:t>
      </w:r>
      <w:r>
        <w:rPr>
          <w:rFonts w:ascii="Times New Roman" w:hAnsi="Times New Roman"/>
          <w:sz w:val="17"/>
          <w:u w:val="single"/>
        </w:rPr>
        <w:t>Exhibit F</w:t>
      </w:r>
      <w:r>
        <w:rPr>
          <w:rFonts w:ascii="Times New Roman" w:hAnsi="Times New Roman"/>
          <w:sz w:val="17"/>
        </w:rPr>
        <w:t>, duly completed and executed in sufficient number of counterparts.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Administrative Agent shall have received a favorable written opinion (addressed to the Administrative Agent and the Lenders and dated the Effective Date) of the Borrower and Fulbright &amp; Jaworski LLP, substantially in form and substance reasonably satisfactory to the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Administrative Agent shall have received such documents and certificates as the Administrative Agent may reasonably request relating to the organization and existence of the Borrower and its Subsidiaries, the authorization of the Transactions and any other legal matters relating to the Borrower and its Subsidiaries, this Agreement or the Transactions, all in form and substance reasonably satisfactory to the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The Administrative Agent shall have received each promissory note requested by a Lender pursuant to </w:t>
      </w:r>
      <w:r>
        <w:rPr>
          <w:rFonts w:ascii="Times New Roman" w:hAnsi="Times New Roman"/>
          <w:sz w:val="17"/>
          <w:u w:val="single"/>
        </w:rPr>
        <w:t>Section 2.10(f)</w:t>
      </w:r>
      <w:r>
        <w:rPr>
          <w:rFonts w:ascii="Times New Roman" w:hAnsi="Times New Roman"/>
          <w:sz w:val="17"/>
        </w:rPr>
        <w:t>, each duly completed and executed by the Borrower.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The Administrative Agent shall have received a certificate, dated the Effective Date and signed by the President, Vice President or a Financial Officer of the Borrower, confirming compliance with the conditions set forth in paragraphs (a) and (b) of </w:t>
      </w:r>
      <w:r>
        <w:rPr>
          <w:rFonts w:ascii="Times New Roman" w:hAnsi="Times New Roman"/>
          <w:sz w:val="17"/>
          <w:u w:val="single"/>
        </w:rPr>
        <w:t>Section 4.02</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222" w:name="15636-2-LM-09_PB_40_011419_2897"/>
      <w:bookmarkEnd w:id="22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The Administrative Agent shall have received all fees and other amounts due and payable on or prior to the Effective Date, including, to the extent invoiced five (5) Business Days prior to closing, reimbursement or payment of all out-of-pocket expenses required to be reimbursed or paid by the Borrower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Since December 31, 2012, no event shall have occurred with respect to the Borrower and its Subsidiaries, taken as a whole, or the PAA Entities, taken as a whole, which has had, or would reasonably be expected to have,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Lenders shall have received (i) satisfactory unaudited consolidated financial statements of the Borrower for the most recent fiscal year ended prior to the Effective Date as to which such financial statements are available, such financial statements being prepared in accordance with GAAP, except that the Borrowers ownership interest in PAA will be shown therein on the equity method of accounting, and otherwise subject to year-end audit adjustments, (ii) satisfactory unaudited interim consolidated financial statements of the Borrower for the quarters and year-to-date periods ended March 31, 2013 and June 30, 2013, such financial statements being prepared in accordance with GAAP, except that the Borrowers ownership interest in PAA will be shown therein on the equity method of accounting, and otherwise subject to year-end audit adjustments and footnotes, (iii) satisfactory audited consolidated financial statements of PAA for the most recent fiscal year ended prior to the Effective Date as to which such financial statements are available, and (iv) satisfactory unaudited interim consolidated financial statements of PAA for the quarters ended March 31, 2013 and June 30, 2013, such financial statements being prepared in accordance with GAAP, subject, in the case of such quarterly financial statements, to year-end audit adjustments and footnotes.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All necessary governmental and third-party approvals, if any, required to be obtained by the Borrower in connection with the Transactions and otherwise referred to herein shall have been obtained and remain in effect (except where failure to obtain such approvals would not reasonably be expected to have a Material Adverse Effect), and all applicable waiting periods shall have expired without any action being taken by any applicable authority.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No Default or Event of Default has occurred and is continuing.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date on which all of the foregoing conditions have been satisfied (or waived pursuant to </w:t>
      </w:r>
      <w:r>
        <w:rPr>
          <w:rFonts w:ascii="Times New Roman" w:hAnsi="Times New Roman"/>
          <w:sz w:val="17"/>
          <w:u w:val="single"/>
        </w:rPr>
        <w:t>Section 9.02</w:t>
      </w:r>
      <w:r>
        <w:rPr>
          <w:rFonts w:ascii="Times New Roman" w:hAnsi="Times New Roman"/>
          <w:sz w:val="17"/>
        </w:rPr>
        <w:t>) shall be the </w:t>
      </w:r>
      <w:r>
        <w:rPr>
          <w:rFonts w:ascii="Times New Roman" w:hAnsi="Times New Roman"/>
          <w:sz w:val="17"/>
          <w:u w:val="single"/>
        </w:rPr>
        <w:t>Effective Date</w:t>
      </w:r>
      <w:r>
        <w:rPr>
          <w:rFonts w:ascii="Times New Roman" w:hAnsi="Times New Roman"/>
          <w:sz w:val="17"/>
        </w:rPr>
        <w:t>.  The Administrative Agent shall notify the Borrower and the Lenders of the Effective Date, and such notice shall be conclusive and binding.  Notwithstanding the foregoing, the obligations of the Lenders to make Loans and the changes effected by this Agreement and the documents delivered in connection herewith shall not become effective until the Effective Date, and if the Effective Date has not occurred at or prior to 3:00 p.m., New York City time, on October 15, 2013, this Agreement and the documents delivered in connection herewith shall permanently be of no force or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4.02</w:t>
      </w:r>
      <w:r>
        <w:rPr>
          <w:rFonts w:ascii="Times New Roman" w:hAnsi="Times New Roman"/>
        </w:rPr>
        <w:t xml:space="preserve">                             </w:t>
      </w:r>
      <w:r>
        <w:rPr>
          <w:rFonts w:ascii="Times New Roman" w:hAnsi="Times New Roman"/>
          <w:sz w:val="17"/>
          <w:u w:val="single"/>
        </w:rPr>
        <w:t>Each Credit Event</w:t>
      </w:r>
      <w:r>
        <w:rPr>
          <w:rFonts w:ascii="Times New Roman" w:hAnsi="Times New Roman"/>
          <w:sz w:val="17"/>
        </w:rPr>
        <w:t>.  The obligation of each Lender to make a Loan on the occasion of any Borrowing (exclusive of continuations and conversions of a Borrowing), is subject to the satisfaction of the following conditions: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223" w:name="15636-2-LM-09_PB_41_011442_3020"/>
      <w:bookmarkEnd w:id="22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representations and warranties of the Borrower set forth in this Agreement and the other Loan Documents shall be true and correct in all material respects on and as of the date of such Borrowing (other than those representations and warranties that expressly relate to a specific earlier date, which shall be true and correct in all material respects as of such earlier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At the time of and immediately after giving effect to such Borrowing, no Default or Event of Default shall have occurred and be continuing.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Borrowing (exclusive of continuations and conversions of a Borrowing), shall be deemed to constitute a representation and warranty by the Borrower on the date thereof as to the matters specified in paragraphs (a) and (b) of this Section.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ARTICLE V</w:t>
        <w:br/>
        <w:t>Affirmative 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Until the Commitments have expired or terminated and the principal of and interest on each Loan and all fees payable hereunder shall have been paid in full, the Borrower covenants and agrees with the Lenders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5.01</w:t>
      </w:r>
      <w:r>
        <w:rPr>
          <w:rFonts w:ascii="Times New Roman" w:hAnsi="Times New Roman"/>
        </w:rPr>
        <w:t xml:space="preserve">                             </w:t>
      </w:r>
      <w:r>
        <w:rPr>
          <w:rFonts w:ascii="Times New Roman" w:hAnsi="Times New Roman"/>
          <w:sz w:val="17"/>
          <w:u w:val="single"/>
        </w:rPr>
        <w:t>Financial Statements and Other Information</w:t>
      </w:r>
      <w:r>
        <w:rPr>
          <w:rFonts w:ascii="Times New Roman" w:hAnsi="Times New Roman"/>
          <w:sz w:val="17"/>
        </w:rPr>
        <w:t>.  The Borrower will furnish, or cause to be furnished to the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Promptly after becoming available and in any event within 120 days after the close of each fiscal year of the Borrower, by posting on EDGAR or by transmission or delivery in accordance with </w:t>
      </w:r>
      <w:r>
        <w:rPr>
          <w:rFonts w:ascii="Times New Roman" w:hAnsi="Times New Roman"/>
          <w:sz w:val="17"/>
          <w:u w:val="single"/>
        </w:rPr>
        <w:t>Section 9.01</w:t>
      </w:r>
      <w:r>
        <w:rPr>
          <w:rFonts w:ascii="Times New Roman" w:hAnsi="Times New Roman"/>
          <w:sz w:val="17"/>
        </w:rPr>
        <w:t>, (i) the consolidated balance sheet of (A) the Borrower and its consolidated Subsidiaries and (B) PAA and its consolidated subsidiaries as at the end of such year (with respect to PAA, on its Form 10-K) and (ii) the consolidated statements of income, equity and cash flow of (A) the Borrower and its consolidated Subsidiaries and (B) PAA and its consolidated subsidiaries for such year (with respect to PAA, on its Form 10-K) setting forth in each case in comparative form the corresponding figures for the preceding fiscal year, which report shall be to the effect that such statements have been prepared in accordance with GAAP except that the Borrowers ownership interest in PAA will be shown therein pursuant to the equity method of accounting;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Promptly after their becoming available and in any event within 60 days after the close of each fiscal quarter (except after the close of each fiscal year) of the Borrower, by posting on EDGAR or by transmission or delivery in accordance with </w:t>
      </w:r>
      <w:r>
        <w:rPr>
          <w:rFonts w:ascii="Times New Roman" w:hAnsi="Times New Roman"/>
          <w:sz w:val="17"/>
          <w:u w:val="single"/>
        </w:rPr>
        <w:t>Section 9.01</w:t>
      </w:r>
      <w:r>
        <w:rPr>
          <w:rFonts w:ascii="Times New Roman" w:hAnsi="Times New Roman"/>
          <w:sz w:val="17"/>
        </w:rPr>
        <w:t>, (i) the unaudited consolidated balance sheet of the Borrower and its consolidated Subsidiaries as at the end of such quarter, and (ii) the unaudited consolidated statements of income, equity and cash flow of the Borrower and its consolidated Subsidiaries for such quarter, setting forth in each case in comparative form the corresponding figures for the preceding fiscal year, all of the foregoing certified by a Financial Officer of the Borrower to have been prepared in accordance with GAAP subject to normal changes resulting from year-end adjustments except that the Borrowers ownership interest in PAA will be shown therein pursuant to the equity method of accounting;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224" w:name="15636-2-LM-09_PB_42_011500_7748"/>
      <w:bookmarkEnd w:id="22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Within 60 days after the end of each fiscal quarter of each fiscal year of the Borrower (or 120 days, in the case of the last fiscal quarter of a fiscal year), a certificate of a Financial Officer of the Borrower substantially in the form of </w:t>
      </w:r>
      <w:r>
        <w:rPr>
          <w:rFonts w:ascii="Times New Roman" w:hAnsi="Times New Roman"/>
          <w:sz w:val="17"/>
          <w:u w:val="single"/>
        </w:rPr>
        <w:t>Exhibit D</w:t>
      </w:r>
      <w:r>
        <w:rPr>
          <w:rFonts w:ascii="Times New Roman" w:hAnsi="Times New Roman"/>
          <w:sz w:val="17"/>
        </w:rPr>
        <w:t xml:space="preserve"> (i) certifying as to whether a Default has occurred that is then continuing and, if a Default has occurred that is then continuing, specifying the details thereof and any action taken or proposed to be taken with respect thereto, and (ii) setting forth in reasonable detail calculations demonstrating compliance with </w:t>
      </w:r>
      <w:r>
        <w:rPr>
          <w:rFonts w:ascii="Times New Roman" w:hAnsi="Times New Roman"/>
          <w:sz w:val="17"/>
          <w:u w:val="single"/>
        </w:rPr>
        <w:t>Section 6.06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5.02</w:t>
      </w:r>
      <w:r>
        <w:rPr>
          <w:rFonts w:ascii="Times New Roman" w:hAnsi="Times New Roman"/>
        </w:rPr>
        <w:t xml:space="preserve">                             </w:t>
      </w:r>
      <w:r>
        <w:rPr>
          <w:rFonts w:ascii="Times New Roman" w:hAnsi="Times New Roman"/>
          <w:sz w:val="17"/>
          <w:u w:val="single"/>
        </w:rPr>
        <w:t>Notices of Material Events</w:t>
      </w:r>
      <w:r>
        <w:rPr>
          <w:rFonts w:ascii="Times New Roman" w:hAnsi="Times New Roman"/>
          <w:sz w:val="17"/>
        </w:rPr>
        <w:t>.  The Borrower will furnish to the Administrative Agent prompt written notice of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occurrence of any Event of Default or any event which, with the giving of notice and the passage of time, or both, would constitute an Event of Default;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material amendment to the formation, charter, by-laws or other constituent documents of the Borrower, PAA or PAA GP LLC;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other development that results in, or would reasonably be expected to result in,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5.03</w:t>
      </w:r>
      <w:r>
        <w:rPr>
          <w:rFonts w:ascii="Times New Roman" w:hAnsi="Times New Roman"/>
        </w:rPr>
        <w:t xml:space="preserve">                             </w:t>
      </w:r>
      <w:r>
        <w:rPr>
          <w:rFonts w:ascii="Times New Roman" w:hAnsi="Times New Roman"/>
          <w:sz w:val="17"/>
          <w:u w:val="single"/>
        </w:rPr>
        <w:t>Existence; Conduct of Business</w:t>
      </w:r>
      <w:r>
        <w:rPr>
          <w:rFonts w:ascii="Times New Roman" w:hAnsi="Times New Roman"/>
          <w:sz w:val="17"/>
        </w:rPr>
        <w:t xml:space="preserve">.  The Borrower will (i) do or cause to be done all things necessary to preserve, renew and keep in full force and effect its and its Subsidiaries legal existence except in a transaction of the nature described in, and not prohibited by, </w:t>
      </w:r>
      <w:r>
        <w:rPr>
          <w:rFonts w:ascii="Times New Roman" w:hAnsi="Times New Roman"/>
          <w:sz w:val="17"/>
          <w:u w:val="single"/>
        </w:rPr>
        <w:t>Section 6.03</w:t>
      </w:r>
      <w:r>
        <w:rPr>
          <w:rFonts w:ascii="Times New Roman" w:hAnsi="Times New Roman"/>
          <w:sz w:val="17"/>
        </w:rPr>
        <w:t>, and (ii) take all reasonable action to maintain all rights, licenses, permits, privileges and franchises material to the conduct of its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5.04</w:t>
      </w:r>
      <w:r>
        <w:rPr>
          <w:rFonts w:ascii="Times New Roman" w:hAnsi="Times New Roman"/>
        </w:rPr>
        <w:t xml:space="preserve">                             </w:t>
      </w:r>
      <w:r>
        <w:rPr>
          <w:rFonts w:ascii="Times New Roman" w:hAnsi="Times New Roman"/>
          <w:sz w:val="17"/>
          <w:u w:val="single"/>
        </w:rPr>
        <w:t>Further Assurances</w:t>
      </w:r>
      <w:r>
        <w:rPr>
          <w:rFonts w:ascii="Times New Roman" w:hAnsi="Times New Roman"/>
          <w:sz w:val="17"/>
        </w:rPr>
        <w:t xml:space="preserve">.  The Borrower will and will cause each Subsidiary to cure promptly any defects in the creation and issuance of any promissory note created and issued pursuant to </w:t>
      </w:r>
      <w:r>
        <w:rPr>
          <w:rFonts w:ascii="Times New Roman" w:hAnsi="Times New Roman"/>
          <w:sz w:val="17"/>
          <w:u w:val="single"/>
        </w:rPr>
        <w:t>Section 2.10(f)</w:t>
      </w:r>
      <w:r>
        <w:rPr>
          <w:rFonts w:ascii="Times New Roman" w:hAnsi="Times New Roman"/>
          <w:sz w:val="17"/>
        </w:rPr>
        <w:t> and the execution and delivery of the Security Instruments and this Agreement.  The Borrower at its expense will and will cause each Subsidiary to promptly execute and deliver to the Administrative Agent upon reasonable request all such other documents, agreements and instruments necessary to comply with or accomplish the covenants and agreements of the Borrower or any Subsidiary, as the case may be, in the Security Instruments and this Agreement, or to further evidence and more fully describe the Collateral intended as security for the Obligations, or to correct any unintended omissions in the Security Instruments, or to state more fully the security obligations set out herein or in any of the Security Instruments, or to perfect, protect or preserve any Liens created pursuant to any of the Security Instruments, or to make any recordings, to file any notices or obtain any consents, all as may be necessary in connection therewith.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5.05</w:t>
      </w:r>
      <w:r>
        <w:rPr>
          <w:rFonts w:ascii="Times New Roman" w:hAnsi="Times New Roman"/>
        </w:rPr>
        <w:t xml:space="preserve">                             </w:t>
      </w:r>
      <w:r>
        <w:rPr>
          <w:rFonts w:ascii="Times New Roman" w:hAnsi="Times New Roman"/>
          <w:sz w:val="17"/>
          <w:u w:val="single"/>
        </w:rPr>
        <w:t>Maintenance of Properties; Insurance</w:t>
      </w:r>
      <w:r>
        <w:rPr>
          <w:rFonts w:ascii="Times New Roman" w:hAnsi="Times New Roman"/>
          <w:sz w:val="17"/>
        </w:rPr>
        <w:t>.  The Borrower will, and will cause each of its Subsidiaries to, (a) keep and maintain all property material to the conduct of its business in good working order and condition, ordinary wear and tear excepted, and (b)</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225" w:name="15636-2-LM-09_PB_43_011520_141"/>
      <w:bookmarkEnd w:id="22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maintain, with financially sound and reputable insurance companies, insurance in such amounts and against such risks as are customarily maintained by companies engaged in the same or similar businesses operating in the same or similar locations.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5.06</w:t>
      </w:r>
      <w:r>
        <w:rPr>
          <w:rFonts w:ascii="Times New Roman" w:hAnsi="Times New Roman"/>
        </w:rPr>
        <w:t xml:space="preserve">                             </w:t>
      </w:r>
      <w:r>
        <w:rPr>
          <w:rFonts w:ascii="Times New Roman" w:hAnsi="Times New Roman"/>
          <w:sz w:val="17"/>
          <w:u w:val="single"/>
        </w:rPr>
        <w:t>Books and Records; Inspection Rights</w:t>
      </w:r>
      <w:r>
        <w:rPr>
          <w:rFonts w:ascii="Times New Roman" w:hAnsi="Times New Roman"/>
          <w:sz w:val="17"/>
        </w:rPr>
        <w:t>.  The Borrower will, and will cause each of its Subsidiaries to, keep in accordance with GAAP proper books of record and account in which full, true and correct entries are made in all material respects of all dealings and transactions in relation to its business and activities.  The Borrower will, and will cause each of its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5.07</w:t>
      </w:r>
      <w:r>
        <w:rPr>
          <w:rFonts w:ascii="Times New Roman" w:hAnsi="Times New Roman"/>
        </w:rPr>
        <w:t xml:space="preserve">                             </w:t>
      </w:r>
      <w:r>
        <w:rPr>
          <w:rFonts w:ascii="Times New Roman" w:hAnsi="Times New Roman"/>
          <w:sz w:val="17"/>
          <w:u w:val="single"/>
        </w:rPr>
        <w:t>Compliance with Laws</w:t>
      </w:r>
      <w:r>
        <w:rPr>
          <w:rFonts w:ascii="Times New Roman" w:hAnsi="Times New Roman"/>
          <w:sz w:val="17"/>
        </w:rPr>
        <w:t>.  The Borrower will, and will cause each of its Subsidiaries to, comply with all laws, rules, regulations and orders of any Governmental Authority applicable to it or its property, except where the failure to do so, individually or in the aggregate, would not reasonably be expected to result in a Material Adverse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5.08</w:t>
      </w:r>
      <w:r>
        <w:rPr>
          <w:rFonts w:ascii="Times New Roman" w:hAnsi="Times New Roman"/>
        </w:rPr>
        <w:t xml:space="preserve">                             </w:t>
      </w:r>
      <w:r>
        <w:rPr>
          <w:rFonts w:ascii="Times New Roman" w:hAnsi="Times New Roman"/>
          <w:sz w:val="17"/>
          <w:u w:val="single"/>
        </w:rPr>
        <w:t>Use of Proceeds</w:t>
      </w:r>
      <w:r>
        <w:rPr>
          <w:rFonts w:ascii="Times New Roman" w:hAnsi="Times New Roman"/>
          <w:sz w:val="17"/>
        </w:rPr>
        <w:t>.  The proceeds of the Loans will be used only (A) with respect to the Term Loan, to refinance the outstanding term loan under the Existing Credit Agreement and to fund dividends and other distributions to the owners of the Equity Interests in the Borrower, and (B) with respect to the Revolving Loans, for the general partnership purposes of the Borrower and its Subsidiaries.  No part of the proceeds of any Loan will be used, whether directly or indirectly, for any purpose that entails a violation of any of the Regulations of the Board, including Regulations U and X.</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5.09</w:t>
      </w:r>
      <w:r>
        <w:rPr>
          <w:rFonts w:ascii="Times New Roman" w:hAnsi="Times New Roman"/>
        </w:rPr>
        <w:t xml:space="preserve">                             </w:t>
      </w:r>
      <w:r>
        <w:rPr>
          <w:rFonts w:ascii="Times New Roman" w:hAnsi="Times New Roman"/>
          <w:sz w:val="17"/>
          <w:u w:val="single"/>
        </w:rPr>
        <w:t>Environmental Matters</w:t>
      </w:r>
      <w:r>
        <w:rPr>
          <w:rFonts w:ascii="Times New Roman" w:hAnsi="Times New Roman"/>
          <w:sz w:val="17"/>
        </w:rPr>
        <w:t>.  The Borrower has established and implemented, or will establish and implement, and will cause each of its Subsidiaries to establish and implement, such procedures as may be necessary to assure that any failure of the following does not have a Material Adverse Effect: (i) all property of the Borrower and its Subsidiaries and the operations conducted thereon are in compliance with and do not violate the requirements of any Environmental Laws, (ii) no oil or solid wastes are disposed of or otherwise released on or to any property owned by the Borrower or its Subsidiaries except in compliance with Environmental Laws, (iii) no Hazardous Materials will be released on or to any such property in a quantity equal to or exceeding that quantity which requires reporting pursuant to Section 103 of CERCLA, and (iv) no oil or Hazardous Materials is released on or to any such property so as to pose an imminent and substantial endangerment to public health or welfare or the environment.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5.10</w:t>
      </w:r>
      <w:r>
        <w:rPr>
          <w:rFonts w:ascii="Times New Roman" w:hAnsi="Times New Roman"/>
        </w:rPr>
        <w:t xml:space="preserve">                             </w:t>
      </w:r>
      <w:r>
        <w:rPr>
          <w:rFonts w:ascii="Times New Roman" w:hAnsi="Times New Roman"/>
          <w:sz w:val="17"/>
          <w:u w:val="single"/>
        </w:rPr>
        <w:t>ERISA Information</w:t>
      </w:r>
      <w:r>
        <w:rPr>
          <w:rFonts w:ascii="Times New Roman" w:hAnsi="Times New Roman"/>
          <w:sz w:val="17"/>
        </w:rPr>
        <w:t>.  The Borrower will furnish to the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within 15 Business Days after the institution of or the withdrawal or partial withdrawal by the Borrower, any Subsidiary or any ERISA Affiliate from any Multiemployer Plan which would cause the Borrower, any Subsidiary or any ERISA Affiliate to incur Withdrawal Liability in excess of $5,000,000 (in the aggregate for all such withdrawals),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226" w:name="15636-2-LM-09_PB_44_011539_7608"/>
      <w:bookmarkEnd w:id="22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written notice thereof signed by an executive officer of the Borrower stating the applicable details;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within 15 Business Days after an officer of the Borrower becomes aware of any material action at law or at equity brought against the Borrower, any of its Subsidiaries, any ERISA Affiliate, or any fiduciary of a Plan in connection with the administration of any Plan or the investment of assets thereunder, a written notice signed by an executive officer of the Borrower specifying the nature thereof and what action the Borrower is taking or proposes to take with respect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5.11</w:t>
      </w:r>
      <w:r>
        <w:rPr>
          <w:rFonts w:ascii="Times New Roman" w:hAnsi="Times New Roman"/>
        </w:rPr>
        <w:t xml:space="preserve">                             </w:t>
      </w:r>
      <w:r>
        <w:rPr>
          <w:rFonts w:ascii="Times New Roman" w:hAnsi="Times New Roman"/>
          <w:sz w:val="17"/>
          <w:u w:val="single"/>
        </w:rPr>
        <w:t>Taxes</w:t>
      </w:r>
      <w:r>
        <w:rPr>
          <w:rFonts w:ascii="Times New Roman" w:hAnsi="Times New Roman"/>
          <w:sz w:val="17"/>
        </w:rPr>
        <w:t xml:space="preserve">.  Pay and discharge, or cause to be paid and discharged, promptly or make, or cause to be made, timely deposit of all taxes (including Federal Insurance Contribution Act payments and withholding taxes), assessments and governmental charges or levies imposed upon the Borrower or any Subsidiary or upon the income or any property of the Borrower or any Subsidiary;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neither the Borrower nor any Subsidiary shall be required to pay any such tax, assessment, charge, levy or claim if the amount, applicability or validity thereof shall currently be contested in good faith by appropriate proceedings diligently conducted by or on behalf of the Borrower or its Subsidiary, and if the Borrower or its Subsidiary shall have set up reserves therefor adequate under GAAP or if no Material Adverse Effect shall be occasioned by all such failures in the aggregate.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ARTICLE VI</w:t>
        <w:br/>
        <w:t>Negative 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Until the Commitments have expired or terminated and the principal of and interest on each Loan and all fees payable hereunder have been paid in full, the Borrower covenants and agrees with the Lenders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6.01</w:t>
      </w:r>
      <w:r>
        <w:rPr>
          <w:rFonts w:ascii="Times New Roman" w:hAnsi="Times New Roman"/>
        </w:rPr>
        <w:t xml:space="preserve">                             </w:t>
      </w:r>
      <w:r>
        <w:rPr>
          <w:rFonts w:ascii="Times New Roman" w:hAnsi="Times New Roman"/>
          <w:sz w:val="17"/>
          <w:u w:val="single"/>
        </w:rPr>
        <w:t>Indebtedness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Borrower shall not, and shall not permit any Subsidiary to create, incur, assume or permit to exist any Indebtedness other than (i) Indebtedness hereunder and under the other Loan Documents and (ii) other Indebtedness in an aggregate principal amount not to exceed $25,000,000 at any one time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Borrower shall not permit PAA GP LLC to create, incur, assume or permit to exist any Indebtedness, other than Indebtedness incurred solely by operation of law or by virtue of its status as the general partner of PAA as distinguished from Indebtedness incurred pursuant to an express contractual obligation of PAA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Provided, however, that neither the Borrower nor any Subsidiary shall create, incur or assume any Indebtedness pursuant to any provision of this </w:t>
      </w:r>
      <w:r>
        <w:rPr>
          <w:rFonts w:ascii="Times New Roman" w:hAnsi="Times New Roman"/>
          <w:sz w:val="17"/>
          <w:u w:val="single"/>
        </w:rPr>
        <w:t>Section 6.01</w:t>
      </w:r>
      <w:r>
        <w:rPr>
          <w:rFonts w:ascii="Times New Roman" w:hAnsi="Times New Roman"/>
          <w:sz w:val="17"/>
        </w:rPr>
        <w:t xml:space="preserve"> if an Event of Default shall have occurred and be continuing or would result from such creation, incurrence or assumption.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6.02</w:t>
      </w:r>
      <w:r>
        <w:rPr>
          <w:rFonts w:ascii="Times New Roman" w:hAnsi="Times New Roman"/>
        </w:rPr>
        <w:t xml:space="preserve">                             </w:t>
      </w:r>
      <w:r>
        <w:rPr>
          <w:rFonts w:ascii="Times New Roman" w:hAnsi="Times New Roman"/>
          <w:sz w:val="17"/>
          <w:u w:val="single"/>
        </w:rPr>
        <w:t>Liens</w:t>
      </w:r>
      <w:r>
        <w:rPr>
          <w:rFonts w:ascii="Times New Roman" w:hAnsi="Times New Roman"/>
          <w:sz w:val="17"/>
        </w:rPr>
        <w:t xml:space="preserve">.  The Borrower shall not, and shall not permit any Subsidiary to, create, assume, incur or suffer to exist any Lien, other than (a) Permitted Liens and (b) Liens on property other than the Collateral to secure Indebtedness permitted by </w:t>
      </w:r>
      <w:r>
        <w:rPr>
          <w:rFonts w:ascii="Times New Roman" w:hAnsi="Times New Roman"/>
          <w:sz w:val="17"/>
          <w:u w:val="single"/>
        </w:rPr>
        <w:t>Section 6.01(a)(ii)</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227" w:name="15636-2-LM-09_PB_45_011558_8146"/>
      <w:bookmarkEnd w:id="22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Notwithstanding anything in this Agreement or any other Loan Document to the contrary, the Borrower shall not, and shall not permit any Subsidiary to, create, assume, incur or suffer to exist any Lien on any of the Collateral other than (i) to secure the Obligations, and (iii) those described in </w:t>
      </w:r>
      <w:r>
        <w:rPr>
          <w:rFonts w:ascii="Times New Roman" w:hAnsi="Times New Roman"/>
          <w:sz w:val="17"/>
          <w:u w:val="single"/>
        </w:rPr>
        <w:t>Section 3.14</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6.03</w:t>
      </w:r>
      <w:r>
        <w:rPr>
          <w:rFonts w:ascii="Times New Roman" w:hAnsi="Times New Roman"/>
        </w:rPr>
        <w:t xml:space="preserve">                             </w:t>
      </w:r>
      <w:r>
        <w:rPr>
          <w:rFonts w:ascii="Times New Roman" w:hAnsi="Times New Roman"/>
          <w:sz w:val="17"/>
          <w:u w:val="single"/>
        </w:rPr>
        <w:t>Fundamental Changes</w:t>
      </w:r>
      <w:r>
        <w:rPr>
          <w:rFonts w:ascii="Times New Roman" w:hAnsi="Times New Roman"/>
          <w:sz w:val="17"/>
        </w:rPr>
        <w:t>.  The Borrower will not merge into or consolidate with any other Person, or permit any other Person to merge into or consolidate with it, or sell, transfer, lease or otherwise dispose of (in one transaction or in a series of transactions) all or substantially all of its assets, or all or substantially all of the Equity Interests of any of its Subsidiaries (in each case, whether now owned or hereafter acquired), or liquidate or dissolve, except that, (a) the Borrower may merge to effectuate a reincorporation or statutory conversion in another State of the United States, (b) the Borrower may effect a statutory conversion in any State of the United States, and (c) if at the time thereof and immediately after giving effect thereto no Default shall have occurred and be continuing (i) any Person may merge into or consolidate with the Borrower in a transaction in which the Borrower is the surviving entity and (ii) the Borrower may sell or otherwise dispose of all or any portion of the Equity Interests of any of its Subsidiaries except to the extent such Equity Interests constitute Collateral.  The Borrower will not sell, transfer, lease or otherwise dispose of any of its Equity Interests in PAA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6.04</w:t>
      </w:r>
      <w:r>
        <w:rPr>
          <w:rFonts w:ascii="Times New Roman" w:hAnsi="Times New Roman"/>
        </w:rPr>
        <w:t xml:space="preserve">                             </w:t>
      </w:r>
      <w:r>
        <w:rPr>
          <w:rFonts w:ascii="Times New Roman" w:hAnsi="Times New Roman"/>
          <w:sz w:val="17"/>
          <w:u w:val="single"/>
        </w:rPr>
        <w:t>Restricted Payments</w:t>
      </w:r>
      <w:r>
        <w:rPr>
          <w:rFonts w:ascii="Times New Roman" w:hAnsi="Times New Roman"/>
          <w:sz w:val="17"/>
        </w:rPr>
        <w:t>.  The Borrower will not, and will not permit any of its Subsidiaries to, declare or make, or agree to pay or make, directly or indirectly, any Restricted Payments, except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any Subsidiary may make Restricted Payments to the Borrower, any Subsidiary and other owners of Equity Interests in such Subsidiary making the Restricted Payment;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so long as no Event of Default shall have occurred and be continuing and provided that no Event of Default would result from the making of such Restricted Payment, the Borrower may make Restricted Payments from Available Cash and the proceeds of the Term Loan.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6.05</w:t>
      </w:r>
      <w:r>
        <w:rPr>
          <w:rFonts w:ascii="Times New Roman" w:hAnsi="Times New Roman"/>
        </w:rPr>
        <w:t xml:space="preserve">                             </w:t>
      </w:r>
      <w:r>
        <w:rPr>
          <w:rFonts w:ascii="Times New Roman" w:hAnsi="Times New Roman"/>
          <w:sz w:val="17"/>
          <w:u w:val="single"/>
        </w:rPr>
        <w:t>Restrictive Agreements</w:t>
      </w:r>
      <w:r>
        <w:rPr>
          <w:rFonts w:ascii="Times New Roman" w:hAnsi="Times New Roman"/>
          <w:sz w:val="17"/>
        </w:rPr>
        <w:t xml:space="preserve">.  The Borrower will not, and will not permit any of its Subsidiaries to, directly or indirectly, enter into, incur or permit to exist any agreement or other arrangement with any Person, other than the Lenders pursuant hereto or restrictions or conditions existing on the date hereof and identified on </w:t>
      </w:r>
      <w:r>
        <w:rPr>
          <w:rFonts w:ascii="Times New Roman" w:hAnsi="Times New Roman"/>
          <w:sz w:val="17"/>
          <w:u w:val="single"/>
        </w:rPr>
        <w:t>Schedule 6.05</w:t>
      </w:r>
      <w:r>
        <w:rPr>
          <w:rFonts w:ascii="Times New Roman" w:hAnsi="Times New Roman"/>
          <w:sz w:val="17"/>
        </w:rPr>
        <w:t xml:space="preserve"> (or any other restriction or condition substantially the same as those listed on </w:t>
      </w:r>
      <w:r>
        <w:rPr>
          <w:rFonts w:ascii="Times New Roman" w:hAnsi="Times New Roman"/>
          <w:sz w:val="17"/>
          <w:u w:val="single"/>
        </w:rPr>
        <w:t>Schedule 6.05</w:t>
      </w:r>
      <w:r>
        <w:rPr>
          <w:rFonts w:ascii="Times New Roman" w:hAnsi="Times New Roman"/>
          <w:sz w:val="17"/>
        </w:rPr>
        <w:t xml:space="preserve">), which prohibits, restricts or imposes any conditions upon the ability of any Subsidiary to (a) pay dividends or make other distributions or pay any Indebtedness owed to the Borrower any Subsidiary, or (b) make subordinate loans or advances to or make other investments in the Borrower or any Subsidiary, in each case, other than restrictions or conditions contained in, or existing by reasons of, any agreement or instrument (i) existing on the date hereof and identified on </w:t>
      </w:r>
      <w:r>
        <w:rPr>
          <w:rFonts w:ascii="Times New Roman" w:hAnsi="Times New Roman"/>
          <w:sz w:val="17"/>
          <w:u w:val="single"/>
        </w:rPr>
        <w:t>Schedule 6.05</w:t>
      </w:r>
      <w:r>
        <w:rPr>
          <w:rFonts w:ascii="Times New Roman" w:hAnsi="Times New Roman"/>
          <w:sz w:val="17"/>
        </w:rPr>
        <w:t>, (ii) relating to property existing at the time of the acquisition thereof, so long as the restriction or condition relates only to the property so acquired, (iii) relating to any Indebtedness of, or otherwise to, any subsidiary of Borrower at the time such subsidiary was merged or consolidated with or into, or acquired by Borrower or a Subsidiary, (iv) effecting a renewal, extension, refinancing, refund or replacement (or successive extensions, renewals, refinancings, refunds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228" w:name="15636-2-LM-09_PB_46_011618_7091"/>
      <w:bookmarkEnd w:id="228"/>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replacements) of Indebtedness issued under an agreement referred to in clauses (i) through (iii) above, so long as the restrictions and conditions contained in any such renewal, extension, refinancing, refund or replacement agreement, taken as a whole, are not materially more restrictive than the restrictions and conditions contained in the original agreement, as determined in good faith by the board of directors, or equivalent, of the Borrower or the relevant Subsidiary, (v) constituting customary provisions restricting subletting or assignment of any leases of Borrower or any Subsidiary of any of them or provisions in agreements that restrict the assignment of such agreement or any rights thereunder, (vi) constituting restrictions on the sale or other disposition of any property securing Indebtedness as a result of a Lien on such property permitted hereunder, (vii) constituting any temporary encumbrance or restriction with respect to a Subsidiary of Borrower under an agreement that has been entered into for the disposition of all or substantially all of the outstanding Equity Interests of or assets of such subsidiary, provided that such disposition is otherwise permitted hereunder, (viii) constituting customary restrictions on cash, other deposits or assets imposed by customers and other persons under contracts entered into in the ordinary course of business, (ix) constituting provisions contained in agreements or instruments relating to Indebtedness that prohibit the transfer of all or substantially all of the assets of the obligor under that agreement or instrument unless the transferee assumes the obligations of the obligor under such agreement or instrument or such assets may be transferred subject to such prohibition, (x) constituting a requirement that a certain amount of Indebtedness be maintained between a Subsidiary of Borrower, (xi) constituting any restriction or condition with respect to property under an agreement that has been entered into for the disposition of such property, provided that such disposition is otherwise permitted hereunder, or (xii) constituting any restriction or condition with respect to property under a charter, lease or other agreement that has been entered into for the employment of such property.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6.06</w:t>
      </w:r>
      <w:r>
        <w:rPr>
          <w:rFonts w:ascii="Times New Roman" w:hAnsi="Times New Roman"/>
        </w:rPr>
        <w:t xml:space="preserve">                             </w:t>
      </w:r>
      <w:r>
        <w:rPr>
          <w:rFonts w:ascii="Times New Roman" w:hAnsi="Times New Roman"/>
          <w:sz w:val="17"/>
          <w:u w:val="single"/>
        </w:rPr>
        <w:t>Leverage Ratio</w:t>
      </w:r>
      <w:r>
        <w:rPr>
          <w:rFonts w:ascii="Times New Roman" w:hAnsi="Times New Roman"/>
          <w:sz w:val="17"/>
        </w:rPr>
        <w:t>.  The Borrower shall not permit the Leverage Ratio to exceed 4.0 to 1.0 as of the last day of any fiscal quarter.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ARTICLE VII</w:t>
        <w:br/>
        <w:t>Events of Default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If any of the following events (</w:t>
      </w:r>
      <w:r>
        <w:rPr>
          <w:rFonts w:ascii="Times New Roman" w:hAnsi="Times New Roman"/>
          <w:sz w:val="17"/>
          <w:u w:val="single"/>
        </w:rPr>
        <w:t>Events of Default</w:t>
      </w:r>
      <w:r>
        <w:rPr>
          <w:rFonts w:ascii="Times New Roman" w:hAnsi="Times New Roman"/>
          <w:sz w:val="17"/>
        </w:rPr>
        <w:t>) shall occur: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Borrower shall fail to pay any principal of any Loan when and as the same shall become due and payable, whether at the due date thereof or at a date fixed for prepayment thereof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(5) Business Days;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representation or warranty made or deemed made by or on behalf of the Borrower or any Material Subsidiary in or in connection with this Agreement or any amendment or modification hereof or waiver hereunder, or in any Security Instrument, report, certificate, financial statement or other document furnished pursuant to or in connection with this Agreement or any amendment or modification hereof or waiver hereunder, shall prove to have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229" w:name="15636-2-LM-11_PB_47_011334_7056"/>
      <w:bookmarkEnd w:id="22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been incorrect in any material respect when made or deemed made and such materiality is continuing;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Borrower shall fail to observe or perform any covenant, condition or agreement contained in </w:t>
      </w:r>
      <w:r>
        <w:rPr>
          <w:rFonts w:ascii="Times New Roman" w:hAnsi="Times New Roman"/>
          <w:sz w:val="17"/>
          <w:u w:val="single"/>
        </w:rPr>
        <w:t>Section 5.02(a)</w:t>
      </w:r>
      <w:r>
        <w:rPr>
          <w:rFonts w:ascii="Times New Roman" w:hAnsi="Times New Roman"/>
          <w:sz w:val="17"/>
        </w:rPr>
        <w:t xml:space="preserve">, </w:t>
      </w:r>
      <w:r>
        <w:rPr>
          <w:rFonts w:ascii="Times New Roman" w:hAnsi="Times New Roman"/>
          <w:sz w:val="17"/>
          <w:u w:val="single"/>
        </w:rPr>
        <w:t>Section 5.02(c)</w:t>
      </w:r>
      <w:r>
        <w:rPr>
          <w:rFonts w:ascii="Times New Roman" w:hAnsi="Times New Roman"/>
          <w:sz w:val="17"/>
        </w:rPr>
        <w:t xml:space="preserve"> or </w:t>
      </w:r>
      <w:r>
        <w:rPr>
          <w:rFonts w:ascii="Times New Roman" w:hAnsi="Times New Roman"/>
          <w:sz w:val="17"/>
          <w:u w:val="single"/>
        </w:rPr>
        <w:t>Section 5.03</w:t>
      </w:r>
      <w:r>
        <w:rPr>
          <w:rFonts w:ascii="Times New Roman" w:hAnsi="Times New Roman"/>
          <w:sz w:val="17"/>
        </w:rPr>
        <w:t xml:space="preserve"> (with respect to the Borrowers existence) or </w:t>
      </w:r>
      <w:r>
        <w:rPr>
          <w:rFonts w:ascii="Times New Roman" w:hAnsi="Times New Roman"/>
          <w:sz w:val="17"/>
          <w:u w:val="single"/>
        </w:rPr>
        <w:t>Section 5.08</w:t>
      </w:r>
      <w:r>
        <w:rPr>
          <w:rFonts w:ascii="Times New Roman" w:hAnsi="Times New Roman"/>
          <w:sz w:val="17"/>
        </w:rPr>
        <w:t xml:space="preserve"> or in </w:t>
      </w:r>
      <w:r>
        <w:rPr>
          <w:rFonts w:ascii="Times New Roman" w:hAnsi="Times New Roman"/>
          <w:sz w:val="17"/>
          <w:u w:val="single"/>
        </w:rPr>
        <w:t>ARTICLE VI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Borrower shall fail to observe or perform any covenant, condition or agreement contained in this Agreement (other than those specified in clause (a), (b) or (d) of this Article) or in any Security Instrument or any other Loan Document to which it is a party, and such failure shall continue unremedied for a period of 30 days after written notice thereof from the Administrative Agent to the Borrower (which notice will be given at the request of any Lender);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Borrower, PAA GP LLC or PAA shall generally be unable to pay debts as they become due;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the Borrower or PAA shall fail to make any payment of principal or interest (regardless of amount) in respect of any Material Indebtedness, when and as the same shall become due and payable, (whether by scheduled maturity, required prepayment, acceleration, demand or otherwise), and such failure shall continue after the applicable grace period, if any, specified in the agreement or instrument relating to such Material Indebtedness; for the avoidance of doubt the parties acknowledge and agree that any payment required to be made under a guaranty of payment or collection described in clause (c) of the definition of Indebtedness shall be due and payable at the time such payment is due and payable under the terms of such guaranty (taking into account any applicable grace period) and to the extent of any applicable grace period only, such payment shall be deemed not to have been accelerated or required to be prepaid prior to its stated maturity as a result of the obligation guaranteed having become due;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 xml:space="preserve">the Borrower or PAA shall default in the observance or performance of any covenant or obligation contained in any agreement or instrument relating to any such Material Indebtedness that in substance is customarily considered a default in loan documents (in each case, other than a failure to pay specified in subsection (g) of this </w:t>
      </w:r>
      <w:r>
        <w:rPr>
          <w:rFonts w:ascii="Times New Roman" w:hAnsi="Times New Roman"/>
          <w:sz w:val="17"/>
          <w:u w:val="single"/>
        </w:rPr>
        <w:t>ARTICLE VII</w:t>
      </w:r>
      <w:r>
        <w:rPr>
          <w:rFonts w:ascii="Times New Roman" w:hAnsi="Times New Roman"/>
          <w:sz w:val="17"/>
        </w:rPr>
        <w:t>) and such default shall continue after the applicable notice and grace periods, if any, specified in such agreement or instrument, if the effect thereof is to accelerate the maturity of such Material Indebtedness or require such Material Indebtedness to be prepaid prior to the stated maturity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 involuntary proceeding shall be commenced or an involuntary petition shall be filed, or any Person referenced below shall otherwise become subject to such proceeding or petition seeking (i) liquidation, reorganization or other relief in respect of the Borrower, PAA GP LLC or PAA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PAA GP LLC or PAA or for a substantial part of its assets, and, in any such case,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230" w:name="15636-2-LM-11_PB_48_011349_5335"/>
      <w:bookmarkEnd w:id="23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such proceeding or petition shall continue undismissed for sixty (60) days or an order or decree approving or ordering any of the foregoing shall be entered;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the Borrower, PAA GP LLC or PAA shall (i) voluntarily commence any proceeding, file any petition or any such Person shall otherwise subject itself to any proceeding,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PAA GP LLC or PAA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A final judgment for the payment of money is rendered against the Borrower or PAA GP LLC in an aggregate uninsured amount exceeding the Borrower Material Amount (which shall also apply to PAA GP LLC), or against PAA in an aggregate uninsured amount exceeding the PAA Material Amount, and is not discharged or stayed within an appropriate period following the entry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sz w:val="17"/>
        </w:rPr>
        <w:t>the Security Instruments after delivery thereof shall for any reason, except to the extent permitted by the terms thereof, cease to be in full force and effect and valid, binding and enforceable in accordance with their terms, or cease to create a valid and perfected first priority Lien on any of the Collateral purported to be covered thereby, except to the extent permitted by the terms of this Agreement, or the Borrower shall so state in writing;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sz w:val="17"/>
        </w:rPr>
        <w:t>any amendment to the Organizational Documents of PAA and/or PAA GP LLC is made which adversely affects the incentive distribution rights of the Borrower, and the pro forma effect of which is that the ratio of Consolidated Indebtedness to Consolidated EBITDA exceeds 3.0:1.0;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w:t>
      </w:r>
      <w:r>
        <w:rPr>
          <w:rFonts w:ascii="Times New Roman" w:hAnsi="Times New Roman"/>
        </w:rPr>
        <w:t xml:space="preserve">                                 </w:t>
      </w:r>
      <w:r>
        <w:rPr>
          <w:rFonts w:ascii="Times New Roman" w:hAnsi="Times New Roman"/>
          <w:sz w:val="17"/>
        </w:rPr>
        <w:t>PAA issues incentive distribution rights to any party other than the Borrower and the pro forma effect of which is that the ratio of Consolidated Indebtedness to Consolidated EBITDA exceeds 3:0:1.0;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w:t>
      </w:r>
      <w:r>
        <w:rPr>
          <w:rFonts w:ascii="Times New Roman" w:hAnsi="Times New Roman"/>
        </w:rPr>
        <w:t xml:space="preserve">                                 </w:t>
      </w:r>
      <w:r>
        <w:rPr>
          <w:rFonts w:ascii="Times New Roman" w:hAnsi="Times New Roman"/>
          <w:sz w:val="17"/>
        </w:rPr>
        <w:t>a Change in Control shall occur;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then, and in every such event (other than an event with respect to the Borrower described in clause (i) or (j) of this Article), and at any time thereafter during the continuance of such event, the Administrative Agent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231" w:name="15636-2-LM-11_PB_49_011402_5796"/>
      <w:bookmarkEnd w:id="23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any kind, all of which are hereby waived by the Borrower; and in case of any event with respect to the Borrower described in clause (i) or (j)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ARTICLE VIII</w:t>
        <w:br/>
        <w:t>The Agent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  The provisions of this Article (except the consultation rights of the Borrower provided for in the sixth paragraph of this </w:t>
      </w:r>
      <w:r>
        <w:rPr>
          <w:rFonts w:ascii="Times New Roman" w:hAnsi="Times New Roman"/>
          <w:sz w:val="17"/>
          <w:u w:val="single"/>
        </w:rPr>
        <w:t>Article VIII</w:t>
      </w:r>
      <w:r>
        <w:rPr>
          <w:rFonts w:ascii="Times New Roman" w:hAnsi="Times New Roman"/>
          <w:sz w:val="17"/>
        </w:rPr>
        <w:t>) are solely for the benefit of the Administrative Agent and the Lenders, and the Borrower shall not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Person serving as the Administrative Agent hereunder shall have the same rights and powers in its capacity as a Lender as any other Lender and may exercise the same as though it were not serving in such agency capacity, and such Person and its Affiliates may accept deposits from, lend money to and generally engage in any kind of business with the Borrower, any Subsidiary or PAA or other Affiliate thereof as if it were not an agent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by the Required Lenders (or such other number or percentage of the Lenders as shall be necessary under the circumstances as provided in </w:t>
      </w:r>
      <w:r>
        <w:rPr>
          <w:rFonts w:ascii="Times New Roman" w:hAnsi="Times New Roman"/>
          <w:sz w:val="17"/>
          <w:u w:val="single"/>
        </w:rPr>
        <w:t>Section 9.02</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the Administrative Agent will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herein, the Administrative Agent shall not have any duty to disclose, and shall not be liable for the failure to disclose, any information relating to the Borrower, any of its Subsidiaries or PAA that is communicated to or obtained by any of them while serving as Administrative Agent, as applicable, or by any of their respective Affiliates in any capacity.  The Administrative Agent shall not be liable to the Lenders for any action taken or not taken by 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232" w:name="15636-2-LM-11_PB_50_011413_2897"/>
      <w:bookmarkEnd w:id="23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with the consent or at the request of the Required Lenders (or such other number or percentage of the Lenders as shall be necessary, or as the Administrative Agent shall believe in good faith to be necessary, under the circumstances as provided in </w:t>
      </w:r>
      <w:r>
        <w:rPr>
          <w:rFonts w:ascii="Times New Roman" w:hAnsi="Times New Roman"/>
          <w:sz w:val="17"/>
          <w:u w:val="single"/>
        </w:rPr>
        <w:t>Section 9.02</w:t>
      </w:r>
      <w:r>
        <w:rPr>
          <w:rFonts w:ascii="Times New Roman" w:hAnsi="Times New Roman"/>
          <w:sz w:val="17"/>
        </w:rPr>
        <w:t xml:space="preserve"> and </w:t>
      </w:r>
      <w:r>
        <w:rPr>
          <w:rFonts w:ascii="Times New Roman" w:hAnsi="Times New Roman"/>
          <w:sz w:val="17"/>
          <w:u w:val="single"/>
        </w:rPr>
        <w:t>ARTICLE VII</w:t>
      </w:r>
      <w:r>
        <w:rPr>
          <w:rFonts w:ascii="Times New Roman" w:hAnsi="Times New Roman"/>
          <w:sz w:val="17"/>
        </w:rPr>
        <w:t xml:space="preserve">) or in the absence of its own gross negligence or willful misconduct as determined by a court of competent jurisdiction by final and nonappealable judgment.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(iv) the validity, enforceability, effectiveness or genuineness of this Agreement, any other Loan Document or any other agreement, instrument or document, or (v) the satisfaction of any condition set forth in </w:t>
      </w:r>
      <w:r>
        <w:rPr>
          <w:rFonts w:ascii="Times New Roman" w:hAnsi="Times New Roman"/>
          <w:sz w:val="17"/>
          <w:u w:val="single"/>
        </w:rPr>
        <w:t>ARTICLE IV</w:t>
      </w:r>
      <w:r>
        <w:rPr>
          <w:rFonts w:ascii="Times New Roman" w:hAnsi="Times New Roman"/>
          <w:sz w:val="17"/>
        </w:rPr>
        <w:t xml:space="preserve"> or elsewhere herein, other than to confirm receipt of items expressly required to be delivered to them.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Administrative Agent may perform any and all of its duties and exercise its rights and powers by or through any one or more sub-agents appointed by such Person.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Administrative Agent may at any time give notice of its resignation to the Lenders and the Borrower.  In addition, at any time the Person serving as the Administrative Agent is a Defaulting Lender pursuant to clause (d) of the definition thereof, the Required Lenders may, in consultation with the Borrower, to the extent not prohibited by applicable law, by notice 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233" w:name="15636-2-LM-11_PB_51_011425_3020"/>
      <w:bookmarkEnd w:id="23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writing to the Borrower and such Person, remove such Person as the Administrative Agent.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(such 30-day period, the </w:t>
      </w:r>
      <w:r>
        <w:rPr>
          <w:rFonts w:ascii="Times New Roman" w:hAnsi="Times New Roman"/>
          <w:sz w:val="17"/>
          <w:u w:val="single"/>
        </w:rPr>
        <w:t>Lender Party Appointment Period</w:t>
      </w:r>
      <w:r>
        <w:rPr>
          <w:rFonts w:ascii="Times New Roman" w:hAnsi="Times New Roman"/>
          <w:sz w:val="17"/>
        </w:rPr>
        <w:t>), then the retiring Administrative Agent may on behalf of the Lenders, appoint a successor Administrative Agent meeting the qualifications set forth above.  In addition and without any obligation on the part of the retiring Administrative Agent to appoint, on behalf of the Lenders, a successor Administrative Agent, the retiring Administrative Agent may at any time upon or after the end of the Lender Party Appointment Period notify the Borrower and the Lenders that no qualifying Person has accepted appointment as successor Administrative Agent and the effective date of such retiring Administrative Agents resignation which effective date shall be no earlier than three Business Days after the date of such notice.  Upon the resignation effective date established in such notice and regardless of whether a successor Administrative Agent has been appointed and accepted such appointment, the retiring Administrative Agents resignation shall nonetheless become effective and (i) the retiring Administrative Agent shall be discharged from its duties and obligations as Administrative Agent hereunder and under the other Loan Documents and (ii) all payments, communications and determinations provided to be made by, to or through the Administrative Agent shall instead be made by or to each Lender directly, until such time as the Required Lenders appoint a successor Administrative Agent as provided for above in this paragraph and all Security Instruments shall be amended to provide that the Lenders are the secured party and beneficiaries thereunder, as applicable.  Upon the acceptance of a successors appointment as Administrative Agent hereunder, such successor shall succeed to and become vested with all of the rights, powers, privileges and duties as Administrative Agent of the retiring (or retired) Administrative Agent, and the retiring Administrative Agent shall be discharged from all of its duties and obligations as Administrative Agent hereunder or under the other Loan Documents (if not already discharged therefrom as provided above in this paragraph).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any related agreement or any document furnished hereunder or thereunder.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234" w:name="15636-2-LM-11_PB_52_011436_7748"/>
      <w:bookmarkEnd w:id="23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Neither any Joint Arranger and Joint Bookrunner nor any Co-Syndication Agent shall have any right, power, obligation, liability, responsibility or duty under this Agreement other than those applicable to all Lenders as such.  Without limiting the foregoing, neither any Joint Arranger and Joint Bookrunner nor any Co-Syndication Agent shall have or be deemed to have a fiduciary relationship with any Lender.  Each Lender hereby makes the same acknowledgements with respect to each Joint Arranger and Joint Bookrunner and each Co-Syndication Agent as it makes with respect to the Administrative Agent in the immediately preceding paragraph of this </w:t>
      </w:r>
      <w:r>
        <w:rPr>
          <w:rFonts w:ascii="Times New Roman" w:hAnsi="Times New Roman"/>
          <w:sz w:val="17"/>
          <w:u w:val="single"/>
        </w:rPr>
        <w:t>ARTICLE VIII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case of the pendency of any proceeding under any Debtor Relief Law or any other judicial proceeding relative to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allowed in such judicial proceeding;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to collect and receive any monies or other property payable or deliverable on any such claims and to distribute the same;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ARTICLE IX</w:t>
        <w:br/>
        <w:t>Miscellaneous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9.01</w:t>
      </w:r>
      <w:r>
        <w:rPr>
          <w:rFonts w:ascii="Times New Roman" w:hAnsi="Times New Roman"/>
        </w:rPr>
        <w:t xml:space="preserve">                             </w:t>
      </w:r>
      <w:r>
        <w:rPr>
          <w:rFonts w:ascii="Times New Roman" w:hAnsi="Times New Roman"/>
          <w:sz w:val="17"/>
          <w:u w:val="single"/>
        </w:rPr>
        <w:t>Notices</w:t>
      </w:r>
      <w:r>
        <w:rPr>
          <w:rFonts w:ascii="Times New Roman" w:hAnsi="Times New Roman"/>
          <w:sz w:val="17"/>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to the Borrower, to 333 Clay Street, Suite 1600, Houston, Texas 77002, Attention of Charles Kingswell-Smith, Vice President and Treasurer (Telecopy No. 713.646.4564);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bookmarkStart w:id="235" w:name="15636-2-LM-11_PB_53_011455_141"/>
      <w:bookmarkEnd w:id="23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if to the Administrative Agent, to Citibank, N.A., 1615 Brett Road, Building III, New Castle, Delaware 19720,</w:t>
      </w:r>
      <w:r>
        <w:rPr>
          <w:rFonts w:ascii="Times New Roman" w:hAnsi="Times New Roman"/>
        </w:rPr>
        <w:t xml:space="preserve"> </w:t>
      </w:r>
      <w:r>
        <w:rPr>
          <w:rFonts w:ascii="Times New Roman" w:hAnsi="Times New Roman"/>
          <w:sz w:val="17"/>
        </w:rPr>
        <w:t>Attention of Plains All American Account Officer (Telecopy No. 212.894.6052), with a copy to Citibank, N.A., 811 Main Street, Suite 4000, Houston, Texas 77002,</w:t>
      </w:r>
      <w:r>
        <w:rPr>
          <w:rFonts w:ascii="Times New Roman" w:hAnsi="Times New Roman"/>
        </w:rPr>
        <w:t xml:space="preserve"> </w:t>
      </w:r>
      <w:r>
        <w:rPr>
          <w:rFonts w:ascii="Times New Roman" w:hAnsi="Times New Roman"/>
          <w:sz w:val="17"/>
        </w:rPr>
        <w:t>Attention of Plains All American Account Officer (Telecopy No. 713.481.0247);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if to any other Lender, to it at its address (or telecopy number) set forth in its Administrative Questionnaire.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Borrower will have the option to provide to the Administrative Agent all information, documents and other materials that it is obligated to furnish to the Administrative Agent pursuant to the Loan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or (iv) other than the requirements set forth in </w:t>
      </w:r>
      <w:r>
        <w:rPr>
          <w:rFonts w:ascii="Times New Roman" w:hAnsi="Times New Roman"/>
          <w:sz w:val="17"/>
          <w:u w:val="single"/>
        </w:rPr>
        <w:t>Section 3.04(a)</w:t>
      </w:r>
      <w:r>
        <w:rPr>
          <w:rFonts w:ascii="Times New Roman" w:hAnsi="Times New Roman"/>
          <w:sz w:val="17"/>
        </w:rPr>
        <w:t xml:space="preserve">, </w:t>
      </w:r>
      <w:r>
        <w:rPr>
          <w:rFonts w:ascii="Times New Roman" w:hAnsi="Times New Roman"/>
          <w:sz w:val="17"/>
          <w:u w:val="single"/>
        </w:rPr>
        <w:t>Section 4.01(i)</w:t>
      </w:r>
      <w:r>
        <w:rPr>
          <w:rFonts w:ascii="Times New Roman" w:hAnsi="Times New Roman"/>
          <w:sz w:val="17"/>
        </w:rPr>
        <w:t xml:space="preserve"> and </w:t>
      </w:r>
      <w:r>
        <w:rPr>
          <w:rFonts w:ascii="Times New Roman" w:hAnsi="Times New Roman"/>
          <w:sz w:val="17"/>
          <w:u w:val="single"/>
        </w:rPr>
        <w:t>Section 5.01</w:t>
      </w:r>
      <w:r>
        <w:rPr>
          <w:rFonts w:ascii="Times New Roman" w:hAnsi="Times New Roman"/>
          <w:sz w:val="17"/>
        </w:rPr>
        <w:t>, is required to be delivered to satisfy any condition precedent to the effectiveness of this Agreement and/or any Borrowing or any other extension of credit hereunder (all such non-excluded communications being referred to herein collectively as </w:t>
      </w:r>
      <w:r>
        <w:rPr>
          <w:rFonts w:ascii="Times New Roman" w:hAnsi="Times New Roman"/>
          <w:sz w:val="17"/>
          <w:u w:val="single"/>
        </w:rPr>
        <w:t>Communications</w:t>
      </w:r>
      <w:r>
        <w:rPr>
          <w:rFonts w:ascii="Times New Roman" w:hAnsi="Times New Roman"/>
          <w:sz w:val="17"/>
        </w:rPr>
        <w:t>), by transmitting the Communications in an electronic/soft medium in a format acceptable to the Administrative Agent to oploanswebadmin@citigroup.com.  The Borrower further agrees that the Administrative Agent may make the Communications available to the Lenders by posting the Communications on Intralinks or a substantially similar electronic transmission system (the </w:t>
      </w:r>
      <w:r>
        <w:rPr>
          <w:rFonts w:ascii="Times New Roman" w:hAnsi="Times New Roman"/>
          <w:sz w:val="17"/>
          <w:u w:val="single"/>
        </w:rPr>
        <w:t>Platform</w:t>
      </w:r>
      <w:r>
        <w:rPr>
          <w:rFonts w:ascii="Times New Roman" w:hAnsi="Times New Roman"/>
          <w:sz w:val="17"/>
        </w:rPr>
        <w:t xml:space="preserve">).  The Borrower acknowledges that the distribution of material through an electronic medium is not necessarily secure and that there are confidentiality and other risks associated with such distribution.  </w:t>
      </w:r>
      <w:r>
        <w:rPr>
          <w:rFonts w:ascii="Times New Roman" w:hAnsi="Times New Roman"/>
          <w:b/>
          <w:sz w:val="17"/>
          <w:u w:val="single"/>
        </w:rPr>
        <w:t>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Agent Parties)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internet, except to the extent the liability of any Agent Party is found in a final non-appealable judgment by a court of competent jurisdiction to have resulted from such Agent Partys gross negligence or willful misconduct.</w:t>
      </w:r>
      <w:r>
        <w:rPr>
          <w:rFonts w:ascii="Times New Roman" w:hAnsi="Times New Roman"/>
          <w:sz w:val="17"/>
        </w:rPr>
        <w:t>  The Administrative Agent agrees that the receipt of the Communications by the Administrative Agent at its e-mail address set forth above shall constitute effective delivery of the Communications to the Administrative Agent for purposes of the Loan Documents.  Each of the Lenders agrees that notice to it (as provided in the next sentence) specifying that the Communications have been posted to the Platform shall constitute effective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bookmarkStart w:id="236" w:name="15636-2-LM-11_PB_54_011510_7608"/>
      <w:bookmarkEnd w:id="23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delivery of the Communications to such Lender, as the case may be, for purposes of the Loan Documents.  Each of the Lenders agrees to notify the Administrative Agent in writing (including by electronic communication) from time to time of such Lenders, as the case may be, e-mail address to which the foregoing notice may be sent by electronic transmission, and (ii) that the foregoing notice may be sent to such e-mail address.  Nothing herein shall prejudice the right of the Administrative Agent or any Lender to give any notice or other communication pursuant to any Loan Document in any other manner specified in such Loan Document.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party hereto may change its address or telecopy number for notices and other communications hereunder by notice to the other parties hereto (or, in the case of any Lender, to the Borrower and the Administrative Agent).  All notices and other communications given to any party hereto in accordance with the provisions of this Agreement shall be deemed to have been given on the date of receipt.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9.02</w:t>
      </w:r>
      <w:r>
        <w:rPr>
          <w:rFonts w:ascii="Times New Roman" w:hAnsi="Times New Roman"/>
        </w:rPr>
        <w:t xml:space="preserve">                             </w:t>
      </w:r>
      <w:r>
        <w:rPr>
          <w:rFonts w:ascii="Times New Roman" w:hAnsi="Times New Roman"/>
          <w:sz w:val="17"/>
          <w:u w:val="single"/>
        </w:rPr>
        <w:t>Waivers; Amendments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hAnsi="Times New Roman"/>
          <w:sz w:val="17"/>
          <w:u w:val="single"/>
        </w:rPr>
        <w:t>provided</w:t>
      </w:r>
      <w:r>
        <w:rPr>
          <w:rFonts w:ascii="Times New Roman" w:hAnsi="Times New Roman"/>
          <w:sz w:val="17"/>
        </w:rPr>
        <w:t xml:space="preserve"> that no such agreement shall (i) increase or extend any Commitment of any Lender without the written consent of such Lender, (ii) reduce the principal amount of any Loan or reduce the rate of interest thereon, or reduce any fees payable hereunder, without the written consent of each Lender affected thereby,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only the consent of the Required Lenders shall be necessary (A) to amend the definition of </w:t>
      </w:r>
      <w:r>
        <w:rPr>
          <w:rFonts w:ascii="Times New Roman" w:hAnsi="Times New Roman"/>
          <w:sz w:val="17"/>
          <w:u w:val="single"/>
        </w:rPr>
        <w:t>Default Rate</w:t>
      </w:r>
      <w:r>
        <w:rPr>
          <w:rFonts w:ascii="Times New Roman" w:hAnsi="Times New Roman"/>
          <w:sz w:val="17"/>
        </w:rPr>
        <w:t> or to waive any obligation of the Borrower to pay interest or letter of credit, commitment, ticking or any other fees at the Default Rate, or (B) to amend any financial covenant hereunder (or any defined term used therein) even if the effect of such amendment would be to reduce the rate of interest on any Loan or to reduce any fee payable hereunder,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affected thereby, (iv) except as provided in any Loan Document, release any party from its obligations under the Security Instruments or release all or substantially all of the property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55</w:t>
      </w:r>
      <w:bookmarkStart w:id="237" w:name="15636-2-LM-11_PB_55_011524_8146"/>
      <w:bookmarkEnd w:id="23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covered by the Security Instruments except as otherwise provided therein, without the prior written consent of all Lenders, (v) change </w:t>
      </w:r>
      <w:r>
        <w:rPr>
          <w:rFonts w:ascii="Times New Roman" w:hAnsi="Times New Roman"/>
          <w:sz w:val="17"/>
          <w:u w:val="single"/>
        </w:rPr>
        <w:t>Section 2.18(b)</w:t>
      </w:r>
      <w:r>
        <w:rPr>
          <w:rFonts w:ascii="Times New Roman" w:hAnsi="Times New Roman"/>
          <w:sz w:val="17"/>
        </w:rPr>
        <w:t xml:space="preserve"> or </w:t>
      </w:r>
      <w:r>
        <w:rPr>
          <w:rFonts w:ascii="Times New Roman" w:hAnsi="Times New Roman"/>
          <w:sz w:val="17"/>
          <w:u w:val="single"/>
        </w:rPr>
        <w:t>Section 2.18(c)</w:t>
      </w:r>
      <w:r>
        <w:rPr>
          <w:rFonts w:ascii="Times New Roman" w:hAnsi="Times New Roman"/>
          <w:sz w:val="17"/>
        </w:rPr>
        <w:t> in a manner that would alter the pro rata sharing of payments required thereby, or any other Section of this Agreement that requires pro rata treatment of the Lenders, without the written consent of each Lender affected thereby, or (vi) change any of the provisions of this Section or the definition of </w:t>
      </w:r>
      <w:r>
        <w:rPr>
          <w:rFonts w:ascii="Times New Roman" w:hAnsi="Times New Roman"/>
          <w:sz w:val="17"/>
          <w:u w:val="single"/>
        </w:rPr>
        <w:t>Required Lenders</w:t>
      </w:r>
      <w:r>
        <w:rPr>
          <w:rFonts w:ascii="Times New Roman" w:hAnsi="Times New Roman"/>
          <w:sz w:val="17"/>
        </w:rPr>
        <w:t xml:space="preserve"> or any other provision hereof specifying the number or percentage of Lenders required to waive, amend or modify any rights hereunder or make any determination or grant any consent hereunder, without the written consent of each Lender affected thereby; </w:t>
      </w:r>
      <w:r>
        <w:rPr>
          <w:rFonts w:ascii="Times New Roman" w:hAnsi="Times New Roman"/>
          <w:sz w:val="17"/>
          <w:u w:val="single"/>
        </w:rPr>
        <w:t>provided</w:t>
      </w:r>
      <w:r>
        <w:rPr>
          <w:rFonts w:ascii="Times New Roman" w:hAnsi="Times New Roman"/>
          <w:sz w:val="17"/>
        </w:rPr>
        <w:t> </w:t>
      </w:r>
      <w:r>
        <w:rPr>
          <w:rFonts w:ascii="Times New Roman" w:hAnsi="Times New Roman"/>
          <w:sz w:val="17"/>
          <w:u w:val="single"/>
        </w:rPr>
        <w:t>further</w:t>
      </w:r>
      <w:r>
        <w:rPr>
          <w:rFonts w:ascii="Times New Roman" w:hAnsi="Times New Roman"/>
          <w:sz w:val="17"/>
        </w:rPr>
        <w:t xml:space="preserve"> that no such agreement shall amend, modify or otherwise affect the rights or duties of the Administrative Agent hereunder without the prior written consent of the Administrative Agent.  Notwithstanding anything to the contrary herein, no Defaulting Lender shall have any right to approve or disapprove any amendment, waiver or consent hereunder or any other Loan Document, nor shall a Defaulting Lenders vote or status as a Lender be required in determining majority, unanimity or other condition or effect of any vote,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any Lender does not consent to a proposed amendment, waiver, consent or release with respect to any Loan Document that requires the consent of each Lender and that has been approved by the Required Lenders, the Borrower may replace such non-consenting Lender in accordance with </w:t>
      </w:r>
      <w:r>
        <w:rPr>
          <w:rFonts w:ascii="Times New Roman" w:hAnsi="Times New Roman"/>
          <w:sz w:val="17"/>
          <w:u w:val="single"/>
        </w:rPr>
        <w:t>Section 2.19</w:t>
      </w:r>
      <w:r>
        <w:rPr>
          <w:rFonts w:ascii="Times New Roman" w:hAnsi="Times New Roman"/>
          <w:sz w:val="17"/>
        </w:rPr>
        <w:t xml:space="preserve">; </w:t>
      </w:r>
      <w:r>
        <w:rPr>
          <w:rFonts w:ascii="Times New Roman" w:hAnsi="Times New Roman"/>
          <w:sz w:val="17"/>
          <w:u w:val="single"/>
        </w:rPr>
        <w:t>provided</w:t>
      </w:r>
      <w:r>
        <w:rPr>
          <w:rFonts w:ascii="Times New Roman" w:hAnsi="Times New Roman"/>
          <w:sz w:val="17"/>
        </w:rPr>
        <w:t xml:space="preserve"> that such amendment, waiver, consent or release can be effected as a result of the assignment contemplated by such Section (together with all other such assignments required by the Borrowers to be made pursuant to this paragraph).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9.03</w:t>
      </w:r>
      <w:r>
        <w:rPr>
          <w:rFonts w:ascii="Times New Roman" w:hAnsi="Times New Roman"/>
        </w:rPr>
        <w:t xml:space="preserve">                             </w:t>
      </w:r>
      <w:r>
        <w:rPr>
          <w:rFonts w:ascii="Times New Roman" w:hAnsi="Times New Roman"/>
          <w:sz w:val="17"/>
          <w:u w:val="single"/>
        </w:rPr>
        <w:t>Expenses; Indemnity; Damage Waiver</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Borrower shall pay (i) all reasonable out-of-pocket expenses incurred by the Administrative Agent and its Affiliates, including the reasonable fees, charges and disbursements of one law firm as counsel for the Administrative Agent, in connection with the syndication of the credit facilities provided for herein, the negotiation, preparation and administration of this Agreement or any amendments, modifications or waivers of the provisions hereof (whether or not the transactions contemplated hereby or thereby shall be consummated), and (ii) all out-of-pocket expenses reasonably incurred during the existence of an Event of Default by the Administrative Agent or any Lender, including the fees, charges and disbursements of any counsel for the Administrative Agent or any Lender, in connection with the enforcement or protection of its rights in connection with this Agreement, including its rights under this Section, or in connection with the Loans made hereunder, including all such out-of-pocket expenses incurred during any workout, restructuring or negotiations in respect of such Loans, other than expenses of a Defaulting Lender proximately caused by conduct, acts or omissions described in clauses (a), (b) or (c) of the definition of Defaulting Lender.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Borrower shall indemnify the Administrative Agent, each Lender, and each Related Party of any of the foregoing Persons (each such Person being called an </w:t>
      </w:r>
      <w:r>
        <w:rPr>
          <w:rFonts w:ascii="Times New Roman" w:hAnsi="Times New Roman"/>
          <w:sz w:val="17"/>
          <w:u w:val="single"/>
        </w:rPr>
        <w:t>Indemnitee</w:t>
      </w:r>
      <w:r>
        <w:rPr>
          <w:rFonts w:ascii="Times New Roman" w:hAnsi="Times New Roman"/>
          <w:sz w:val="17"/>
        </w:rPr>
        <w:t>) against, and hold each Indemnitee harmless from, any and all losses, claims, damages, liabilities and related expenses, including the reasonable fees, charges and disbursements of any counsel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56</w:t>
      </w:r>
      <w:bookmarkStart w:id="238" w:name="15636-2-LM-11_PB_56_011536_7091"/>
      <w:bookmarkEnd w:id="238"/>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and whether brought by a third party or by the Borrower or any Subsidiary; provided that such indemnity shall not, as to any Indemnitee, be available (x) to the extent that such losses, claims, damages, liabilities or related expenses resulted from the gross negligence or willful misconduct of such Indemnitee or any Related Party of such Indemnitee, or a material breach by any such Person of its obligations under any of the Loan Documents, (y) in connection with disputes among or between the Administrative Agent, the Lenders and/or their respective Related Parties or (z) are incurred by an Indemnitee that is a Defaulting Lender, and such liabilities or costs are proximately caused by conduct, acts or omissions described in clauses (a), (b) or (c) of the definition of Defaulting Lender.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To the extent that the Borrower fails to pay any amount required to be paid by it to the Administrative Agent under paragraph (a) or (b) of this Section, each Lender severally agrees to pay to the Administrative Agent, as the case may be, such Lenders Applicable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in its capacity as such.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To the extent permitted by applicable law, no party hereto or any Related Party of any party hereto shall assert, and each such Person waives, any claim against all other Parties hereto and their Related Parties, on any theory of liability, for any special, indirect, consequential and punitive damages (as opposed to direct or actual damages) arising out of, in connection with, or as a result of, this Agreement or any agreement or instrument contemplated hereby, the Transactions, any Loan or the use of the proceeds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           All amounts due under this Section shall be payable not later than 30 days after written demand therefor, such demand to be in reasonable detail setting forth the basis for and method of calculation of such amounts.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9.04          </w:t>
      </w:r>
      <w:r>
        <w:rPr>
          <w:rFonts w:ascii="Times New Roman" w:hAnsi="Times New Roman"/>
          <w:sz w:val="17"/>
          <w:u w:val="single"/>
        </w:rPr>
        <w:t>Successors and Assigns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The provisions of this Agreement shall be binding upon and inure to the benefit of the parties hereto and their respective successors and assigns permitted hereby.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57</w:t>
      </w:r>
      <w:bookmarkStart w:id="239" w:name="15636-2-LM-13_PB_57_011522_7056"/>
      <w:bookmarkEnd w:id="23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successors and assigns permitted hereby and, to the extent expressly contemplated hereby, the Related Parties of each of the Administrative Agent and the Lenders) any legal or equitable right, remedy or claim under or by reason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Any Lender may assign to one or more assignees all or a portion of its rights and obligations under the Loan Documents (including all or a portion of its Commitment and/or the Loans at the time owing to it); </w:t>
      </w:r>
      <w:r>
        <w:rPr>
          <w:rFonts w:ascii="Times New Roman" w:hAnsi="Times New Roman"/>
          <w:sz w:val="17"/>
          <w:u w:val="single"/>
        </w:rPr>
        <w:t>provided</w:t>
      </w:r>
      <w:r>
        <w:rPr>
          <w:rFonts w:ascii="Times New Roman" w:hAnsi="Times New Roman"/>
          <w:sz w:val="17"/>
        </w:rPr>
        <w:t xml:space="preserve"> that (i) except in the case of an assignment of Term Loans to a Lender or an Affiliate of a Lender, each of the Borrower (except during the continuance of an Event of Default in which case Borrowers consent shall not be required) and the Administrative Agent must give their prior written consent to such assignment (which consent shall not be unreasonably withheld, delayed or conditioned); </w:t>
      </w:r>
      <w:r>
        <w:rPr>
          <w:rFonts w:ascii="Times New Roman" w:hAnsi="Times New Roman"/>
          <w:sz w:val="17"/>
          <w:u w:val="single"/>
        </w:rPr>
        <w:t>provided</w:t>
      </w:r>
      <w:r>
        <w:rPr>
          <w:rFonts w:ascii="Times New Roman" w:hAnsi="Times New Roman"/>
          <w:sz w:val="17"/>
        </w:rPr>
        <w:t xml:space="preserve"> that the Borrower shall be deemed to have consented to any such assignment unless it shall object thereto by written notice to the Administrative Agent within five (5) Business Days after having received notice thereof, (ii) except in the case of an assignment of Term Loans to a Lender or an Affiliate of Lender, or an assignment of the entire remaining amount of the assigning Lenders Commitment and/or the Loans at the time owing to it as otherwise permitted herein, the amount of the Commitment and/or the Loans of the assigning Lender subject to each such assignment (determined as of the date the Assignment and Acceptance with respect to such assignment is delivered to the Administrative Agent) shall not be less than $5,000,000, unless each of the Borrower and the Administrative Agent otherwise consent, (iii) each partial assignment shall result in each of the assignor and the assignee retaining a Commitment and/or Loans at the time owing to it of not less than $10,000,000 (provided that the aggregate Commitments of, and/or the Loans at the time owing to, a Lender and its Affiliates shall be used in determining such amounts), and shall be made as an assignment of a proportionate part of all the assigning Lenders rights and obligations under this Agreement, and (iv) the parties to each assignment shall execute and deliver to the Administrative Agent an Assignment and Acceptance, together with a processing and recordation fee of $3,500 (which fee may be waived by the Administrative Agent in its discretion); </w:t>
      </w:r>
      <w:r>
        <w:rPr>
          <w:rFonts w:ascii="Times New Roman" w:hAnsi="Times New Roman"/>
          <w:sz w:val="17"/>
          <w:u w:val="single"/>
        </w:rPr>
        <w:t>provided</w:t>
      </w:r>
      <w:r>
        <w:rPr>
          <w:rFonts w:ascii="Times New Roman" w:hAnsi="Times New Roman"/>
          <w:sz w:val="17"/>
        </w:rPr>
        <w:t xml:space="preserve"> that only a single processing and recordation fee shall be payable in respect of multiple contemporaneous assignments to Approved Funds with respect to any Lender; </w:t>
      </w:r>
      <w:r>
        <w:rPr>
          <w:rFonts w:ascii="Times New Roman" w:hAnsi="Times New Roman"/>
          <w:sz w:val="17"/>
          <w:u w:val="single"/>
        </w:rPr>
        <w:t>provided</w:t>
      </w:r>
      <w:r>
        <w:rPr>
          <w:rFonts w:ascii="Times New Roman" w:hAnsi="Times New Roman"/>
          <w:sz w:val="17"/>
        </w:rPr>
        <w:t> </w:t>
      </w:r>
      <w:r>
        <w:rPr>
          <w:rFonts w:ascii="Times New Roman" w:hAnsi="Times New Roman"/>
          <w:sz w:val="17"/>
          <w:u w:val="single"/>
        </w:rPr>
        <w:t>further</w:t>
      </w:r>
      <w:r>
        <w:rPr>
          <w:rFonts w:ascii="Times New Roman" w:hAnsi="Times New Roman"/>
          <w:sz w:val="17"/>
        </w:rPr>
        <w:t xml:space="preserve"> that any consent of the Borrower otherwise required shall not be required if an Event of Default has occurred and is continuing.  Notwithstanding the above, no assignment shall be made (A) to the Borrower or any of its subsidiaries, or (B) to any Defaulting Lender or any of its subsidiaries, or any Person who, upon becoming a Lender hereunder, would constitute any of the foregoing Persons described in this clause (B), or (C) to a natural person.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58</w:t>
      </w:r>
      <w:bookmarkStart w:id="240" w:name="15636-2-LM-13_PB_58_011546_5335"/>
      <w:bookmarkEnd w:id="24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effective under applicable Law without compliance with the provisions of this paragraph, then the assignee of such interest shall be deemed to be a Defaulting Lender for all purposes of this Agreement until such compliance occurs.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The Administrative Agent, acting for this purpose as an agent of the Borrower (and such agency being solely for tax purposes), shall maintain at one of its offices in New York, New York (the address of which shall be made available to any party to this Agreement upon request) a copy of each Assignment and Acceptance delivered to it and a register for the recordation of the names and addresses of the Lenders and principal amount (and stated interest) of the Loans owing to, each Lender pursuant to the terms hereof from time to time (the </w:t>
      </w:r>
      <w:r>
        <w:rPr>
          <w:rFonts w:ascii="Times New Roman" w:hAnsi="Times New Roman"/>
          <w:sz w:val="17"/>
          <w:u w:val="single"/>
        </w:rPr>
        <w:t>Register</w:t>
      </w:r>
      <w:r>
        <w:rPr>
          <w:rFonts w:ascii="Times New Roman" w:hAnsi="Times New Roman"/>
          <w:sz w:val="17"/>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Upon its receipt of a duly completed Assignment and Acceptance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Acceptance and record the information contained therein in the Register.  No assignment shall be effective for purposes of this Agreement unless it has been recorded in the Register as provided in this paragraph.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           Any Lender may, without the consent of the Borrower, or the Administrative Agent sell participations to one or more banks or other entities (a </w:t>
      </w:r>
      <w:r>
        <w:rPr>
          <w:rFonts w:ascii="Times New Roman" w:hAnsi="Times New Roman"/>
          <w:sz w:val="17"/>
          <w:u w:val="single"/>
        </w:rPr>
        <w:t>Participant</w:t>
      </w:r>
      <w:r>
        <w:rPr>
          <w:rFonts w:ascii="Times New Roman" w:hAnsi="Times New Roman"/>
          <w:sz w:val="17"/>
        </w:rPr>
        <w:t xml:space="preserve">), other than a natural person, a Defaulting Lender or the Borrower or any of the Borrowers Affiliates or subsidiaries, in all or a portion of such Lenders rights and obligations under this Agreement (including all or a portion of its Commitments and the Loans owing to it); provided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w:t>
      </w:r>
      <w:r>
        <w:rPr>
          <w:rFonts w:ascii="Times New Roman" w:hAnsi="Times New Roman"/>
          <w:sz w:val="17"/>
          <w:u w:val="single"/>
        </w:rPr>
        <w:t>Section 9.02(b)</w:t>
      </w:r>
      <w:r>
        <w:rPr>
          <w:rFonts w:ascii="Times New Roman" w:hAnsi="Times New Roman"/>
          <w:sz w:val="17"/>
        </w:rPr>
        <w:t> that affects such Participant.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            A Participant shall not be entitled to receive any greater payment under </w:t>
      </w:r>
      <w:r>
        <w:rPr>
          <w:rFonts w:ascii="Times New Roman" w:hAnsi="Times New Roman"/>
          <w:sz w:val="17"/>
          <w:u w:val="single"/>
        </w:rPr>
        <w:t>Section 2.15</w:t>
      </w:r>
      <w:r>
        <w:rPr>
          <w:rFonts w:ascii="Times New Roman" w:hAnsi="Times New Roman"/>
          <w:sz w:val="17"/>
        </w:rPr>
        <w:t xml:space="preserve"> or </w:t>
      </w:r>
      <w:r>
        <w:rPr>
          <w:rFonts w:ascii="Times New Roman" w:hAnsi="Times New Roman"/>
          <w:sz w:val="17"/>
          <w:u w:val="single"/>
        </w:rPr>
        <w:t>Section 2.17</w:t>
      </w:r>
      <w:r>
        <w:rPr>
          <w:rFonts w:ascii="Times New Roman" w:hAnsi="Times New Roman"/>
          <w:sz w:val="17"/>
        </w:rPr>
        <w:t xml:space="preserve"> than the applicable Lender would have been entitled to receive with respect to the participation sold to such Participant, unless the sale of the participation to such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59</w:t>
      </w:r>
      <w:bookmarkStart w:id="241" w:name="15636-2-LM-13_PB_59_011602_5796"/>
      <w:bookmarkEnd w:id="24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Participant is made with the Borrowers prior written consent.  A Participant shall not be entitled to the benefits of </w:t>
      </w:r>
      <w:r>
        <w:rPr>
          <w:rFonts w:ascii="Times New Roman" w:hAnsi="Times New Roman"/>
          <w:sz w:val="17"/>
          <w:u w:val="single"/>
        </w:rPr>
        <w:t>Section 2.17</w:t>
      </w:r>
      <w:r>
        <w:rPr>
          <w:rFonts w:ascii="Times New Roman" w:hAnsi="Times New Roman"/>
          <w:sz w:val="17"/>
        </w:rPr>
        <w:t xml:space="preserve"> unless the Borrower is notified of the participation sold to such Participant and such Participant agrees, for the benefit of the Borrower, to comply with </w:t>
      </w:r>
      <w:r>
        <w:rPr>
          <w:rFonts w:ascii="Times New Roman" w:hAnsi="Times New Roman"/>
          <w:sz w:val="17"/>
          <w:u w:val="single"/>
        </w:rPr>
        <w:t>Section 2.17(e)</w:t>
      </w:r>
      <w:r>
        <w:rPr>
          <w:rFonts w:ascii="Times New Roman" w:hAnsi="Times New Roman"/>
          <w:sz w:val="17"/>
        </w:rPr>
        <w:t> as though it were a Lender and has zero withholding at the time of participation.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           Any Lender may at any time and at its sole expense pledge or assign a security interest in all or any portion of its rights under this Agreement to secure obligations of such Lender to a Federal Reserve Bank or any central bank having jurisdiction,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9.05          </w:t>
      </w:r>
      <w:r>
        <w:rPr>
          <w:rFonts w:ascii="Times New Roman" w:hAnsi="Times New Roman"/>
          <w:sz w:val="17"/>
          <w:u w:val="single"/>
        </w:rPr>
        <w:t>Survival</w:t>
      </w:r>
      <w:r>
        <w:rPr>
          <w:rFonts w:ascii="Times New Roman" w:hAnsi="Times New Roman"/>
          <w:sz w:val="17"/>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Times New Roman" w:hAnsi="Times New Roman"/>
          <w:sz w:val="17"/>
          <w:u w:val="single"/>
        </w:rPr>
        <w:t>Section 2.15</w:t>
      </w:r>
      <w:r>
        <w:rPr>
          <w:rFonts w:ascii="Times New Roman" w:hAnsi="Times New Roman"/>
          <w:sz w:val="17"/>
        </w:rPr>
        <w:t xml:space="preserve">, </w:t>
      </w:r>
      <w:r>
        <w:rPr>
          <w:rFonts w:ascii="Times New Roman" w:hAnsi="Times New Roman"/>
          <w:sz w:val="17"/>
          <w:u w:val="single"/>
        </w:rPr>
        <w:t>Section 2.16</w:t>
      </w:r>
      <w:r>
        <w:rPr>
          <w:rFonts w:ascii="Times New Roman" w:hAnsi="Times New Roman"/>
          <w:sz w:val="17"/>
        </w:rPr>
        <w:t xml:space="preserve">, </w:t>
      </w:r>
      <w:r>
        <w:rPr>
          <w:rFonts w:ascii="Times New Roman" w:hAnsi="Times New Roman"/>
          <w:sz w:val="17"/>
          <w:u w:val="single"/>
        </w:rPr>
        <w:t>Section 2.17</w:t>
      </w:r>
      <w:r>
        <w:rPr>
          <w:rFonts w:ascii="Times New Roman" w:hAnsi="Times New Roman"/>
          <w:sz w:val="17"/>
        </w:rPr>
        <w:t xml:space="preserve"> and </w:t>
      </w:r>
      <w:r>
        <w:rPr>
          <w:rFonts w:ascii="Times New Roman" w:hAnsi="Times New Roman"/>
          <w:sz w:val="17"/>
          <w:u w:val="single"/>
        </w:rPr>
        <w:t>Section 9.03</w:t>
      </w:r>
      <w:r>
        <w:rPr>
          <w:rFonts w:ascii="Times New Roman" w:hAnsi="Times New Roman"/>
          <w:sz w:val="17"/>
        </w:rPr>
        <w:t xml:space="preserve"> and </w:t>
      </w:r>
      <w:r>
        <w:rPr>
          <w:rFonts w:ascii="Times New Roman" w:hAnsi="Times New Roman"/>
          <w:sz w:val="17"/>
          <w:u w:val="single"/>
        </w:rPr>
        <w:t>ARTICLE VIII</w:t>
      </w:r>
      <w:r>
        <w:rPr>
          <w:rFonts w:ascii="Times New Roman" w:hAnsi="Times New Roman"/>
          <w:sz w:val="17"/>
        </w:rPr>
        <w:t xml:space="preserve"> shall survive and remain in full force and effect regardless of the consummation of the transactions contemplated hereby, the repayment of the Loans, the expiration or termination of the Commitments or the termination of this Agreement or any provision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9.06          </w:t>
      </w:r>
      <w:r>
        <w:rPr>
          <w:rFonts w:ascii="Times New Roman" w:hAnsi="Times New Roman"/>
          <w:sz w:val="17"/>
          <w:u w:val="single"/>
        </w:rPr>
        <w:t>Counterparts; Integration; Effectiveness</w:t>
      </w:r>
      <w:r>
        <w:rPr>
          <w:rFonts w:ascii="Times New Roman" w:hAnsi="Times New Roman"/>
          <w:sz w:val="17"/>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transmission shall be effective as delivery of a manually executed counterpart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9.07          </w:t>
      </w:r>
      <w:r>
        <w:rPr>
          <w:rFonts w:ascii="Times New Roman" w:hAnsi="Times New Roman"/>
          <w:sz w:val="17"/>
          <w:u w:val="single"/>
        </w:rPr>
        <w:t>Severability</w:t>
      </w:r>
      <w:r>
        <w:rPr>
          <w:rFonts w:ascii="Times New Roman" w:hAnsi="Times New Roman"/>
          <w:sz w:val="17"/>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Times New Roman" w:hAnsi="Times New Roman"/>
          <w:sz w:val="17"/>
          <w:u w:val="single"/>
        </w:rPr>
        <w:t>Section 9.07</w:t>
      </w:r>
      <w:r>
        <w:rPr>
          <w:rFonts w:ascii="Times New Roman" w:hAnsi="Times New Roman"/>
          <w:sz w:val="17"/>
        </w:rPr>
        <w:t>, if and to the extent that the enforceability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60</w:t>
      </w:r>
      <w:bookmarkStart w:id="242" w:name="15636-2-LM-13_PB_60_011623_2897"/>
      <w:bookmarkEnd w:id="24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of any provisions in this Agreement relating to Defaulting Lenders shall be limited by Debtor Relief Laws, as determined in good faith by the Administrative Agent, then such provisions shall be deemed to be in effect only to the extent not so limited.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9.08          </w:t>
      </w:r>
      <w:r>
        <w:rPr>
          <w:rFonts w:ascii="Times New Roman" w:hAnsi="Times New Roman"/>
          <w:sz w:val="17"/>
          <w:u w:val="single"/>
        </w:rPr>
        <w:t>Right of Setoff</w:t>
      </w:r>
      <w:r>
        <w:rPr>
          <w:rFonts w:ascii="Times New Roman" w:hAnsi="Times New Roman"/>
          <w:sz w:val="17"/>
        </w:rPr>
        <w:t xml:space="preserve">.  If an Event of Default shall have occurred and be continuing and the Required Lenders have directed the Administrative Agent to accelerate under </w:t>
      </w:r>
      <w:r>
        <w:rPr>
          <w:rFonts w:ascii="Times New Roman" w:hAnsi="Times New Roman"/>
          <w:sz w:val="17"/>
          <w:u w:val="single"/>
        </w:rPr>
        <w:t>ARTICLE VII</w:t>
      </w:r>
      <w:r>
        <w:rPr>
          <w:rFonts w:ascii="Times New Roman" w:hAnsi="Times New Roman"/>
          <w:sz w:val="17"/>
        </w:rPr>
        <w:t xml:space="preserve">,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17"/>
          <w:u w:val="single"/>
        </w:rPr>
        <w:t>Section 2.06</w:t>
      </w:r>
      <w:r>
        <w:rPr>
          <w:rFonts w:ascii="Times New Roman" w:hAnsi="Times New Roman"/>
          <w:sz w:val="17"/>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which such Lender may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9.09          </w:t>
      </w:r>
      <w:r>
        <w:rPr>
          <w:rFonts w:ascii="Times New Roman" w:hAnsi="Times New Roman"/>
          <w:sz w:val="17"/>
          <w:u w:val="single"/>
        </w:rPr>
        <w:t>Governing Law; Jurisdiction; Consent to Service of Process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This Agreement shall be construed in accordance with and governed by the law of the State of New York.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Lender may otherwise have to bring any action or proceeding relating to this Agreement against the Borrower or its properties in the courts of any jurisdiction.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The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61</w:t>
      </w:r>
      <w:bookmarkStart w:id="243" w:name="15636-2-LM-13_PB_61_011638_3020"/>
      <w:bookmarkEnd w:id="24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parties hereto hereby irrevocably waives, to the fullest extent permitted by law, the defense of an inconvenient forum to the maintenance of such action or proceeding in any such court.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Each party to this Agreement irrevocably consents to service of process in the manner provided for notices in </w:t>
      </w:r>
      <w:r>
        <w:rPr>
          <w:rFonts w:ascii="Times New Roman" w:hAnsi="Times New Roman"/>
          <w:sz w:val="17"/>
          <w:u w:val="single"/>
        </w:rPr>
        <w:t>Section 9.01</w:t>
      </w:r>
      <w:r>
        <w:rPr>
          <w:rFonts w:ascii="Times New Roman" w:hAnsi="Times New Roman"/>
          <w:sz w:val="17"/>
        </w:rPr>
        <w:t>.  Nothing in this Agreement will affect the right of any party to this Agreement to serve process in any other manner permitted by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9.10          </w:t>
      </w:r>
      <w:r>
        <w:rPr>
          <w:rFonts w:ascii="Times New Roman" w:hAnsi="Times New Roman"/>
          <w:sz w:val="17"/>
          <w:u w:val="single"/>
        </w:rPr>
        <w:t>WAIVER OF JURY TRIAL</w:t>
      </w:r>
      <w:r>
        <w:rPr>
          <w:rFonts w:ascii="Times New Roman" w:hAnsi="Times New Roman"/>
          <w:sz w:val="17"/>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9.11          </w:t>
      </w:r>
      <w:r>
        <w:rPr>
          <w:rFonts w:ascii="Times New Roman" w:hAnsi="Times New Roman"/>
          <w:sz w:val="17"/>
          <w:u w:val="single"/>
        </w:rPr>
        <w:t>Headings</w:t>
      </w:r>
      <w:r>
        <w:rPr>
          <w:rFonts w:ascii="Times New Roman" w:hAnsi="Times New Roman"/>
          <w:sz w:val="17"/>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9.12          </w:t>
      </w:r>
      <w:r>
        <w:rPr>
          <w:rFonts w:ascii="Times New Roman" w:hAnsi="Times New Roman"/>
          <w:sz w:val="17"/>
          <w:u w:val="single"/>
        </w:rPr>
        <w:t>Confidentiality</w:t>
      </w:r>
      <w:r>
        <w:rPr>
          <w:rFonts w:ascii="Times New Roman" w:hAnsi="Times New Roman"/>
          <w:sz w:val="17"/>
        </w:rPr>
        <w:t xml:space="preserve">.  Each of the Administrative Agent and the Lenders (for itself and each of its Related Parties) agrees to maintain the confidentiality of the Information (as defined below), except that Information may be disclosed (a) to its Affiliates and to its and its Affiliates respective managers, administrators, trustees, partners, directors, officers, employees, agents, advisors and other representatives (it being understood that the Persons to whom such disclosure is made will be informed of the confidential nature of such Information and instructed to keep such Information confidential and will maintain such confidences), (b) to the extent requested or required by applicable laws or regulations or by any subpoena or similar legal process, (c) subject to this </w:t>
      </w:r>
      <w:r>
        <w:rPr>
          <w:rFonts w:ascii="Times New Roman" w:hAnsi="Times New Roman"/>
          <w:sz w:val="17"/>
          <w:u w:val="single"/>
        </w:rPr>
        <w:t>Section 9.12</w:t>
      </w:r>
      <w:r>
        <w:rPr>
          <w:rFonts w:ascii="Times New Roman" w:hAnsi="Times New Roman"/>
          <w:sz w:val="17"/>
        </w:rPr>
        <w:t>, to any other party hereto, (d) in connection with the exercise of any remedies hereunder or under any other Loan Document or any action or proceeding relating to this Agreement or any other Loan Document or the enforcement of rights hereunder or thereunder, (e) subject to an agreement containing provisions substantially the same as those of this Section,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to any swap or derivative transaction relating to, and requested by, the Borrower and its obligations, (f) with the consent of the Borrower or (g) to the extent such Information (x) becomes publicly available other than as a result of a breach of this Section or (y) becomes available to the Administrative Agent, any Lender or any of their respective Affiliates on a non-confidential basis from a source other than the Borrower.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62</w:t>
      </w:r>
      <w:bookmarkStart w:id="244" w:name="15636-2-LM-13_PB_62_011658_7748"/>
      <w:bookmarkEnd w:id="24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purposes of this Section, </w:t>
      </w:r>
      <w:r>
        <w:rPr>
          <w:rFonts w:ascii="Times New Roman" w:hAnsi="Times New Roman"/>
          <w:sz w:val="17"/>
          <w:u w:val="single"/>
        </w:rPr>
        <w:t>Information</w:t>
      </w:r>
      <w:r>
        <w:rPr>
          <w:rFonts w:ascii="Times New Roman" w:hAnsi="Times New Roman"/>
          <w:sz w:val="17"/>
        </w:rPr>
        <w:t xml:space="preserve"> means all information received from the Borrower or any of its subsidiaries relating to the Borrower or any of its subsidiaries or any of their respective businesses, other than any such information that is available to the Administrative Agent or any Lender on a non-confidential basis prior to disclosure by the Borrower or any of its subsidiaries, </w:t>
      </w:r>
      <w:r>
        <w:rPr>
          <w:rFonts w:ascii="Times New Roman" w:hAnsi="Times New Roman"/>
          <w:sz w:val="17"/>
          <w:u w:val="single"/>
        </w:rPr>
        <w:t>provided</w:t>
      </w:r>
      <w:r>
        <w:rPr>
          <w:rFonts w:ascii="Times New Roman" w:hAnsi="Times New Roman"/>
          <w:sz w:val="17"/>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9.13          </w:t>
      </w:r>
      <w:r>
        <w:rPr>
          <w:rFonts w:ascii="Times New Roman" w:hAnsi="Times New Roman"/>
          <w:sz w:val="17"/>
          <w:u w:val="single"/>
        </w:rPr>
        <w:t>Interest Rate Limitation</w:t>
      </w:r>
      <w:r>
        <w:rPr>
          <w:rFonts w:ascii="Times New Roman" w:hAnsi="Times New Roman"/>
          <w:sz w:val="17"/>
        </w:rPr>
        <w:t>.  Notwithstanding anything herein or in any other Loan Document to the contrary, if at any time the interest amount or rate applicable to any Loan, together with all fees, charges and other amounts which are treated as interest on such Loan under applicable law (collectively the </w:t>
      </w:r>
      <w:r>
        <w:rPr>
          <w:rFonts w:ascii="Times New Roman" w:hAnsi="Times New Roman"/>
          <w:sz w:val="17"/>
          <w:u w:val="single"/>
        </w:rPr>
        <w:t>Charges</w:t>
      </w:r>
      <w:r>
        <w:rPr>
          <w:rFonts w:ascii="Times New Roman" w:hAnsi="Times New Roman"/>
          <w:sz w:val="17"/>
        </w:rPr>
        <w:t>), shall exceed the maximum lawful amount or rate (the </w:t>
      </w:r>
      <w:r>
        <w:rPr>
          <w:rFonts w:ascii="Times New Roman" w:hAnsi="Times New Roman"/>
          <w:sz w:val="17"/>
          <w:u w:val="single"/>
        </w:rPr>
        <w:t>Maximum Rate</w:t>
      </w:r>
      <w:r>
        <w:rPr>
          <w:rFonts w:ascii="Times New Roman" w:hAnsi="Times New Roman"/>
          <w:sz w:val="17"/>
        </w:rPr>
        <w:t> or </w:t>
      </w:r>
      <w:r>
        <w:rPr>
          <w:rFonts w:ascii="Times New Roman" w:hAnsi="Times New Roman"/>
          <w:sz w:val="17"/>
          <w:u w:val="single"/>
        </w:rPr>
        <w:t>Maximum Amount</w:t>
      </w:r>
      <w:r>
        <w:rPr>
          <w:rFonts w:ascii="Times New Roman" w:hAnsi="Times New Roman"/>
          <w:sz w:val="17"/>
        </w:rPr>
        <w:t>, as applicable) which may be contracted for, charged, taken, received or reserved by the Lender holding such Loan in accordance with applicable law, the amount or rate of interest payable in respect of such Loan hereunder, together with all Charges payable in respect thereof, shall be limited to the Maximum Amount or Rate, as applicable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Amount or Rate, as applicable therefor) until such cumulated amount, together (to the extent lawful) shall have been received by such Lender.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9.14          </w:t>
      </w:r>
      <w:r>
        <w:rPr>
          <w:rFonts w:ascii="Times New Roman" w:hAnsi="Times New Roman"/>
          <w:sz w:val="17"/>
          <w:u w:val="single"/>
        </w:rPr>
        <w:t>No Recourse to Certain Persons</w:t>
      </w:r>
      <w:r>
        <w:rPr>
          <w:rFonts w:ascii="Times New Roman" w:hAnsi="Times New Roman"/>
          <w:sz w:val="17"/>
        </w:rPr>
        <w:t>.  No past, present or future director, officer, partner, employee, incorporator, manager, stockholder, unitholder or member, in its capacity as such, of any Borrower or Guarantor shall have any liability for any Obligations or any obligations (monetary or otherwise) arising under or by virtue of the Loan Documents or Transactions (such obligations and the Obligations, collectively, the </w:t>
      </w:r>
      <w:r>
        <w:rPr>
          <w:rFonts w:ascii="Times New Roman" w:hAnsi="Times New Roman"/>
          <w:sz w:val="17"/>
          <w:u w:val="single"/>
        </w:rPr>
        <w:t>Transaction Obligations</w:t>
      </w:r>
      <w:r>
        <w:rPr>
          <w:rFonts w:ascii="Times New Roman" w:hAnsi="Times New Roman"/>
          <w:sz w:val="17"/>
        </w:rPr>
        <w:t>) or for any claim based on, in respect of, or by reason of, the Transaction Obligations or their creation.  Each of the Administrative Agent and the Lenders, and the Related Parties of each of the Administrative Agent and the Lenders, waives and releases such parties from all such liability.  The preceding sentence is intended to alleviate liability and obligations that arise or would arise solely by virtue of a Persons capacity in relation to another Person, and it is not intended to alleviate liability of a Person in, for example, a contract or other agreement to which it is a contract party.  For the avoidance of doubt and by way of example, on the one hand, Plains All American GP LLC will not have liability under any contract or other agreement that it executes as the general partner of the Borrower or PAA GP LLC solely by virtue of being the general partner of either such Person, but on the other hand, Plains All American GP LLC will have liability under any guaranty, Security Instrument or any other Loan Document that it enters into directly as a contract party, and not solely as the general partner of any other Person.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9.15          </w:t>
      </w:r>
      <w:r>
        <w:rPr>
          <w:rFonts w:ascii="Times New Roman" w:hAnsi="Times New Roman"/>
          <w:sz w:val="17"/>
          <w:u w:val="single"/>
        </w:rPr>
        <w:t>USA Patriot Act Notice</w:t>
      </w:r>
      <w:r>
        <w:rPr>
          <w:rFonts w:ascii="Times New Roman" w:hAnsi="Times New Roman"/>
          <w:sz w:val="17"/>
        </w:rPr>
        <w:t>.  Each Lender hereby notifies the Borrower that pursuant to the requirements of the USA Patriot Act (Title III of Pub. L. 107-56) signed into law October 26, 2001 (the </w:t>
      </w:r>
      <w:r>
        <w:rPr>
          <w:rFonts w:ascii="Times New Roman" w:hAnsi="Times New Roman"/>
          <w:sz w:val="17"/>
          <w:u w:val="single"/>
        </w:rPr>
        <w:t>USA Patriot Act</w:t>
      </w:r>
      <w:r>
        <w:rPr>
          <w:rFonts w:ascii="Times New Roman" w:hAnsi="Times New Roman"/>
          <w:sz w:val="17"/>
        </w:rPr>
        <w:t>), it is required to obtain, verify and record information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63</w:t>
      </w:r>
      <w:bookmarkStart w:id="245" w:name="15636-2-LM-13_PB_63_011718_141"/>
      <w:bookmarkEnd w:id="24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that identifies the Borrower, which information includes the name and address of the Borrower and other information that will allow such Lender to identify the Borrower in accordance with the USA Patriot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9.16          </w:t>
      </w:r>
      <w:r>
        <w:rPr>
          <w:rFonts w:ascii="Times New Roman" w:hAnsi="Times New Roman"/>
          <w:sz w:val="17"/>
          <w:u w:val="single"/>
        </w:rPr>
        <w:t>Acknowledgment of the Parties</w:t>
      </w:r>
      <w:r>
        <w:rPr>
          <w:rFonts w:ascii="Times New Roman" w:hAnsi="Times New Roman"/>
          <w:sz w:val="17"/>
        </w:rPr>
        <w:t>.  Each of the parties hereto acknowledges that (i) it has been represented by counsel in the negotiation and documentation of the terms of this Agreement, (ii) it has had full and fair opportunity to review and revise the terms of this Agreement, (iii) this Agreement has been drafted jointly by all of the parties hereto, and (iv) neither Administrative Agent nor any Lender or other agent has any fiduciary relationship with or duty to the Borrower or its Affiliates arising out of or in connection with this Agreement or any of the other Loan Documents, and the relationship between Administrative Agent, the other agents and Lenders, on one hand, and the Borrower and its Affiliates, on the other hand, in connection herewith or therewith is solely that of debtor and creditor.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i/>
          <w:sz w:val="17"/>
        </w:rPr>
      </w:pPr>
      <w:r>
        <w:rPr>
          <w:rFonts w:ascii="Times New Roman" w:hAnsi="Times New Roman"/>
          <w:b/>
          <w:i/>
          <w:sz w:val="17"/>
        </w:rPr>
        <w:t>[Signature Pages Follow]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64</w:t>
      </w:r>
      <w:bookmarkStart w:id="246" w:name="15636-2-LM-13_PB_64_011739_7608"/>
      <w:bookmarkEnd w:id="24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hereto have caused this Agreement to be duly executed by their respective authorized officers as of the day and year first above written.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3"/>
        <w:gridCol w:w="624"/>
        <w:gridCol w:w="624"/>
        <w:gridCol w:w="3854"/>
      </w:tblGrid>
      <w:tr>
        <w:trPr/>
        <w:tc>
          <w:tcPr>
            <w:tcW w:w="5103" w:type="dxa"/>
            <w:tcBorders/>
            <w:shd w:fill="auto" w:val="clear"/>
          </w:tcPr>
          <w:p>
            <w:pPr>
              <w:pStyle w:val="TableContents"/>
              <w:spacing w:before="0" w:after="0"/>
              <w:ind w:left="0" w:right="0" w:hanging="0"/>
              <w:rPr/>
            </w:pPr>
            <w:r>
              <w:rPr/>
              <w:t> </w:t>
            </w:r>
          </w:p>
        </w:tc>
        <w:tc>
          <w:tcPr>
            <w:tcW w:w="5102" w:type="dxa"/>
            <w:gridSpan w:val="3"/>
            <w:tcBorders/>
            <w:shd w:fill="auto" w:val="clear"/>
          </w:tcPr>
          <w:p>
            <w:pPr>
              <w:pStyle w:val="TableContents"/>
              <w:spacing w:before="0" w:after="0"/>
              <w:ind w:left="0" w:right="0" w:hanging="0"/>
              <w:rPr/>
            </w:pPr>
            <w:r>
              <w:rPr>
                <w:rFonts w:ascii="Times New Roman" w:hAnsi="Times New Roman"/>
                <w:b/>
                <w:sz w:val="17"/>
              </w:rPr>
              <w:t>PLAINS AAP, L.P.</w:t>
            </w:r>
            <w:r>
              <w:rPr>
                <w:sz w:val="17"/>
              </w:rPr>
              <w:t>,</w:t>
            </w:r>
          </w:p>
        </w:tc>
      </w:tr>
      <w:tr>
        <w:trPr/>
        <w:tc>
          <w:tcPr>
            <w:tcW w:w="5103" w:type="dxa"/>
            <w:tcBorders/>
            <w:shd w:fill="auto" w:val="clear"/>
          </w:tcPr>
          <w:p>
            <w:pPr>
              <w:pStyle w:val="TableContents"/>
              <w:spacing w:before="0" w:after="0"/>
              <w:ind w:left="0" w:right="0" w:hanging="0"/>
              <w:rPr/>
            </w:pPr>
            <w:r>
              <w:rPr/>
              <w:t> </w:t>
            </w:r>
          </w:p>
        </w:tc>
        <w:tc>
          <w:tcPr>
            <w:tcW w:w="510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partnership</w:t>
            </w:r>
          </w:p>
        </w:tc>
      </w:tr>
      <w:tr>
        <w:trPr/>
        <w:tc>
          <w:tcPr>
            <w:tcW w:w="5103" w:type="dxa"/>
            <w:tcBorders/>
            <w:shd w:fill="auto" w:val="clear"/>
          </w:tcPr>
          <w:p>
            <w:pPr>
              <w:pStyle w:val="TableContents"/>
              <w:spacing w:before="0" w:after="0"/>
              <w:ind w:left="0" w:right="0" w:hanging="0"/>
              <w:rPr/>
            </w:pPr>
            <w:r>
              <w:rPr/>
              <w:t> </w:t>
            </w:r>
          </w:p>
        </w:tc>
        <w:tc>
          <w:tcPr>
            <w:tcW w:w="5102" w:type="dxa"/>
            <w:gridSpan w:val="3"/>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8" w:type="dxa"/>
            <w:gridSpan w:val="2"/>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8" w:type="dxa"/>
            <w:gridSpan w:val="2"/>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85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38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8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 and Treasurer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50"/>
        <w:gridCol w:w="618"/>
        <w:gridCol w:w="4537"/>
      </w:tblGrid>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rFonts w:ascii="Times New Roman" w:hAnsi="Times New Roman"/>
                <w:b/>
                <w:sz w:val="17"/>
              </w:rPr>
              <w:t>CITIBANK, N.A.</w:t>
            </w:r>
            <w:r>
              <w:rPr>
                <w:sz w:val="17"/>
              </w:rPr>
              <w:t>,</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Administrative Agent and as a Lender</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Andrew Sidford</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Andrew Sidford</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1"/>
        <w:gridCol w:w="618"/>
        <w:gridCol w:w="4536"/>
      </w:tblGrid>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JPMORGAN CHASE BANK, NATIONAL ASSOCIATION,</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Co-Syndication Agent</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Stephanie Balette</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Stephanie Balette</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Officer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1"/>
        <w:gridCol w:w="618"/>
        <w:gridCol w:w="4536"/>
      </w:tblGrid>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BANK OF AMERICA, N.A. ,</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Co-Syndication Agent</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Adam H. Fey</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Adam H. Fey</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1"/>
        <w:gridCol w:w="618"/>
        <w:gridCol w:w="4536"/>
      </w:tblGrid>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MIZUHO BANK, LTD. ,</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Co-Syndication Agent</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Leon Mo</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Leon Mo</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1"/>
        <w:gridCol w:w="618"/>
        <w:gridCol w:w="4536"/>
      </w:tblGrid>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DNB BANK ASA, NEW YORK BRANCH</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Co-Syndication Agent</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Stian Lovseth</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Stian Lovseth</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Vice President</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Evan Uhlick</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Evan Uhlick</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0"/>
        <w:gridCol w:w="618"/>
        <w:gridCol w:w="4537"/>
      </w:tblGrid>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DNB CAPITAL LLC,</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Stian Lovseth</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Stian Lovseth</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Vice President</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Evan Uhlick</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Evan Uhlick</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0"/>
        <w:gridCol w:w="618"/>
        <w:gridCol w:w="4537"/>
      </w:tblGrid>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COMPASS BANK,</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Ian Payne</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Ian Payne</w:t>
            </w:r>
          </w:p>
        </w:tc>
      </w:tr>
      <w:tr>
        <w:trPr/>
        <w:tc>
          <w:tcPr>
            <w:tcW w:w="5050"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1"/>
        <w:gridCol w:w="618"/>
        <w:gridCol w:w="4536"/>
      </w:tblGrid>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PNC BANK, NATIONAL ASSOCIATION,</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John Berry</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Berry</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0"/>
        <w:gridCol w:w="619"/>
        <w:gridCol w:w="4536"/>
      </w:tblGrid>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rFonts w:ascii="Times New Roman" w:hAnsi="Times New Roman"/>
                <w:b/>
                <w:sz w:val="17"/>
              </w:rPr>
              <w:t>SUMITOMO MITSUI BANKING CORPORATION</w:t>
            </w:r>
            <w:r>
              <w:rPr>
                <w:sz w:val="17"/>
              </w:rPr>
              <w:t>,</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James D. Weinstein</w:t>
            </w:r>
          </w:p>
        </w:tc>
      </w:tr>
      <w:tr>
        <w:trPr/>
        <w:tc>
          <w:tcPr>
            <w:tcW w:w="5050"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D. Weinstein</w:t>
            </w:r>
          </w:p>
        </w:tc>
      </w:tr>
      <w:tr>
        <w:trPr/>
        <w:tc>
          <w:tcPr>
            <w:tcW w:w="5050"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Managing Director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0"/>
        <w:gridCol w:w="619"/>
        <w:gridCol w:w="4536"/>
      </w:tblGrid>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rFonts w:ascii="Times New Roman" w:hAnsi="Times New Roman"/>
                <w:b/>
                <w:sz w:val="17"/>
              </w:rPr>
              <w:t>SUN TRUST BANK</w:t>
            </w:r>
            <w:r>
              <w:rPr>
                <w:sz w:val="17"/>
              </w:rPr>
              <w:t>,</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5155" w:type="dxa"/>
            <w:gridSpan w:val="2"/>
            <w:tcBorders/>
            <w:shd w:fill="auto" w:val="clear"/>
          </w:tcPr>
          <w:p>
            <w:pPr>
              <w:pStyle w:val="TableContents"/>
              <w:spacing w:before="0" w:after="0"/>
              <w:ind w:left="0" w:right="0" w:hanging="0"/>
              <w:rPr/>
            </w:pPr>
            <w:r>
              <w:rPr/>
              <w:t> </w:t>
            </w:r>
          </w:p>
        </w:tc>
      </w:tr>
      <w:tr>
        <w:trPr/>
        <w:tc>
          <w:tcPr>
            <w:tcW w:w="5050"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Andrew Johnson</w:t>
            </w:r>
          </w:p>
        </w:tc>
      </w:tr>
      <w:tr>
        <w:trPr/>
        <w:tc>
          <w:tcPr>
            <w:tcW w:w="5050"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Andrew Johnson</w:t>
            </w:r>
          </w:p>
        </w:tc>
      </w:tr>
      <w:tr>
        <w:trPr/>
        <w:tc>
          <w:tcPr>
            <w:tcW w:w="5050"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51"/>
        <w:gridCol w:w="618"/>
        <w:gridCol w:w="4536"/>
      </w:tblGrid>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rFonts w:ascii="Times New Roman" w:hAnsi="Times New Roman"/>
                <w:b/>
                <w:sz w:val="17"/>
              </w:rPr>
              <w:t>ROYAL BANK OF CANADA</w:t>
            </w:r>
            <w:r>
              <w:rPr>
                <w:sz w:val="17"/>
              </w:rPr>
              <w:t>,</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5154" w:type="dxa"/>
            <w:gridSpan w:val="2"/>
            <w:tcBorders/>
            <w:shd w:fill="auto" w:val="clear"/>
          </w:tcPr>
          <w:p>
            <w:pPr>
              <w:pStyle w:val="TableContents"/>
              <w:spacing w:before="0" w:after="0"/>
              <w:ind w:left="0" w:right="0" w:hanging="0"/>
              <w:rPr/>
            </w:pPr>
            <w:r>
              <w:rPr/>
              <w:t> </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Lumpkin, Jr.</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Mark Lumpkin, Jr.</w:t>
            </w:r>
          </w:p>
        </w:tc>
      </w:tr>
      <w:tr>
        <w:trPr/>
        <w:tc>
          <w:tcPr>
            <w:tcW w:w="505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625"/>
        <w:gridCol w:w="4478"/>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THE BANK OF NOVA SCOTIA</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Sparrow</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Mark Sparrow</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3"/>
        <w:gridCol w:w="623"/>
        <w:gridCol w:w="4479"/>
      </w:tblGrid>
      <w:tr>
        <w:trPr/>
        <w:tc>
          <w:tcPr>
            <w:tcW w:w="5103" w:type="dxa"/>
            <w:tcBorders/>
            <w:shd w:fill="auto" w:val="clear"/>
          </w:tcPr>
          <w:p>
            <w:pPr>
              <w:pStyle w:val="TableContents"/>
              <w:spacing w:before="0" w:after="0"/>
              <w:ind w:left="0" w:right="0" w:hanging="0"/>
              <w:rPr/>
            </w:pPr>
            <w:r>
              <w:rPr/>
              <w:t> </w:t>
            </w:r>
          </w:p>
        </w:tc>
        <w:tc>
          <w:tcPr>
            <w:tcW w:w="5102" w:type="dxa"/>
            <w:gridSpan w:val="2"/>
            <w:tcBorders/>
            <w:shd w:fill="auto" w:val="clear"/>
          </w:tcPr>
          <w:p>
            <w:pPr>
              <w:pStyle w:val="TableContents"/>
              <w:spacing w:before="0" w:after="0"/>
              <w:ind w:left="0" w:right="0" w:hanging="0"/>
              <w:rPr/>
            </w:pPr>
            <w:r>
              <w:rPr>
                <w:rFonts w:ascii="Times New Roman" w:hAnsi="Times New Roman"/>
                <w:b/>
                <w:sz w:val="17"/>
              </w:rPr>
              <w:t>THE BANK OF TOKYO-MITSUBISHI UFJ</w:t>
            </w:r>
            <w:r>
              <w:rPr>
                <w:sz w:val="17"/>
              </w:rPr>
              <w:t>,</w:t>
            </w:r>
          </w:p>
        </w:tc>
      </w:tr>
      <w:tr>
        <w:trPr/>
        <w:tc>
          <w:tcPr>
            <w:tcW w:w="5103" w:type="dxa"/>
            <w:tcBorders/>
            <w:shd w:fill="auto" w:val="clear"/>
          </w:tcPr>
          <w:p>
            <w:pPr>
              <w:pStyle w:val="TableContents"/>
              <w:spacing w:before="0" w:after="0"/>
              <w:ind w:left="0" w:right="0" w:hanging="0"/>
              <w:rPr/>
            </w:pPr>
            <w:r>
              <w:rPr/>
              <w:t> </w:t>
            </w:r>
          </w:p>
        </w:tc>
        <w:tc>
          <w:tcPr>
            <w:tcW w:w="510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3" w:type="dxa"/>
            <w:tcBorders/>
            <w:shd w:fill="auto" w:val="clear"/>
          </w:tcPr>
          <w:p>
            <w:pPr>
              <w:pStyle w:val="TableContents"/>
              <w:spacing w:before="0" w:after="0"/>
              <w:ind w:left="0" w:right="0" w:hanging="0"/>
              <w:rPr/>
            </w:pPr>
            <w:r>
              <w:rPr/>
              <w:t> </w:t>
            </w:r>
          </w:p>
        </w:tc>
        <w:tc>
          <w:tcPr>
            <w:tcW w:w="5102" w:type="dxa"/>
            <w:gridSpan w:val="2"/>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pPr>
            <w:r>
              <w:rPr/>
              <w:t> </w:t>
            </w:r>
          </w:p>
        </w:tc>
        <w:tc>
          <w:tcPr>
            <w:tcW w:w="4479"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Oberreuter</w:t>
            </w:r>
          </w:p>
        </w:tc>
      </w:tr>
      <w:tr>
        <w:trPr/>
        <w:tc>
          <w:tcPr>
            <w:tcW w:w="5103"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Mark Oberreuter</w:t>
            </w:r>
          </w:p>
        </w:tc>
      </w:tr>
      <w:tr>
        <w:trPr/>
        <w:tc>
          <w:tcPr>
            <w:tcW w:w="5103" w:type="dxa"/>
            <w:tcBorders/>
            <w:shd w:fill="auto" w:val="clear"/>
          </w:tcPr>
          <w:p>
            <w:pPr>
              <w:pStyle w:val="TableContents"/>
              <w:spacing w:before="0" w:after="0"/>
              <w:ind w:left="0" w:right="0" w:hanging="0"/>
              <w:rPr/>
            </w:pPr>
            <w:r>
              <w:rPr/>
              <w:t> </w:t>
            </w:r>
          </w:p>
        </w:tc>
        <w:tc>
          <w:tcPr>
            <w:tcW w:w="6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624"/>
        <w:gridCol w:w="4479"/>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WELLS FARGO BANK N.A.</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9"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9"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Jeffrey Cobb</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Jeffrey Cobb</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625"/>
        <w:gridCol w:w="4478"/>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AMEGY BANK NATIONAL ASSOCIATION</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Patterson</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Charles Patterson</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Vice President</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625"/>
        <w:gridCol w:w="4478"/>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CANADIAN IMPERIAL BANK OF COMMERCE, NEW YORK BRANCH</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Trudy Nelson</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Trudy Nelson</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Managing Director</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Daria Mahoney</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Daria Mahoney</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Director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625"/>
        <w:gridCol w:w="4478"/>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FIFTH THIRD BANK</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Laird Boulden</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Laird Boulden</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Officer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625"/>
        <w:gridCol w:w="4478"/>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ING CAPITAL LLC</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Cheryl LaBelle</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Cheryl LaBelle</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Managing Director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3"/>
        <w:gridCol w:w="624"/>
        <w:gridCol w:w="4478"/>
      </w:tblGrid>
      <w:tr>
        <w:trPr/>
        <w:tc>
          <w:tcPr>
            <w:tcW w:w="5103" w:type="dxa"/>
            <w:tcBorders/>
            <w:shd w:fill="auto" w:val="clear"/>
          </w:tcPr>
          <w:p>
            <w:pPr>
              <w:pStyle w:val="TableContents"/>
              <w:spacing w:before="0" w:after="0"/>
              <w:ind w:left="0" w:right="0" w:hanging="0"/>
              <w:rPr/>
            </w:pPr>
            <w:r>
              <w:rPr/>
              <w:t> </w:t>
            </w:r>
          </w:p>
        </w:tc>
        <w:tc>
          <w:tcPr>
            <w:tcW w:w="5102" w:type="dxa"/>
            <w:gridSpan w:val="2"/>
            <w:tcBorders/>
            <w:shd w:fill="auto" w:val="clear"/>
          </w:tcPr>
          <w:p>
            <w:pPr>
              <w:pStyle w:val="TableContents"/>
              <w:spacing w:before="0" w:after="0"/>
              <w:ind w:left="0" w:right="0" w:hanging="0"/>
              <w:rPr/>
            </w:pPr>
            <w:r>
              <w:rPr>
                <w:rFonts w:ascii="Times New Roman" w:hAnsi="Times New Roman"/>
                <w:b/>
                <w:sz w:val="17"/>
              </w:rPr>
              <w:t>MORGAN STANLEY BANK, N.A.</w:t>
            </w:r>
            <w:r>
              <w:rPr>
                <w:sz w:val="17"/>
              </w:rPr>
              <w:t>,</w:t>
            </w:r>
          </w:p>
        </w:tc>
      </w:tr>
      <w:tr>
        <w:trPr/>
        <w:tc>
          <w:tcPr>
            <w:tcW w:w="5103" w:type="dxa"/>
            <w:tcBorders/>
            <w:shd w:fill="auto" w:val="clear"/>
          </w:tcPr>
          <w:p>
            <w:pPr>
              <w:pStyle w:val="TableContents"/>
              <w:spacing w:before="0" w:after="0"/>
              <w:ind w:left="0" w:right="0" w:hanging="0"/>
              <w:rPr/>
            </w:pPr>
            <w:r>
              <w:rPr/>
              <w:t> </w:t>
            </w:r>
          </w:p>
        </w:tc>
        <w:tc>
          <w:tcPr>
            <w:tcW w:w="510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Kelly Chin</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Kelly Chin</w:t>
            </w:r>
          </w:p>
        </w:tc>
      </w:tr>
      <w:tr>
        <w:trPr/>
        <w:tc>
          <w:tcPr>
            <w:tcW w:w="5103"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625"/>
        <w:gridCol w:w="4478"/>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U.S. BANK NATIONAL ASSOCIATION</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John C. Lozano</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C. Lozano</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624"/>
        <w:gridCol w:w="4479"/>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BARCLAYS BANK PLC</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9"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9"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Sreedhar R. Kona</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Sreedhar R. Kona</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624"/>
        <w:gridCol w:w="4479"/>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DEUTSCHE BANK AG NEW YORK BRANCH</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9"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Virginia Cosenza</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Virginia Cosenza</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9"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479"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Ming K. Chu</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Ming K. Chu</w:t>
            </w:r>
          </w:p>
        </w:tc>
      </w:tr>
      <w:tr>
        <w:trPr/>
        <w:tc>
          <w:tcPr>
            <w:tcW w:w="5102"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625"/>
        <w:gridCol w:w="4478"/>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UBS LOAN FINANCE LLC</w:t>
            </w:r>
            <w:r>
              <w:rPr>
                <w:sz w:val="17"/>
              </w:rPr>
              <w:t>,</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Lana Gifas</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Lana Gifas</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Joselin Fernandes</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Joselin Fernandes</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Associate Director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625"/>
        <w:gridCol w:w="4478"/>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BNP PARIBAS,</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Lender</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Reynolds</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Reynolds</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4478"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Melissa Balley</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Melissa Balley</w:t>
            </w:r>
          </w:p>
        </w:tc>
      </w:tr>
      <w:tr>
        <w:trPr/>
        <w:tc>
          <w:tcPr>
            <w:tcW w:w="5102"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2.01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802"/>
        <w:gridCol w:w="211"/>
        <w:gridCol w:w="111"/>
        <w:gridCol w:w="1109"/>
        <w:gridCol w:w="211"/>
        <w:gridCol w:w="111"/>
        <w:gridCol w:w="1102"/>
        <w:gridCol w:w="211"/>
        <w:gridCol w:w="111"/>
        <w:gridCol w:w="1109"/>
        <w:gridCol w:w="117"/>
      </w:tblGrid>
      <w:tr>
        <w:trPr/>
        <w:tc>
          <w:tcPr>
            <w:tcW w:w="580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Lender</w:t>
            </w:r>
          </w:p>
        </w:tc>
        <w:tc>
          <w:tcPr>
            <w:tcW w:w="211" w:type="dxa"/>
            <w:tcBorders/>
            <w:shd w:fill="auto" w:val="clear"/>
            <w:tcMar>
              <w:bottom w:w="0" w:type="dxa"/>
            </w:tcMar>
            <w:vAlign w:val="bottom"/>
          </w:tcPr>
          <w:p>
            <w:pPr>
              <w:pStyle w:val="TableContents"/>
              <w:spacing w:before="0" w:after="0"/>
              <w:ind w:left="0" w:right="0" w:hanging="0"/>
              <w:jc w:val="center"/>
              <w:rPr/>
            </w:pPr>
            <w:r>
              <w:rPr/>
              <w:t> </w:t>
            </w:r>
          </w:p>
        </w:tc>
        <w:tc>
          <w:tcPr>
            <w:tcW w:w="1220"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Term Loan</w:t>
              <w:br/>
              <w:t>Commitments</w:t>
            </w:r>
          </w:p>
        </w:tc>
        <w:tc>
          <w:tcPr>
            <w:tcW w:w="211" w:type="dxa"/>
            <w:tcBorders/>
            <w:shd w:fill="auto" w:val="clear"/>
            <w:tcMar>
              <w:bottom w:w="0" w:type="dxa"/>
            </w:tcMar>
            <w:vAlign w:val="bottom"/>
          </w:tcPr>
          <w:p>
            <w:pPr>
              <w:pStyle w:val="TableContents"/>
              <w:spacing w:before="0" w:after="0"/>
              <w:ind w:left="0" w:right="0" w:hanging="0"/>
              <w:jc w:val="center"/>
              <w:rPr/>
            </w:pPr>
            <w:r>
              <w:rPr/>
              <w:t> </w:t>
            </w:r>
          </w:p>
        </w:tc>
        <w:tc>
          <w:tcPr>
            <w:tcW w:w="1213"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Revolving</w:t>
              <w:br/>
              <w:t>Commitments</w:t>
            </w:r>
          </w:p>
        </w:tc>
        <w:tc>
          <w:tcPr>
            <w:tcW w:w="211" w:type="dxa"/>
            <w:tcBorders/>
            <w:shd w:fill="auto" w:val="clear"/>
            <w:tcMar>
              <w:bottom w:w="0" w:type="dxa"/>
            </w:tcMar>
            <w:vAlign w:val="bottom"/>
          </w:tcPr>
          <w:p>
            <w:pPr>
              <w:pStyle w:val="TableContents"/>
              <w:spacing w:before="0" w:after="0"/>
              <w:ind w:left="0" w:right="0" w:hanging="0"/>
              <w:jc w:val="center"/>
              <w:rPr/>
            </w:pPr>
            <w:r>
              <w:rPr/>
              <w:t> </w:t>
            </w:r>
          </w:p>
        </w:tc>
        <w:tc>
          <w:tcPr>
            <w:tcW w:w="1220"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br/>
              <w:t>Commitments</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r>
      <w:tr>
        <w:trPr/>
        <w:tc>
          <w:tcPr>
            <w:tcW w:w="5802" w:type="dxa"/>
            <w:tcBorders/>
            <w:shd w:fill="auto" w:val="clear"/>
            <w:tcMar>
              <w:bottom w:w="0" w:type="dxa"/>
            </w:tcMar>
          </w:tcPr>
          <w:p>
            <w:pPr>
              <w:pStyle w:val="TableContents"/>
              <w:spacing w:before="0" w:after="0"/>
              <w:ind w:left="0" w:right="0" w:hanging="0"/>
              <w:rPr/>
            </w:pPr>
            <w:r>
              <w:rPr/>
              <w:t> </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pPr>
            <w:r>
              <w:rPr/>
              <w:t> </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pPr>
            <w:r>
              <w:rPr/>
              <w:t> </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Citibank, N.A.</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Bank of America, N.A.</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29,750,000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29,750,000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DNB Capital LLC</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29,750,000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29,750,000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JPMorgan Chase Bank, N.A.</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29,750,000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29,750,000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Mizuho Bank, Ltd.</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29,750,000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29,750,000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BNP Paribas</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Compass Bank</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PNC Bank, National Association</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Sumitomo Mitsui Banking Corporation</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SunTrust Bank</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Royal Bank of Canada</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The Bank of Nova Scotia</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The Bank of Tokyo-Mitsubishi UFJ, Ltd.</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Wells Fargo Bank, N.A.</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26,000,000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Amegy Bank National Association</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Canadian Imperial Bank of Commerce, New York Branch</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Fifth Third Bank</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ING Capital LLC</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Morgan Stanley Bank, N.A.</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U.S. Bank, National Association</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22,000,000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Barclays Bank PLC</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Deutsche Bank AG New York Branch</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20,000,000</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20,000,000</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UBS Loan Finance LLC</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13" w:type="dxa"/>
            <w:gridSpan w:val="2"/>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220" w:type="dxa"/>
            <w:gridSpan w:val="2"/>
            <w:tcBorders>
              <w:bottom w:val="double" w:sz="6"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20,000,000</w:t>
            </w:r>
          </w:p>
        </w:tc>
        <w:tc>
          <w:tcPr>
            <w:tcW w:w="117" w:type="dxa"/>
            <w:tcBorders/>
            <w:shd w:fill="CCEEFF" w:val="clear"/>
            <w:tcMar>
              <w:bottom w:w="0" w:type="dxa"/>
            </w:tcMar>
            <w:vAlign w:val="bottom"/>
          </w:tcPr>
          <w:p>
            <w:pPr>
              <w:pStyle w:val="TableContents"/>
              <w:spacing w:before="0" w:after="0"/>
              <w:ind w:left="0" w:right="0" w:hanging="0"/>
              <w:rPr/>
            </w:pPr>
            <w:r>
              <w:rPr/>
              <w:t> </w:t>
            </w:r>
          </w:p>
        </w:tc>
      </w:tr>
      <w:tr>
        <w:trPr/>
        <w:tc>
          <w:tcPr>
            <w:tcW w:w="5802" w:type="dxa"/>
            <w:tcBorders/>
            <w:shd w:fill="auto" w:val="clear"/>
            <w:tcMar>
              <w:bottom w:w="0" w:type="dxa"/>
            </w:tcMar>
            <w:vAlign w:val="bottom"/>
          </w:tcPr>
          <w:p>
            <w:pPr>
              <w:pStyle w:val="TableContents"/>
              <w:spacing w:before="0" w:after="0"/>
              <w:ind w:left="0" w:right="0" w:hanging="0"/>
              <w:rPr/>
            </w:pPr>
            <w:r>
              <w:rPr/>
              <w:t> </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pPr>
            <w:r>
              <w:rPr/>
              <w:t> </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13" w:type="dxa"/>
            <w:gridSpan w:val="2"/>
            <w:tcBorders/>
            <w:shd w:fill="auto" w:val="clear"/>
            <w:tcMar>
              <w:bottom w:w="0" w:type="dxa"/>
            </w:tcMar>
            <w:vAlign w:val="bottom"/>
          </w:tcPr>
          <w:p>
            <w:pPr>
              <w:pStyle w:val="TableContents"/>
              <w:spacing w:before="0" w:after="0"/>
              <w:ind w:left="0" w:right="0" w:hanging="0"/>
              <w:jc w:val="right"/>
              <w:rPr/>
            </w:pPr>
            <w:r>
              <w:rPr/>
              <w:t> </w:t>
            </w:r>
          </w:p>
        </w:tc>
        <w:tc>
          <w:tcPr>
            <w:tcW w:w="211" w:type="dxa"/>
            <w:tcBorders/>
            <w:shd w:fill="auto" w:val="clear"/>
            <w:tcMar>
              <w:bottom w:w="0" w:type="dxa"/>
            </w:tcMar>
            <w:vAlign w:val="bottom"/>
          </w:tcPr>
          <w:p>
            <w:pPr>
              <w:pStyle w:val="TableContents"/>
              <w:spacing w:before="0" w:after="0"/>
              <w:ind w:left="0" w:right="0" w:hanging="0"/>
              <w:rPr/>
            </w:pPr>
            <w:r>
              <w:rPr/>
              <w:t> </w:t>
            </w:r>
          </w:p>
        </w:tc>
        <w:tc>
          <w:tcPr>
            <w:tcW w:w="1220" w:type="dxa"/>
            <w:gridSpan w:val="2"/>
            <w:tcBorders/>
            <w:shd w:fill="auto" w:val="clear"/>
            <w:tcMar>
              <w:bottom w:w="0" w:type="dxa"/>
            </w:tcMar>
            <w:vAlign w:val="bottom"/>
          </w:tcPr>
          <w:p>
            <w:pPr>
              <w:pStyle w:val="TableContents"/>
              <w:spacing w:before="0" w:after="0"/>
              <w:ind w:left="0" w:right="0" w:hanging="0"/>
              <w:jc w:val="right"/>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r>
      <w:tr>
        <w:trPr/>
        <w:tc>
          <w:tcPr>
            <w:tcW w:w="580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75,000,000</w:t>
            </w:r>
          </w:p>
        </w:tc>
        <w:tc>
          <w:tcPr>
            <w:tcW w:w="211" w:type="dxa"/>
            <w:tcBorders/>
            <w:shd w:fill="CCEEFF" w:val="clear"/>
            <w:tcMar>
              <w:bottom w:w="0" w:type="dxa"/>
            </w:tcMar>
            <w:vAlign w:val="bottom"/>
          </w:tcPr>
          <w:p>
            <w:pPr>
              <w:pStyle w:val="TableContents"/>
              <w:spacing w:before="0" w:after="0"/>
              <w:ind w:left="0" w:right="0" w:hanging="0"/>
              <w:rPr/>
            </w:pPr>
            <w:r>
              <w:rPr/>
              <w:t> </w:t>
            </w:r>
          </w:p>
        </w:tc>
        <w:tc>
          <w:tcPr>
            <w:tcW w:w="111"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9"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575,000,000</w:t>
            </w:r>
          </w:p>
        </w:tc>
        <w:tc>
          <w:tcPr>
            <w:tcW w:w="117"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47" w:name="15636-2-LM-19_PB_1_014239_7056"/>
      <w:bookmarkEnd w:id="24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3.06</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DISCLOSED MATTERS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1.             With respect to PAA, any matters disclosed in PAAs most recently filed 10-Q and 10-K.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48" w:name="15636-2-LM-19_PB_1_014810_5796"/>
      <w:bookmarkEnd w:id="24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3.07</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DISCLOSURES REGARDING NON-COMPLIANCE WITH LAWS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49" w:name="15636-2-LM-19_PB_1_014829_2897"/>
      <w:bookmarkEnd w:id="24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3.10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DISCLOSURES REGARDING ERISA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50" w:name="15636-2-LM-19_PB_1_014842_3020"/>
      <w:bookmarkEnd w:id="25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3.12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SUBSIDIARIES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51" w:name="15636-2-LM-19_PB_1_014859_141"/>
      <w:bookmarkEnd w:id="25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6.02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PERMITTED LIENS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52" w:name="15636-2-LM-19_PB_1_014925_7608"/>
      <w:bookmarkEnd w:id="25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6.05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RESTRICTIVE AGREEMENTS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None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53" w:name="15636-2-LM-19_PB_1_014936_8146"/>
      <w:bookmarkEnd w:id="253"/>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ASSIGNMENT AND ACCEPTANCE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Reference is made to the Second Amended and Restated Credit Agreement dated as of September       , 2013 (as amended and in effect on the date hereof, the </w:t>
      </w:r>
      <w:r>
        <w:rPr>
          <w:rFonts w:ascii="Times New Roman" w:hAnsi="Times New Roman"/>
          <w:sz w:val="17"/>
          <w:u w:val="single"/>
        </w:rPr>
        <w:t>Credit Agreement</w:t>
      </w:r>
      <w:r>
        <w:rPr>
          <w:rFonts w:ascii="Times New Roman" w:hAnsi="Times New Roman"/>
          <w:sz w:val="17"/>
        </w:rPr>
        <w:t>), among Plains AAP, L.P., the Lenders named therein, and Citibank, N.A., as Administrative Agent.  Terms defined in the Credit Agreement are used herein with the same meanings.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Assignor named herein hereby sells and assigns, without recourse, to the Assignee named herein, and the Assignee hereby purchases and assumes, without recourse, from the Assignor, effective as of the Assignment Date set forth herein the interests set forth herein (the </w:t>
      </w:r>
      <w:r>
        <w:rPr>
          <w:rFonts w:ascii="Times New Roman" w:hAnsi="Times New Roman"/>
          <w:sz w:val="17"/>
          <w:u w:val="single"/>
        </w:rPr>
        <w:t>Assigned Interest</w:t>
      </w:r>
      <w:r>
        <w:rPr>
          <w:rFonts w:ascii="Times New Roman" w:hAnsi="Times New Roman"/>
          <w:sz w:val="17"/>
        </w:rPr>
        <w:t>) in the Assignors rights and obligations under the Credit Agreement, including, without limitation, the interests set forth herein in the Commitment(s) of the Assignor on the Assignment Date and Loans owing to the Assignor which are outstanding on the Assignment Date, but excluding accrued interest and fees to and excluding the Assignment Date.  The Assignee hereby acknowledges receipt of a copy of the Credit Agreement.  From and after the Assignment Date (i) the Assignee shall be a party to and be bound by the provisions of the Credit Agreement and, to the extent of the Assigned Interest, have the rights and obligations of a Lender thereunder and (ii) the Assignor shall, to the extent of the Assigned Interest, relinquish its rights and be released from its obligations under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This Assignment and Acceptance is being delivered to the Administrative Agent together with (i) if the Assignee is a Foreign Lender, any documentation required to be delivered by the Assignee pursuant to </w:t>
      </w:r>
      <w:r>
        <w:rPr>
          <w:rFonts w:ascii="Times New Roman" w:hAnsi="Times New Roman"/>
          <w:sz w:val="17"/>
          <w:u w:val="single"/>
        </w:rPr>
        <w:t>Section 2.17(e)</w:t>
      </w:r>
      <w:r>
        <w:rPr>
          <w:rFonts w:ascii="Times New Roman" w:hAnsi="Times New Roman"/>
          <w:sz w:val="17"/>
        </w:rPr>
        <w:t xml:space="preserve"> of the Credit Agreement, duly completed and executed by the Assignee, and (ii) if the Assignee is not already a Lender under the Credit Agreement, an Administrative Questionnaire in the form supplied by the Administrative Agent, duly completed by the Assignee.  The [Assignee/Assignor] shall pay the fee payable to the Administrative Agent pursuant to </w:t>
      </w:r>
      <w:r>
        <w:rPr>
          <w:rFonts w:ascii="Times New Roman" w:hAnsi="Times New Roman"/>
          <w:sz w:val="17"/>
          <w:u w:val="single"/>
        </w:rPr>
        <w:t>Section 9.04(b)</w:t>
      </w:r>
      <w:r>
        <w:rPr>
          <w:rFonts w:ascii="Times New Roman" w:hAnsi="Times New Roman"/>
          <w:sz w:val="17"/>
        </w:rPr>
        <w:t> of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Assignment and Acceptance shall be governed by and construed in accordance with the laws of the State of New York.</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of Assignment:</w:t>
            </w:r>
          </w:p>
        </w:tc>
      </w:tr>
      <w:tr>
        <w:trPr/>
        <w:tc>
          <w:tcPr>
            <w:tcW w:w="10205" w:type="dxa"/>
            <w:tcBorders/>
            <w:shd w:fill="auto" w:val="clear"/>
          </w:tcPr>
          <w:p>
            <w:pPr>
              <w:pStyle w:val="TableContents"/>
              <w:spacing w:before="0" w:after="0"/>
              <w:ind w:left="0" w:right="0" w:hanging="0"/>
              <w:rPr/>
            </w:pPr>
            <w:r>
              <w:rPr/>
              <w:t> </w:t>
            </w:r>
          </w:p>
        </w:tc>
      </w:tr>
      <w:tr>
        <w:trPr/>
        <w:tc>
          <w:tcPr>
            <w:tcW w:w="10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Legal Name of Assignor:</w:t>
            </w:r>
          </w:p>
        </w:tc>
      </w:tr>
      <w:tr>
        <w:trPr/>
        <w:tc>
          <w:tcPr>
            <w:tcW w:w="10205" w:type="dxa"/>
            <w:tcBorders/>
            <w:shd w:fill="auto" w:val="clear"/>
          </w:tcPr>
          <w:p>
            <w:pPr>
              <w:pStyle w:val="TableContents"/>
              <w:spacing w:before="0" w:after="0"/>
              <w:ind w:left="0" w:right="0" w:hanging="0"/>
              <w:rPr/>
            </w:pPr>
            <w:r>
              <w:rPr/>
              <w:t> </w:t>
            </w:r>
          </w:p>
        </w:tc>
      </w:tr>
      <w:tr>
        <w:trPr/>
        <w:tc>
          <w:tcPr>
            <w:tcW w:w="10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Legal Name of Assignee:</w:t>
            </w:r>
          </w:p>
        </w:tc>
      </w:tr>
      <w:tr>
        <w:trPr/>
        <w:tc>
          <w:tcPr>
            <w:tcW w:w="10205" w:type="dxa"/>
            <w:tcBorders/>
            <w:shd w:fill="auto" w:val="clear"/>
          </w:tcPr>
          <w:p>
            <w:pPr>
              <w:pStyle w:val="TableContents"/>
              <w:spacing w:before="0" w:after="0"/>
              <w:ind w:left="0" w:right="0" w:hanging="0"/>
              <w:rPr/>
            </w:pPr>
            <w:r>
              <w:rPr/>
              <w:t> </w:t>
            </w:r>
          </w:p>
        </w:tc>
      </w:tr>
      <w:tr>
        <w:trPr/>
        <w:tc>
          <w:tcPr>
            <w:tcW w:w="10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Assignees Address for Notices:</w:t>
            </w:r>
          </w:p>
        </w:tc>
      </w:tr>
      <w:tr>
        <w:trPr/>
        <w:tc>
          <w:tcPr>
            <w:tcW w:w="10205" w:type="dxa"/>
            <w:tcBorders/>
            <w:shd w:fill="auto" w:val="clear"/>
          </w:tcPr>
          <w:p>
            <w:pPr>
              <w:pStyle w:val="TableContents"/>
              <w:spacing w:before="0" w:after="0"/>
              <w:ind w:left="0" w:right="0" w:hanging="0"/>
              <w:rPr/>
            </w:pPr>
            <w:r>
              <w:rPr/>
              <w:t> </w:t>
            </w:r>
          </w:p>
        </w:tc>
      </w:tr>
      <w:tr>
        <w:trPr/>
        <w:tc>
          <w:tcPr>
            <w:tcW w:w="10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Effective Date of Assignment (</w:t>
            </w:r>
            <w:r>
              <w:rPr>
                <w:rFonts w:ascii="Times New Roman" w:hAnsi="Times New Roman"/>
                <w:sz w:val="17"/>
                <w:u w:val="single"/>
              </w:rPr>
              <w:t>Assignment Date</w:t>
            </w: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54" w:name="15636-2-LM-21_PB_1_013243_7056"/>
      <w:bookmarkEnd w:id="25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shd w:fill="FFFFFF" w:val="clear"/>
        <w:tblCellMar>
          <w:top w:w="0" w:type="dxa"/>
          <w:left w:w="0" w:type="dxa"/>
          <w:bottom w:w="28" w:type="dxa"/>
          <w:right w:w="0" w:type="dxa"/>
        </w:tblCellMar>
      </w:tblPr>
      <w:tblGrid>
        <w:gridCol w:w="3261"/>
        <w:gridCol w:w="210"/>
        <w:gridCol w:w="3262"/>
        <w:gridCol w:w="210"/>
        <w:gridCol w:w="3262"/>
      </w:tblGrid>
      <w:tr>
        <w:trPr/>
        <w:tc>
          <w:tcPr>
            <w:tcW w:w="3261" w:type="dxa"/>
            <w:tcBorders>
              <w:bottom w:val="single" w:sz="8" w:space="0" w:color="000000"/>
            </w:tcBorders>
            <w:shd w:fill="FFFFFF"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Facility</w:t>
            </w:r>
          </w:p>
        </w:tc>
        <w:tc>
          <w:tcPr>
            <w:tcW w:w="210" w:type="dxa"/>
            <w:tcBorders/>
            <w:shd w:fill="FFFFFF" w:val="clear"/>
            <w:tcMar>
              <w:bottom w:w="0" w:type="dxa"/>
            </w:tcMar>
            <w:vAlign w:val="bottom"/>
          </w:tcPr>
          <w:p>
            <w:pPr>
              <w:pStyle w:val="TableContents"/>
              <w:spacing w:before="0" w:after="0"/>
              <w:ind w:left="0" w:right="0" w:hanging="0"/>
              <w:jc w:val="center"/>
              <w:rPr/>
            </w:pPr>
            <w:r>
              <w:rPr/>
              <w:t> </w:t>
            </w:r>
          </w:p>
        </w:tc>
        <w:tc>
          <w:tcPr>
            <w:tcW w:w="3262" w:type="dxa"/>
            <w:tcBorders>
              <w:bottom w:val="single" w:sz="8" w:space="0" w:color="000000"/>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Principal Amount Assigned</w:t>
            </w:r>
          </w:p>
        </w:tc>
        <w:tc>
          <w:tcPr>
            <w:tcW w:w="210" w:type="dxa"/>
            <w:tcBorders/>
            <w:shd w:fill="FFFFFF" w:val="clear"/>
            <w:tcMar>
              <w:bottom w:w="0" w:type="dxa"/>
            </w:tcMar>
            <w:vAlign w:val="bottom"/>
          </w:tcPr>
          <w:p>
            <w:pPr>
              <w:pStyle w:val="TableContents"/>
              <w:spacing w:before="0" w:after="0"/>
              <w:ind w:left="0" w:right="0" w:hanging="0"/>
              <w:jc w:val="center"/>
              <w:rPr/>
            </w:pPr>
            <w:r>
              <w:rPr/>
              <w:t> </w:t>
            </w:r>
          </w:p>
        </w:tc>
        <w:tc>
          <w:tcPr>
            <w:tcW w:w="3262" w:type="dxa"/>
            <w:tcBorders>
              <w:bottom w:val="single" w:sz="8" w:space="0" w:color="000000"/>
            </w:tcBorders>
            <w:shd w:fill="FFFFFF"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Percentage Assigned of</w:t>
              <w:br/>
              <w:t>Facility/ Commitment(s) (set</w:t>
              <w:br/>
              <w:t>forth, for each assigned</w:t>
              <w:br/>
              <w:t>Commitment, to at least 8</w:t>
              <w:br/>
              <w:t>decimals, as a percentage of</w:t>
              <w:br/>
              <w:t>the aggregate Commitments of</w:t>
              <w:br/>
              <w:t>the relevant Class)</w:t>
            </w:r>
          </w:p>
        </w:tc>
      </w:tr>
      <w:tr>
        <w:trPr/>
        <w:tc>
          <w:tcPr>
            <w:tcW w:w="326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Commitment(s) Assigned:</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3262" w:type="dxa"/>
            <w:tcBorders/>
            <w:shd w:fill="CCEEFF" w:val="clear"/>
            <w:tcMar>
              <w:bottom w:w="0" w:type="dxa"/>
            </w:tcMar>
          </w:tcPr>
          <w:p>
            <w:pPr>
              <w:pStyle w:val="TableContents"/>
              <w:spacing w:before="0" w:after="0"/>
              <w:ind w:left="0" w:right="0" w:hanging="0"/>
              <w:rPr/>
            </w:pPr>
            <w:r>
              <w:rPr/>
              <w:t> </w:t>
            </w:r>
          </w:p>
        </w:tc>
        <w:tc>
          <w:tcPr>
            <w:tcW w:w="210" w:type="dxa"/>
            <w:tcBorders/>
            <w:shd w:fill="CCEEFF" w:val="clear"/>
            <w:tcMar>
              <w:bottom w:w="0" w:type="dxa"/>
            </w:tcMar>
            <w:vAlign w:val="bottom"/>
          </w:tcPr>
          <w:p>
            <w:pPr>
              <w:pStyle w:val="TableContents"/>
              <w:spacing w:before="0" w:after="0"/>
              <w:ind w:left="0" w:right="0" w:hanging="0"/>
              <w:rPr/>
            </w:pPr>
            <w:r>
              <w:rPr/>
              <w:t> </w:t>
            </w:r>
          </w:p>
        </w:tc>
        <w:tc>
          <w:tcPr>
            <w:tcW w:w="3262" w:type="dxa"/>
            <w:tcBorders/>
            <w:shd w:fill="CCEEFF" w:val="clear"/>
            <w:tcMar>
              <w:bottom w:w="0" w:type="dxa"/>
            </w:tcMar>
          </w:tcPr>
          <w:p>
            <w:pPr>
              <w:pStyle w:val="TableContents"/>
              <w:spacing w:before="0" w:after="0"/>
              <w:ind w:left="0" w:right="0" w:hanging="0"/>
              <w:rPr/>
            </w:pPr>
            <w:r>
              <w:rPr/>
              <w:t> </w:t>
            </w:r>
          </w:p>
        </w:tc>
      </w:tr>
      <w:tr>
        <w:trPr/>
        <w:tc>
          <w:tcPr>
            <w:tcW w:w="3261" w:type="dxa"/>
            <w:tcBorders/>
            <w:shd w:fill="FFFF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Loans:</w:t>
            </w:r>
          </w:p>
        </w:tc>
        <w:tc>
          <w:tcPr>
            <w:tcW w:w="210" w:type="dxa"/>
            <w:tcBorders/>
            <w:shd w:fill="FFFFFF" w:val="clear"/>
            <w:tcMar>
              <w:bottom w:w="0" w:type="dxa"/>
            </w:tcMar>
            <w:vAlign w:val="bottom"/>
          </w:tcPr>
          <w:p>
            <w:pPr>
              <w:pStyle w:val="TableContents"/>
              <w:spacing w:before="0" w:after="0"/>
              <w:ind w:left="0" w:right="0" w:hanging="0"/>
              <w:rPr/>
            </w:pPr>
            <w:r>
              <w:rPr/>
              <w:t> </w:t>
            </w:r>
          </w:p>
        </w:tc>
        <w:tc>
          <w:tcPr>
            <w:tcW w:w="3262" w:type="dxa"/>
            <w:tcBorders/>
            <w:shd w:fill="FFFFFF" w:val="clear"/>
            <w:tcMar>
              <w:bottom w:w="0" w:type="dxa"/>
            </w:tcMar>
          </w:tcPr>
          <w:p>
            <w:pPr>
              <w:pStyle w:val="TableContents"/>
              <w:spacing w:before="0" w:after="0"/>
              <w:ind w:left="0" w:right="0" w:hanging="0"/>
              <w:rPr/>
            </w:pPr>
            <w:r>
              <w:rPr/>
              <w:t> </w:t>
            </w:r>
          </w:p>
        </w:tc>
        <w:tc>
          <w:tcPr>
            <w:tcW w:w="210" w:type="dxa"/>
            <w:tcBorders/>
            <w:shd w:fill="FFFFFF" w:val="clear"/>
            <w:tcMar>
              <w:bottom w:w="0" w:type="dxa"/>
            </w:tcMar>
            <w:vAlign w:val="bottom"/>
          </w:tcPr>
          <w:p>
            <w:pPr>
              <w:pStyle w:val="TableContents"/>
              <w:spacing w:before="0" w:after="0"/>
              <w:ind w:left="0" w:right="0" w:hanging="0"/>
              <w:rPr/>
            </w:pPr>
            <w:r>
              <w:rPr/>
              <w:t> </w:t>
            </w:r>
          </w:p>
        </w:tc>
        <w:tc>
          <w:tcPr>
            <w:tcW w:w="3262" w:type="dxa"/>
            <w:tcBorders/>
            <w:shd w:fill="FFFFFF"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terms set forth above are hereby agreed to:</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8"/>
        <w:gridCol w:w="654"/>
        <w:gridCol w:w="3655"/>
        <w:gridCol w:w="316"/>
        <w:gridCol w:w="658"/>
        <w:gridCol w:w="4494"/>
      </w:tblGrid>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rFonts w:ascii="Times New Roman" w:hAnsi="Times New Roman"/>
                <w:b/>
                <w:sz w:val="17"/>
              </w:rPr>
              <w:t>[Name of Assignor]</w:t>
            </w:r>
            <w:r>
              <w:rPr>
                <w:sz w:val="17"/>
              </w:rPr>
              <w:t>, as Assignor</w:t>
            </w:r>
          </w:p>
        </w:tc>
      </w:tr>
      <w:tr>
        <w:trPr/>
        <w:tc>
          <w:tcPr>
            <w:tcW w:w="5053" w:type="dxa"/>
            <w:gridSpan w:val="4"/>
            <w:tcBorders/>
            <w:shd w:fill="auto" w:val="clear"/>
          </w:tcPr>
          <w:p>
            <w:pPr>
              <w:pStyle w:val="TableContents"/>
              <w:spacing w:before="0" w:after="0"/>
              <w:ind w:left="0" w:right="0" w:hanging="0"/>
              <w:rPr/>
            </w:pPr>
            <w:r>
              <w:rPr/>
              <w:t> </w:t>
            </w:r>
          </w:p>
        </w:tc>
        <w:tc>
          <w:tcPr>
            <w:tcW w:w="658" w:type="dxa"/>
            <w:tcBorders/>
            <w:shd w:fill="auto" w:val="clear"/>
          </w:tcPr>
          <w:p>
            <w:pPr>
              <w:pStyle w:val="TableContents"/>
              <w:spacing w:before="0" w:after="0"/>
              <w:ind w:left="0" w:right="0" w:hanging="0"/>
              <w:rPr/>
            </w:pPr>
            <w:r>
              <w:rPr/>
              <w:t> </w:t>
            </w:r>
          </w:p>
        </w:tc>
        <w:tc>
          <w:tcPr>
            <w:tcW w:w="4494" w:type="dxa"/>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658" w:type="dxa"/>
            <w:tcBorders/>
            <w:shd w:fill="auto" w:val="clear"/>
          </w:tcPr>
          <w:p>
            <w:pPr>
              <w:pStyle w:val="TableContents"/>
              <w:spacing w:before="0" w:after="0"/>
              <w:ind w:left="0" w:right="0" w:hanging="0"/>
              <w:rPr/>
            </w:pPr>
            <w:r>
              <w:rPr/>
              <w:t> </w:t>
            </w:r>
          </w:p>
        </w:tc>
        <w:tc>
          <w:tcPr>
            <w:tcW w:w="4494" w:type="dxa"/>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6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94"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6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4"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6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4"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rFonts w:ascii="Times New Roman" w:hAnsi="Times New Roman"/>
                <w:b/>
                <w:sz w:val="17"/>
              </w:rPr>
              <w:t>[Name of Assignee]</w:t>
            </w:r>
            <w:r>
              <w:rPr>
                <w:sz w:val="17"/>
              </w:rPr>
              <w:t>, as Assignee</w:t>
            </w:r>
          </w:p>
        </w:tc>
      </w:tr>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6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94"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6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94"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65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94"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undersigned hereby consent to the within assignment:</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partnership</w:t>
            </w:r>
          </w:p>
        </w:tc>
        <w:tc>
          <w:tcPr>
            <w:tcW w:w="5152" w:type="dxa"/>
            <w:gridSpan w:val="2"/>
            <w:tcBorders/>
            <w:shd w:fill="auto" w:val="clear"/>
          </w:tcPr>
          <w:p>
            <w:pPr>
              <w:pStyle w:val="TableContents"/>
              <w:spacing w:before="0" w:after="0"/>
              <w:ind w:left="0" w:right="0" w:hanging="0"/>
              <w:rPr/>
            </w:pPr>
            <w:r>
              <w:rPr/>
              <w:t> </w:t>
            </w:r>
          </w:p>
        </w:tc>
      </w:tr>
      <w:tr>
        <w:trPr/>
        <w:tc>
          <w:tcPr>
            <w:tcW w:w="5053" w:type="dxa"/>
            <w:gridSpan w:val="4"/>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4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2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c>
          <w:tcPr>
            <w:tcW w:w="5152" w:type="dxa"/>
            <w:gridSpan w:val="2"/>
            <w:tcBorders/>
            <w:shd w:fill="auto" w:val="clear"/>
          </w:tcPr>
          <w:p>
            <w:pPr>
              <w:pStyle w:val="TableContents"/>
              <w:spacing w:before="0" w:after="0"/>
              <w:ind w:left="0" w:right="0" w:hanging="0"/>
              <w:rPr/>
            </w:pPr>
            <w:r>
              <w:rPr/>
              <w:t> </w:t>
            </w:r>
          </w:p>
        </w:tc>
      </w:tr>
      <w:tr>
        <w:trPr/>
        <w:tc>
          <w:tcPr>
            <w:tcW w:w="428" w:type="dxa"/>
            <w:tcBorders/>
            <w:shd w:fill="auto" w:val="clear"/>
          </w:tcPr>
          <w:p>
            <w:pPr>
              <w:pStyle w:val="TableContents"/>
              <w:spacing w:before="0" w:after="0"/>
              <w:ind w:left="0" w:right="0" w:hanging="0"/>
              <w:rPr/>
            </w:pPr>
            <w:r>
              <w:rPr/>
              <w:t> </w:t>
            </w:r>
          </w:p>
        </w:tc>
        <w:tc>
          <w:tcPr>
            <w:tcW w:w="462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c>
          <w:tcPr>
            <w:tcW w:w="5152" w:type="dxa"/>
            <w:gridSpan w:val="2"/>
            <w:tcBorders/>
            <w:shd w:fill="auto" w:val="clear"/>
          </w:tcPr>
          <w:p>
            <w:pPr>
              <w:pStyle w:val="TableContents"/>
              <w:spacing w:before="0" w:after="0"/>
              <w:ind w:left="0" w:right="0" w:hanging="0"/>
              <w:rPr/>
            </w:pPr>
            <w:r>
              <w:rPr/>
              <w:t> </w:t>
            </w:r>
          </w:p>
        </w:tc>
      </w:tr>
      <w:tr>
        <w:trPr/>
        <w:tc>
          <w:tcPr>
            <w:tcW w:w="428" w:type="dxa"/>
            <w:tcBorders/>
            <w:shd w:fill="auto" w:val="clear"/>
          </w:tcPr>
          <w:p>
            <w:pPr>
              <w:pStyle w:val="TableContents"/>
              <w:spacing w:before="0" w:after="0"/>
              <w:ind w:left="0" w:right="0" w:hanging="0"/>
              <w:rPr/>
            </w:pPr>
            <w:r>
              <w:rPr/>
              <w:t> </w:t>
            </w:r>
          </w:p>
        </w:tc>
        <w:tc>
          <w:tcPr>
            <w:tcW w:w="462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c>
          <w:tcPr>
            <w:tcW w:w="5152" w:type="dxa"/>
            <w:gridSpan w:val="2"/>
            <w:tcBorders/>
            <w:shd w:fill="auto" w:val="clear"/>
          </w:tcPr>
          <w:p>
            <w:pPr>
              <w:pStyle w:val="TableContents"/>
              <w:spacing w:before="0" w:after="0"/>
              <w:ind w:left="0" w:right="0" w:hanging="0"/>
              <w:rPr/>
            </w:pPr>
            <w:r>
              <w:rPr/>
              <w:t> </w:t>
            </w:r>
          </w:p>
        </w:tc>
      </w:tr>
      <w:tr>
        <w:trPr/>
        <w:tc>
          <w:tcPr>
            <w:tcW w:w="428" w:type="dxa"/>
            <w:tcBorders/>
            <w:shd w:fill="auto" w:val="clear"/>
          </w:tcPr>
          <w:p>
            <w:pPr>
              <w:pStyle w:val="TableContents"/>
              <w:spacing w:before="0" w:after="0"/>
              <w:ind w:left="0" w:right="0" w:hanging="0"/>
              <w:rPr/>
            </w:pPr>
            <w:r>
              <w:rPr/>
              <w:t> </w:t>
            </w:r>
          </w:p>
        </w:tc>
        <w:tc>
          <w:tcPr>
            <w:tcW w:w="4625" w:type="dxa"/>
            <w:gridSpan w:val="3"/>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428" w:type="dxa"/>
            <w:tcBorders/>
            <w:shd w:fill="auto" w:val="clear"/>
          </w:tcPr>
          <w:p>
            <w:pPr>
              <w:pStyle w:val="TableContents"/>
              <w:spacing w:before="0" w:after="0"/>
              <w:ind w:left="0" w:right="0" w:hanging="0"/>
              <w:rPr/>
            </w:pPr>
            <w:r>
              <w:rPr/>
              <w:t> </w:t>
            </w:r>
          </w:p>
        </w:tc>
        <w:tc>
          <w:tcPr>
            <w:tcW w:w="4625" w:type="dxa"/>
            <w:gridSpan w:val="3"/>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428" w:type="dxa"/>
            <w:tcBorders/>
            <w:shd w:fill="auto" w:val="clear"/>
          </w:tcPr>
          <w:p>
            <w:pPr>
              <w:pStyle w:val="TableContents"/>
              <w:spacing w:before="0" w:after="0"/>
              <w:ind w:left="0" w:right="0" w:hanging="0"/>
              <w:rPr/>
            </w:pPr>
            <w:r>
              <w:rPr/>
              <w:t> </w:t>
            </w:r>
          </w:p>
        </w:tc>
        <w:tc>
          <w:tcPr>
            <w:tcW w:w="6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655"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316" w:type="dxa"/>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428" w:type="dxa"/>
            <w:tcBorders/>
            <w:shd w:fill="auto" w:val="clear"/>
          </w:tcPr>
          <w:p>
            <w:pPr>
              <w:pStyle w:val="TableContents"/>
              <w:spacing w:before="0" w:after="0"/>
              <w:ind w:left="0" w:right="0" w:hanging="0"/>
              <w:rPr/>
            </w:pPr>
            <w:r>
              <w:rPr/>
              <w:t> </w:t>
            </w:r>
          </w:p>
        </w:tc>
        <w:tc>
          <w:tcPr>
            <w:tcW w:w="6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655"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316" w:type="dxa"/>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r>
        <w:trPr/>
        <w:tc>
          <w:tcPr>
            <w:tcW w:w="428" w:type="dxa"/>
            <w:tcBorders/>
            <w:shd w:fill="auto" w:val="clear"/>
          </w:tcPr>
          <w:p>
            <w:pPr>
              <w:pStyle w:val="TableContents"/>
              <w:spacing w:before="0" w:after="0"/>
              <w:ind w:left="0" w:right="0" w:hanging="0"/>
              <w:rPr/>
            </w:pPr>
            <w:r>
              <w:rPr/>
              <w:t> </w:t>
            </w:r>
          </w:p>
        </w:tc>
        <w:tc>
          <w:tcPr>
            <w:tcW w:w="6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655"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316" w:type="dxa"/>
            <w:tcBorders/>
            <w:shd w:fill="auto" w:val="clear"/>
          </w:tcPr>
          <w:p>
            <w:pPr>
              <w:pStyle w:val="TableContents"/>
              <w:spacing w:before="0" w:after="0"/>
              <w:ind w:left="0" w:right="0" w:hanging="0"/>
              <w:rPr/>
            </w:pPr>
            <w:r>
              <w:rPr/>
              <w:t> </w:t>
            </w:r>
          </w:p>
        </w:tc>
        <w:tc>
          <w:tcPr>
            <w:tcW w:w="5152" w:type="dxa"/>
            <w:gridSpan w:val="2"/>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55" w:name="15636-2-LM-21_PB_2_013249_5335"/>
      <w:bookmarkEnd w:id="25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37"/>
        <w:gridCol w:w="4295"/>
        <w:gridCol w:w="4973"/>
      </w:tblGrid>
      <w:tr>
        <w:trPr/>
        <w:tc>
          <w:tcPr>
            <w:tcW w:w="523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CITIBANK, N.A.,</w:t>
            </w:r>
          </w:p>
        </w:tc>
        <w:tc>
          <w:tcPr>
            <w:tcW w:w="4973" w:type="dxa"/>
            <w:tcBorders/>
            <w:shd w:fill="auto" w:val="clear"/>
          </w:tcPr>
          <w:p>
            <w:pPr>
              <w:pStyle w:val="TableContents"/>
              <w:spacing w:before="0" w:after="0"/>
              <w:ind w:left="0" w:right="0" w:hanging="0"/>
              <w:rPr/>
            </w:pPr>
            <w:r>
              <w:rPr/>
              <w:t> </w:t>
            </w:r>
          </w:p>
        </w:tc>
      </w:tr>
      <w:tr>
        <w:trPr/>
        <w:tc>
          <w:tcPr>
            <w:tcW w:w="523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Administrative Agent</w:t>
            </w:r>
          </w:p>
        </w:tc>
        <w:tc>
          <w:tcPr>
            <w:tcW w:w="4973" w:type="dxa"/>
            <w:tcBorders/>
            <w:shd w:fill="auto" w:val="clear"/>
          </w:tcPr>
          <w:p>
            <w:pPr>
              <w:pStyle w:val="TableContents"/>
              <w:spacing w:before="0" w:after="0"/>
              <w:ind w:left="0" w:right="0" w:hanging="0"/>
              <w:rPr/>
            </w:pPr>
            <w:r>
              <w:rPr/>
              <w:t> </w:t>
            </w:r>
          </w:p>
        </w:tc>
      </w:tr>
      <w:tr>
        <w:trPr/>
        <w:tc>
          <w:tcPr>
            <w:tcW w:w="5232" w:type="dxa"/>
            <w:gridSpan w:val="2"/>
            <w:tcBorders/>
            <w:shd w:fill="auto" w:val="clear"/>
          </w:tcPr>
          <w:p>
            <w:pPr>
              <w:pStyle w:val="TableContents"/>
              <w:spacing w:before="0" w:after="0"/>
              <w:ind w:left="0" w:right="0" w:hanging="0"/>
              <w:rPr/>
            </w:pPr>
            <w:r>
              <w:rPr/>
              <w:t> </w:t>
            </w:r>
          </w:p>
        </w:tc>
        <w:tc>
          <w:tcPr>
            <w:tcW w:w="4973" w:type="dxa"/>
            <w:tcBorders/>
            <w:shd w:fill="auto" w:val="clear"/>
          </w:tcPr>
          <w:p>
            <w:pPr>
              <w:pStyle w:val="TableContents"/>
              <w:spacing w:before="0" w:after="0"/>
              <w:ind w:left="0" w:right="0" w:hanging="0"/>
              <w:rPr/>
            </w:pPr>
            <w:r>
              <w:rPr/>
              <w:t> </w:t>
            </w:r>
          </w:p>
        </w:tc>
      </w:tr>
      <w:tr>
        <w:trPr/>
        <w:tc>
          <w:tcPr>
            <w:tcW w:w="5232" w:type="dxa"/>
            <w:gridSpan w:val="2"/>
            <w:tcBorders/>
            <w:shd w:fill="auto" w:val="clear"/>
          </w:tcPr>
          <w:p>
            <w:pPr>
              <w:pStyle w:val="TableContents"/>
              <w:spacing w:before="0" w:after="0"/>
              <w:ind w:left="0" w:right="0" w:hanging="0"/>
              <w:rPr/>
            </w:pPr>
            <w:r>
              <w:rPr/>
              <w:t> </w:t>
            </w:r>
          </w:p>
        </w:tc>
        <w:tc>
          <w:tcPr>
            <w:tcW w:w="4973"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95"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4973"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95"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4973" w:type="dxa"/>
            <w:tcBorders/>
            <w:shd w:fill="auto" w:val="clear"/>
          </w:tcPr>
          <w:p>
            <w:pPr>
              <w:pStyle w:val="TableContents"/>
              <w:spacing w:before="0" w:after="0"/>
              <w:ind w:left="0" w:right="0" w:hanging="0"/>
              <w:rPr/>
            </w:pPr>
            <w:r>
              <w:rPr/>
              <w:t> </w:t>
            </w:r>
          </w:p>
        </w:tc>
      </w:tr>
      <w:tr>
        <w:trPr/>
        <w:tc>
          <w:tcPr>
            <w:tcW w:w="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95"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4973" w:type="dxa"/>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256" w:name="15636-2-LM-21_PB_3_013341_5796"/>
      <w:bookmarkEnd w:id="25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B</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BORROWING REQUEST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Dated                         , 201</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Citibank, N.A.,</w:t>
      </w:r>
    </w:p>
    <w:p>
      <w:pPr>
        <w:pStyle w:val="TextBody"/>
        <w:spacing w:before="0" w:after="0"/>
        <w:ind w:left="0" w:right="0" w:hanging="0"/>
        <w:rPr>
          <w:rFonts w:ascii="Times New Roman" w:hAnsi="Times New Roman"/>
          <w:sz w:val="17"/>
        </w:rPr>
      </w:pPr>
      <w:r>
        <w:rPr>
          <w:rFonts w:ascii="Times New Roman" w:hAnsi="Times New Roman"/>
          <w:sz w:val="17"/>
        </w:rPr>
        <w:t>as Administrative Agent</w:t>
      </w:r>
    </w:p>
    <w:p>
      <w:pPr>
        <w:pStyle w:val="TextBody"/>
        <w:spacing w:before="0" w:after="0"/>
        <w:ind w:left="0" w:right="0" w:hanging="0"/>
        <w:rPr>
          <w:rFonts w:ascii="Times New Roman" w:hAnsi="Times New Roman"/>
          <w:sz w:val="17"/>
        </w:rPr>
      </w:pPr>
      <w:r>
        <w:rPr>
          <w:rFonts w:ascii="Times New Roman" w:hAnsi="Times New Roman"/>
          <w:sz w:val="17"/>
        </w:rPr>
        <w:t>1615 Brett Road, OPS III</w:t>
      </w:r>
    </w:p>
    <w:p>
      <w:pPr>
        <w:pStyle w:val="TextBody"/>
        <w:spacing w:before="0" w:after="0"/>
        <w:ind w:left="0" w:right="0" w:hanging="0"/>
        <w:rPr>
          <w:rFonts w:ascii="Times New Roman" w:hAnsi="Times New Roman"/>
          <w:sz w:val="17"/>
        </w:rPr>
      </w:pPr>
      <w:r>
        <w:rPr>
          <w:rFonts w:ascii="Times New Roman" w:hAnsi="Times New Roman"/>
          <w:sz w:val="17"/>
        </w:rPr>
        <w:t>New Castle, Delaware 19720</w:t>
      </w:r>
    </w:p>
    <w:p>
      <w:pPr>
        <w:pStyle w:val="TextBody"/>
        <w:spacing w:before="0" w:after="0"/>
        <w:ind w:left="0" w:right="0" w:hanging="0"/>
        <w:rPr>
          <w:rFonts w:ascii="Times New Roman" w:hAnsi="Times New Roman"/>
          <w:sz w:val="17"/>
        </w:rPr>
      </w:pPr>
      <w:r>
        <w:rPr>
          <w:rFonts w:ascii="Times New Roman" w:hAnsi="Times New Roman"/>
          <w:sz w:val="17"/>
        </w:rPr>
        <w:t>Attn:  Plains All American Account Officer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Borrowing Request is delivered to you by Plains AAP, L.P., a Delaware limited partnership (the </w:t>
      </w:r>
      <w:r>
        <w:rPr>
          <w:rFonts w:ascii="Times New Roman" w:hAnsi="Times New Roman"/>
          <w:sz w:val="17"/>
          <w:u w:val="single"/>
        </w:rPr>
        <w:t>Borrower</w:t>
      </w:r>
      <w:r>
        <w:rPr>
          <w:rFonts w:ascii="Times New Roman" w:hAnsi="Times New Roman"/>
          <w:sz w:val="17"/>
        </w:rPr>
        <w:t xml:space="preserve">), under </w:t>
      </w:r>
      <w:r>
        <w:rPr>
          <w:rFonts w:ascii="Times New Roman" w:hAnsi="Times New Roman"/>
          <w:sz w:val="17"/>
          <w:u w:val="single"/>
        </w:rPr>
        <w:t>Section 2.03</w:t>
      </w:r>
      <w:r>
        <w:rPr>
          <w:rFonts w:ascii="Times New Roman" w:hAnsi="Times New Roman"/>
          <w:sz w:val="17"/>
        </w:rPr>
        <w:t xml:space="preserve"> of the Second Amended and Restated Credit Agreement dated as of September       , 2013 (as further restated, amended, modified, supplemented and in effect, the </w:t>
      </w:r>
      <w:r>
        <w:rPr>
          <w:rFonts w:ascii="Times New Roman" w:hAnsi="Times New Roman"/>
          <w:sz w:val="17"/>
          <w:u w:val="single"/>
        </w:rPr>
        <w:t>Credit Agreement</w:t>
      </w:r>
      <w:r>
        <w:rPr>
          <w:rFonts w:ascii="Times New Roman" w:hAnsi="Times New Roman"/>
          <w:sz w:val="17"/>
        </w:rPr>
        <w:t>), by and among the Borrower, the Lenders party thereto, and Citibank, N.A., as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Borrower hereby requests that the Lenders make a Loan or Loans in the aggregate principal amount of $                             (the </w:t>
      </w:r>
      <w:r>
        <w:rPr>
          <w:rFonts w:ascii="Times New Roman" w:hAnsi="Times New Roman"/>
          <w:sz w:val="17"/>
          <w:u w:val="single"/>
        </w:rPr>
        <w:t>Loan</w:t>
      </w:r>
      <w:r>
        <w:rPr>
          <w:rFonts w:ascii="Times New Roman" w:hAnsi="Times New Roman"/>
          <w:sz w:val="17"/>
        </w:rPr>
        <w:t> or the </w:t>
      </w:r>
      <w:r>
        <w:rPr>
          <w:rFonts w:ascii="Times New Roman" w:hAnsi="Times New Roman"/>
          <w:sz w:val="17"/>
          <w:u w:val="single"/>
        </w:rPr>
        <w:t>Loans</w:t>
      </w:r>
      <w:r>
        <w:rPr>
          <w:rFonts w:ascii="Times New Roman" w:hAnsi="Times New Roman"/>
          <w:sz w:val="17"/>
        </w:rPr>
        <w:t>).  The Class of the Loan or Loans is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Borrower hereby requests that the Loan or Loans be made on                       , 201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The Borrower hereby requests that the Loan or Loans bear interest at the following interest rate, plus the Applicable Rate, as set forth below:</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875"/>
        <w:gridCol w:w="207"/>
        <w:gridCol w:w="1875"/>
        <w:gridCol w:w="207"/>
        <w:gridCol w:w="1876"/>
        <w:gridCol w:w="207"/>
        <w:gridCol w:w="1875"/>
        <w:gridCol w:w="207"/>
        <w:gridCol w:w="1876"/>
      </w:tblGrid>
      <w:tr>
        <w:trPr/>
        <w:tc>
          <w:tcPr>
            <w:tcW w:w="1875"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Type of Loan</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187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Principal</w:t>
              <w:br/>
              <w:t>Amount</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187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 Rate</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1875"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w:t>
              <w:br/>
              <w:t>Period(if</w:t>
              <w:br/>
              <w:t>applicable)</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1876"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Last day of</w:t>
              <w:br/>
              <w:t>Interest</w:t>
              <w:br/>
              <w:t>Period(if</w:t>
              <w:br/>
              <w:t>applicable)</w:t>
            </w:r>
          </w:p>
        </w:tc>
      </w:tr>
      <w:tr>
        <w:trPr/>
        <w:tc>
          <w:tcPr>
            <w:tcW w:w="1875" w:type="dxa"/>
            <w:tcBorders/>
            <w:shd w:fill="CCEEFF" w:val="clear"/>
            <w:tcMar>
              <w:bottom w:w="0" w:type="dxa"/>
            </w:tcMar>
            <w:vAlign w:val="bottom"/>
          </w:tcPr>
          <w:p>
            <w:pPr>
              <w:pStyle w:val="TableContents"/>
              <w:spacing w:before="0" w:after="0"/>
              <w:ind w:left="0" w:right="0" w:hanging="0"/>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1875" w:type="dxa"/>
            <w:tcBorders/>
            <w:shd w:fill="CCEEFF" w:val="clear"/>
            <w:tcMar>
              <w:bottom w:w="0" w:type="dxa"/>
            </w:tcMar>
            <w:vAlign w:val="bottom"/>
          </w:tcPr>
          <w:p>
            <w:pPr>
              <w:pStyle w:val="TableContents"/>
              <w:spacing w:before="0" w:after="0"/>
              <w:ind w:left="0" w:right="0" w:hanging="0"/>
              <w:jc w:val="center"/>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1876" w:type="dxa"/>
            <w:tcBorders/>
            <w:shd w:fill="CCEEFF" w:val="clear"/>
            <w:tcMar>
              <w:bottom w:w="0" w:type="dxa"/>
            </w:tcMar>
            <w:vAlign w:val="bottom"/>
          </w:tcPr>
          <w:p>
            <w:pPr>
              <w:pStyle w:val="TableContents"/>
              <w:spacing w:before="0" w:after="0"/>
              <w:ind w:left="0" w:right="0" w:hanging="0"/>
              <w:jc w:val="center"/>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1875" w:type="dxa"/>
            <w:tcBorders/>
            <w:shd w:fill="CCEEFF" w:val="clear"/>
            <w:tcMar>
              <w:bottom w:w="0" w:type="dxa"/>
            </w:tcMar>
            <w:vAlign w:val="bottom"/>
          </w:tcPr>
          <w:p>
            <w:pPr>
              <w:pStyle w:val="TableContents"/>
              <w:spacing w:before="0" w:after="0"/>
              <w:ind w:left="0" w:right="0" w:hanging="0"/>
              <w:jc w:val="center"/>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1876" w:type="dxa"/>
            <w:tcBorders/>
            <w:shd w:fill="CCEEFF" w:val="clear"/>
            <w:tcMar>
              <w:bottom w:w="0" w:type="dxa"/>
            </w:tcMar>
            <w:vAlign w:val="bottom"/>
          </w:tcPr>
          <w:p>
            <w:pPr>
              <w:pStyle w:val="TableContents"/>
              <w:spacing w:before="0" w:after="0"/>
              <w:ind w:left="0" w:right="0" w:hanging="0"/>
              <w:jc w:val="center"/>
              <w:rPr/>
            </w:pPr>
            <w:r>
              <w:rPr/>
              <w:t> </w:t>
            </w:r>
          </w:p>
        </w:tc>
      </w:tr>
      <w:tr>
        <w:trPr/>
        <w:tc>
          <w:tcPr>
            <w:tcW w:w="1875" w:type="dxa"/>
            <w:tcBorders/>
            <w:shd w:fill="auto" w:val="clear"/>
            <w:tcMar>
              <w:bottom w:w="0" w:type="dxa"/>
            </w:tcMar>
            <w:vAlign w:val="bottom"/>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1875" w:type="dxa"/>
            <w:tcBorders/>
            <w:shd w:fill="auto" w:val="clear"/>
            <w:tcMar>
              <w:bottom w:w="0" w:type="dxa"/>
            </w:tcMar>
            <w:vAlign w:val="bottom"/>
          </w:tcPr>
          <w:p>
            <w:pPr>
              <w:pStyle w:val="TableContents"/>
              <w:spacing w:before="0" w:after="0"/>
              <w:ind w:left="0" w:right="0" w:hanging="0"/>
              <w:jc w:val="center"/>
              <w:rPr/>
            </w:pPr>
            <w:r>
              <w:rPr/>
              <w:t> </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1876" w:type="dxa"/>
            <w:tcBorders/>
            <w:shd w:fill="auto" w:val="clear"/>
            <w:tcMar>
              <w:bottom w:w="0" w:type="dxa"/>
            </w:tcMar>
            <w:vAlign w:val="bottom"/>
          </w:tcPr>
          <w:p>
            <w:pPr>
              <w:pStyle w:val="TableContents"/>
              <w:spacing w:before="0" w:after="0"/>
              <w:ind w:left="0" w:right="0" w:hanging="0"/>
              <w:jc w:val="center"/>
              <w:rPr/>
            </w:pPr>
            <w:r>
              <w:rPr/>
              <w:t> </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1875" w:type="dxa"/>
            <w:tcBorders/>
            <w:shd w:fill="auto" w:val="clear"/>
            <w:tcMar>
              <w:bottom w:w="0" w:type="dxa"/>
            </w:tcMar>
            <w:vAlign w:val="bottom"/>
          </w:tcPr>
          <w:p>
            <w:pPr>
              <w:pStyle w:val="TableContents"/>
              <w:spacing w:before="0" w:after="0"/>
              <w:ind w:left="0" w:right="0" w:hanging="0"/>
              <w:jc w:val="center"/>
              <w:rPr/>
            </w:pPr>
            <w:r>
              <w:rPr/>
              <w:t> </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1876" w:type="dxa"/>
            <w:tcBorders/>
            <w:shd w:fill="auto" w:val="clear"/>
            <w:tcMar>
              <w:bottom w:w="0" w:type="dxa"/>
            </w:tcMar>
            <w:vAlign w:val="bottom"/>
          </w:tcPr>
          <w:p>
            <w:pPr>
              <w:pStyle w:val="TableContents"/>
              <w:spacing w:before="0" w:after="0"/>
              <w:ind w:left="0" w:right="0" w:hanging="0"/>
              <w:jc w:val="center"/>
              <w:rPr/>
            </w:pPr>
            <w:r>
              <w:rPr/>
              <w:t> </w:t>
            </w:r>
          </w:p>
        </w:tc>
      </w:tr>
      <w:tr>
        <w:trPr/>
        <w:tc>
          <w:tcPr>
            <w:tcW w:w="1875" w:type="dxa"/>
            <w:tcBorders/>
            <w:shd w:fill="CCEEFF" w:val="clear"/>
            <w:tcMar>
              <w:bottom w:w="0" w:type="dxa"/>
            </w:tcMar>
            <w:vAlign w:val="bottom"/>
          </w:tcPr>
          <w:p>
            <w:pPr>
              <w:pStyle w:val="TableContents"/>
              <w:spacing w:before="0" w:after="0"/>
              <w:ind w:left="0" w:right="0" w:hanging="0"/>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1875" w:type="dxa"/>
            <w:tcBorders/>
            <w:shd w:fill="CCEEFF" w:val="clear"/>
            <w:tcMar>
              <w:bottom w:w="0" w:type="dxa"/>
            </w:tcMar>
            <w:vAlign w:val="bottom"/>
          </w:tcPr>
          <w:p>
            <w:pPr>
              <w:pStyle w:val="TableContents"/>
              <w:spacing w:before="0" w:after="0"/>
              <w:ind w:left="0" w:right="0" w:hanging="0"/>
              <w:jc w:val="center"/>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1876" w:type="dxa"/>
            <w:tcBorders/>
            <w:shd w:fill="CCEEFF" w:val="clear"/>
            <w:tcMar>
              <w:bottom w:w="0" w:type="dxa"/>
            </w:tcMar>
            <w:vAlign w:val="bottom"/>
          </w:tcPr>
          <w:p>
            <w:pPr>
              <w:pStyle w:val="TableContents"/>
              <w:spacing w:before="0" w:after="0"/>
              <w:ind w:left="0" w:right="0" w:hanging="0"/>
              <w:jc w:val="center"/>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1875" w:type="dxa"/>
            <w:tcBorders/>
            <w:shd w:fill="CCEEFF" w:val="clear"/>
            <w:tcMar>
              <w:bottom w:w="0" w:type="dxa"/>
            </w:tcMar>
            <w:vAlign w:val="bottom"/>
          </w:tcPr>
          <w:p>
            <w:pPr>
              <w:pStyle w:val="TableContents"/>
              <w:spacing w:before="0" w:after="0"/>
              <w:ind w:left="0" w:right="0" w:hanging="0"/>
              <w:jc w:val="center"/>
              <w:rPr/>
            </w:pPr>
            <w:r>
              <w:rPr/>
              <w:t> </w:t>
            </w:r>
          </w:p>
        </w:tc>
        <w:tc>
          <w:tcPr>
            <w:tcW w:w="207" w:type="dxa"/>
            <w:tcBorders/>
            <w:shd w:fill="CCEEFF" w:val="clear"/>
            <w:tcMar>
              <w:bottom w:w="0" w:type="dxa"/>
            </w:tcMar>
            <w:vAlign w:val="bottom"/>
          </w:tcPr>
          <w:p>
            <w:pPr>
              <w:pStyle w:val="TableContents"/>
              <w:spacing w:before="0" w:after="0"/>
              <w:ind w:left="0" w:right="0" w:hanging="0"/>
              <w:jc w:val="center"/>
              <w:rPr/>
            </w:pPr>
            <w:r>
              <w:rPr/>
              <w:t> </w:t>
            </w:r>
          </w:p>
        </w:tc>
        <w:tc>
          <w:tcPr>
            <w:tcW w:w="1876" w:type="dxa"/>
            <w:tcBorders/>
            <w:shd w:fill="CCEEFF" w:val="clear"/>
            <w:tcMar>
              <w:bottom w:w="0" w:type="dxa"/>
            </w:tcMar>
            <w:vAlign w:val="bottom"/>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The Borrower hereby requests that the funds from the Loan or Loans be disbursed to the following bank account: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After giving effect to the requested Loan or Loans, the total Revolving Exposure would not exceed the total Revolving Commitments.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57" w:name="15636-2-LM-21_PB_1_013611_2897"/>
      <w:bookmarkEnd w:id="25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sz w:val="17"/>
        </w:rPr>
        <w:t>All capitalized undefined terms used herein have the meanings assigned thereto in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undersigned have executed this Borrowing Request this            day of                         , 201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32"/>
        <w:gridCol w:w="4517"/>
        <w:gridCol w:w="641"/>
        <w:gridCol w:w="659"/>
        <w:gridCol w:w="3756"/>
      </w:tblGrid>
      <w:tr>
        <w:trPr/>
        <w:tc>
          <w:tcPr>
            <w:tcW w:w="5149" w:type="dxa"/>
            <w:gridSpan w:val="2"/>
            <w:tcBorders/>
            <w:shd w:fill="auto" w:val="clear"/>
          </w:tcPr>
          <w:p>
            <w:pPr>
              <w:pStyle w:val="TableContents"/>
              <w:spacing w:before="0" w:after="0"/>
              <w:ind w:left="0" w:right="0" w:hanging="0"/>
              <w:rPr/>
            </w:pPr>
            <w:r>
              <w:rPr/>
              <w:t> </w:t>
            </w:r>
          </w:p>
        </w:tc>
        <w:tc>
          <w:tcPr>
            <w:tcW w:w="50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149" w:type="dxa"/>
            <w:gridSpan w:val="2"/>
            <w:tcBorders/>
            <w:shd w:fill="auto" w:val="clear"/>
          </w:tcPr>
          <w:p>
            <w:pPr>
              <w:pStyle w:val="TableContents"/>
              <w:spacing w:before="0" w:after="0"/>
              <w:ind w:left="0" w:right="0" w:hanging="0"/>
              <w:rPr/>
            </w:pPr>
            <w:r>
              <w:rPr/>
              <w:t> </w:t>
            </w:r>
          </w:p>
        </w:tc>
        <w:tc>
          <w:tcPr>
            <w:tcW w:w="5056"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partnership</w:t>
            </w:r>
          </w:p>
        </w:tc>
      </w:tr>
      <w:tr>
        <w:trPr/>
        <w:tc>
          <w:tcPr>
            <w:tcW w:w="5149" w:type="dxa"/>
            <w:gridSpan w:val="2"/>
            <w:tcBorders/>
            <w:shd w:fill="auto" w:val="clear"/>
          </w:tcPr>
          <w:p>
            <w:pPr>
              <w:pStyle w:val="TableContents"/>
              <w:spacing w:before="0" w:after="0"/>
              <w:ind w:left="0" w:right="0" w:hanging="0"/>
              <w:rPr/>
            </w:pPr>
            <w:r>
              <w:rPr/>
              <w:t> </w:t>
            </w:r>
          </w:p>
        </w:tc>
        <w:tc>
          <w:tcPr>
            <w:tcW w:w="5056" w:type="dxa"/>
            <w:gridSpan w:val="3"/>
            <w:tcBorders/>
            <w:shd w:fill="auto" w:val="clear"/>
          </w:tcPr>
          <w:p>
            <w:pPr>
              <w:pStyle w:val="TableContents"/>
              <w:spacing w:before="0" w:after="0"/>
              <w:ind w:left="0" w:right="0" w:hanging="0"/>
              <w:rPr/>
            </w:pPr>
            <w:r>
              <w:rPr/>
              <w:t> </w:t>
            </w:r>
          </w:p>
        </w:tc>
      </w:tr>
      <w:tr>
        <w:trPr/>
        <w:tc>
          <w:tcPr>
            <w:tcW w:w="5149" w:type="dxa"/>
            <w:gridSpan w:val="2"/>
            <w:tcBorders/>
            <w:shd w:fill="auto" w:val="clear"/>
          </w:tcPr>
          <w:p>
            <w:pPr>
              <w:pStyle w:val="TableContents"/>
              <w:spacing w:before="0" w:after="0"/>
              <w:ind w:left="0" w:right="0" w:hanging="0"/>
              <w:rPr/>
            </w:pPr>
            <w:r>
              <w:rPr/>
              <w:t> </w:t>
            </w:r>
          </w:p>
        </w:tc>
        <w:tc>
          <w:tcPr>
            <w:tcW w:w="6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1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49" w:type="dxa"/>
            <w:gridSpan w:val="2"/>
            <w:tcBorders/>
            <w:shd w:fill="auto" w:val="clear"/>
          </w:tcPr>
          <w:p>
            <w:pPr>
              <w:pStyle w:val="TableContents"/>
              <w:spacing w:before="0" w:after="0"/>
              <w:ind w:left="0" w:right="0" w:hanging="0"/>
              <w:rPr/>
            </w:pPr>
            <w:r>
              <w:rPr/>
              <w:t> </w:t>
            </w:r>
          </w:p>
        </w:tc>
        <w:tc>
          <w:tcPr>
            <w:tcW w:w="641" w:type="dxa"/>
            <w:tcBorders/>
            <w:shd w:fill="auto" w:val="clear"/>
          </w:tcPr>
          <w:p>
            <w:pPr>
              <w:pStyle w:val="TableContents"/>
              <w:spacing w:before="0" w:after="0"/>
              <w:ind w:left="0" w:right="0" w:hanging="0"/>
              <w:rPr/>
            </w:pPr>
            <w:r>
              <w:rPr/>
              <w:t> </w:t>
            </w:r>
          </w:p>
        </w:tc>
        <w:tc>
          <w:tcPr>
            <w:tcW w:w="441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49" w:type="dxa"/>
            <w:gridSpan w:val="2"/>
            <w:tcBorders/>
            <w:shd w:fill="auto" w:val="clear"/>
          </w:tcPr>
          <w:p>
            <w:pPr>
              <w:pStyle w:val="TableContents"/>
              <w:spacing w:before="0" w:after="0"/>
              <w:ind w:left="0" w:right="0" w:hanging="0"/>
              <w:rPr/>
            </w:pPr>
            <w:r>
              <w:rPr/>
              <w:t> </w:t>
            </w:r>
          </w:p>
        </w:tc>
        <w:tc>
          <w:tcPr>
            <w:tcW w:w="641" w:type="dxa"/>
            <w:tcBorders/>
            <w:shd w:fill="auto" w:val="clear"/>
          </w:tcPr>
          <w:p>
            <w:pPr>
              <w:pStyle w:val="TableContents"/>
              <w:spacing w:before="0" w:after="0"/>
              <w:ind w:left="0" w:right="0" w:hanging="0"/>
              <w:rPr/>
            </w:pPr>
            <w:r>
              <w:rPr/>
              <w:t> </w:t>
            </w:r>
          </w:p>
        </w:tc>
        <w:tc>
          <w:tcPr>
            <w:tcW w:w="441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49" w:type="dxa"/>
            <w:gridSpan w:val="2"/>
            <w:tcBorders/>
            <w:shd w:fill="auto" w:val="clear"/>
          </w:tcPr>
          <w:p>
            <w:pPr>
              <w:pStyle w:val="TableContents"/>
              <w:spacing w:before="0" w:after="0"/>
              <w:ind w:left="0" w:right="0" w:hanging="0"/>
              <w:rPr/>
            </w:pPr>
            <w:r>
              <w:rPr/>
              <w:t> </w:t>
            </w:r>
          </w:p>
        </w:tc>
        <w:tc>
          <w:tcPr>
            <w:tcW w:w="5056" w:type="dxa"/>
            <w:gridSpan w:val="3"/>
            <w:tcBorders/>
            <w:shd w:fill="auto" w:val="clear"/>
          </w:tcPr>
          <w:p>
            <w:pPr>
              <w:pStyle w:val="TableContents"/>
              <w:spacing w:before="0" w:after="0"/>
              <w:ind w:left="0" w:right="0" w:hanging="0"/>
              <w:rPr/>
            </w:pPr>
            <w:r>
              <w:rPr/>
              <w:t> </w:t>
            </w:r>
          </w:p>
        </w:tc>
      </w:tr>
      <w:tr>
        <w:trPr/>
        <w:tc>
          <w:tcPr>
            <w:tcW w:w="5149" w:type="dxa"/>
            <w:gridSpan w:val="2"/>
            <w:tcBorders/>
            <w:shd w:fill="auto" w:val="clear"/>
          </w:tcPr>
          <w:p>
            <w:pPr>
              <w:pStyle w:val="TableContents"/>
              <w:spacing w:before="0" w:after="0"/>
              <w:ind w:left="0" w:right="0" w:hanging="0"/>
              <w:rPr/>
            </w:pPr>
            <w:r>
              <w:rPr/>
              <w:t> </w:t>
            </w:r>
          </w:p>
        </w:tc>
        <w:tc>
          <w:tcPr>
            <w:tcW w:w="5056" w:type="dxa"/>
            <w:gridSpan w:val="3"/>
            <w:tcBorders/>
            <w:shd w:fill="auto" w:val="clear"/>
          </w:tcPr>
          <w:p>
            <w:pPr>
              <w:pStyle w:val="TableContents"/>
              <w:spacing w:before="0" w:after="0"/>
              <w:ind w:left="0" w:right="0" w:hanging="0"/>
              <w:rPr/>
            </w:pPr>
            <w:r>
              <w:rPr/>
              <w:t> </w:t>
            </w:r>
          </w:p>
        </w:tc>
      </w:tr>
      <w:tr>
        <w:trPr/>
        <w:tc>
          <w:tcPr>
            <w:tcW w:w="5149" w:type="dxa"/>
            <w:gridSpan w:val="2"/>
            <w:tcBorders/>
            <w:shd w:fill="auto" w:val="clear"/>
          </w:tcPr>
          <w:p>
            <w:pPr>
              <w:pStyle w:val="TableContents"/>
              <w:spacing w:before="0" w:after="0"/>
              <w:ind w:left="0" w:right="0" w:hanging="0"/>
              <w:rPr/>
            </w:pPr>
            <w:r>
              <w:rPr/>
              <w:t> </w:t>
            </w:r>
          </w:p>
        </w:tc>
        <w:tc>
          <w:tcPr>
            <w:tcW w:w="641" w:type="dxa"/>
            <w:tcBorders/>
            <w:shd w:fill="auto" w:val="clear"/>
          </w:tcPr>
          <w:p>
            <w:pPr>
              <w:pStyle w:val="TableContents"/>
              <w:spacing w:before="0" w:after="0"/>
              <w:ind w:left="0" w:right="0" w:hanging="0"/>
              <w:rPr/>
            </w:pPr>
            <w:r>
              <w:rPr/>
              <w:t> </w:t>
            </w:r>
          </w:p>
        </w:tc>
        <w:tc>
          <w:tcPr>
            <w:tcW w:w="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75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49" w:type="dxa"/>
            <w:gridSpan w:val="2"/>
            <w:tcBorders/>
            <w:shd w:fill="auto" w:val="clear"/>
          </w:tcPr>
          <w:p>
            <w:pPr>
              <w:pStyle w:val="TableContents"/>
              <w:spacing w:before="0" w:after="0"/>
              <w:ind w:left="0" w:right="0" w:hanging="0"/>
              <w:rPr/>
            </w:pPr>
            <w:r>
              <w:rPr/>
              <w:t> </w:t>
            </w:r>
          </w:p>
        </w:tc>
        <w:tc>
          <w:tcPr>
            <w:tcW w:w="641" w:type="dxa"/>
            <w:tcBorders/>
            <w:shd w:fill="auto" w:val="clear"/>
          </w:tcPr>
          <w:p>
            <w:pPr>
              <w:pStyle w:val="TableContents"/>
              <w:spacing w:before="0" w:after="0"/>
              <w:ind w:left="0" w:right="0" w:hanging="0"/>
              <w:rPr/>
            </w:pPr>
            <w:r>
              <w:rPr/>
              <w:t> </w:t>
            </w:r>
          </w:p>
        </w:tc>
        <w:tc>
          <w:tcPr>
            <w:tcW w:w="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75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49" w:type="dxa"/>
            <w:gridSpan w:val="2"/>
            <w:tcBorders/>
            <w:shd w:fill="auto" w:val="clear"/>
          </w:tcPr>
          <w:p>
            <w:pPr>
              <w:pStyle w:val="TableContents"/>
              <w:spacing w:before="0" w:after="0"/>
              <w:ind w:left="0" w:right="0" w:hanging="0"/>
              <w:rPr/>
            </w:pPr>
            <w:r>
              <w:rPr/>
              <w:t> </w:t>
            </w:r>
          </w:p>
        </w:tc>
        <w:tc>
          <w:tcPr>
            <w:tcW w:w="641" w:type="dxa"/>
            <w:tcBorders/>
            <w:shd w:fill="auto" w:val="clear"/>
          </w:tcPr>
          <w:p>
            <w:pPr>
              <w:pStyle w:val="TableContents"/>
              <w:spacing w:before="0" w:after="0"/>
              <w:ind w:left="0" w:right="0" w:hanging="0"/>
              <w:rPr/>
            </w:pPr>
            <w:r>
              <w:rPr/>
              <w:t> </w:t>
            </w:r>
          </w:p>
        </w:tc>
        <w:tc>
          <w:tcPr>
            <w:tcW w:w="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75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49" w:type="dxa"/>
            <w:gridSpan w:val="2"/>
            <w:tcBorders/>
            <w:shd w:fill="auto" w:val="clear"/>
          </w:tcPr>
          <w:p>
            <w:pPr>
              <w:pStyle w:val="TableContents"/>
              <w:spacing w:before="0" w:after="0"/>
              <w:ind w:left="0" w:right="0" w:hanging="0"/>
              <w:rPr/>
            </w:pPr>
            <w:r>
              <w:rPr/>
              <w:t> </w:t>
            </w:r>
          </w:p>
        </w:tc>
        <w:tc>
          <w:tcPr>
            <w:tcW w:w="5056" w:type="dxa"/>
            <w:gridSpan w:val="3"/>
            <w:tcBorders/>
            <w:shd w:fill="auto" w:val="clear"/>
          </w:tcPr>
          <w:p>
            <w:pPr>
              <w:pStyle w:val="TableContents"/>
              <w:spacing w:before="0" w:after="0"/>
              <w:ind w:left="0" w:right="0" w:hanging="0"/>
              <w:rPr/>
            </w:pPr>
            <w:r>
              <w:rPr/>
              <w:t> </w:t>
            </w:r>
          </w:p>
        </w:tc>
      </w:tr>
      <w:tr>
        <w:trPr/>
        <w:tc>
          <w:tcPr>
            <w:tcW w:w="5149" w:type="dxa"/>
            <w:gridSpan w:val="2"/>
            <w:tcBorders/>
            <w:shd w:fill="auto" w:val="clear"/>
          </w:tcPr>
          <w:p>
            <w:pPr>
              <w:pStyle w:val="TableContents"/>
              <w:spacing w:before="0" w:after="0"/>
              <w:ind w:left="0" w:right="0" w:hanging="0"/>
              <w:rPr/>
            </w:pPr>
            <w:r>
              <w:rPr/>
              <w:t> </w:t>
            </w:r>
          </w:p>
        </w:tc>
        <w:tc>
          <w:tcPr>
            <w:tcW w:w="5056" w:type="dxa"/>
            <w:gridSpan w:val="3"/>
            <w:tcBorders/>
            <w:shd w:fill="auto" w:val="cle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cc:</w:t>
            </w:r>
          </w:p>
        </w:tc>
        <w:tc>
          <w:tcPr>
            <w:tcW w:w="4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Citibank, N.A.</w:t>
            </w:r>
          </w:p>
        </w:tc>
        <w:tc>
          <w:tcPr>
            <w:tcW w:w="5056" w:type="dxa"/>
            <w:gridSpan w:val="3"/>
            <w:tcBorders/>
            <w:shd w:fill="auto" w:val="cle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pPr>
            <w:r>
              <w:rPr/>
              <w:t> </w:t>
            </w:r>
          </w:p>
        </w:tc>
        <w:tc>
          <w:tcPr>
            <w:tcW w:w="4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811 Main St., Suite 4000</w:t>
            </w:r>
          </w:p>
        </w:tc>
        <w:tc>
          <w:tcPr>
            <w:tcW w:w="5056" w:type="dxa"/>
            <w:gridSpan w:val="3"/>
            <w:tcBorders/>
            <w:shd w:fill="auto" w:val="cle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pPr>
            <w:r>
              <w:rPr/>
              <w:t> </w:t>
            </w:r>
          </w:p>
        </w:tc>
        <w:tc>
          <w:tcPr>
            <w:tcW w:w="4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Houston, Texas 77002</w:t>
            </w:r>
          </w:p>
        </w:tc>
        <w:tc>
          <w:tcPr>
            <w:tcW w:w="5056" w:type="dxa"/>
            <w:gridSpan w:val="3"/>
            <w:tcBorders/>
            <w:shd w:fill="auto" w:val="cle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pPr>
            <w:r>
              <w:rPr/>
              <w:t> </w:t>
            </w:r>
          </w:p>
        </w:tc>
        <w:tc>
          <w:tcPr>
            <w:tcW w:w="4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Attn: Plains All American Account Officer</w:t>
            </w:r>
          </w:p>
        </w:tc>
        <w:tc>
          <w:tcPr>
            <w:tcW w:w="5056" w:type="dxa"/>
            <w:gridSpan w:val="3"/>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58" w:name="15636-2-LM-21_PB_2_013829_3020"/>
      <w:bookmarkEnd w:id="25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w:t>
        <w:br/>
        <w:t>INTEREST ELECTION REQUEST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Dated                         , 201</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Citibank, N.A.,</w:t>
      </w:r>
    </w:p>
    <w:p>
      <w:pPr>
        <w:pStyle w:val="TextBody"/>
        <w:spacing w:before="0" w:after="0"/>
        <w:ind w:left="0" w:right="0" w:hanging="0"/>
        <w:rPr>
          <w:rFonts w:ascii="Times New Roman" w:hAnsi="Times New Roman"/>
          <w:sz w:val="17"/>
        </w:rPr>
      </w:pPr>
      <w:r>
        <w:rPr>
          <w:rFonts w:ascii="Times New Roman" w:hAnsi="Times New Roman"/>
          <w:sz w:val="17"/>
        </w:rPr>
        <w:t>as Administrative Agent</w:t>
      </w:r>
    </w:p>
    <w:p>
      <w:pPr>
        <w:pStyle w:val="TextBody"/>
        <w:spacing w:before="0" w:after="0"/>
        <w:ind w:left="0" w:right="0" w:hanging="0"/>
        <w:rPr>
          <w:rFonts w:ascii="Times New Roman" w:hAnsi="Times New Roman"/>
          <w:sz w:val="17"/>
        </w:rPr>
      </w:pPr>
      <w:r>
        <w:rPr>
          <w:rFonts w:ascii="Times New Roman" w:hAnsi="Times New Roman"/>
          <w:sz w:val="17"/>
        </w:rPr>
        <w:t>1616 Brett Road, OPS III</w:t>
      </w:r>
    </w:p>
    <w:p>
      <w:pPr>
        <w:pStyle w:val="TextBody"/>
        <w:spacing w:before="0" w:after="0"/>
        <w:ind w:left="0" w:right="0" w:hanging="0"/>
        <w:rPr>
          <w:rFonts w:ascii="Times New Roman" w:hAnsi="Times New Roman"/>
          <w:sz w:val="17"/>
        </w:rPr>
      </w:pPr>
      <w:r>
        <w:rPr>
          <w:rFonts w:ascii="Times New Roman" w:hAnsi="Times New Roman"/>
          <w:sz w:val="17"/>
        </w:rPr>
        <w:t>New Castle, Delaware 19720</w:t>
      </w:r>
    </w:p>
    <w:p>
      <w:pPr>
        <w:pStyle w:val="TextBody"/>
        <w:spacing w:before="0" w:after="0"/>
        <w:ind w:left="0" w:right="0" w:hanging="0"/>
        <w:rPr>
          <w:rFonts w:ascii="Times New Roman" w:hAnsi="Times New Roman"/>
          <w:sz w:val="17"/>
        </w:rPr>
      </w:pPr>
      <w:r>
        <w:rPr>
          <w:rFonts w:ascii="Times New Roman" w:hAnsi="Times New Roman"/>
          <w:sz w:val="17"/>
        </w:rPr>
        <w:t>Attn:  Plains All American Account Officer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irrevocable Interest Election Request (the </w:t>
      </w:r>
      <w:r>
        <w:rPr>
          <w:rFonts w:ascii="Times New Roman" w:hAnsi="Times New Roman"/>
          <w:sz w:val="17"/>
          <w:u w:val="single"/>
        </w:rPr>
        <w:t>Request</w:t>
      </w:r>
      <w:r>
        <w:rPr>
          <w:rFonts w:ascii="Times New Roman" w:hAnsi="Times New Roman"/>
          <w:sz w:val="17"/>
        </w:rPr>
        <w:t xml:space="preserve">) is delivered to you under </w:t>
      </w:r>
      <w:r>
        <w:rPr>
          <w:rFonts w:ascii="Times New Roman" w:hAnsi="Times New Roman"/>
          <w:sz w:val="17"/>
          <w:u w:val="single"/>
        </w:rPr>
        <w:t>Section 2.08</w:t>
      </w:r>
      <w:r>
        <w:rPr>
          <w:rFonts w:ascii="Times New Roman" w:hAnsi="Times New Roman"/>
          <w:sz w:val="17"/>
        </w:rPr>
        <w:t xml:space="preserve"> of the Second Amended and Restated Credit Agreement dated as of September       , 2013 (as further restated, amended, modified, supplemented and in effect from time to time, the </w:t>
      </w:r>
      <w:r>
        <w:rPr>
          <w:rFonts w:ascii="Times New Roman" w:hAnsi="Times New Roman"/>
          <w:sz w:val="17"/>
          <w:u w:val="single"/>
        </w:rPr>
        <w:t>Credit Agreement</w:t>
      </w:r>
      <w:r>
        <w:rPr>
          <w:rFonts w:ascii="Times New Roman" w:hAnsi="Times New Roman"/>
          <w:sz w:val="17"/>
        </w:rPr>
        <w:t>), by and among Plains AAP, L.P., a Delaware limited partnership, the Lenders party thereto (the </w:t>
      </w:r>
      <w:r>
        <w:rPr>
          <w:rFonts w:ascii="Times New Roman" w:hAnsi="Times New Roman"/>
          <w:sz w:val="17"/>
          <w:u w:val="single"/>
        </w:rPr>
        <w:t>Lenders</w:t>
      </w:r>
      <w:r>
        <w:rPr>
          <w:rFonts w:ascii="Times New Roman" w:hAnsi="Times New Roman"/>
          <w:sz w:val="17"/>
        </w:rPr>
        <w:t>), and Citibank, N.A., as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This Interest Election Request is submitted for the purpose 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[Converting] [Continuing] a                        Loan [into] [as] a                          Loan.(1)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aggregate outstanding principal balance of such  Loan is $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last day of the current Interest Period for such Loan is                           .(2)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principal amount of such Loan to be [converted] [continued] is $                          .(3)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requested effective date of the [conversion] [continuation] of such  Loan is                               .(4)</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The requested Interest Period applicable to the [converted] [continued] Loan is                                         .(5)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With respect to a Borrowing to be converted to or continued as a Eurodollar Borrowing, no Event of Default exists, and none will exist upon the conversion or continuation of the Borrowing requested herein.</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Delete the bracketed language and insert Alternate Base Rate or LIBO Rate, as applicable, in each blank.</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Insert applicable date for any Eurodollar Loan being converted or continued.</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Complete with an amount in compliance with Section 2.08 of the Credit Agreement.</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Complete with a Business Day in compliance with Section 2.08 of the Credit Agreement.</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Complete with an Interest Period in compliance with the Credit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59" w:name="15636-2-LM-21_PB_1_014112_7748"/>
      <w:bookmarkEnd w:id="25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All capitalized undefined terms used herein have the meanings assigned thereto in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undersigned has executed this Interest Election Request this            day of                                       , 201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32"/>
        <w:gridCol w:w="4516"/>
        <w:gridCol w:w="433"/>
        <w:gridCol w:w="659"/>
        <w:gridCol w:w="3965"/>
      </w:tblGrid>
      <w:tr>
        <w:trPr/>
        <w:tc>
          <w:tcPr>
            <w:tcW w:w="5148" w:type="dxa"/>
            <w:gridSpan w:val="2"/>
            <w:tcBorders/>
            <w:shd w:fill="auto" w:val="clear"/>
          </w:tcPr>
          <w:p>
            <w:pPr>
              <w:pStyle w:val="TableContents"/>
              <w:spacing w:before="0" w:after="0"/>
              <w:ind w:left="0" w:right="0" w:hanging="0"/>
              <w:rPr/>
            </w:pPr>
            <w:r>
              <w:rPr/>
              <w:t> </w:t>
            </w:r>
          </w:p>
        </w:tc>
        <w:tc>
          <w:tcPr>
            <w:tcW w:w="5057"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148" w:type="dxa"/>
            <w:gridSpan w:val="2"/>
            <w:tcBorders/>
            <w:shd w:fill="auto" w:val="clear"/>
          </w:tcPr>
          <w:p>
            <w:pPr>
              <w:pStyle w:val="TableContents"/>
              <w:spacing w:before="0" w:after="0"/>
              <w:ind w:left="0" w:right="0" w:hanging="0"/>
              <w:rPr/>
            </w:pPr>
            <w:r>
              <w:rPr/>
              <w:t> </w:t>
            </w:r>
          </w:p>
        </w:tc>
        <w:tc>
          <w:tcPr>
            <w:tcW w:w="5057"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partnership</w:t>
            </w:r>
          </w:p>
        </w:tc>
      </w:tr>
      <w:tr>
        <w:trPr/>
        <w:tc>
          <w:tcPr>
            <w:tcW w:w="5148" w:type="dxa"/>
            <w:gridSpan w:val="2"/>
            <w:tcBorders/>
            <w:shd w:fill="auto" w:val="clear"/>
          </w:tcPr>
          <w:p>
            <w:pPr>
              <w:pStyle w:val="TableContents"/>
              <w:spacing w:before="0" w:after="0"/>
              <w:ind w:left="0" w:right="0" w:hanging="0"/>
              <w:rPr/>
            </w:pPr>
            <w:r>
              <w:rPr/>
              <w:t> </w:t>
            </w:r>
          </w:p>
        </w:tc>
        <w:tc>
          <w:tcPr>
            <w:tcW w:w="5057" w:type="dxa"/>
            <w:gridSpan w:val="3"/>
            <w:tcBorders/>
            <w:shd w:fill="auto" w:val="clear"/>
          </w:tcPr>
          <w:p>
            <w:pPr>
              <w:pStyle w:val="TableContents"/>
              <w:spacing w:before="0" w:after="0"/>
              <w:ind w:left="0" w:right="0" w:hanging="0"/>
              <w:rPr/>
            </w:pPr>
            <w:r>
              <w:rPr/>
              <w:t> </w:t>
            </w:r>
          </w:p>
        </w:tc>
      </w:tr>
      <w:tr>
        <w:trPr/>
        <w:tc>
          <w:tcPr>
            <w:tcW w:w="5148" w:type="dxa"/>
            <w:gridSpan w:val="2"/>
            <w:tcBorders/>
            <w:shd w:fill="auto" w:val="clear"/>
          </w:tcPr>
          <w:p>
            <w:pPr>
              <w:pStyle w:val="TableContents"/>
              <w:spacing w:before="0" w:after="0"/>
              <w:ind w:left="0" w:right="0" w:hanging="0"/>
              <w:rPr/>
            </w:pPr>
            <w:r>
              <w:rPr/>
              <w:t> </w:t>
            </w:r>
          </w:p>
        </w:tc>
        <w:tc>
          <w:tcPr>
            <w:tcW w:w="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2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48" w:type="dxa"/>
            <w:gridSpan w:val="2"/>
            <w:tcBorders/>
            <w:shd w:fill="auto" w:val="clear"/>
          </w:tcPr>
          <w:p>
            <w:pPr>
              <w:pStyle w:val="TableContents"/>
              <w:spacing w:before="0" w:after="0"/>
              <w:ind w:left="0" w:right="0" w:hanging="0"/>
              <w:rPr/>
            </w:pPr>
            <w:r>
              <w:rPr/>
              <w:t> </w:t>
            </w:r>
          </w:p>
        </w:tc>
        <w:tc>
          <w:tcPr>
            <w:tcW w:w="433" w:type="dxa"/>
            <w:tcBorders/>
            <w:shd w:fill="auto" w:val="clear"/>
          </w:tcPr>
          <w:p>
            <w:pPr>
              <w:pStyle w:val="TableContents"/>
              <w:spacing w:before="0" w:after="0"/>
              <w:ind w:left="0" w:right="0" w:hanging="0"/>
              <w:rPr/>
            </w:pPr>
            <w:r>
              <w:rPr/>
              <w:t> </w:t>
            </w:r>
          </w:p>
        </w:tc>
        <w:tc>
          <w:tcPr>
            <w:tcW w:w="462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48" w:type="dxa"/>
            <w:gridSpan w:val="2"/>
            <w:tcBorders/>
            <w:shd w:fill="auto" w:val="clear"/>
          </w:tcPr>
          <w:p>
            <w:pPr>
              <w:pStyle w:val="TableContents"/>
              <w:spacing w:before="0" w:after="0"/>
              <w:ind w:left="0" w:right="0" w:hanging="0"/>
              <w:rPr/>
            </w:pPr>
            <w:r>
              <w:rPr/>
              <w:t> </w:t>
            </w:r>
          </w:p>
        </w:tc>
        <w:tc>
          <w:tcPr>
            <w:tcW w:w="433" w:type="dxa"/>
            <w:tcBorders/>
            <w:shd w:fill="auto" w:val="clear"/>
          </w:tcPr>
          <w:p>
            <w:pPr>
              <w:pStyle w:val="TableContents"/>
              <w:spacing w:before="0" w:after="0"/>
              <w:ind w:left="0" w:right="0" w:hanging="0"/>
              <w:rPr/>
            </w:pPr>
            <w:r>
              <w:rPr/>
              <w:t> </w:t>
            </w:r>
          </w:p>
        </w:tc>
        <w:tc>
          <w:tcPr>
            <w:tcW w:w="462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48" w:type="dxa"/>
            <w:gridSpan w:val="2"/>
            <w:tcBorders/>
            <w:shd w:fill="auto" w:val="clear"/>
          </w:tcPr>
          <w:p>
            <w:pPr>
              <w:pStyle w:val="TableContents"/>
              <w:spacing w:before="0" w:after="0"/>
              <w:ind w:left="0" w:right="0" w:hanging="0"/>
              <w:rPr/>
            </w:pPr>
            <w:r>
              <w:rPr/>
              <w:t> </w:t>
            </w:r>
          </w:p>
        </w:tc>
        <w:tc>
          <w:tcPr>
            <w:tcW w:w="433" w:type="dxa"/>
            <w:tcBorders/>
            <w:shd w:fill="auto" w:val="clear"/>
          </w:tcPr>
          <w:p>
            <w:pPr>
              <w:pStyle w:val="TableContents"/>
              <w:spacing w:before="0" w:after="0"/>
              <w:ind w:left="0" w:right="0" w:hanging="0"/>
              <w:rPr/>
            </w:pPr>
            <w:r>
              <w:rPr/>
              <w:t> </w:t>
            </w:r>
          </w:p>
        </w:tc>
        <w:tc>
          <w:tcPr>
            <w:tcW w:w="4624" w:type="dxa"/>
            <w:gridSpan w:val="2"/>
            <w:tcBorders/>
            <w:shd w:fill="auto" w:val="clear"/>
          </w:tcPr>
          <w:p>
            <w:pPr>
              <w:pStyle w:val="TableContents"/>
              <w:spacing w:before="0" w:after="0"/>
              <w:ind w:left="0" w:right="0" w:hanging="0"/>
              <w:rPr/>
            </w:pPr>
            <w:r>
              <w:rPr/>
              <w:t> </w:t>
            </w:r>
          </w:p>
        </w:tc>
      </w:tr>
      <w:tr>
        <w:trPr/>
        <w:tc>
          <w:tcPr>
            <w:tcW w:w="5148" w:type="dxa"/>
            <w:gridSpan w:val="2"/>
            <w:tcBorders/>
            <w:shd w:fill="auto" w:val="clear"/>
          </w:tcPr>
          <w:p>
            <w:pPr>
              <w:pStyle w:val="TableContents"/>
              <w:spacing w:before="0" w:after="0"/>
              <w:ind w:left="0" w:right="0" w:hanging="0"/>
              <w:rPr/>
            </w:pPr>
            <w:r>
              <w:rPr/>
              <w:t> </w:t>
            </w:r>
          </w:p>
        </w:tc>
        <w:tc>
          <w:tcPr>
            <w:tcW w:w="433" w:type="dxa"/>
            <w:tcBorders/>
            <w:shd w:fill="auto" w:val="clear"/>
          </w:tcPr>
          <w:p>
            <w:pPr>
              <w:pStyle w:val="TableContents"/>
              <w:spacing w:before="0" w:after="0"/>
              <w:ind w:left="0" w:right="0" w:hanging="0"/>
              <w:rPr/>
            </w:pPr>
            <w:r>
              <w:rPr/>
              <w:t> </w:t>
            </w:r>
          </w:p>
        </w:tc>
        <w:tc>
          <w:tcPr>
            <w:tcW w:w="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3965"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48" w:type="dxa"/>
            <w:gridSpan w:val="2"/>
            <w:tcBorders/>
            <w:shd w:fill="auto" w:val="clear"/>
          </w:tcPr>
          <w:p>
            <w:pPr>
              <w:pStyle w:val="TableContents"/>
              <w:spacing w:before="0" w:after="0"/>
              <w:ind w:left="0" w:right="0" w:hanging="0"/>
              <w:rPr/>
            </w:pPr>
            <w:r>
              <w:rPr/>
              <w:t> </w:t>
            </w:r>
          </w:p>
        </w:tc>
        <w:tc>
          <w:tcPr>
            <w:tcW w:w="433" w:type="dxa"/>
            <w:tcBorders/>
            <w:shd w:fill="auto" w:val="clear"/>
          </w:tcPr>
          <w:p>
            <w:pPr>
              <w:pStyle w:val="TableContents"/>
              <w:spacing w:before="0" w:after="0"/>
              <w:ind w:left="0" w:right="0" w:hanging="0"/>
              <w:rPr/>
            </w:pPr>
            <w:r>
              <w:rPr/>
              <w:t> </w:t>
            </w:r>
          </w:p>
        </w:tc>
        <w:tc>
          <w:tcPr>
            <w:tcW w:w="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65"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48" w:type="dxa"/>
            <w:gridSpan w:val="2"/>
            <w:tcBorders/>
            <w:shd w:fill="auto" w:val="clear"/>
          </w:tcPr>
          <w:p>
            <w:pPr>
              <w:pStyle w:val="TableContents"/>
              <w:spacing w:before="0" w:after="0"/>
              <w:ind w:left="0" w:right="0" w:hanging="0"/>
              <w:rPr/>
            </w:pPr>
            <w:r>
              <w:rPr/>
              <w:t> </w:t>
            </w:r>
          </w:p>
        </w:tc>
        <w:tc>
          <w:tcPr>
            <w:tcW w:w="433" w:type="dxa"/>
            <w:tcBorders/>
            <w:shd w:fill="auto" w:val="clear"/>
          </w:tcPr>
          <w:p>
            <w:pPr>
              <w:pStyle w:val="TableContents"/>
              <w:spacing w:before="0" w:after="0"/>
              <w:ind w:left="0" w:right="0" w:hanging="0"/>
              <w:rPr/>
            </w:pPr>
            <w:r>
              <w:rPr/>
              <w:t> </w:t>
            </w:r>
          </w:p>
        </w:tc>
        <w:tc>
          <w:tcPr>
            <w:tcW w:w="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65"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pPr>
            <w:r>
              <w:rPr/>
              <w:t> </w:t>
            </w:r>
          </w:p>
        </w:tc>
        <w:tc>
          <w:tcPr>
            <w:tcW w:w="4516" w:type="dxa"/>
            <w:tcBorders/>
            <w:shd w:fill="auto" w:val="clear"/>
          </w:tcPr>
          <w:p>
            <w:pPr>
              <w:pStyle w:val="TableContents"/>
              <w:spacing w:before="0" w:after="0"/>
              <w:ind w:left="0" w:right="0" w:hanging="0"/>
              <w:rPr/>
            </w:pPr>
            <w:r>
              <w:rPr/>
              <w:t> </w:t>
            </w:r>
          </w:p>
        </w:tc>
        <w:tc>
          <w:tcPr>
            <w:tcW w:w="5057" w:type="dxa"/>
            <w:gridSpan w:val="3"/>
            <w:tcBorders/>
            <w:shd w:fill="auto" w:val="cle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pPr>
            <w:r>
              <w:rPr/>
              <w:t> </w:t>
            </w:r>
          </w:p>
        </w:tc>
        <w:tc>
          <w:tcPr>
            <w:tcW w:w="4516" w:type="dxa"/>
            <w:tcBorders/>
            <w:shd w:fill="auto" w:val="clear"/>
          </w:tcPr>
          <w:p>
            <w:pPr>
              <w:pStyle w:val="TableContents"/>
              <w:spacing w:before="0" w:after="0"/>
              <w:ind w:left="0" w:right="0" w:hanging="0"/>
              <w:rPr/>
            </w:pPr>
            <w:r>
              <w:rPr/>
              <w:t> </w:t>
            </w:r>
          </w:p>
        </w:tc>
        <w:tc>
          <w:tcPr>
            <w:tcW w:w="5057" w:type="dxa"/>
            <w:gridSpan w:val="3"/>
            <w:tcBorders/>
            <w:shd w:fill="auto" w:val="cle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cc:</w:t>
            </w:r>
          </w:p>
        </w:tc>
        <w:tc>
          <w:tcPr>
            <w:tcW w:w="4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Citibank, N.A.</w:t>
            </w:r>
          </w:p>
        </w:tc>
        <w:tc>
          <w:tcPr>
            <w:tcW w:w="5057" w:type="dxa"/>
            <w:gridSpan w:val="3"/>
            <w:tcBorders/>
            <w:shd w:fill="auto" w:val="cle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pPr>
            <w:r>
              <w:rPr/>
              <w:t> </w:t>
            </w:r>
          </w:p>
        </w:tc>
        <w:tc>
          <w:tcPr>
            <w:tcW w:w="4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811 Main Street., Suite 4000</w:t>
            </w:r>
          </w:p>
        </w:tc>
        <w:tc>
          <w:tcPr>
            <w:tcW w:w="5057" w:type="dxa"/>
            <w:gridSpan w:val="3"/>
            <w:tcBorders/>
            <w:shd w:fill="auto" w:val="cle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pPr>
            <w:r>
              <w:rPr/>
              <w:t> </w:t>
            </w:r>
          </w:p>
        </w:tc>
        <w:tc>
          <w:tcPr>
            <w:tcW w:w="4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Houston, Texas 77002</w:t>
            </w:r>
          </w:p>
        </w:tc>
        <w:tc>
          <w:tcPr>
            <w:tcW w:w="5057" w:type="dxa"/>
            <w:gridSpan w:val="3"/>
            <w:tcBorders/>
            <w:shd w:fill="auto" w:val="clear"/>
          </w:tcPr>
          <w:p>
            <w:pPr>
              <w:pStyle w:val="TableContents"/>
              <w:spacing w:before="0" w:after="0"/>
              <w:ind w:left="0" w:right="0" w:hanging="0"/>
              <w:rPr/>
            </w:pPr>
            <w:r>
              <w:rPr/>
              <w:t> </w:t>
            </w:r>
          </w:p>
        </w:tc>
      </w:tr>
      <w:tr>
        <w:trPr/>
        <w:tc>
          <w:tcPr>
            <w:tcW w:w="632" w:type="dxa"/>
            <w:tcBorders/>
            <w:shd w:fill="auto" w:val="clear"/>
          </w:tcPr>
          <w:p>
            <w:pPr>
              <w:pStyle w:val="TableContents"/>
              <w:spacing w:before="0" w:after="0"/>
              <w:ind w:left="0" w:right="0" w:hanging="0"/>
              <w:rPr/>
            </w:pPr>
            <w:r>
              <w:rPr/>
              <w:t> </w:t>
            </w:r>
          </w:p>
        </w:tc>
        <w:tc>
          <w:tcPr>
            <w:tcW w:w="4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Attn: Plains All American Account Officer</w:t>
            </w:r>
          </w:p>
        </w:tc>
        <w:tc>
          <w:tcPr>
            <w:tcW w:w="5057" w:type="dxa"/>
            <w:gridSpan w:val="3"/>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60" w:name="15636-2-LM-21_PB_2_014356_141"/>
      <w:bookmarkEnd w:id="26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COMPLIANCE CERTIFICATE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undersigned hereby certifies that he is the                                                of Plains AAP, L.P., a Delaware limited partnership (the </w:t>
      </w:r>
      <w:r>
        <w:rPr>
          <w:rFonts w:ascii="Times New Roman" w:hAnsi="Times New Roman"/>
          <w:sz w:val="17"/>
          <w:u w:val="single"/>
        </w:rPr>
        <w:t>Borrower</w:t>
      </w:r>
      <w:r>
        <w:rPr>
          <w:rFonts w:ascii="Times New Roman" w:hAnsi="Times New Roman"/>
          <w:sz w:val="17"/>
        </w:rPr>
        <w:t>), and that as such he is authorized to execute this certificate on behalf of the Borrower.  With reference to the Second Amended and Restated Credit Agreement dated as of September       , 2013 (as further restated, amended, modified, supplemented and in effect from time to time, the </w:t>
      </w:r>
      <w:r>
        <w:rPr>
          <w:rFonts w:ascii="Times New Roman" w:hAnsi="Times New Roman"/>
          <w:sz w:val="17"/>
          <w:u w:val="single"/>
        </w:rPr>
        <w:t>Agreement</w:t>
      </w:r>
      <w:r>
        <w:rPr>
          <w:rFonts w:ascii="Times New Roman" w:hAnsi="Times New Roman"/>
          <w:sz w:val="17"/>
        </w:rPr>
        <w:t>), among the Borrower, the lenders that are or become a party thereto (the </w:t>
      </w:r>
      <w:r>
        <w:rPr>
          <w:rFonts w:ascii="Times New Roman" w:hAnsi="Times New Roman"/>
          <w:sz w:val="17"/>
          <w:u w:val="single"/>
        </w:rPr>
        <w:t>Lenders</w:t>
      </w:r>
      <w:r>
        <w:rPr>
          <w:rFonts w:ascii="Times New Roman" w:hAnsi="Times New Roman"/>
          <w:sz w:val="17"/>
        </w:rPr>
        <w:t>), and Citibank, N.A. as Administrative Agent, the undersigned, in his capacity as                                    of the Borrower, certifies, on behalf of the Borrower, as follows (each capitalized term used herein having the same meaning given to it in the Agreement unless otherwise specified);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To the best knowledge of the undersigned, a Default does not exist as of the date of this Certificate [other than as described in reasonable detail in, and as to which the Borrower is taking or proposes to take the action specified in, the Schedule attached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Attached hereto are the reasonably detailed calculations made to determine whether the Borrower is in compliance with </w:t>
      </w:r>
      <w:r>
        <w:rPr>
          <w:rFonts w:ascii="Times New Roman" w:hAnsi="Times New Roman"/>
          <w:sz w:val="17"/>
          <w:u w:val="single"/>
        </w:rPr>
        <w:t>Section 6.06</w:t>
      </w:r>
      <w:r>
        <w:rPr>
          <w:rFonts w:ascii="Times New Roman" w:hAnsi="Times New Roman"/>
          <w:sz w:val="17"/>
        </w:rPr>
        <w:t xml:space="preserve"> of the Agreement as of the end of the [fiscal quarter][fiscal year] ending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i/>
          <w:sz w:val="17"/>
        </w:rPr>
      </w:pPr>
      <w:r>
        <w:rPr>
          <w:rFonts w:ascii="Times New Roman" w:hAnsi="Times New Roman"/>
          <w:b/>
          <w:i/>
          <w:sz w:val="17"/>
        </w:rPr>
        <w:t>EXECUTED AND DELIVERED this          day of                                   , 201    .</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33"/>
        <w:gridCol w:w="423"/>
        <w:gridCol w:w="641"/>
        <w:gridCol w:w="4008"/>
      </w:tblGrid>
      <w:tr>
        <w:trPr/>
        <w:tc>
          <w:tcPr>
            <w:tcW w:w="5133" w:type="dxa"/>
            <w:tcBorders/>
            <w:shd w:fill="auto" w:val="clear"/>
          </w:tcPr>
          <w:p>
            <w:pPr>
              <w:pStyle w:val="TableContents"/>
              <w:spacing w:before="0" w:after="0"/>
              <w:ind w:left="0" w:right="0" w:hanging="0"/>
              <w:rPr/>
            </w:pPr>
            <w:r>
              <w:rPr/>
              <w:t> </w:t>
            </w:r>
          </w:p>
        </w:tc>
        <w:tc>
          <w:tcPr>
            <w:tcW w:w="507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133" w:type="dxa"/>
            <w:tcBorders/>
            <w:shd w:fill="auto" w:val="clear"/>
          </w:tcPr>
          <w:p>
            <w:pPr>
              <w:pStyle w:val="TableContents"/>
              <w:spacing w:before="0" w:after="0"/>
              <w:ind w:left="0" w:right="0" w:hanging="0"/>
              <w:rPr/>
            </w:pPr>
            <w:r>
              <w:rPr/>
              <w:t> </w:t>
            </w:r>
          </w:p>
        </w:tc>
        <w:tc>
          <w:tcPr>
            <w:tcW w:w="5072"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partnership</w:t>
            </w:r>
          </w:p>
        </w:tc>
      </w:tr>
      <w:tr>
        <w:trPr/>
        <w:tc>
          <w:tcPr>
            <w:tcW w:w="5133" w:type="dxa"/>
            <w:tcBorders/>
            <w:shd w:fill="auto" w:val="clear"/>
          </w:tcPr>
          <w:p>
            <w:pPr>
              <w:pStyle w:val="TableContents"/>
              <w:spacing w:before="0" w:after="0"/>
              <w:ind w:left="0" w:right="0" w:hanging="0"/>
              <w:rPr/>
            </w:pPr>
            <w:r>
              <w:rPr/>
              <w:t> </w:t>
            </w:r>
          </w:p>
        </w:tc>
        <w:tc>
          <w:tcPr>
            <w:tcW w:w="5072" w:type="dxa"/>
            <w:gridSpan w:val="3"/>
            <w:tcBorders/>
            <w:shd w:fill="auto" w:val="clear"/>
          </w:tcPr>
          <w:p>
            <w:pPr>
              <w:pStyle w:val="TableContents"/>
              <w:spacing w:before="0" w:after="0"/>
              <w:ind w:left="0" w:right="0" w:hanging="0"/>
              <w:rPr/>
            </w:pPr>
            <w:r>
              <w:rPr/>
              <w:t> </w:t>
            </w:r>
          </w:p>
        </w:tc>
      </w:tr>
      <w:tr>
        <w:trPr/>
        <w:tc>
          <w:tcPr>
            <w:tcW w:w="5133" w:type="dxa"/>
            <w:tcBorders/>
            <w:shd w:fill="auto" w:val="clear"/>
          </w:tcPr>
          <w:p>
            <w:pPr>
              <w:pStyle w:val="TableContents"/>
              <w:spacing w:before="0" w:after="0"/>
              <w:ind w:left="0" w:right="0" w:hanging="0"/>
              <w:rPr/>
            </w:pPr>
            <w:r>
              <w:rPr/>
              <w:t> </w:t>
            </w:r>
          </w:p>
        </w:tc>
        <w:tc>
          <w:tcPr>
            <w:tcW w:w="4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33" w:type="dxa"/>
            <w:tcBorders/>
            <w:shd w:fill="auto" w:val="clear"/>
          </w:tcPr>
          <w:p>
            <w:pPr>
              <w:pStyle w:val="TableContents"/>
              <w:spacing w:before="0" w:after="0"/>
              <w:ind w:left="0" w:right="0" w:hanging="0"/>
              <w:rPr/>
            </w:pPr>
            <w:r>
              <w:rPr/>
              <w:t> </w:t>
            </w:r>
          </w:p>
        </w:tc>
        <w:tc>
          <w:tcPr>
            <w:tcW w:w="423" w:type="dxa"/>
            <w:tcBorders/>
            <w:shd w:fill="auto" w:val="clear"/>
          </w:tcPr>
          <w:p>
            <w:pPr>
              <w:pStyle w:val="TableContents"/>
              <w:spacing w:before="0" w:after="0"/>
              <w:ind w:left="0" w:right="0" w:hanging="0"/>
              <w:rPr/>
            </w:pPr>
            <w:r>
              <w:rPr/>
              <w:t> </w:t>
            </w:r>
          </w:p>
        </w:tc>
        <w:tc>
          <w:tcPr>
            <w:tcW w:w="464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33" w:type="dxa"/>
            <w:tcBorders/>
            <w:shd w:fill="auto" w:val="clear"/>
          </w:tcPr>
          <w:p>
            <w:pPr>
              <w:pStyle w:val="TableContents"/>
              <w:spacing w:before="0" w:after="0"/>
              <w:ind w:left="0" w:right="0" w:hanging="0"/>
              <w:rPr/>
            </w:pPr>
            <w:r>
              <w:rPr/>
              <w:t> </w:t>
            </w:r>
          </w:p>
        </w:tc>
        <w:tc>
          <w:tcPr>
            <w:tcW w:w="423" w:type="dxa"/>
            <w:tcBorders/>
            <w:shd w:fill="auto" w:val="clear"/>
          </w:tcPr>
          <w:p>
            <w:pPr>
              <w:pStyle w:val="TableContents"/>
              <w:spacing w:before="0" w:after="0"/>
              <w:ind w:left="0" w:right="0" w:hanging="0"/>
              <w:rPr/>
            </w:pPr>
            <w:r>
              <w:rPr/>
              <w:t> </w:t>
            </w:r>
          </w:p>
        </w:tc>
        <w:tc>
          <w:tcPr>
            <w:tcW w:w="464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33" w:type="dxa"/>
            <w:tcBorders/>
            <w:shd w:fill="auto" w:val="clear"/>
          </w:tcPr>
          <w:p>
            <w:pPr>
              <w:pStyle w:val="TableContents"/>
              <w:spacing w:before="0" w:after="0"/>
              <w:ind w:left="0" w:right="0" w:hanging="0"/>
              <w:rPr/>
            </w:pPr>
            <w:r>
              <w:rPr/>
              <w:t> </w:t>
            </w:r>
          </w:p>
        </w:tc>
        <w:tc>
          <w:tcPr>
            <w:tcW w:w="423" w:type="dxa"/>
            <w:tcBorders/>
            <w:shd w:fill="auto" w:val="clear"/>
          </w:tcPr>
          <w:p>
            <w:pPr>
              <w:pStyle w:val="TableContents"/>
              <w:spacing w:before="0" w:after="0"/>
              <w:ind w:left="0" w:right="0" w:hanging="0"/>
              <w:rPr/>
            </w:pPr>
            <w:r>
              <w:rPr/>
              <w:t> </w:t>
            </w:r>
          </w:p>
        </w:tc>
        <w:tc>
          <w:tcPr>
            <w:tcW w:w="4649" w:type="dxa"/>
            <w:gridSpan w:val="2"/>
            <w:tcBorders/>
            <w:shd w:fill="auto" w:val="clear"/>
          </w:tcPr>
          <w:p>
            <w:pPr>
              <w:pStyle w:val="TableContents"/>
              <w:spacing w:before="0" w:after="0"/>
              <w:ind w:left="0" w:right="0" w:hanging="0"/>
              <w:rPr/>
            </w:pPr>
            <w:r>
              <w:rPr/>
              <w:t> </w:t>
            </w:r>
          </w:p>
        </w:tc>
      </w:tr>
      <w:tr>
        <w:trPr/>
        <w:tc>
          <w:tcPr>
            <w:tcW w:w="5133" w:type="dxa"/>
            <w:tcBorders/>
            <w:shd w:fill="auto" w:val="clear"/>
          </w:tcPr>
          <w:p>
            <w:pPr>
              <w:pStyle w:val="TableContents"/>
              <w:spacing w:before="0" w:after="0"/>
              <w:ind w:left="0" w:right="0" w:hanging="0"/>
              <w:rPr/>
            </w:pPr>
            <w:r>
              <w:rPr/>
              <w:t> </w:t>
            </w:r>
          </w:p>
        </w:tc>
        <w:tc>
          <w:tcPr>
            <w:tcW w:w="423" w:type="dxa"/>
            <w:tcBorders/>
            <w:shd w:fill="auto" w:val="clear"/>
          </w:tcPr>
          <w:p>
            <w:pPr>
              <w:pStyle w:val="TableContents"/>
              <w:spacing w:before="0" w:after="0"/>
              <w:ind w:left="0" w:right="0" w:hanging="0"/>
              <w:rPr/>
            </w:pPr>
            <w:r>
              <w:rPr/>
              <w:t> </w:t>
            </w:r>
          </w:p>
        </w:tc>
        <w:tc>
          <w:tcPr>
            <w:tcW w:w="4649" w:type="dxa"/>
            <w:gridSpan w:val="2"/>
            <w:tcBorders/>
            <w:shd w:fill="auto" w:val="clear"/>
          </w:tcPr>
          <w:p>
            <w:pPr>
              <w:pStyle w:val="TableContents"/>
              <w:spacing w:before="0" w:after="0"/>
              <w:ind w:left="0" w:right="0" w:hanging="0"/>
              <w:rPr/>
            </w:pPr>
            <w:r>
              <w:rPr/>
              <w:t> </w:t>
            </w:r>
          </w:p>
        </w:tc>
      </w:tr>
      <w:tr>
        <w:trPr/>
        <w:tc>
          <w:tcPr>
            <w:tcW w:w="5133" w:type="dxa"/>
            <w:tcBorders/>
            <w:shd w:fill="auto" w:val="clear"/>
          </w:tcPr>
          <w:p>
            <w:pPr>
              <w:pStyle w:val="TableContents"/>
              <w:spacing w:before="0" w:after="0"/>
              <w:ind w:left="0" w:right="0" w:hanging="0"/>
              <w:rPr/>
            </w:pPr>
            <w:r>
              <w:rPr/>
              <w:t> </w:t>
            </w:r>
          </w:p>
        </w:tc>
        <w:tc>
          <w:tcPr>
            <w:tcW w:w="423" w:type="dxa"/>
            <w:tcBorders/>
            <w:shd w:fill="auto" w:val="clear"/>
          </w:tcPr>
          <w:p>
            <w:pPr>
              <w:pStyle w:val="TableContents"/>
              <w:spacing w:before="0" w:after="0"/>
              <w:ind w:left="0" w:right="0" w:hanging="0"/>
              <w:rPr/>
            </w:pPr>
            <w:r>
              <w:rPr/>
              <w:t> </w:t>
            </w:r>
          </w:p>
        </w:tc>
        <w:tc>
          <w:tcPr>
            <w:tcW w:w="6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008"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33" w:type="dxa"/>
            <w:tcBorders/>
            <w:shd w:fill="auto" w:val="clear"/>
          </w:tcPr>
          <w:p>
            <w:pPr>
              <w:pStyle w:val="TableContents"/>
              <w:spacing w:before="0" w:after="0"/>
              <w:ind w:left="0" w:right="0" w:hanging="0"/>
              <w:rPr/>
            </w:pPr>
            <w:r>
              <w:rPr/>
              <w:t> </w:t>
            </w:r>
          </w:p>
        </w:tc>
        <w:tc>
          <w:tcPr>
            <w:tcW w:w="423" w:type="dxa"/>
            <w:tcBorders/>
            <w:shd w:fill="auto" w:val="clear"/>
          </w:tcPr>
          <w:p>
            <w:pPr>
              <w:pStyle w:val="TableContents"/>
              <w:spacing w:before="0" w:after="0"/>
              <w:ind w:left="0" w:right="0" w:hanging="0"/>
              <w:rPr/>
            </w:pPr>
            <w:r>
              <w:rPr/>
              <w:t> </w:t>
            </w:r>
          </w:p>
        </w:tc>
        <w:tc>
          <w:tcPr>
            <w:tcW w:w="6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08"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33" w:type="dxa"/>
            <w:tcBorders/>
            <w:shd w:fill="auto" w:val="clear"/>
          </w:tcPr>
          <w:p>
            <w:pPr>
              <w:pStyle w:val="TableContents"/>
              <w:spacing w:before="0" w:after="0"/>
              <w:ind w:left="0" w:right="0" w:hanging="0"/>
              <w:rPr/>
            </w:pPr>
            <w:r>
              <w:rPr/>
              <w:t> </w:t>
            </w:r>
          </w:p>
        </w:tc>
        <w:tc>
          <w:tcPr>
            <w:tcW w:w="423" w:type="dxa"/>
            <w:tcBorders/>
            <w:shd w:fill="auto" w:val="clear"/>
          </w:tcPr>
          <w:p>
            <w:pPr>
              <w:pStyle w:val="TableContents"/>
              <w:spacing w:before="0" w:after="0"/>
              <w:ind w:left="0" w:right="0" w:hanging="0"/>
              <w:rPr/>
            </w:pPr>
            <w:r>
              <w:rPr/>
              <w:t> </w:t>
            </w:r>
          </w:p>
        </w:tc>
        <w:tc>
          <w:tcPr>
            <w:tcW w:w="6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008" w:type="dxa"/>
            <w:tcBorders>
              <w:bottom w:val="single" w:sz="8" w:space="0" w:color="000000"/>
            </w:tcBorders>
            <w:shd w:fill="auto" w:val="clear"/>
            <w:tcMar>
              <w:bottom w:w="28"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61" w:name="15636-2-LM-21_PB_1_014519_7608"/>
      <w:bookmarkEnd w:id="261"/>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E-1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REVOLVING CREDIT NOTE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708"/>
        <w:gridCol w:w="6497"/>
      </w:tblGrid>
      <w:tr>
        <w:trPr/>
        <w:tc>
          <w:tcPr>
            <w:tcW w:w="37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7"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 201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AAP, L.P., a Delaware limited partnership (the </w:t>
      </w:r>
      <w:r>
        <w:rPr>
          <w:rFonts w:ascii="Times New Roman" w:hAnsi="Times New Roman"/>
          <w:sz w:val="17"/>
          <w:u w:val="single"/>
        </w:rPr>
        <w:t>Borrower</w:t>
      </w:r>
      <w:r>
        <w:rPr>
          <w:rFonts w:ascii="Times New Roman" w:hAnsi="Times New Roman"/>
          <w:sz w:val="17"/>
        </w:rPr>
        <w:t>), for value received, promises and agrees to pay to                                                              (the </w:t>
      </w:r>
      <w:r>
        <w:rPr>
          <w:rFonts w:ascii="Times New Roman" w:hAnsi="Times New Roman"/>
          <w:sz w:val="17"/>
          <w:u w:val="single"/>
        </w:rPr>
        <w:t>Lender</w:t>
      </w:r>
      <w:r>
        <w:rPr>
          <w:rFonts w:ascii="Times New Roman" w:hAnsi="Times New Roman"/>
          <w:sz w:val="17"/>
        </w:rPr>
        <w:t xml:space="preserve">), or to its order, at the payment office of Citibank, N.A., as Administrative Agent, at </w:t>
      </w:r>
      <w:r>
        <w:rPr>
          <w:rFonts w:ascii="Times New Roman" w:hAnsi="Times New Roman"/>
          <w:b/>
          <w:sz w:val="17"/>
        </w:rPr>
        <w:t>[                                                            ]</w:t>
      </w:r>
      <w:r>
        <w:rPr>
          <w:rFonts w:ascii="Times New Roman" w:hAnsi="Times New Roman"/>
          <w:sz w:val="17"/>
        </w:rPr>
        <w:t>, the principal sum of                                                              AND NO/100 DOLLARS ($                          ), or such lesser amount as shall equal the aggregate unpaid principal amount of the Revolving Loans owed to the Lender under the Credit Agreement, as hereinafter defined, in lawful money of the United States of America and in immediately available funds, on the dates and in the principal amounts provided in the Credit Agreement, and to pay interest on the unpaid principal amount as provided in the Credit Agreement for such Revolving Loans, at such office, in like money and funds, for the period commencing on the date of each such Revolving Loan until such Revolving Loan shall be paid in full, at the rates per annum and on the dates provided in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evidences the Revolving Loans owed to the Lender under that certain Second Amended and Restated Credit Agreement dated as of September       , 2013, by and among the Borrower, Citibank, N.A., as Administrative Agent, and the other financial institutions parties thereto (including the Lender) (such Second Amended and Restated Credit Agreement, together with all amendments or supplements thereto, being the </w:t>
      </w:r>
      <w:r>
        <w:rPr>
          <w:rFonts w:ascii="Times New Roman" w:hAnsi="Times New Roman"/>
          <w:sz w:val="17"/>
          <w:u w:val="single"/>
        </w:rPr>
        <w:t>Credit Agreement</w:t>
      </w:r>
      <w:r>
        <w:rPr>
          <w:rFonts w:ascii="Times New Roman" w:hAnsi="Times New Roman"/>
          <w:sz w:val="17"/>
        </w:rPr>
        <w:t>), and shall be governed by the Credit Agreement.  Capitalized terms used in this note and not defined in this note, but which are defined in the Credit Agreement, have the respective meanings herein as are assigned to them in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Lender is hereby authorized by the Borrower to endorse on </w:t>
      </w:r>
      <w:r>
        <w:rPr>
          <w:rFonts w:ascii="Times New Roman" w:hAnsi="Times New Roman"/>
          <w:sz w:val="17"/>
          <w:u w:val="single"/>
        </w:rPr>
        <w:t>Schedule A</w:t>
      </w:r>
      <w:r>
        <w:rPr>
          <w:rFonts w:ascii="Times New Roman" w:hAnsi="Times New Roman"/>
          <w:sz w:val="17"/>
        </w:rPr>
        <w:t xml:space="preserve"> (or a continuation thereof) attached to this note, the Type of each Revolving Loan owed to the Lender, the amount and date of each payment or prepayment of principal of each such Revolving Loan received by the Lender and the Interest Periods and interest rates applicable to each Revolving Loan, </w:t>
      </w:r>
      <w:r>
        <w:rPr>
          <w:rFonts w:ascii="Times New Roman" w:hAnsi="Times New Roman"/>
          <w:sz w:val="17"/>
          <w:u w:val="single"/>
        </w:rPr>
        <w:t>provided</w:t>
      </w:r>
      <w:r>
        <w:rPr>
          <w:rFonts w:ascii="Times New Roman" w:hAnsi="Times New Roman"/>
          <w:sz w:val="17"/>
        </w:rPr>
        <w:t xml:space="preserve"> that any failure by the Lender to make any such endorsement shall not affect the obligations of the Borrower under the Credit Agreement or under this note in respect of such Revolving Loans.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may be held by the Lender for the account of its applicable lending office and, except as otherwise provided in the Credit Agreement, may be transferred from one lending office of the Lender to another lending office of the Lender from time to time as the Lender may determine.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only for any notices which are specifically required by the Credit Agreement or the other Loan Documents, the Borrower and any and all co-makers, endorsers, guarantors and sureties severally waive notice (including but not limited to notice of intent to accelerate and notice of acceleration, notice of protest and notice of dishonor), demand, presentment for payment, protest, diligence in collecting and the filing of suit for the purpose of fixing liability, and consent that the time of payment hereof may be extended and re-extended from time to time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62" w:name="15636-2-LM-23_PB_1_014751_8146"/>
      <w:bookmarkEnd w:id="26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without notice to any of them.  Each such Person agrees that his, her or its liability on or with respect to this note shall not be affected by any release of or change in any guaranty or security at any time existing or by any failure to perfect or maintain perfection of any lien against or security interest in any such security or the partial or complete unenforceability of any guaranty or other surety obligation, in each case in whole or in part, with or without notice and before or after maturity.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Credit Agreement provides for the acceleration of the maturity of this note upon the occurrence of certain events and for prepayment of Revolving Loans upon the terms and conditions specified therein.  Reference is made to the Credit Agreement for all other pertinent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is issued pursuant to and is entitled to the benefits of the Credit Agreement and is secured by the Security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SHALL BE CONSTRUED IN ACCORDANCE WITH AND BE GOVERNED BY THE LAW OF THE STATE OF NEW YORK AND, TO THE EXTENT APPLICABLE, THE UNITED STATES OF AMERICA FROM TIME TO TIME IN EFFECT.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partnership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63" w:name="15636-2-LM-23_PB_2_014923_7091"/>
      <w:bookmarkEnd w:id="26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A</w:t>
        <w:br/>
        <w:t>TO</w:t>
        <w:br/>
        <w:t>REVOLVING CREDIT NOTE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evidences each Revolving Loan owed to the Lender under the Credit Agreement, in the principal amount set forth below and the applicable Interest Periods and rates for each such Revolving Loan, subject to the payments of principal set forth below:</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w:t>
        <w:br/>
        <w:t>OF</w:t>
        <w:br/>
        <w:t>REVOLVING CREDIT LOANS AND PAYMENTS OF PRINCIPAL AND INTEREST</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173"/>
        <w:gridCol w:w="117"/>
        <w:gridCol w:w="1173"/>
        <w:gridCol w:w="117"/>
        <w:gridCol w:w="1173"/>
        <w:gridCol w:w="117"/>
        <w:gridCol w:w="1174"/>
        <w:gridCol w:w="116"/>
        <w:gridCol w:w="1174"/>
        <w:gridCol w:w="117"/>
        <w:gridCol w:w="1173"/>
        <w:gridCol w:w="117"/>
        <w:gridCol w:w="1173"/>
        <w:gridCol w:w="117"/>
        <w:gridCol w:w="1174"/>
      </w:tblGrid>
      <w:tr>
        <w:trPr/>
        <w:tc>
          <w:tcPr>
            <w:tcW w:w="117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w:t>
              <w:br/>
              <w:t>Period</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Rate</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Principal</w:t>
              <w:br/>
              <w:t>Amount of</w:t>
              <w:br/>
              <w:t>Loan</w:t>
            </w:r>
          </w:p>
        </w:tc>
        <w:tc>
          <w:tcPr>
            <w:tcW w:w="116" w:type="dxa"/>
            <w:tcBorders/>
            <w:shd w:fill="auto" w:val="clear"/>
            <w:tcMar>
              <w:bottom w:w="0" w:type="dxa"/>
            </w:tcMar>
            <w:vAlign w:val="bottom"/>
          </w:tcPr>
          <w:p>
            <w:pPr>
              <w:pStyle w:val="TableContents"/>
              <w:spacing w:before="0" w:after="0"/>
              <w:ind w:left="0" w:right="0" w:hanging="0"/>
              <w:jc w:val="center"/>
              <w:rPr/>
            </w:pPr>
            <w:r>
              <w:rPr/>
              <w:t> </w:t>
            </w:r>
          </w:p>
        </w:tc>
        <w:tc>
          <w:tcPr>
            <w:tcW w:w="117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 of</w:t>
              <w:br/>
              <w:t>Interest</w:t>
              <w:br/>
              <w:t>Paid or</w:t>
              <w:br/>
              <w:t>Prepaid</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w:t>
              <w:br/>
              <w:t>Paid</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of</w:t>
              <w:br/>
              <w:t>Loans</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Notation</w:t>
              <w:br/>
              <w:t>Made by</w:t>
            </w:r>
          </w:p>
        </w:tc>
      </w:tr>
      <w:tr>
        <w:trPr/>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c>
          <w:tcPr>
            <w:tcW w:w="116"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r>
      <w:tr>
        <w:trPr/>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4" w:type="dxa"/>
            <w:tcBorders/>
            <w:shd w:fill="auto" w:val="clear"/>
            <w:tcMar>
              <w:bottom w:w="0" w:type="dxa"/>
            </w:tcMar>
          </w:tcPr>
          <w:p>
            <w:pPr>
              <w:pStyle w:val="TableContents"/>
              <w:spacing w:before="0" w:after="0"/>
              <w:ind w:left="0" w:right="0" w:hanging="0"/>
              <w:rPr/>
            </w:pPr>
            <w:r>
              <w:rPr/>
              <w:t> </w:t>
            </w:r>
          </w:p>
        </w:tc>
        <w:tc>
          <w:tcPr>
            <w:tcW w:w="116" w:type="dxa"/>
            <w:tcBorders/>
            <w:shd w:fill="auto" w:val="clear"/>
            <w:tcMar>
              <w:bottom w:w="0" w:type="dxa"/>
            </w:tcMar>
            <w:vAlign w:val="bottom"/>
          </w:tcPr>
          <w:p>
            <w:pPr>
              <w:pStyle w:val="TableContents"/>
              <w:spacing w:before="0" w:after="0"/>
              <w:ind w:left="0" w:right="0" w:hanging="0"/>
              <w:rPr/>
            </w:pPr>
            <w:r>
              <w:rPr/>
              <w:t> </w:t>
            </w:r>
          </w:p>
        </w:tc>
        <w:tc>
          <w:tcPr>
            <w:tcW w:w="1174"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4" w:type="dxa"/>
            <w:tcBorders/>
            <w:shd w:fill="auto" w:val="clear"/>
            <w:tcMar>
              <w:bottom w:w="0" w:type="dxa"/>
            </w:tcMar>
          </w:tcPr>
          <w:p>
            <w:pPr>
              <w:pStyle w:val="TableContents"/>
              <w:spacing w:before="0" w:after="0"/>
              <w:ind w:left="0" w:right="0" w:hanging="0"/>
              <w:rPr/>
            </w:pPr>
            <w:r>
              <w:rPr/>
              <w:t> </w:t>
            </w:r>
          </w:p>
        </w:tc>
      </w:tr>
      <w:tr>
        <w:trPr/>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c>
          <w:tcPr>
            <w:tcW w:w="116"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264" w:name="15636-2-LM-23_PB_3_015136_455"/>
      <w:bookmarkEnd w:id="26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E-2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TERM LOAN NOTE</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709"/>
        <w:gridCol w:w="6496"/>
      </w:tblGrid>
      <w:tr>
        <w:trPr/>
        <w:tc>
          <w:tcPr>
            <w:tcW w:w="37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9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 201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AAP, L.P., a Delaware limited partnership (the </w:t>
      </w:r>
      <w:r>
        <w:rPr>
          <w:rFonts w:ascii="Times New Roman" w:hAnsi="Times New Roman"/>
          <w:sz w:val="17"/>
          <w:u w:val="single"/>
        </w:rPr>
        <w:t>Borrower</w:t>
      </w:r>
      <w:r>
        <w:rPr>
          <w:rFonts w:ascii="Times New Roman" w:hAnsi="Times New Roman"/>
          <w:sz w:val="17"/>
        </w:rPr>
        <w:t>), for value received, promises and agrees to pay to                                                              (the </w:t>
      </w:r>
      <w:r>
        <w:rPr>
          <w:rFonts w:ascii="Times New Roman" w:hAnsi="Times New Roman"/>
          <w:sz w:val="17"/>
          <w:u w:val="single"/>
        </w:rPr>
        <w:t>Lender</w:t>
      </w:r>
      <w:r>
        <w:rPr>
          <w:rFonts w:ascii="Times New Roman" w:hAnsi="Times New Roman"/>
          <w:sz w:val="17"/>
        </w:rPr>
        <w:t>), or to its order, at the payment office of Citibank, N.A., as Administrative Agent, at [                                                            ], the principal sum of                                                              AND NO/100 DOLLARS ($                          ), or such lesser amount as shall equal the aggregate unpaid principal amount of the Term Loan owed to the Lender under the Credit Agreement, as hereinafter defined, in lawful money of the United States of America and in immediately available funds, on the dates and in the principal amounts provided in the Credit Agreement, and to pay interest on the unpaid principal amount as provided in the Credit Agreement for such Term Loan, at such office, in like money and funds, for the period commencing on the date of each such Term Loan until such Term Loan shall be paid in full, at the rates per annum and on the dates provided in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evidences the Term Loan owed to the Lender under that certain Second Amended and Restated Credit Agreement dated as of September       , 2013, by and among the Borrower, Citibank, N.A., as Administrative Agent, and the other financial institutions parties thereto (including the Lender) (such Second Amended and Restated Credit Agreement, together with all amendments or supplements thereto, being the </w:t>
      </w:r>
      <w:r>
        <w:rPr>
          <w:rFonts w:ascii="Times New Roman" w:hAnsi="Times New Roman"/>
          <w:sz w:val="17"/>
          <w:u w:val="single"/>
        </w:rPr>
        <w:t>Credit Agreement</w:t>
      </w:r>
      <w:r>
        <w:rPr>
          <w:rFonts w:ascii="Times New Roman" w:hAnsi="Times New Roman"/>
          <w:sz w:val="17"/>
        </w:rPr>
        <w:t>), and shall be governed by the Credit Agreement.  Capitalized terms used in this note and not defined in this note, but which are defined in the Credit Agreement, have the respective meanings herein as are assigned to them in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Lender is hereby authorized by the Borrower to endorse on </w:t>
      </w:r>
      <w:r>
        <w:rPr>
          <w:rFonts w:ascii="Times New Roman" w:hAnsi="Times New Roman"/>
          <w:sz w:val="17"/>
          <w:u w:val="single"/>
        </w:rPr>
        <w:t>Schedule A</w:t>
      </w:r>
      <w:r>
        <w:rPr>
          <w:rFonts w:ascii="Times New Roman" w:hAnsi="Times New Roman"/>
          <w:sz w:val="17"/>
        </w:rPr>
        <w:t xml:space="preserve"> (or a continuation thereof) attached to this note, the Type of each Term Loan owed to the Lender, the amount and date of each payment or prepayment of principal of each such Term Loan received by the Lender and the Interest Periods and interest rates applicable to each Term Loan, provided that any failure by the Lender to make any such endorsement shall not affect the obligations of the Borrower under the Credit Agreement or under this note in respect of such Term Loan.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may be held by the Lender for the account of its applicable lending office and, except as otherwise provided in the Credit Agreement, may be transferred from one lending office of the Lender to another lending office of the Lender from time to time as the Lender may determine.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only for any notices which are specifically required by the Credit Agreement or the other Loan Documents, the Borrower and any and all co-makers, endorsers, guarantors and sureties severally waive notice (including but not limited to notice of intent to accelerate and notice of acceleration, notice of protest and notice of dishonor), demand, presentment for payment, protest, diligence in collecting and the filing of suit for the purpose of fixing liability, and consent that the time of payment hereof may be extended and re-extended from time to time without notice to any of them.  Each such Person agrees that his, her or its liability on or with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65" w:name="15636-2-LM-23_PB_1_015219_4141"/>
      <w:bookmarkEnd w:id="26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respect to this note shall not be affected by any release of or change in any guaranty or security at any time existing or by any failure to perfect or maintain perfection of any lien against or security interest in any such security or the partial or complete unenforceability of any guaranty or other surety obligation, in each case in whole or in part, with or without notice and before or after maturity.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Credit Agreement provides for the acceleration of the maturity of this note upon the occurrence of certain events and for prepayment of Term Loan upon the terms and conditions specified therein.  Reference is made to the Credit Agreement for all other pertinent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is issued pursuant to and is entitled to the benefits of the Credit Agreement and is secured by the Security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SHALL BE CONSTRUED IN ACCORDANCE WITH AND BE GOVERNED BY THE LAW OF THE STATE OF NEW YORK AND, TO THE EXTENT APPLICABLE, THE UNITED STATES OF AMERICA FROM TIME TO TIME IN EFFECT.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partnership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66" w:name="15636-2-LM-23_PB_2_015349_8627"/>
      <w:bookmarkEnd w:id="26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A</w:t>
        <w:br/>
        <w:t>TO</w:t>
        <w:br/>
        <w:t>TERM LOAN NOTE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note evidences each Term Loan owed to the Lender under the Credit Agreement, in the principal amount set forth below and the applicable Interest Periods and rates for each such Term Loan, subject to the payments of principal set forth below:</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w:t>
        <w:br/>
        <w:t>OF</w:t>
        <w:br/>
        <w:t>TERM LOAN AND PAYMENTS OF PRINCIPAL AND INTEREST</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173"/>
        <w:gridCol w:w="117"/>
        <w:gridCol w:w="1173"/>
        <w:gridCol w:w="117"/>
        <w:gridCol w:w="1173"/>
        <w:gridCol w:w="117"/>
        <w:gridCol w:w="1174"/>
        <w:gridCol w:w="116"/>
        <w:gridCol w:w="1174"/>
        <w:gridCol w:w="117"/>
        <w:gridCol w:w="1173"/>
        <w:gridCol w:w="117"/>
        <w:gridCol w:w="1173"/>
        <w:gridCol w:w="117"/>
        <w:gridCol w:w="1174"/>
      </w:tblGrid>
      <w:tr>
        <w:trPr/>
        <w:tc>
          <w:tcPr>
            <w:tcW w:w="117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w:t>
              <w:br/>
              <w:t>Period</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Rate</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Principal</w:t>
              <w:br/>
              <w:t>Amount </w:t>
              <w:br/>
              <w:t>of Loan</w:t>
            </w:r>
          </w:p>
        </w:tc>
        <w:tc>
          <w:tcPr>
            <w:tcW w:w="116" w:type="dxa"/>
            <w:tcBorders/>
            <w:shd w:fill="auto" w:val="clear"/>
            <w:tcMar>
              <w:bottom w:w="0" w:type="dxa"/>
            </w:tcMar>
            <w:vAlign w:val="bottom"/>
          </w:tcPr>
          <w:p>
            <w:pPr>
              <w:pStyle w:val="TableContents"/>
              <w:spacing w:before="0" w:after="0"/>
              <w:ind w:left="0" w:right="0" w:hanging="0"/>
              <w:jc w:val="center"/>
              <w:rPr/>
            </w:pPr>
            <w:r>
              <w:rPr/>
              <w:t> </w:t>
            </w:r>
          </w:p>
        </w:tc>
        <w:tc>
          <w:tcPr>
            <w:tcW w:w="117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 of</w:t>
              <w:br/>
              <w:t>Interest</w:t>
              <w:br/>
              <w:t>Paid or</w:t>
              <w:br/>
              <w:t>Prepaid</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w:t>
              <w:br/>
              <w:t>Paid</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of</w:t>
              <w:br/>
              <w:t>Loans</w:t>
            </w:r>
          </w:p>
        </w:tc>
        <w:tc>
          <w:tcPr>
            <w:tcW w:w="117" w:type="dxa"/>
            <w:tcBorders/>
            <w:shd w:fill="auto" w:val="clear"/>
            <w:tcMar>
              <w:bottom w:w="0" w:type="dxa"/>
            </w:tcMar>
            <w:vAlign w:val="bottom"/>
          </w:tcPr>
          <w:p>
            <w:pPr>
              <w:pStyle w:val="TableContents"/>
              <w:spacing w:before="0" w:after="0"/>
              <w:ind w:left="0" w:right="0" w:hanging="0"/>
              <w:jc w:val="center"/>
              <w:rPr/>
            </w:pPr>
            <w:r>
              <w:rPr/>
              <w:t> </w:t>
            </w:r>
          </w:p>
        </w:tc>
        <w:tc>
          <w:tcPr>
            <w:tcW w:w="117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Notation</w:t>
              <w:br/>
              <w:t>Made by</w:t>
            </w:r>
          </w:p>
        </w:tc>
      </w:tr>
      <w:tr>
        <w:trPr/>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c>
          <w:tcPr>
            <w:tcW w:w="116"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r>
      <w:tr>
        <w:trPr/>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4" w:type="dxa"/>
            <w:tcBorders/>
            <w:shd w:fill="auto" w:val="clear"/>
            <w:tcMar>
              <w:bottom w:w="0" w:type="dxa"/>
            </w:tcMar>
          </w:tcPr>
          <w:p>
            <w:pPr>
              <w:pStyle w:val="TableContents"/>
              <w:spacing w:before="0" w:after="0"/>
              <w:ind w:left="0" w:right="0" w:hanging="0"/>
              <w:rPr/>
            </w:pPr>
            <w:r>
              <w:rPr/>
              <w:t> </w:t>
            </w:r>
          </w:p>
        </w:tc>
        <w:tc>
          <w:tcPr>
            <w:tcW w:w="116" w:type="dxa"/>
            <w:tcBorders/>
            <w:shd w:fill="auto" w:val="clear"/>
            <w:tcMar>
              <w:bottom w:w="0" w:type="dxa"/>
            </w:tcMar>
            <w:vAlign w:val="bottom"/>
          </w:tcPr>
          <w:p>
            <w:pPr>
              <w:pStyle w:val="TableContents"/>
              <w:spacing w:before="0" w:after="0"/>
              <w:ind w:left="0" w:right="0" w:hanging="0"/>
              <w:rPr/>
            </w:pPr>
            <w:r>
              <w:rPr/>
              <w:t> </w:t>
            </w:r>
          </w:p>
        </w:tc>
        <w:tc>
          <w:tcPr>
            <w:tcW w:w="1174"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3" w:type="dxa"/>
            <w:tcBorders/>
            <w:shd w:fill="auto" w:val="clear"/>
            <w:tcMar>
              <w:bottom w:w="0" w:type="dxa"/>
            </w:tcMar>
          </w:tcPr>
          <w:p>
            <w:pPr>
              <w:pStyle w:val="TableContents"/>
              <w:spacing w:before="0" w:after="0"/>
              <w:ind w:left="0" w:right="0" w:hanging="0"/>
              <w:rPr/>
            </w:pPr>
            <w:r>
              <w:rPr/>
              <w:t> </w:t>
            </w:r>
          </w:p>
        </w:tc>
        <w:tc>
          <w:tcPr>
            <w:tcW w:w="117" w:type="dxa"/>
            <w:tcBorders/>
            <w:shd w:fill="auto" w:val="clear"/>
            <w:tcMar>
              <w:bottom w:w="0" w:type="dxa"/>
            </w:tcMar>
            <w:vAlign w:val="bottom"/>
          </w:tcPr>
          <w:p>
            <w:pPr>
              <w:pStyle w:val="TableContents"/>
              <w:spacing w:before="0" w:after="0"/>
              <w:ind w:left="0" w:right="0" w:hanging="0"/>
              <w:rPr/>
            </w:pPr>
            <w:r>
              <w:rPr/>
              <w:t> </w:t>
            </w:r>
          </w:p>
        </w:tc>
        <w:tc>
          <w:tcPr>
            <w:tcW w:w="1174" w:type="dxa"/>
            <w:tcBorders/>
            <w:shd w:fill="auto" w:val="clear"/>
            <w:tcMar>
              <w:bottom w:w="0" w:type="dxa"/>
            </w:tcMar>
          </w:tcPr>
          <w:p>
            <w:pPr>
              <w:pStyle w:val="TableContents"/>
              <w:spacing w:before="0" w:after="0"/>
              <w:ind w:left="0" w:right="0" w:hanging="0"/>
              <w:rPr/>
            </w:pPr>
            <w:r>
              <w:rPr/>
              <w:t> </w:t>
            </w:r>
          </w:p>
        </w:tc>
      </w:tr>
      <w:tr>
        <w:trPr/>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c>
          <w:tcPr>
            <w:tcW w:w="116"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3" w:type="dxa"/>
            <w:tcBorders/>
            <w:shd w:fill="CCEEFF" w:val="clear"/>
            <w:tcMar>
              <w:bottom w:w="0" w:type="dxa"/>
            </w:tcMar>
          </w:tcPr>
          <w:p>
            <w:pPr>
              <w:pStyle w:val="TableContents"/>
              <w:spacing w:before="0" w:after="0"/>
              <w:ind w:left="0" w:right="0" w:hanging="0"/>
              <w:rPr/>
            </w:pPr>
            <w:r>
              <w:rPr/>
              <w:t> </w:t>
            </w:r>
          </w:p>
        </w:tc>
        <w:tc>
          <w:tcPr>
            <w:tcW w:w="117" w:type="dxa"/>
            <w:tcBorders/>
            <w:shd w:fill="CCEEFF" w:val="clear"/>
            <w:tcMar>
              <w:bottom w:w="0" w:type="dxa"/>
            </w:tcMar>
            <w:vAlign w:val="bottom"/>
          </w:tcPr>
          <w:p>
            <w:pPr>
              <w:pStyle w:val="TableContents"/>
              <w:spacing w:before="0" w:after="0"/>
              <w:ind w:left="0" w:right="0" w:hanging="0"/>
              <w:rPr/>
            </w:pPr>
            <w:r>
              <w:rPr/>
              <w:t> </w:t>
            </w:r>
          </w:p>
        </w:tc>
        <w:tc>
          <w:tcPr>
            <w:tcW w:w="1174" w:type="dxa"/>
            <w:tcBorders/>
            <w:shd w:fill="CCEEFF" w:val="clear"/>
            <w:tcMar>
              <w:bottom w:w="0"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267" w:name="15636-2-LM-23_PB_3_015536_7906"/>
      <w:bookmarkEnd w:id="26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LIST OF SECURITY INSTRUMENTS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Second Amended and Restated Pledge and Security Agreement between the Borrower and the Administrative Agent in respect of one hundred percent (100%) of (i) the Borrowers incentive distribution rights in PAA and (ii) one hundred percent (100%) of the Borrowers limited liability company interest in PAA GP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68" w:name="15636-2-LM-23_PB_1_015550_3736"/>
      <w:bookmarkEnd w:id="268"/>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COMMITMENT INCREASE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Commitment Increase Agreement dated as of [                                ] (this </w:t>
      </w:r>
      <w:r>
        <w:rPr>
          <w:rFonts w:ascii="Times New Roman" w:hAnsi="Times New Roman"/>
          <w:sz w:val="17"/>
          <w:u w:val="single"/>
        </w:rPr>
        <w:t>Agreement</w:t>
      </w:r>
      <w:r>
        <w:rPr>
          <w:rFonts w:ascii="Times New Roman" w:hAnsi="Times New Roman"/>
          <w:sz w:val="17"/>
        </w:rPr>
        <w:t>) is among (i) Plains AAP, L.P. (the </w:t>
      </w:r>
      <w:r>
        <w:rPr>
          <w:rFonts w:ascii="Times New Roman" w:hAnsi="Times New Roman"/>
          <w:sz w:val="17"/>
          <w:u w:val="single"/>
        </w:rPr>
        <w:t>Borrower</w:t>
      </w:r>
      <w:r>
        <w:rPr>
          <w:rFonts w:ascii="Times New Roman" w:hAnsi="Times New Roman"/>
          <w:sz w:val="17"/>
        </w:rPr>
        <w:t>), (ii) Citibank, N.A., in its capacity as administrative agent (the </w:t>
      </w:r>
      <w:r>
        <w:rPr>
          <w:rFonts w:ascii="Times New Roman" w:hAnsi="Times New Roman"/>
          <w:sz w:val="17"/>
          <w:u w:val="single"/>
        </w:rPr>
        <w:t>Administrative Agent</w:t>
      </w:r>
      <w:r>
        <w:rPr>
          <w:rFonts w:ascii="Times New Roman" w:hAnsi="Times New Roman"/>
          <w:sz w:val="17"/>
        </w:rPr>
        <w:t>) under the Second Amended and Restated Credit Agreement dated as of September       , 2013 (as the same may be amended or otherwise modified from time to time, the </w:t>
      </w:r>
      <w:r>
        <w:rPr>
          <w:rFonts w:ascii="Times New Roman" w:hAnsi="Times New Roman"/>
          <w:sz w:val="17"/>
          <w:u w:val="single"/>
        </w:rPr>
        <w:t>Credit Agreement</w:t>
      </w:r>
      <w:r>
        <w:rPr>
          <w:rFonts w:ascii="Times New Roman" w:hAnsi="Times New Roman"/>
          <w:sz w:val="17"/>
        </w:rPr>
        <w:t>) among the Borrower, the Lenders party thereto and the Administrative Agent, and (iii)                                               , an existing Lender party to the Credit Agreement, who is increasing its Revolving Commitment hereunder (the </w:t>
      </w:r>
      <w:r>
        <w:rPr>
          <w:rFonts w:ascii="Times New Roman" w:hAnsi="Times New Roman"/>
          <w:sz w:val="17"/>
          <w:u w:val="single"/>
        </w:rPr>
        <w:t>Increasing Lender</w:t>
      </w:r>
      <w:r>
        <w:rPr>
          <w:rFonts w:ascii="Times New Roman" w:hAnsi="Times New Roman"/>
          <w:sz w:val="17"/>
        </w:rPr>
        <w:t>). Capitalized terms that are defined in the Credit Agreement and not defined herein are used herein as therein defined)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i/>
          <w:sz w:val="17"/>
        </w:rPr>
      </w:pPr>
      <w:r>
        <w:rPr>
          <w:rFonts w:ascii="Times New Roman" w:hAnsi="Times New Roman"/>
          <w:b/>
          <w:i/>
          <w:sz w:val="17"/>
        </w:rPr>
        <w:t>Preliminary Statements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Pursuant to </w:t>
      </w:r>
      <w:r>
        <w:rPr>
          <w:rFonts w:ascii="Times New Roman" w:hAnsi="Times New Roman"/>
          <w:sz w:val="17"/>
          <w:u w:val="single"/>
        </w:rPr>
        <w:t>Section 2.20</w:t>
      </w:r>
      <w:r>
        <w:rPr>
          <w:rFonts w:ascii="Times New Roman" w:hAnsi="Times New Roman"/>
          <w:sz w:val="17"/>
        </w:rPr>
        <w:t xml:space="preserve"> of the Credit Agreement, the Borrower has the right, subject to the terms and conditions thereof, to effectuate from time to time an increase in the total Revolving Commitments under the Credit Agreement by agreeing with, among others, an existing Lender to increase that Lenders Commitment.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The Borrower has given notice to the Administrative Agent of its intention to increase the total Revolving Commitments pursuant to such </w:t>
      </w:r>
      <w:r>
        <w:rPr>
          <w:rFonts w:ascii="Times New Roman" w:hAnsi="Times New Roman"/>
          <w:sz w:val="17"/>
          <w:u w:val="single"/>
        </w:rPr>
        <w:t>Section 2.20</w:t>
      </w:r>
      <w:r>
        <w:rPr>
          <w:rFonts w:ascii="Times New Roman" w:hAnsi="Times New Roman"/>
          <w:sz w:val="17"/>
        </w:rPr>
        <w:t xml:space="preserve"> by increasing the Revolving Commitment of the Increasing Lender from $                 to $                    , and the Administrative Agent is willing to consent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Accordingly, the parties hereto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1.  </w:t>
      </w:r>
      <w:r>
        <w:rPr>
          <w:rFonts w:ascii="Times New Roman" w:hAnsi="Times New Roman"/>
          <w:sz w:val="17"/>
          <w:u w:val="single"/>
        </w:rPr>
        <w:t>Increase of Commitment</w:t>
      </w:r>
      <w:r>
        <w:rPr>
          <w:rFonts w:ascii="Times New Roman" w:hAnsi="Times New Roman"/>
          <w:sz w:val="17"/>
        </w:rPr>
        <w:t>.  Pursuant to Section 2.20 of the Credit Agreement, the Revolving Commitment of the Increasing Lender is hereby increased from $                                 to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2.  </w:t>
      </w:r>
      <w:r>
        <w:rPr>
          <w:rFonts w:ascii="Times New Roman" w:hAnsi="Times New Roman"/>
          <w:sz w:val="17"/>
          <w:u w:val="single"/>
        </w:rPr>
        <w:t>Consent</w:t>
      </w:r>
      <w:r>
        <w:rPr>
          <w:rFonts w:ascii="Times New Roman" w:hAnsi="Times New Roman"/>
          <w:sz w:val="17"/>
        </w:rPr>
        <w:t>.  The Administrative Agent hereby consents to the increase in the Commitment of the Increasing Lender effectuated hereby.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3.  </w:t>
      </w:r>
      <w:r>
        <w:rPr>
          <w:rFonts w:ascii="Times New Roman" w:hAnsi="Times New Roman"/>
          <w:sz w:val="17"/>
          <w:u w:val="single"/>
        </w:rPr>
        <w:t>Governing Law</w:t>
      </w:r>
      <w:r>
        <w:rPr>
          <w:rFonts w:ascii="Times New Roman" w:hAnsi="Times New Roman"/>
          <w:sz w:val="17"/>
        </w:rPr>
        <w:t>.  This Agreement shall be governed by, and construed in accordance with, the Laws of the State of New York.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4.  </w:t>
      </w:r>
      <w:r>
        <w:rPr>
          <w:rFonts w:ascii="Times New Roman" w:hAnsi="Times New Roman"/>
          <w:sz w:val="17"/>
          <w:u w:val="single"/>
        </w:rPr>
        <w:t>Execution in Counterparts</w:t>
      </w:r>
      <w:r>
        <w:rPr>
          <w:rFonts w:ascii="Times New Roman" w:hAnsi="Times New Roman"/>
          <w:sz w:val="17"/>
        </w:rPr>
        <w:t>.  This Agreement may be executed in any number of counterparts and by different parties hereto in separate counterparts, each of which when so executed shall be deemed to be an original and all of which taken together shall constitute one and the same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5.  </w:t>
      </w:r>
      <w:r>
        <w:rPr>
          <w:rFonts w:ascii="Times New Roman" w:hAnsi="Times New Roman"/>
          <w:sz w:val="17"/>
          <w:u w:val="single"/>
        </w:rPr>
        <w:t>Increasing Lender Credit Decision</w:t>
      </w:r>
      <w:r>
        <w:rPr>
          <w:rFonts w:ascii="Times New Roman" w:hAnsi="Times New Roman"/>
          <w:sz w:val="17"/>
        </w:rPr>
        <w:t xml:space="preserve">.  The Increasing Lender acknowledges that it has, independently and without reliance upon the Administrative Agent or any other Lender and based on the financial statements referred to in the Credit Agreement and such other documents and information as it has deemed appropriate, made its own credit analysis and decision to enter into this Agreement and to agree to the various matters set forth herein.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69" w:name="15636-2-LM-25_PB_1_015735_9621"/>
      <w:bookmarkEnd w:id="26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Increasing Lender also acknowledges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6.  </w:t>
      </w:r>
      <w:r>
        <w:rPr>
          <w:rFonts w:ascii="Times New Roman" w:hAnsi="Times New Roman"/>
          <w:sz w:val="17"/>
          <w:u w:val="single"/>
        </w:rPr>
        <w:t>Representation and Warranties of the Borrower</w:t>
      </w:r>
      <w:r>
        <w:rPr>
          <w:rFonts w:ascii="Times New Roman" w:hAnsi="Times New Roman"/>
          <w:sz w:val="17"/>
        </w:rPr>
        <w:t>.  The Borrower represents and warrants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execution, delivery and performance by the Borrower of this Agreement are within the Borrowers limited partnership power, have been duly authorized by all necessary limited partnership action and do not (i) violate the Borrowers Partnership Agreement or certificate of limited partnership or (ii) result in a default under any material indenture, agreement or other instrument binding upon the Borrower.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 authorization, consent or approval of any Governmental Authority is required to be obtained or made by the Borrower as a condition to its valid execution, delivery and performance of this Agreement except such as have been obtained or made and are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This Agreement constitutes a valid and binding agreement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aggregate principal amount of the Revolving Commitments under the Credit Agreement, including any increases pursuant to </w:t>
      </w:r>
      <w:r>
        <w:rPr>
          <w:rFonts w:ascii="Times New Roman" w:hAnsi="Times New Roman"/>
          <w:sz w:val="17"/>
          <w:u w:val="single"/>
        </w:rPr>
        <w:t>Section 2.20</w:t>
      </w:r>
      <w:r>
        <w:rPr>
          <w:rFonts w:ascii="Times New Roman" w:hAnsi="Times New Roman"/>
          <w:sz w:val="17"/>
        </w:rPr>
        <w:t xml:space="preserve"> thereof, does not exceed $150,000,000.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No Default or Event of Default has occurred and is continuing.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7.  </w:t>
      </w:r>
      <w:r>
        <w:rPr>
          <w:rFonts w:ascii="Times New Roman" w:hAnsi="Times New Roman"/>
          <w:sz w:val="17"/>
          <w:u w:val="single"/>
        </w:rPr>
        <w:t>Expenses</w:t>
      </w:r>
      <w:r>
        <w:rPr>
          <w:rFonts w:ascii="Times New Roman" w:hAnsi="Times New Roman"/>
          <w:sz w:val="17"/>
        </w:rPr>
        <w:t>.  The Borrower agrees to pay all reasonable costs and expenses of the Administrative Agent within 30 days after Borrowers receipt of reasonably detailed invoices or statements in connection with the preparation, negotiation, execution and delivery of this Agreement, including, without limitation, the reasonable fees and out-of-pocket expenses of counsel for the Administrative Agent with respect thereto, in each case to the extent required to be paid by the Borrower pursuant to Section 9.03(a) of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SECTION 8.  </w:t>
      </w:r>
      <w:r>
        <w:rPr>
          <w:rFonts w:ascii="Times New Roman" w:hAnsi="Times New Roman"/>
          <w:sz w:val="17"/>
          <w:u w:val="single"/>
        </w:rPr>
        <w:t>Effectiveness</w:t>
      </w:r>
      <w:r>
        <w:rPr>
          <w:rFonts w:ascii="Times New Roman" w:hAnsi="Times New Roman"/>
          <w:sz w:val="17"/>
        </w:rPr>
        <w:t>.  When, and only when, the Administrative Agent shall have received counterparts of, or telecopied or otherwise electronically transmitted signature pages of, this Agreement executed by the Borrower, the Administrative Agent and the Increasing Lender, this Agreement shall become effective as of the date first written above.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70" w:name="15636-2-LM-25_PB_2_015800_8715"/>
      <w:bookmarkEnd w:id="27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hereto have caused this Agreement to be executed by their respective officers thereunder duly authorized, as of the date first above written.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BORROWER: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partnership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ADMINISTRATIVE AGENT: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CITIBANK, N.A.</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Administrative Agent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INCREASING LENDER: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OF INCREASING LENDER]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271" w:name="15636-2-LM-25_PB_3_020025_563"/>
      <w:bookmarkEnd w:id="27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NEW LENDER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New Lender Agreement (this </w:t>
      </w:r>
      <w:r>
        <w:rPr>
          <w:rFonts w:ascii="Times New Roman" w:hAnsi="Times New Roman"/>
          <w:sz w:val="17"/>
          <w:u w:val="single"/>
        </w:rPr>
        <w:t>Agreement</w:t>
      </w:r>
      <w:r>
        <w:rPr>
          <w:rFonts w:ascii="Times New Roman" w:hAnsi="Times New Roman"/>
          <w:sz w:val="17"/>
        </w:rPr>
        <w:t>) dated as of [                                ] is among Plains AAP, L.P. (the </w:t>
      </w:r>
      <w:r>
        <w:rPr>
          <w:rFonts w:ascii="Times New Roman" w:hAnsi="Times New Roman"/>
          <w:sz w:val="17"/>
          <w:u w:val="single"/>
        </w:rPr>
        <w:t>Borrower</w:t>
      </w:r>
      <w:r>
        <w:rPr>
          <w:rFonts w:ascii="Times New Roman" w:hAnsi="Times New Roman"/>
          <w:sz w:val="17"/>
        </w:rPr>
        <w:t>), Citibank, N.A., in its capacity as administrative agent (the </w:t>
      </w:r>
      <w:r>
        <w:rPr>
          <w:rFonts w:ascii="Times New Roman" w:hAnsi="Times New Roman"/>
          <w:sz w:val="17"/>
          <w:u w:val="single"/>
        </w:rPr>
        <w:t>Administrative Agent</w:t>
      </w:r>
      <w:r>
        <w:rPr>
          <w:rFonts w:ascii="Times New Roman" w:hAnsi="Times New Roman"/>
          <w:sz w:val="17"/>
        </w:rPr>
        <w:t xml:space="preserve">) under the Credit Agreement described below, and </w:t>
      </w:r>
      <w:r>
        <w:rPr>
          <w:rFonts w:ascii="Times New Roman" w:hAnsi="Times New Roman"/>
          <w:b/>
          <w:sz w:val="17"/>
        </w:rPr>
        <w:t>[                          ]</w:t>
      </w:r>
      <w:r>
        <w:rPr>
          <w:rFonts w:ascii="Times New Roman" w:hAnsi="Times New Roman"/>
          <w:sz w:val="17"/>
        </w:rPr>
        <w:t>, a bank or financial institution that before giving effect to this Agreement is not a Lender party to the Credit Agreement (</w:t>
      </w:r>
      <w:r>
        <w:rPr>
          <w:rFonts w:ascii="Times New Roman" w:hAnsi="Times New Roman"/>
          <w:sz w:val="17"/>
          <w:u w:val="single"/>
        </w:rPr>
        <w:t>New Lender</w:t>
      </w:r>
      <w:r>
        <w:rPr>
          <w:rFonts w:ascii="Times New Roman" w:hAnsi="Times New Roman"/>
          <w:sz w:val="17"/>
        </w:rPr>
        <w:t>).  Capitalized terms used herein without definition have the meanings assigned to such terms in the Credit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PRELIMINARY STATEMENTS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Pursuant to </w:t>
      </w:r>
      <w:r>
        <w:rPr>
          <w:rFonts w:ascii="Times New Roman" w:hAnsi="Times New Roman"/>
          <w:sz w:val="17"/>
          <w:u w:val="single"/>
        </w:rPr>
        <w:t>Section 2.20</w:t>
      </w:r>
      <w:r>
        <w:rPr>
          <w:rFonts w:ascii="Times New Roman" w:hAnsi="Times New Roman"/>
          <w:sz w:val="17"/>
        </w:rPr>
        <w:t xml:space="preserve"> of the Second Amended and Restated Credit Agreement dated as of September       , 2013 (as the same may be amended or otherwise modified from time to time, the </w:t>
      </w:r>
      <w:r>
        <w:rPr>
          <w:rFonts w:ascii="Times New Roman" w:hAnsi="Times New Roman"/>
          <w:sz w:val="17"/>
          <w:u w:val="single"/>
        </w:rPr>
        <w:t>Credit Agreement</w:t>
      </w:r>
      <w:r>
        <w:rPr>
          <w:rFonts w:ascii="Times New Roman" w:hAnsi="Times New Roman"/>
          <w:sz w:val="17"/>
        </w:rPr>
        <w:t>) among the Borrower, the Lenders from time to time party thereto, and the Administrative Agent, the Borrower has the right, subject to the terms and conditions thereof, to effectuate from time to time an increase in the total Revolving Commitments under the Credit Agreement by offering to Lenders and other bank and financial institutions the opportunity to participate in all or a portion of the increased Revolving 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The Borrower has given notice to the Administrative Agent of its intention to increase the total Revolving Commitments pursuant to such </w:t>
      </w:r>
      <w:r>
        <w:rPr>
          <w:rFonts w:ascii="Times New Roman" w:hAnsi="Times New Roman"/>
          <w:sz w:val="17"/>
          <w:u w:val="single"/>
        </w:rPr>
        <w:t>Section 2.20</w:t>
      </w:r>
      <w:r>
        <w:rPr>
          <w:rFonts w:ascii="Times New Roman" w:hAnsi="Times New Roman"/>
          <w:sz w:val="17"/>
        </w:rPr>
        <w:t xml:space="preserve"> by $[                ](6), and the Administrative Agent is willing to consent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New Lender desires to become a Lender under the Credit Agreement and extend Revolving Loans to the Borrower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Accordingly, the parties hereto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w:t>
      </w:r>
      <w:r>
        <w:rPr>
          <w:rFonts w:ascii="Times New Roman" w:hAnsi="Times New Roman"/>
        </w:rPr>
        <w:t xml:space="preserve">                            </w:t>
      </w:r>
      <w:r>
        <w:rPr>
          <w:rFonts w:ascii="Times New Roman" w:hAnsi="Times New Roman"/>
          <w:sz w:val="17"/>
          <w:u w:val="single"/>
        </w:rPr>
        <w:t>Loan Documents</w:t>
      </w:r>
      <w:r>
        <w:rPr>
          <w:rFonts w:ascii="Times New Roman" w:hAnsi="Times New Roman"/>
          <w:sz w:val="17"/>
        </w:rPr>
        <w:t>.  The New Lender hereby acknowledges receipt of copies of the Credit Agreement and the other Loan Documents.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w:t>
      </w:r>
      <w:r>
        <w:rPr>
          <w:rFonts w:ascii="Times New Roman" w:hAnsi="Times New Roman"/>
        </w:rPr>
        <w:t xml:space="preserve">                            </w:t>
      </w:r>
      <w:r>
        <w:rPr>
          <w:rFonts w:ascii="Times New Roman" w:hAnsi="Times New Roman"/>
          <w:sz w:val="17"/>
          <w:u w:val="single"/>
        </w:rPr>
        <w:t>Joinder to Credit Agreement</w:t>
      </w:r>
      <w:r>
        <w:rPr>
          <w:rFonts w:ascii="Times New Roman" w:hAnsi="Times New Roman"/>
          <w:sz w:val="17"/>
        </w:rPr>
        <w:t>. By executing and delivering this Agreement, the New Lender hereby agrees (i) to become a party to the Credit Agreement as a Lender as defined therein and (ii) to be bound by all the terms, conditions, representations, and warranties of the Credit Agreement and the other Loan Documents applicable to Lenders, and  all references to the Lenders in the Loan Documents shall be deemed to include the New Lender. Without limiting the generality of the foregoing, the New Lender hereby agrees to make Revolving Loans to the Borrower from time to time during the Availability Period in an aggregate principal amount that will not result in the New Lenders Revolving Exposure exceeding its Revolving Commitment.  The Revolving Commitment of the New Lender as of the date hereof shall be $[                ].(7)</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sz w:val="17"/>
        </w:rPr>
        <w:t>Must be at least $5,000,000.</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sz w:val="17"/>
        </w:rPr>
        <w:t>Must be at least $5,000,000.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72" w:name="15636-2-LM-25_PB_1_020212_9497"/>
      <w:bookmarkEnd w:id="27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w:t>
      </w:r>
      <w:r>
        <w:rPr>
          <w:rFonts w:ascii="Times New Roman" w:hAnsi="Times New Roman"/>
        </w:rPr>
        <w:t xml:space="preserve">                            </w:t>
      </w:r>
      <w:r>
        <w:rPr>
          <w:rFonts w:ascii="Times New Roman" w:hAnsi="Times New Roman"/>
          <w:sz w:val="17"/>
          <w:u w:val="single"/>
        </w:rPr>
        <w:t>Consent</w:t>
      </w:r>
      <w:r>
        <w:rPr>
          <w:rFonts w:ascii="Times New Roman" w:hAnsi="Times New Roman"/>
          <w:sz w:val="17"/>
        </w:rPr>
        <w:t>.  The Administrative Agent hereby consents to the participation of the New Lender in the increased Revolving Commitment.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4.</w:t>
      </w:r>
      <w:r>
        <w:rPr>
          <w:rFonts w:ascii="Times New Roman" w:hAnsi="Times New Roman"/>
        </w:rPr>
        <w:t xml:space="preserve">                            </w:t>
      </w:r>
      <w:r>
        <w:rPr>
          <w:rFonts w:ascii="Times New Roman" w:hAnsi="Times New Roman"/>
          <w:sz w:val="17"/>
          <w:u w:val="single"/>
        </w:rPr>
        <w:t>Representation and Warranties of the Borrower</w:t>
      </w:r>
      <w:r>
        <w:rPr>
          <w:rFonts w:ascii="Times New Roman" w:hAnsi="Times New Roman"/>
          <w:sz w:val="17"/>
        </w:rPr>
        <w:t>.  The Borrower represents and warrants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execution, delivery and performance by the Borrower of this Agreement are within the Borrowers limited partnership power on the part of the Borrower, have been duly authorized by all necessary limited partnership action and do not (i) violate the Borrowers Partnership Agreement or certificate of limited partnership or (ii) result in a default under any material indenture, agreement or other instrument binding upon the Borrower.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 authorization, consent or approval of any Governmental Authority is required to be obtained or made by the Borrower as a condition to its valid execution, delivery and performance of this Agreement except such as have been obtained or made and are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This Agreement constitutes a valid and binding agreement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aggregate principal amount of the Revolving Commitments under the Credit Agreement, including any increases pursuant to </w:t>
      </w:r>
      <w:r>
        <w:rPr>
          <w:rFonts w:ascii="Times New Roman" w:hAnsi="Times New Roman"/>
          <w:sz w:val="17"/>
          <w:u w:val="single"/>
        </w:rPr>
        <w:t>Section 2.20</w:t>
      </w:r>
      <w:r>
        <w:rPr>
          <w:rFonts w:ascii="Times New Roman" w:hAnsi="Times New Roman"/>
          <w:sz w:val="17"/>
        </w:rPr>
        <w:t xml:space="preserve"> thereof, does not exceed $150,000,000.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No Default, Event of Default or Material Adverse Effect has occurred and is continuing.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w:t>
      </w:r>
      <w:r>
        <w:rPr>
          <w:rFonts w:ascii="Times New Roman" w:hAnsi="Times New Roman"/>
        </w:rPr>
        <w:t xml:space="preserve">                            </w:t>
      </w:r>
      <w:r>
        <w:rPr>
          <w:rFonts w:ascii="Times New Roman" w:hAnsi="Times New Roman"/>
          <w:sz w:val="17"/>
          <w:u w:val="single"/>
        </w:rPr>
        <w:t>Effectiveness</w:t>
      </w:r>
      <w:r>
        <w:rPr>
          <w:rFonts w:ascii="Times New Roman" w:hAnsi="Times New Roman"/>
          <w:sz w:val="17"/>
        </w:rPr>
        <w:t>.  This Agreement shall become effective upon the receipt by the Administrative Agent of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Counterparts of, or telecopied or otherwise electronically transmitted signature pages of, this Agreement executed by the Borrower, the Administrative Agent and the New Lender;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 Administrative Questionnaire in the form supplied by the Administrative Agent, duly completed by the New Lender;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If the New Lender is a Foreign Lender, any documentation required to be delivered by the New Lender pursuant to Section 2.17(e) of the Credit Agreement, duly completed and executed by the New Lender;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If requested by the Administrative Agent, a certified copy of the resolutions of the Board of Directors of the Borrower approving the increase in the Revolving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73" w:name="15636-2-LM-25_PB_2_020253_3641"/>
      <w:bookmarkEnd w:id="27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Commitment and this Agreement in a form reasonably acceptable to the Administrative Agent;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If requested by the Administrative Agent, a legal opinion from counsel to the Borrower in a form reasonably acceptable to the Administrative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w:t>
      </w:r>
      <w:r>
        <w:rPr>
          <w:rFonts w:ascii="Times New Roman" w:hAnsi="Times New Roman"/>
        </w:rPr>
        <w:t xml:space="preserve">                            </w:t>
      </w:r>
      <w:r>
        <w:rPr>
          <w:rFonts w:ascii="Times New Roman" w:hAnsi="Times New Roman"/>
          <w:sz w:val="17"/>
          <w:u w:val="single"/>
        </w:rPr>
        <w:t>New Lender Credit Decision</w:t>
      </w:r>
      <w:r>
        <w:rPr>
          <w:rFonts w:ascii="Times New Roman" w:hAnsi="Times New Roman"/>
          <w:sz w:val="17"/>
        </w:rPr>
        <w:t>.  The New Lender acknowledges that it has, independently and without reliance upon the Administrative Agent or any other Lender and based on the financial statements referred to in the Credit Agreement and such other documents and information as it has deemed appropriate, made its own credit analysis and decision to enter into this Agreement and to agree to the various matters set forth herein.  The New Lender also acknowledges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w:t>
      </w:r>
      <w:r>
        <w:rPr>
          <w:rFonts w:ascii="Times New Roman" w:hAnsi="Times New Roman"/>
        </w:rPr>
        <w:t xml:space="preserve">                            </w:t>
      </w:r>
      <w:r>
        <w:rPr>
          <w:rFonts w:ascii="Times New Roman" w:hAnsi="Times New Roman"/>
          <w:sz w:val="17"/>
          <w:u w:val="single"/>
        </w:rPr>
        <w:t>Governing Law</w:t>
      </w:r>
      <w:r>
        <w:rPr>
          <w:rFonts w:ascii="Times New Roman" w:hAnsi="Times New Roman"/>
          <w:sz w:val="17"/>
        </w:rPr>
        <w:t>.  This Agreement shall be construed in accordance with and governed by the laws of the State of New York without regard to any choice of law provision that would require the application of the law of another jurisdiction.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8.</w:t>
      </w:r>
      <w:r>
        <w:rPr>
          <w:rFonts w:ascii="Times New Roman" w:hAnsi="Times New Roman"/>
        </w:rPr>
        <w:t xml:space="preserve">                            </w:t>
      </w:r>
      <w:r>
        <w:rPr>
          <w:rFonts w:ascii="Times New Roman" w:hAnsi="Times New Roman"/>
          <w:sz w:val="17"/>
          <w:u w:val="single"/>
        </w:rPr>
        <w:t>Execution in Counterparts</w:t>
      </w:r>
      <w:r>
        <w:rPr>
          <w:rFonts w:ascii="Times New Roman" w:hAnsi="Times New Roman"/>
          <w:sz w:val="17"/>
        </w:rPr>
        <w:t>.  This Agreement may be executed in any number of counterparts and by different parties hereto in separate counterparts and may be delivered in original or facsimile or other electronic form, each of which when so executed and delivered shall be deemed to be an original and all of which taken together shall constitute one and the same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w:t>
      </w:r>
      <w:r>
        <w:rPr>
          <w:rFonts w:ascii="Times New Roman" w:hAnsi="Times New Roman"/>
        </w:rPr>
        <w:t xml:space="preserve">                            </w:t>
      </w:r>
      <w:r>
        <w:rPr>
          <w:rFonts w:ascii="Times New Roman" w:hAnsi="Times New Roman"/>
          <w:sz w:val="17"/>
          <w:u w:val="single"/>
        </w:rPr>
        <w:t>Expenses</w:t>
      </w:r>
      <w:r>
        <w:rPr>
          <w:rFonts w:ascii="Times New Roman" w:hAnsi="Times New Roman"/>
          <w:sz w:val="17"/>
        </w:rPr>
        <w:t>.  The Borrower shall pay, within 30 days of its receipt of reasonably detailed invoices or statements all reasonable costs and expenses of the Administrative Agent in connection with the preparation, negotiation, execution and delivery of this Agreement, including, without limitation, the reasonable fees and out-of-pocket expenses of counsel for the Administrative Agent with respect thereto, in each case to the extent required to be paid by the Borrower pursuant to Section 9.03(a) of the Credit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 on following page]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274" w:name="15636-2-LM-25_PB_3_020318_5250"/>
      <w:bookmarkEnd w:id="27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i/>
          <w:sz w:val="17"/>
        </w:rPr>
      </w:pPr>
      <w:r>
        <w:rPr>
          <w:rFonts w:ascii="Times New Roman" w:hAnsi="Times New Roman"/>
          <w:b/>
          <w:i/>
          <w:sz w:val="17"/>
        </w:rPr>
        <w:t>IN WITNESS WHEREOF, the parties hereto have caused this Agreement to be executed by their respective officers thereunder duly authorized, as of the date first above written.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BORROWER: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partnership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ADMINISTRATIVE AGENT: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CITIBANK, N.A.,</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Administrative Agent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LENDER: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OF NEW LENDER]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275" w:name="15636-2-LM-25_PB_4_020544_7672"/>
      <w:bookmarkEnd w:id="275"/>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276" w:name="a2216857zex-10_47.htm"/>
      <w:bookmarkStart w:id="277" w:name="ksa2216857zex10_47"/>
      <w:bookmarkStart w:id="278" w:name="a2216857zex-10_47.htm"/>
      <w:bookmarkStart w:id="279" w:name="ksa2216857zex10_47"/>
      <w:bookmarkEnd w:id="278"/>
      <w:bookmarkEnd w:id="279"/>
    </w:p>
    <w:p>
      <w:pPr>
        <w:pStyle w:val="TextBody"/>
        <w:spacing w:before="0" w:after="0"/>
        <w:ind w:left="0" w:right="0" w:hanging="0"/>
        <w:jc w:val="right"/>
        <w:rPr>
          <w:rFonts w:ascii="Times New Roman" w:hAnsi="Times New Roman"/>
          <w:b/>
          <w:sz w:val="17"/>
        </w:rPr>
      </w:pPr>
      <w:r>
        <w:rPr>
          <w:rFonts w:ascii="Times New Roman" w:hAnsi="Times New Roman"/>
          <w:b/>
          <w:sz w:val="17"/>
        </w:rPr>
        <w:t>Exhibit 10.47</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GP HOLDINGS, L.P.</w:t>
        <w:br/>
        <w:t>LONG-TERM INCENTIVE PLAN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1.</w:t>
      </w:r>
      <w:r>
        <w:rPr>
          <w:rFonts w:ascii="Times New Roman" w:hAnsi="Times New Roman"/>
        </w:rPr>
        <w:t xml:space="preserve">                                           </w:t>
      </w:r>
      <w:r>
        <w:rPr>
          <w:rFonts w:ascii="Times New Roman" w:hAnsi="Times New Roman"/>
          <w:b/>
          <w:sz w:val="17"/>
          <w:u w:val="single"/>
        </w:rPr>
        <w:t>Purpose of the Plan</w:t>
      </w:r>
      <w:r>
        <w:rPr>
          <w:rFonts w:ascii="Times New Roman" w:hAnsi="Times New Roman"/>
          <w:sz w:val="17"/>
        </w:rPr>
        <w:t>.  The Plains GP Holdings, L.P. Long-Term Incentive Plan (the </w:t>
      </w:r>
      <w:r>
        <w:rPr>
          <w:rFonts w:ascii="Times New Roman" w:hAnsi="Times New Roman"/>
          <w:b/>
          <w:i/>
          <w:sz w:val="17"/>
          <w:u w:val="single"/>
        </w:rPr>
        <w:t>Plan</w:t>
      </w:r>
      <w:r>
        <w:rPr>
          <w:rFonts w:ascii="Times New Roman" w:hAnsi="Times New Roman"/>
          <w:sz w:val="17"/>
        </w:rPr>
        <w:t>) has been adopted by PAA GP Holdings LLC, a Delaware limited liability company (the </w:t>
      </w:r>
      <w:r>
        <w:rPr>
          <w:rFonts w:ascii="Times New Roman" w:hAnsi="Times New Roman"/>
          <w:b/>
          <w:i/>
          <w:sz w:val="17"/>
          <w:u w:val="single"/>
        </w:rPr>
        <w:t>Company</w:t>
      </w:r>
      <w:r>
        <w:rPr>
          <w:rFonts w:ascii="Times New Roman" w:hAnsi="Times New Roman"/>
          <w:sz w:val="17"/>
        </w:rPr>
        <w:t>), the general partner of Plains GP Holdings, L.P., a Delaware limited partnership (the </w:t>
      </w:r>
      <w:r>
        <w:rPr>
          <w:rFonts w:ascii="Times New Roman" w:hAnsi="Times New Roman"/>
          <w:b/>
          <w:i/>
          <w:sz w:val="17"/>
          <w:u w:val="single"/>
        </w:rPr>
        <w:t>Partnership</w:t>
      </w:r>
      <w:r>
        <w:rPr>
          <w:rFonts w:ascii="Times New Roman" w:hAnsi="Times New Roman"/>
          <w:sz w:val="17"/>
        </w:rPr>
        <w:t>), and is intended to align the interests of the employees of the Company and its Affiliates and the directors of the Company with those of the Partnerships shareholders by providing such employees and directors incentive compensation awards that reward achievement of targeted distribution levels and other business objectives. The Plan is also intended to enhance the ability of the Company, the Partnership and their Affiliates to attract the services of individuals who are essential for the growth and profitability of the Partnership and to encourage such individuals to devote their best efforts to advancing the business of the Partnership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w:t>
      </w:r>
      <w:r>
        <w:rPr>
          <w:rFonts w:ascii="Times New Roman" w:hAnsi="Times New Roman"/>
        </w:rPr>
        <w:t xml:space="preserve">                                           </w:t>
      </w:r>
      <w:r>
        <w:rPr>
          <w:rFonts w:ascii="Times New Roman" w:hAnsi="Times New Roman"/>
          <w:b/>
          <w:sz w:val="17"/>
          <w:u w:val="single"/>
        </w:rPr>
        <w:t>Definitions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used in the Plan, the following terms shall have the meanings set forth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Affiliate</w:t>
      </w:r>
      <w:r>
        <w:rPr>
          <w:rFonts w:ascii="Times New Roman" w:hAnsi="Times New Roman"/>
          <w:sz w:val="17"/>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Award</w:t>
      </w:r>
      <w:r>
        <w:rPr>
          <w:rFonts w:ascii="Times New Roman" w:hAnsi="Times New Roman"/>
          <w:sz w:val="17"/>
        </w:rPr>
        <w:t> means an Option, Restricted Share, Phantom Share or Share Appreciation Right granted under the Plan, and may include any tandem DERs granted with respect to a Phantom Share, Option or Share Appreciation Right.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Award Agreement</w:t>
      </w:r>
      <w:r>
        <w:rPr>
          <w:rFonts w:ascii="Times New Roman" w:hAnsi="Times New Roman"/>
          <w:sz w:val="17"/>
        </w:rPr>
        <w:t> means the written agreement by which an Award shall be evidenced, and which may describe any terms, conditions, criteria, restrictions or other elements of such Award as determined by the Committee in its discretion.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Board</w:t>
      </w:r>
      <w:r>
        <w:rPr>
          <w:rFonts w:ascii="Times New Roman" w:hAnsi="Times New Roman"/>
          <w:sz w:val="17"/>
        </w:rPr>
        <w:t> means the Board of Directors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Code</w:t>
      </w:r>
      <w:r>
        <w:rPr>
          <w:rFonts w:ascii="Times New Roman" w:hAnsi="Times New Roman"/>
          <w:sz w:val="17"/>
        </w:rPr>
        <w:t> means the Internal Revenue Code of 1986,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Committee</w:t>
      </w:r>
      <w:r>
        <w:rPr>
          <w:rFonts w:ascii="Times New Roman" w:hAnsi="Times New Roman"/>
          <w:sz w:val="17"/>
        </w:rPr>
        <w:t> means a committee of, and appointed by, the Board to administer the Plan; provided, however, that in the absence of the Boards appointment of a committee to administer the Plan, the Compensation Committee of the Board shall serve as the Committee.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DER</w:t>
      </w:r>
      <w:r>
        <w:rPr>
          <w:rFonts w:ascii="Times New Roman" w:hAnsi="Times New Roman"/>
          <w:sz w:val="17"/>
        </w:rPr>
        <w:t> means a contingent right, granted in tandem with a specific Option, Share Appreciation Right or Phantom Share, to receive an amount in cash equal to the cash distributions made by the Partnership with respect to a Share during the period such Award is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Director</w:t>
      </w:r>
      <w:r>
        <w:rPr>
          <w:rFonts w:ascii="Times New Roman" w:hAnsi="Times New Roman"/>
          <w:sz w:val="17"/>
        </w:rPr>
        <w:t> means a member of the Board who is not an Employee.</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Employee</w:t>
      </w:r>
      <w:r>
        <w:rPr>
          <w:rFonts w:ascii="Times New Roman" w:hAnsi="Times New Roman"/>
          <w:sz w:val="17"/>
        </w:rPr>
        <w:t> means any employee of the Company or an Affiliate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Exchange Act</w:t>
      </w:r>
      <w:r>
        <w:rPr>
          <w:rFonts w:ascii="Times New Roman" w:hAnsi="Times New Roman"/>
          <w:sz w:val="17"/>
        </w:rPr>
        <w:t> means the Securities Exchange Act of 1934,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Fair Market Value</w:t>
      </w:r>
      <w:r>
        <w:rPr>
          <w:rFonts w:ascii="Times New Roman" w:hAnsi="Times New Roman"/>
          <w:sz w:val="17"/>
        </w:rPr>
        <w:t> as of a given date means the closing sales price of a Share on the nearest trading date immediately preceding such given date or as defined in an Award Agreement (other than with respect to establishing the exercise price of an Option or Share Appreciation Right).  In the event Shares are not publicly traded at the time a determination of fair market value is required to be made hereunder, the determination of fair market value shall be made in good faith by the Committee.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Option</w:t>
      </w:r>
      <w:r>
        <w:rPr>
          <w:rFonts w:ascii="Times New Roman" w:hAnsi="Times New Roman"/>
          <w:sz w:val="17"/>
        </w:rPr>
        <w:t> means an option to purchase Shares granted under the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Participant</w:t>
      </w:r>
      <w:r>
        <w:rPr>
          <w:rFonts w:ascii="Times New Roman" w:hAnsi="Times New Roman"/>
          <w:sz w:val="17"/>
        </w:rPr>
        <w:t> means any Employee or Director granted an Award under the Plan.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Person</w:t>
      </w:r>
      <w:r>
        <w:rPr>
          <w:rFonts w:ascii="Times New Roman" w:hAnsi="Times New Roman"/>
          <w:sz w:val="17"/>
        </w:rPr>
        <w:t> means an individual or a corporation, limited liability company, partnership, joint venture, trust, unincorporated organization, association, government agency or political subdivision thereof or other entity.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Phantom Share</w:t>
      </w:r>
      <w:r>
        <w:rPr>
          <w:rFonts w:ascii="Times New Roman" w:hAnsi="Times New Roman"/>
          <w:sz w:val="17"/>
        </w:rPr>
        <w:t> means a phantom (notional) Share granted under the Plan that upon vesting entitles the Participant to receive a Share or an amount of cash equal to the Fair Market Value of a Share, as determined by the Committee in its discretion and as provided in the applicable Award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Restricted Period</w:t>
      </w:r>
      <w:r>
        <w:rPr>
          <w:rFonts w:ascii="Times New Roman" w:hAnsi="Times New Roman"/>
          <w:sz w:val="17"/>
        </w:rPr>
        <w:t> means the period established by the Committee with respect to an Award during which the Award or Share may remain subject to restrictions established by the Committee, including without limitation a period during which such Award or Share is subject to forfeiture or restrictions on transfer, or is not yet exercisable by or payable to the Participant, as the case may be. As the context requires, the word vest and its derivatives refers to the lapse of some or all, as the case may be, of the restrictions imposed during such Restricted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Restricted Share</w:t>
      </w:r>
      <w:r>
        <w:rPr>
          <w:rFonts w:ascii="Times New Roman" w:hAnsi="Times New Roman"/>
          <w:sz w:val="17"/>
        </w:rPr>
        <w:t> means a Share delivered under the Plan that is subject to a Restricted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Rule 16b-3</w:t>
      </w:r>
      <w:r>
        <w:rPr>
          <w:rFonts w:ascii="Times New Roman" w:hAnsi="Times New Roman"/>
          <w:sz w:val="17"/>
        </w:rPr>
        <w:t> means Rule 16b-3 promulgated by the SEC under the Exchange Act, or any successor rule or regulation thereto as in effect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SDR</w:t>
      </w:r>
      <w:r>
        <w:rPr>
          <w:rFonts w:ascii="Times New Roman" w:hAnsi="Times New Roman"/>
          <w:sz w:val="17"/>
        </w:rPr>
        <w:t> means a distribution made by the Partnership with respect to a Restricted Share.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SEC</w:t>
      </w:r>
      <w:r>
        <w:rPr>
          <w:rFonts w:ascii="Times New Roman" w:hAnsi="Times New Roman"/>
          <w:sz w:val="17"/>
        </w:rPr>
        <w:t> means the Securities and Exchange Commission, or any successor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Share</w:t>
      </w:r>
      <w:r>
        <w:rPr>
          <w:rFonts w:ascii="Times New Roman" w:hAnsi="Times New Roman"/>
          <w:sz w:val="17"/>
        </w:rPr>
        <w:t> means a Class A share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Share Appreciation Right</w:t>
      </w:r>
      <w:r>
        <w:rPr>
          <w:rFonts w:ascii="Times New Roman" w:hAnsi="Times New Roman"/>
          <w:sz w:val="17"/>
        </w:rPr>
        <w:t> means an Award that, upon exercise, entitles the holder to receive the excess of the Fair Market Value of Share on the exercise date over the exercise price established for such Share Appreciation Right. Such excess may be paid in cash and/or in Shares as determined by the Committee in its discretion and as provided in the applicable Award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80" w:name="15636-2-LO-01_PB_2_210337_7056"/>
      <w:bookmarkEnd w:id="28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w:t>
      </w:r>
      <w:r>
        <w:rPr>
          <w:rFonts w:ascii="Times New Roman" w:hAnsi="Times New Roman"/>
        </w:rPr>
        <w:t xml:space="preserve">                                           </w:t>
      </w:r>
      <w:r>
        <w:rPr>
          <w:rFonts w:ascii="Times New Roman" w:hAnsi="Times New Roman"/>
          <w:b/>
          <w:sz w:val="17"/>
          <w:u w:val="single"/>
        </w:rPr>
        <w:t>Administration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Authority of the Committee</w:t>
      </w:r>
      <w:r>
        <w:rPr>
          <w:rFonts w:ascii="Times New Roman" w:hAnsi="Times New Roman"/>
          <w:sz w:val="17"/>
        </w:rPr>
        <w:t>.  The Plan shall be administered by the Committee. A majority of the Committee shall constitute a quorum, and the acts of a majority of the members of the Committee who are present at any meeting thereof at which a quorum is present, or acts unanimously approved by the members of the Committee in writing, shall be the acts of the Committee. Subject to the following and applicable law, the Committee, in its sole discretion, may delegate any or all of its powers and duties under the Plan, including the power to grant Awards under the Plan, to the Chief Executive Officer of the Company, subject to such limitations on such delegated powers and duties as the Committee may impose, if any. Upon any such delegation all references in the Plan to the </w:t>
      </w:r>
      <w:r>
        <w:rPr>
          <w:rFonts w:ascii="Times New Roman" w:hAnsi="Times New Roman"/>
          <w:b/>
          <w:i/>
          <w:sz w:val="17"/>
          <w:u w:val="single"/>
        </w:rPr>
        <w:t>Committee</w:t>
      </w:r>
      <w:r>
        <w:rPr>
          <w:rFonts w:ascii="Times New Roman" w:hAnsi="Times New Roman"/>
          <w:sz w:val="17"/>
        </w:rPr>
        <w:t>, other than in Section 7, shall be deemed to include the Chief Executive Officer; provided, however, that such delegation shall not limit the Chief Executive Officers right to receive Awards under the Plan. Notwithstanding the foregoing, the Chief Executive Officer may not grant Awards to, or take any action with respect to any Award previously granted to, a person who is an officer subject to Rule 16b-3 or a member of the Board.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Shares to be covered by Awards; (iv) determine the terms and conditions of any Award; (v) determine whether, to what extent, and under what circumstances Awards may be settled (including settlement in cash), exercised, canceled, or forfeited; (vi) interpret and administer the Plan and any instrument or agreement relating to an Award made under the Plan; (vii) establish, amend, suspend, or waive such rules and regulations and appoint such agents as it shall deem appropriate for the proper administration of the Plan; and (viii) make any other determination and take any other action that the Committee deems necessary or desirable for the administration of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the Partnership, any of their Affiliates, any Participant, and any beneficiary of any Award.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Authority of a Subcommittee of the Committee</w:t>
      </w:r>
      <w:r>
        <w:rPr>
          <w:rFonts w:ascii="Times New Roman" w:hAnsi="Times New Roman"/>
          <w:sz w:val="17"/>
        </w:rPr>
        <w:t>.  At any time that a member of the Committee is not a nonemployee director within the meaning of Rule 16b-3 (a </w:t>
      </w:r>
      <w:r>
        <w:rPr>
          <w:rFonts w:ascii="Times New Roman" w:hAnsi="Times New Roman"/>
          <w:b/>
          <w:sz w:val="17"/>
          <w:u w:val="single"/>
        </w:rPr>
        <w:t>Qualified Member</w:t>
      </w:r>
      <w:r>
        <w:rPr>
          <w:rFonts w:ascii="Times New Roman" w:hAnsi="Times New Roman"/>
          <w:sz w:val="17"/>
        </w:rPr>
        <w:t>), any action of the Committee relating to an Award granted or to be granted to a Participant who is then subject to Section 16 of the Exchange Act in respect of the Partnership may be taken either (i) by a subcommittee, designated by the Committee, composed solely of two or more Qualified Members, or (ii) by the Committee but with each such member who is not a Qualified Member abstaining or recusing himself or herself from such action; provided, however, that upon such abstention or recusal the Committee remains composed solely of two or more Qualified Members. Such action, authorized by such a subcommittee or by the Committee upon the abstention or recusal of such non-Qualified Member(s), shall be the action of the Committee for all purposes of the Plan.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281" w:name="15636-2-LO-01_PB_3_210345_5335"/>
      <w:bookmarkEnd w:id="28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4.</w:t>
      </w:r>
      <w:r>
        <w:rPr>
          <w:rFonts w:ascii="Times New Roman" w:hAnsi="Times New Roman"/>
        </w:rPr>
        <w:t xml:space="preserve">                                           </w:t>
      </w:r>
      <w:r>
        <w:rPr>
          <w:rFonts w:ascii="Times New Roman" w:hAnsi="Times New Roman"/>
          <w:b/>
          <w:sz w:val="17"/>
          <w:u w:val="single"/>
        </w:rPr>
        <w:t>Shares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Limits on Shares Deliverable</w:t>
      </w:r>
      <w:r>
        <w:rPr>
          <w:rFonts w:ascii="Times New Roman" w:hAnsi="Times New Roman"/>
          <w:sz w:val="17"/>
        </w:rPr>
        <w:t>.  Subject to adjustment as provided in Section 4(c), the number of Shares that may be actually delivered with respect to Awards under the Plan is [                            ]. If any Award is forfeited, cancelled, exercised or otherwise terminated without the actual delivery of Shares pursuant to such Award, or if any Shares under an Award are held back to cover the exercise price or tax withholding, then, in either such case, the Shares underlying such Awards that are so forfeited, cancelled, exercised or otherwise terminated without the actual delivery of Shares or held back shall be available to satisfy future Awards under the Plan; provided, however, the issuance of a Restricted Share will be an actual delivery for purposes of the preceding; thus, any Restricted Share used to cover an exercise price or tax withholding obligation shall not become available to satisfy future Awards under the Plan. There shall not be any limitation on the number of Awards that may be granted and paid in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Sources of Shares Deliverable under Awards</w:t>
      </w:r>
      <w:r>
        <w:rPr>
          <w:rFonts w:ascii="Times New Roman" w:hAnsi="Times New Roman"/>
          <w:sz w:val="17"/>
        </w:rPr>
        <w:t>.  Any Shares delivered pursuant to an Award shall consist, in whole or in part, of (i) Shares acquired in the open market, (ii) Shares acquired from the Partnership, any Affiliate of the Partnership or any other Person or (iii) any combination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Adjustments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u w:val="single"/>
        </w:rPr>
        <w:t>Certain Restructurings</w:t>
      </w:r>
      <w:r>
        <w:rPr>
          <w:rFonts w:ascii="Times New Roman" w:hAnsi="Times New Roman"/>
          <w:sz w:val="17"/>
        </w:rPr>
        <w:t>.  Upon the occurrence of any equity restructuring event that could result in an additional compensation expense to the Company or the Partnership pursuant to the provisions of FASB Accounting Standards Codification Topic 718 if adjustments to Awards with respect to such event were discretionary, the Committee shall equitably adjust the number and type of Shares covered by each outstanding Award and the terms and conditions, including the exercise price and performance criteria (if any), of such Award to equitably reflect such restructuring event and shall adjust the number and type of Shares (or other securities or property) with respect to which Awards may be granted after such event. Upon the occurrence of any other similar event that would not result in an accounting charge under FASB Accounting Standards Codification Topic 718 if the adjustment to Awards with respect to such event were subject to discretionary action, the Committee shall have complete discretion to adjust Awards in such manner as it deems appropriate with respect to such other event.  In the event the Committee makes any adjustment pursuant to the foregoing provisions of this Section 4(c)(i), the Committee shall make a corresponding and proportionate adjustment with respect to the maximum number of Shares that may be delivered with respect to Awards under the Plan as provided in Section 4(a) and the kind of Shares or other securities available for grant under the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u w:val="single"/>
        </w:rPr>
        <w:t>Other Adjustments</w:t>
      </w:r>
      <w:r>
        <w:rPr>
          <w:rFonts w:ascii="Times New Roman" w:hAnsi="Times New Roman"/>
          <w:sz w:val="17"/>
        </w:rPr>
        <w:t>.  Subject to, and without limiting the scope of, the provisions of Section 4(c)(i), in the event that the Committee determines that any distribution (whether in the form of cash, Shares, other securities, or other property), recapitalization, split, reverse split, reorganization, merger, change of control, consolidation, split-up, spin-off, combination, repurchase, or exchange of Shares or other securities of the Partnership, issuance of warrants or other rights to purchase Shares or other securities of the Partnership, or other similar transaction or event affects the Shares such that an adjustment is determined by the Committee,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282" w:name="15636-2-LO-01_PB_4_210353_5796"/>
      <w:bookmarkEnd w:id="28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its sole discretion, to be appropriate in order to prevent dilution or enlargement of the benefits or potential benefits intended to be made available under the Plan, then the Committee shall, in such manner as it may deem equitable, adjust any or all of (A) the number and type of Shares (or other securities or property) with respect to which Awards may be granted, (B) the number and type of Shares (or other securities or property) subject to outstanding Awards, and (C) the grant or exercise price with respect to any Award or, if deemed appropriate, make provision for a cash payment to the holder of an outstanding Award; provided, that the number of Shares subject to any Award shall always be a whole number.  Further, upon the occurrence of any event described in the preceding sentence, the Committee, acting in its sole discretion without the consent or approval of any holder, may effect one or more of the following alternatives, which may vary among individual holders and which may vary among Awards: (I) remove any applicable forfeiture restrictions on any Award; (II) accelerate the time of exercisability or the time at which the Restricted Period shall lapse to a specific date specified by the Committee; (III) require the mandatory surrender to the Company or the Partnership by selected holders of some or all of the outstanding Awards held by such holders (irrespective of whether such Awards are then subject to a Restricted Period or other restrictions pursuant to the Plan) as of a date specified by the Committee, in which event the Committee shall thereupon cancel such Awards and cause the Company, the Partnership or an Affiliate thereof to pay to each holder an amount of cash per Share equal to the per Share value as determined by the Committee as of the date determined by the Committee to be the date of cancellation and surrender of such Awards less the exercise price, if any, applicable to such Awards; provided, however, that to the extent the exercise price of an Option or a Share Appreciation Right exceeds such per Share value as determined by the Committee, no consideration will be paid with respect to that Award; (IV) cancel Awards that remain subject to a Restricted Period as of a date specified by the Committee without payment of any consideration to the Participant for such Awards; or (V) make such adjustments to Awards then outstanding as the Committee deems appropriate to reflect such event (including, but not limited to, the substitution of new awards for Awards); provided, however, that the Committee may determine in its sole discretion that no adjustment is necessary to Awards then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w:t>
      </w:r>
      <w:r>
        <w:rPr>
          <w:rFonts w:ascii="Times New Roman" w:hAnsi="Times New Roman"/>
        </w:rPr>
        <w:t xml:space="preserve">                                           </w:t>
      </w:r>
      <w:r>
        <w:rPr>
          <w:rFonts w:ascii="Times New Roman" w:hAnsi="Times New Roman"/>
          <w:b/>
          <w:sz w:val="17"/>
          <w:u w:val="single"/>
        </w:rPr>
        <w:t>Eligibility</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Employee or Director shall be eligible to be designated a Participant and receive an Award under the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w:t>
      </w:r>
      <w:r>
        <w:rPr>
          <w:rFonts w:ascii="Times New Roman" w:hAnsi="Times New Roman"/>
        </w:rPr>
        <w:t xml:space="preserve">                                           </w:t>
      </w:r>
      <w:r>
        <w:rPr>
          <w:rFonts w:ascii="Times New Roman" w:hAnsi="Times New Roman"/>
          <w:b/>
          <w:sz w:val="17"/>
          <w:u w:val="single"/>
        </w:rPr>
        <w:t>Awards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Options</w:t>
      </w:r>
      <w:r>
        <w:rPr>
          <w:rFonts w:ascii="Times New Roman" w:hAnsi="Times New Roman"/>
          <w:sz w:val="17"/>
        </w:rPr>
        <w:t>.  The Committee shall have the authority to determine the Employees and Directors to whom Options shall be granted, the number of Shares to be covered by each Option, whether DERs are granted with respect to such Option, the purchase price therefor and the conditions and limitations applicable to the exercise of the Option, including the following terms and conditions and such additional terms and conditions, as the Committee shall determine, that are not inconsistent with the provisions of the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u w:val="single"/>
        </w:rPr>
        <w:t>Exercise Price</w:t>
      </w:r>
      <w:r>
        <w:rPr>
          <w:rFonts w:ascii="Times New Roman" w:hAnsi="Times New Roman"/>
          <w:sz w:val="17"/>
        </w:rPr>
        <w:t>.  The purchase price per Share purchasable under an Option shall be determined by the Committee at the time the Option is granted but may not be less than the Fair Market Value of a Share as of the date of grant.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283" w:name="15636-2-LO-01_PB_5_210412_2897"/>
      <w:bookmarkEnd w:id="28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u w:val="single"/>
        </w:rPr>
        <w:t>Time and Method of Exercise</w:t>
      </w:r>
      <w:r>
        <w:rPr>
          <w:rFonts w:ascii="Times New Roman" w:hAnsi="Times New Roman"/>
          <w:sz w:val="17"/>
        </w:rPr>
        <w:t>.  The Committee shall determine the Restricted Period, i.e., the time or times at which an Option may be exercised in whole or in part, and the method or methods by which payment of the exercise price with respect thereto may be made or deemed to have been made, which may include, without limitation, cash, check acceptable to the Company, a cashless-broker exercise through procedures approved by the Company, other securities or other property, a note (in a form acceptable to the Company), or any combination thereof, having a Fair Market Value on the exercise date equal to the relevant exercise price.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u w:val="single"/>
        </w:rPr>
        <w:t>Forfeitures</w:t>
      </w:r>
      <w:r>
        <w:rPr>
          <w:rFonts w:ascii="Times New Roman" w:hAnsi="Times New Roman"/>
          <w:sz w:val="17"/>
        </w:rPr>
        <w:t>.  Except as otherwise provided in the terms of the Option Award Agreement, upon termination of a Participants employment with the Company and its Affiliates or membership on the Board, whichever is applicable, for any reason during the applicable Restricted Period, all outstanding Options awarded to the Participant shall be automatically forfeited on such 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u w:val="single"/>
        </w:rPr>
        <w:t>Option DERs</w:t>
      </w:r>
      <w:r>
        <w:rPr>
          <w:rFonts w:ascii="Times New Roman" w:hAnsi="Times New Roman"/>
          <w:sz w:val="17"/>
        </w:rPr>
        <w:t>.  To the extent provided by the Committee, in its discretion, an Option may include a tandem DER grant, which may provide that such DERs shall be paid directly to the Participant, be credited to a bookkeeping account (with or without interest in the discretion of the Committee) subject to the same vesting restrictions as the tandem Options Award, or be subject to such other provisions or restrictions as determined by the Committee in its discretion.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Restricted Shares and Phantom Shares</w:t>
      </w:r>
      <w:r>
        <w:rPr>
          <w:rFonts w:ascii="Times New Roman" w:hAnsi="Times New Roman"/>
          <w:sz w:val="17"/>
        </w:rPr>
        <w:t>.  The Committee shall have the authority to determine the Employees and Directors to whom Restricted Shares or Phantom Shares shall be granted, the number of Restricted Shares or Phantom Shares to be granted to each such Participant, the Restricted Period, the conditions under which the Restricted Shares or Phantom Shares may become vested or forfeited, and such other terms and conditions as the Committee may establish with respect to such Awards, including whether DERs are granted with respect to the Phantom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u w:val="single"/>
        </w:rPr>
        <w:t>DERs</w:t>
      </w:r>
      <w:r>
        <w:rPr>
          <w:rFonts w:ascii="Times New Roman" w:hAnsi="Times New Roman"/>
          <w:sz w:val="17"/>
        </w:rPr>
        <w:t>.  To the extent provided by the Committee, in its discretion, a Phantom Share Award may include a tandem DER grant, which may provide that such DERs shall be paid directly to the Participant, be credited to a bookkeeping account (with or without interest in the discretion of the Committee) subject to the same vesting restrictions as the tandem Phantom Share Award, or be subject to such other provisions or restrictions as determined by the Committee in its discretion.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u w:val="single"/>
        </w:rPr>
        <w:t>SDRs</w:t>
      </w:r>
      <w:r>
        <w:rPr>
          <w:rFonts w:ascii="Times New Roman" w:hAnsi="Times New Roman"/>
          <w:sz w:val="17"/>
        </w:rPr>
        <w:t>.  To the extent provided by the Committee, in its discretion, a Restricted Shares Award Agreement may provide that distributions made by the Partnership with respect to the Restricted Shares shall be subject to the same forfeiture and other restrictions as the Restricted Share and, if restricted, such distributions shall be held, without interest, until the Restricted Share vests or is forfeited with the SDR being paid or forfeited at the same time, as the case may be. Absent such a restriction on the SDRs in the Award Agreement, SDRs shall be paid to the holder of the Restricted Share without restriction.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284" w:name="15636-2-LO-01_PB_6_210453_3020"/>
      <w:bookmarkEnd w:id="284"/>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u w:val="single"/>
        </w:rPr>
        <w:t>Forfeitures</w:t>
      </w:r>
      <w:r>
        <w:rPr>
          <w:rFonts w:ascii="Times New Roman" w:hAnsi="Times New Roman"/>
          <w:sz w:val="17"/>
        </w:rPr>
        <w:t>.  Except as otherwise provided in the terms of the Restricted Shares or Phantom Shares Award Agreement, upon termination of a Participants employment with the Company and its Affiliates or membership on the Board, whichever is applicable, for any reason during the applicable Restricted Period, all outstanding Restricted Shares and Phantom Shares awarded to the Participant shall be automatically forfeited on such 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u w:val="single"/>
        </w:rPr>
        <w:t>Lapse of Restrictions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Phantom Shares</w:t>
      </w:r>
      <w:r>
        <w:rPr>
          <w:rFonts w:ascii="Times New Roman" w:hAnsi="Times New Roman"/>
          <w:sz w:val="17"/>
        </w:rPr>
        <w:t>. Upon or as soon as reasonably practical following the vesting of each Phantom Share, subject to the provisions of Section 8(b), the Participant shall be entitled to receive from the Company one Share or cash equal to the Fair Market Value of a Share, as determined by the Committee in its discretion and as provided in the applicable Award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Restricted Shares</w:t>
      </w:r>
      <w:r>
        <w:rPr>
          <w:rFonts w:ascii="Times New Roman" w:hAnsi="Times New Roman"/>
          <w:sz w:val="17"/>
        </w:rPr>
        <w:t>. Upon or as soon as reasonably practical following the vesting of each Restricted Share, subject to the provisions of Section 8(b), the Participant shall be entitled to have the relevant restrictions removed from his or her Share certificate.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Share Appreciation Rights</w:t>
      </w:r>
      <w:r>
        <w:rPr>
          <w:rFonts w:ascii="Times New Roman" w:hAnsi="Times New Roman"/>
          <w:sz w:val="17"/>
        </w:rPr>
        <w:t>.  The Committee shall have the authority to determine the Employees and Directors to whom Share Appreciation Rights shall be granted, the number of Shares to be covered by each Award Agreement, whether DERs are granted with respect to such Share Appreciation Rights, the exercise price therefor and the conditions and limitations applicable to the exercise of the Share Appreciation Rights, including the following terms and conditions and such additional terms and conditions, as the Committee shall determine, that are not inconsistent with the provisions of the Plan.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u w:val="single"/>
        </w:rPr>
        <w:t>Exercise Price</w:t>
      </w:r>
      <w:r>
        <w:rPr>
          <w:rFonts w:ascii="Times New Roman" w:hAnsi="Times New Roman"/>
          <w:sz w:val="17"/>
        </w:rPr>
        <w:t>.  The exercise price per Share Appreciation Right shall be determined by the Committee at the time the Share Appreciation Rights are granted but may not be less than the Fair Market Value of a Share as of the date of grant.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u w:val="single"/>
        </w:rPr>
        <w:t>Time of Exercise</w:t>
      </w:r>
      <w:r>
        <w:rPr>
          <w:rFonts w:ascii="Times New Roman" w:hAnsi="Times New Roman"/>
          <w:sz w:val="17"/>
        </w:rPr>
        <w:t>.  The Committee shall determine the Restricted Period, i.e., the time or times at which a Share Appreciation Right may be exercised in whole or in part.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u w:val="single"/>
        </w:rPr>
        <w:t>Forfeitures</w:t>
      </w:r>
      <w:r>
        <w:rPr>
          <w:rFonts w:ascii="Times New Roman" w:hAnsi="Times New Roman"/>
          <w:sz w:val="17"/>
        </w:rPr>
        <w:t>.  Except as otherwise provided in the terms of the Share Appreciation Rights Award Agreement, upon termination of a Participants employment with the Company and its Affiliates or membership on the Board, whichever is applicable, for any reason during the applicable Restricted Period, all outstanding Share Appreciation Rights awarded to the Participant shall be automatically forfeited on such 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u w:val="single"/>
        </w:rPr>
        <w:t>Share Appreciation Rights DERs</w:t>
      </w:r>
      <w:r>
        <w:rPr>
          <w:rFonts w:ascii="Times New Roman" w:hAnsi="Times New Roman"/>
          <w:sz w:val="17"/>
        </w:rPr>
        <w:t>.  To the extent provided by the Committee, in its discretion, a Share Appreciation Right may include a tandem DER grant, which may provide that such DERs shall be paid directly to the Participant, be credited to a bookkeeping account (with or without interest in the discretion of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285" w:name="15636-2-LO-03_PB_7_210632_7748"/>
      <w:bookmarkEnd w:id="28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Committee) subject to the same vesting restrictions as the tandem Share Appreciation Rights Award, or be subject to such other provisions or restrictions as determined by the Committee in its discretion.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u w:val="single"/>
        </w:rPr>
        <w:t>General</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u w:val="single"/>
        </w:rPr>
        <w:t>Awards May Be Granted Separately or Together</w:t>
      </w:r>
      <w:r>
        <w:rPr>
          <w:rFonts w:ascii="Times New Roman" w:hAnsi="Times New Roman"/>
          <w:sz w:val="17"/>
        </w:rPr>
        <w:t>.  Awards may, in the discretion of the Committee, be granted either alone or in addition to, in tandem with, or in substitution for any other Award granted under the Plan or any award granted under any other plan of the Company or any Affiliate of the Company. Awards (including, without limitation, DERs) granted in addition to or in tandem with other Awards or awards granted under any other plan of the Company or any Affiliate of the Company may be granted either at the same time as or at a different time from the grant of such other Awards or awards.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u w:val="single"/>
        </w:rPr>
        <w:t>Limits on Transfer of Awards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Except as provided in (C) below, each Option and Share Appreciation Right shall be exercisable only by the Participant during the Participants lifetime, or by the person to whom the Participants rights shall pass by will or the laws of descent and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Except as provided in (C) below, no Award and no right under any such Award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the Partnership or any of their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To the extent specifically provided by the Committee with respect to an Option or Share Appreciation Rights Award Agreement, an Option or Share Appreciation Right may be transferred by a Participant without consideration to immediate family members or related family trusts, limited partnerships or similar entities or on such terms and conditions as the Committee may from time to time establish.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u w:val="single"/>
        </w:rPr>
        <w:t>Term of Awards</w:t>
      </w:r>
      <w:r>
        <w:rPr>
          <w:rFonts w:ascii="Times New Roman" w:hAnsi="Times New Roman"/>
          <w:sz w:val="17"/>
        </w:rPr>
        <w:t>. The term of each Award shall be for such period as may be determined by the Committee.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u w:val="single"/>
        </w:rPr>
        <w:t>Share Restrictions</w:t>
      </w:r>
      <w:r>
        <w:rPr>
          <w:rFonts w:ascii="Times New Roman" w:hAnsi="Times New Roman"/>
          <w:sz w:val="17"/>
        </w:rPr>
        <w:t>.  All Shares or other securities of the Partnership (whether or not in certificated form)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Shares or other securities are then listed, and any applicable federal or state laws, and the Committee may cause a legend or legends to be put on any certificates, if applicable, to make appropriate reference to such restrictions.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286" w:name="15636-2-LO-03_PB_8_210648_141"/>
      <w:bookmarkEnd w:id="28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u w:val="single"/>
        </w:rPr>
        <w:t>Consideration for Grants</w:t>
      </w:r>
      <w:r>
        <w:rPr>
          <w:rFonts w:ascii="Times New Roman" w:hAnsi="Times New Roman"/>
          <w:sz w:val="17"/>
        </w:rPr>
        <w:t>.  Awards may be granted for such consideration, including services, as the Committee determines.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u w:val="single"/>
        </w:rPr>
        <w:t>Delivery of Shares or other Securities and Payment by Participant of Consideration</w:t>
      </w:r>
      <w:r>
        <w:rPr>
          <w:rFonts w:ascii="Times New Roman" w:hAnsi="Times New Roman"/>
          <w:sz w:val="17"/>
        </w:rPr>
        <w:t>.  Notwithstanding anything in the Plan or any Award Agreement to the contrary, delivery of Shares pursuant to the exercise or vesting of an Award may be deferred for any period during which, in the good faith determination of the Committee, the Company is not reasonably able to obtain Shares to deliver pursuant to such Award without violating the rules or regulations of any applicable law or securities exchange. No Shares or other securities shall be delivered pursuant to any Award until payment in full of any amount required to be paid pursuant to the Plan or the applicable Award Agreement (including, without limitation, any exercise price or tax withholding) is received by the Company. Such payment may be made by such method or methods and in such form or forms as the Committee shall determine, including without limitation cash, other Awards, withholding of Shares, cashless broker exercises with simultaneous sale, or any combination thereof; provided that the combined value, as determined by the Committee, of all cash and cash equivalents and the Fair Market Value of any such Shares or other property so tendered to the Company, as of the date of such tender, is at least equal to the full amount required to be paid to the Company pursuant to the Plan or the applicable Award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u w:val="single"/>
        </w:rPr>
        <w:t>Change of Control</w:t>
      </w:r>
      <w:r>
        <w:rPr>
          <w:rFonts w:ascii="Times New Roman" w:hAnsi="Times New Roman"/>
          <w:sz w:val="17"/>
        </w:rPr>
        <w:t>.  If specifically provided in an Award Agreement, upon a change of control (as defined in the Award Agreement) the Award may automatically vest and be payable or become exercisable in full, as the case may be.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(viii)</w:t>
      </w:r>
      <w:r>
        <w:rPr>
          <w:rFonts w:ascii="Times New Roman" w:hAnsi="Times New Roman"/>
        </w:rPr>
        <w:t xml:space="preserve">                        </w:t>
      </w:r>
      <w:r>
        <w:rPr>
          <w:rFonts w:ascii="Times New Roman" w:hAnsi="Times New Roman"/>
          <w:sz w:val="17"/>
          <w:u w:val="single"/>
        </w:rPr>
        <w:t>Substitute Awards</w:t>
      </w:r>
      <w:r>
        <w:rPr>
          <w:rFonts w:ascii="Times New Roman" w:hAnsi="Times New Roman"/>
          <w:sz w:val="17"/>
        </w:rPr>
        <w:t>.  Awards may be granted under the Plan in substitution for similar awards held by individuals who become employees as a result of a merger, consolidation or acquisition by the Company or an Affiliate of the Company of another entity or the assets of another entity. To the extent permitted by Section 409A of the Code and the regulations thereunder, such substitute Awards may have exercise prices less than the Fair Market Value of a Share on the date of such substitution.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(ix)</w:t>
      </w:r>
      <w:r>
        <w:rPr>
          <w:rFonts w:ascii="Times New Roman" w:hAnsi="Times New Roman"/>
        </w:rPr>
        <w:t xml:space="preserve">                              </w:t>
      </w:r>
      <w:r>
        <w:rPr>
          <w:rFonts w:ascii="Times New Roman" w:hAnsi="Times New Roman"/>
          <w:sz w:val="17"/>
          <w:u w:val="single"/>
        </w:rPr>
        <w:t>Prohibition on Repricing of Certain Awards</w:t>
      </w:r>
      <w:r>
        <w:rPr>
          <w:rFonts w:ascii="Times New Roman" w:hAnsi="Times New Roman"/>
          <w:sz w:val="17"/>
        </w:rPr>
        <w:t>.  Subject to the provisions of Section 4(c) and Section 7(c), the terms of outstanding Award Agreements may not be amended without the approval of the Partnerships shareholders so as to (A) reduce the Share exercise price of any outstanding Options or Share Appreciation Rights, (B) cancel any outstanding Options or Share Appreciation Rights in exchange for cash or other Awards when the Option or Share Appreciation Right exercise price per Share exceeds the Fair Market Value of the underlying Share or (C) otherwise reprice any Option or Share Appreciation Right under generally accepted accounting principles. Subject to Section 4(c), Section 7(c) and Section 8(m), the Committee shall have the authority, without the approval of the Partnerships shareholders, to amend any outstanding Award to increase the per Share exercise price of any outstanding Options or Share Appreciation Rights or to cancel and replace any outstanding Options or Share Appreciation Rights with the grant of Options or Share Appreciation Rights having a per Share exercise price that is equal to or greater than the per Share exercise price of the original Options or Share Appreciation Rights.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87" w:name="15636-2-LO-03_PB_9_210700_7608"/>
      <w:bookmarkEnd w:id="28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w:t>
      </w:r>
      <w:r>
        <w:rPr>
          <w:rFonts w:ascii="Times New Roman" w:hAnsi="Times New Roman"/>
        </w:rPr>
        <w:t xml:space="preserve">                                           </w:t>
      </w:r>
      <w:r>
        <w:rPr>
          <w:rFonts w:ascii="Times New Roman" w:hAnsi="Times New Roman"/>
          <w:b/>
          <w:sz w:val="17"/>
          <w:u w:val="single"/>
        </w:rPr>
        <w:t>Amendment and Termination</w:t>
      </w:r>
      <w:r>
        <w:rPr>
          <w:rFonts w:ascii="Times New Roman" w:hAnsi="Times New Roman"/>
          <w:sz w:val="17"/>
        </w:rPr>
        <w:t>.  Except to the extent prohibited by applicable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Amendments to the Plan</w:t>
      </w:r>
      <w:r>
        <w:rPr>
          <w:rFonts w:ascii="Times New Roman" w:hAnsi="Times New Roman"/>
          <w:sz w:val="17"/>
        </w:rPr>
        <w:t>.  Except as required by applicable law or the rules of the principal securities exchange on which the Shares are traded and subject to Section 7(b) below, the Board or the Committee may amend, alter, suspend, discontinue, or terminate the Plan in any manner, including increasing the number of Shares available for Awards under the Plan, without the consent of any partner, Participant, other holder or beneficiary of an Award, or other Person.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Amendments to Awards</w:t>
      </w:r>
      <w:r>
        <w:rPr>
          <w:rFonts w:ascii="Times New Roman" w:hAnsi="Times New Roman"/>
          <w:sz w:val="17"/>
        </w:rPr>
        <w:t>.  Subject to Section 7(a), the Committee may waive any conditions or rights under, amend any terms of, or alter any Award theretofore granted (including without limitation requiring or allowing for an election to settle an Award in cash), provided no change, other than pursuant to Section 4(c) or Section 7(c), in any Award shall (i) materially reduce the benefit to a Participant without the consent of such Participant or (ii) cause the Plan or such Award to fail to comply with the requirements of Section 409A of the Code.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Adjustment of Awards Upon the Occurrence of Certain Unusual or Nonrecurring Events</w:t>
      </w:r>
      <w:r>
        <w:rPr>
          <w:rFonts w:ascii="Times New Roman" w:hAnsi="Times New Roman"/>
          <w:sz w:val="17"/>
        </w:rPr>
        <w:t>.  The Committee is hereby authorized to make adjustments in the terms and conditions of, and the criteria included in, Awards in recognition of unusual or nonrecurring events (including, without limitation, the events described in Section 4(c)) affecting the Partnership or the financial statements of the Partnership, or of changes in applicable laws, regulations, or accounting principles, whenever the Committee determines that such adjustments are appropriate in order to prevent dilution or enlargement of the benefits or potential benefits intended to be made available under the Plan or such Award; provided, however, that no such adjustment may be made that would cause the Plan or such Award to fail to comply with the requirements of Section 409A of the Code.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8.</w:t>
      </w:r>
      <w:r>
        <w:rPr>
          <w:rFonts w:ascii="Times New Roman" w:hAnsi="Times New Roman"/>
        </w:rPr>
        <w:t xml:space="preserve">                                           </w:t>
      </w:r>
      <w:r>
        <w:rPr>
          <w:rFonts w:ascii="Times New Roman" w:hAnsi="Times New Roman"/>
          <w:b/>
          <w:sz w:val="17"/>
          <w:u w:val="single"/>
        </w:rPr>
        <w:t>General Provisions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No Rights to Award</w:t>
      </w:r>
      <w:r>
        <w:rPr>
          <w:rFonts w:ascii="Times New Roman" w:hAnsi="Times New Roman"/>
          <w:sz w:val="17"/>
        </w:rPr>
        <w:t>.  No Person shall have any claim to be granted any Award under the Plan, and there is no obligation for uniformity of treatment of Participants. The terms and conditions of Awards need not be the same with respect to each recipient.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Tax Withholding</w:t>
      </w:r>
      <w:r>
        <w:rPr>
          <w:rFonts w:ascii="Times New Roman" w:hAnsi="Times New Roman"/>
          <w:sz w:val="17"/>
        </w:rPr>
        <w:t>.  The Company or any Affiliate of the Company is authorized to withhold from any Award, from any payment due or transfer made under any Award or from any compensation or other amount owing to a Participant the amount (in cash, Shares, other securities, Shares that would otherwise be issued pursuant to such Award or other property) of any applicable taxes payable in respect of the grant of an Award, its exercise, the lapse of restrictions thereon, or any payment or transfer under an Award or under the Plan and to take such other action as may be necessary in the opinion of the Company to satisfy its withholding obligations for the payment of such taxes.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No Right to Employment or Services</w:t>
      </w:r>
      <w:r>
        <w:rPr>
          <w:rFonts w:ascii="Times New Roman" w:hAnsi="Times New Roman"/>
          <w:sz w:val="17"/>
        </w:rPr>
        <w:t>.  The grant of an Award shall not be construed as giving a Participant the right to be retained in the employ of the Company or any of its Affiliates, or to remain on the Board, as applicable. Further, the Company or an Affiliate of the Company may at any time dismiss a Participant from employment, free from any liability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88" w:name="15636-2-LO-03_PB_10_210716_8146"/>
      <w:bookmarkEnd w:id="28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claim under the Plan, unless otherwise expressly provided in the Plan, any Award Agreement or other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i/>
          <w:sz w:val="17"/>
        </w:rPr>
        <w:t>Governing Law</w:t>
      </w:r>
      <w:r>
        <w:rPr>
          <w:rFonts w:ascii="Times New Roman" w:hAnsi="Times New Roman"/>
          <w:sz w:val="17"/>
        </w:rPr>
        <w:t>.  The validity, construction, and effect of the Plan and any rules and regulations relating to the Plan shall be determined in accordance with the laws of the State of Delaware without regard to its conflict of laws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i/>
          <w:sz w:val="17"/>
        </w:rPr>
        <w:t>Severability</w:t>
      </w:r>
      <w:r>
        <w:rPr>
          <w:rFonts w:ascii="Times New Roman" w:hAnsi="Times New Roman"/>
          <w:sz w:val="17"/>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i/>
          <w:sz w:val="17"/>
        </w:rPr>
        <w:t>Other Laws</w:t>
      </w:r>
      <w:r>
        <w:rPr>
          <w:rFonts w:ascii="Times New Roman" w:hAnsi="Times New Roman"/>
          <w:sz w:val="17"/>
        </w:rPr>
        <w:t>.  The Committee may refuse to issue or transfer any Shares or other consideration under an Award if, in its sole discretion, it determines that the issuance or transfer of such Shares or such other consideration might violate any applicable law or regulation, the rules of the principal securities exchange on which the Shares are then traded, or entitle the Partnership or an Affiliate of the Partnership to recover the same under Section 16(b) of the Exchange Act, and any payment tendered to the Company by a Participant, other holder or beneficiary in connection with the exercise of such Award shall be promptly refunded to the relevant Participant, holder or beneficiary.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i/>
          <w:sz w:val="17"/>
        </w:rPr>
        <w:t>No Trust or Fund Created</w:t>
      </w:r>
      <w:r>
        <w:rPr>
          <w:rFonts w:ascii="Times New Roman" w:hAnsi="Times New Roman"/>
          <w:sz w:val="17"/>
        </w:rPr>
        <w:t>.  Neither the Plan nor any Award shall create or be construed to create a trust or separate fund of any kind or a fiduciary relationship between the Company or any participating Affiliate of the Company and a Participant or any other Person. To the extent that any Person acquires a right to receive payments from the Company or any participating Affiliate of the Company pursuant to an Award, such right shall be no greater than the right of any general unsecured creditor of the Company or any participating Affiliate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i/>
          <w:sz w:val="17"/>
        </w:rPr>
        <w:t>No Fractional Shares</w:t>
      </w:r>
      <w:r>
        <w:rPr>
          <w:rFonts w:ascii="Times New Roman" w:hAnsi="Times New Roman"/>
          <w:sz w:val="17"/>
        </w:rPr>
        <w:t>.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i/>
          <w:sz w:val="17"/>
        </w:rPr>
        <w:t>Headings</w:t>
      </w:r>
      <w:r>
        <w:rPr>
          <w:rFonts w:ascii="Times New Roman" w:hAnsi="Times New Roman"/>
          <w:sz w:val="17"/>
        </w:rPr>
        <w:t>.  Headings are given to the Sections and subsections of the Plan solely as a convenience to facilitate reference. Such headings shall not be deemed in any way material or relevant to the construction or interpretation of the Plan or any provision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i/>
          <w:sz w:val="17"/>
        </w:rPr>
        <w:t>Facility Payment</w:t>
      </w:r>
      <w:r>
        <w:rPr>
          <w:rFonts w:ascii="Times New Roman" w:hAnsi="Times New Roman"/>
          <w:sz w:val="17"/>
        </w:rPr>
        <w:t>.  Any amounts payable hereunder to any person under legal disability or who, in the judgment of the Committee, is unable to properly manage his financial affairs, may be paid to the legal representative of such person, or may be applied for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89" w:name="15636-2-LO-03_PB_11_210728_7091"/>
      <w:bookmarkEnd w:id="28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benefit of such person in any manner which the Committee may select, and the Company shall be relieved of any further liability for payment of such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i/>
          <w:sz w:val="17"/>
        </w:rPr>
        <w:t>Participation by Affiliates</w:t>
      </w:r>
      <w:r>
        <w:rPr>
          <w:rFonts w:ascii="Times New Roman" w:hAnsi="Times New Roman"/>
          <w:sz w:val="17"/>
        </w:rPr>
        <w:t>.  In making Awards to Employees employed by an Affiliate of the Company, the Committee shall be acting on behalf of the Affiliate of the Company, and to the extent the Partnership has an obligation to reimburse the Company for compensation paid to Employees for services rendered for the benefit of the Partnership, such reimbursement payments may be made by the Partnership directly to the Affiliate of the Company, and, if made to the Company, shall be received by the Company as agent for the Affiliate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i/>
          <w:sz w:val="17"/>
        </w:rPr>
        <w:t>Gender and Number</w:t>
      </w:r>
      <w:r>
        <w:rPr>
          <w:rFonts w:ascii="Times New Roman" w:hAnsi="Times New Roman"/>
          <w:sz w:val="17"/>
        </w:rPr>
        <w:t>.  Words in the masculine gender shall include the feminine gender, the plural shall include the singular and the singular shall include the plural.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i/>
          <w:sz w:val="17"/>
        </w:rPr>
        <w:t>Compliance with Section 409A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u w:val="single"/>
        </w:rPr>
        <w:t>In General</w:t>
      </w:r>
      <w:r>
        <w:rPr>
          <w:rFonts w:ascii="Times New Roman" w:hAnsi="Times New Roman"/>
          <w:sz w:val="17"/>
        </w:rPr>
        <w:t>.  Nothing in the Plan or any Award Agreement shall operate or be construed to cause the Plan or an Award to fail to comply with Section 409A of the Code. The applicable provisions of Section 409A of the Code and the regulations thereunder are hereby incorporated by reference into and shall control over any Plan or Award Agreement provision in conflict therewith or that would cause a failure of compliance thereunder, to the extent necessary to resolve such conflict or obviate such failure. Subject to any other restrictions or limitations contained herein, in the event that a specified employee (as defined under Section 409A of the Code and the regulations thereunder) becomes entitled to a payment under an Award that constitutes a deferral of compensation (as defined under Section 409A of the Code and the regulations thereunder) on account of a separation from service (as defined under Section 409A of the Code and the regulations thereunder), to the extent required by the Code, such payment shall not occur until the date that is six months plus one day from the date of such separation from service. Any amount that is otherwise payable within the six-month period described herein will be aggregated and paid in a lump sum without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u w:val="single"/>
        </w:rPr>
        <w:t>Application to Specific Awards</w:t>
      </w:r>
      <w:r>
        <w:rPr>
          <w:rFonts w:ascii="Times New Roman" w:hAnsi="Times New Roman"/>
          <w:sz w:val="17"/>
        </w:rPr>
        <w:t>.  It is the intent that each Award shall either (A) qualify as a short term deferral as such phrase is used in Section 1.409A-1 of the U.S. Treasury Regulations or (B) comply with the requirements of Section 409A of the Code.  In that regard, notwithstanding anything in any Award to the contrary (but subject to an express provision in an Award Agreement authorized by the Committee in its discretion to override the provisions of this Section 8(m)(ii)): (I) in no event shall payment of or under an Award be made later than 2½ months following the year in which such payment ceases to be subject to a substantial risk of forfeiture for purposes of Section 409A; and (II) for any Award in which all or a portion becomes nonforfeitable upon the occurrence of an event, the relevant provisions of such Award shall be deemed to include a proviso that (x) to the extent all requirements for vesting but for the passage of time have been met as of the occurrence of such event, payment shall be made as of the next following Distribution Date and (y) to the extent additional vesting would require the achievement of additional performance thresholds (e.g.,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90" w:name="15636-2-LO-03_PB_12_210744_455"/>
      <w:bookmarkEnd w:id="29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term </w:t>
      </w:r>
      <w:r>
        <w:rPr>
          <w:rFonts w:ascii="Times New Roman" w:hAnsi="Times New Roman"/>
          <w:b/>
          <w:i/>
          <w:sz w:val="17"/>
          <w:u w:val="single"/>
        </w:rPr>
        <w:t>Distribution Date</w:t>
      </w:r>
      <w:r>
        <w:rPr>
          <w:rFonts w:ascii="Times New Roman" w:hAnsi="Times New Roman"/>
          <w:sz w:val="17"/>
        </w:rPr>
        <w:t>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w:t>
      </w:r>
      <w:r>
        <w:rPr>
          <w:rFonts w:ascii="Times New Roman" w:hAnsi="Times New Roman"/>
        </w:rPr>
        <w:t xml:space="preserve">                                           </w:t>
      </w:r>
      <w:r>
        <w:rPr>
          <w:rFonts w:ascii="Times New Roman" w:hAnsi="Times New Roman"/>
          <w:b/>
          <w:sz w:val="17"/>
          <w:u w:val="single"/>
        </w:rPr>
        <w:t>Term of the Plan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Plan shall be effective on the date on which it is adopted by the Board and shall continue until the earliest of (i) the date terminated by the Board or the Committee or (ii) the date that all available Shares under the Plan have been paid or issued to Participants. However, unless otherwise expressly provided in the Plan or in an applicable Award Agreement, any Award granted prior to such termination, and the authority of the Board or the Committee under the Plan or an Award Agreement to amend, alter, adjust, suspend, discontinue, or terminate any such Award or to waive any conditions or rights under such Award, shall extend beyond such termination date.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291" w:name="15636-2-LO-03_PB_13_210755_4141"/>
      <w:bookmarkEnd w:id="291"/>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292" w:name="a2216857zex-10_48.htm"/>
      <w:bookmarkStart w:id="293" w:name="ksa2216857zex10_48"/>
      <w:bookmarkStart w:id="294" w:name="a2216857zex-10_48.htm"/>
      <w:bookmarkStart w:id="295" w:name="ksa2216857zex10_48"/>
      <w:bookmarkEnd w:id="294"/>
      <w:bookmarkEnd w:id="295"/>
    </w:p>
    <w:p>
      <w:pPr>
        <w:pStyle w:val="TextBody"/>
        <w:spacing w:before="0" w:after="0"/>
        <w:ind w:left="0" w:right="0" w:hanging="0"/>
        <w:jc w:val="right"/>
        <w:rPr>
          <w:rFonts w:ascii="Times New Roman" w:hAnsi="Times New Roman"/>
          <w:b/>
          <w:sz w:val="17"/>
        </w:rPr>
      </w:pPr>
      <w:r>
        <w:rPr>
          <w:rFonts w:ascii="Times New Roman" w:hAnsi="Times New Roman"/>
          <w:b/>
          <w:sz w:val="17"/>
        </w:rPr>
        <w:t>Exhibit 10.48</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ADMINISTRATIVE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by and among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GP HOLDINGS,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PAA GP HOLDINGS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PAA GP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4"/>
        <w:gridCol w:w="9176"/>
        <w:gridCol w:w="515"/>
      </w:tblGrid>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1</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DEFINITIONS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Definitions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Construction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2</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SERVICES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GP LLC Services; Term</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GP LLC Compensation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Invoices and Payment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Dispute Regarding Services or Calculation of Costs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Disputes; Default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2.6</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Representations Regarding Use of Services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Warranties; Indemnification and Limitation of Liability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2.8</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Force Majeure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2.9</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Affiliates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3</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BUSINESS OPPORTUNITIES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Business Opportunities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4</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OTHER AGREEMENTS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Joint Litigation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Grant of License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5</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MISCELLANEOUS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Choice of Law; Submission to Jurisdiction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Notices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Entire Agreement; Supersedure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Waiver of Consent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5.5</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or Modification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Assignment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5.7</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Counterparts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5.8</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Severability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5.9</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Further Assurances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5.10</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Withholding or Granting of Consent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Currency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Laws and Regulations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5.13</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Negation of Rights of Third Parties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5.14</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5.15</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Successors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5.16</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Recourse Against Officers or Directors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4"/>
        <w:gridCol w:w="9176"/>
        <w:gridCol w:w="515"/>
      </w:tblGrid>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5.17</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Legal Compliance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Exhibit A  Defined Terms</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ADMINISTRATIVE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This ADMINISTRATIVE AGREEMENT (this </w:t>
      </w:r>
      <w:r>
        <w:rPr>
          <w:rFonts w:ascii="Times New Roman" w:hAnsi="Times New Roman"/>
          <w:i/>
          <w:sz w:val="17"/>
        </w:rPr>
        <w:t>Agreement</w:t>
      </w:r>
      <w:r>
        <w:rPr>
          <w:rFonts w:ascii="Times New Roman" w:hAnsi="Times New Roman"/>
          <w:sz w:val="17"/>
        </w:rPr>
        <w:t xml:space="preserve">) is entered into this </w:t>
      </w:r>
      <w:r>
        <w:rPr>
          <w:rFonts w:ascii="Times New Roman" w:hAnsi="Times New Roman"/>
          <w:b/>
          <w:sz w:val="17"/>
        </w:rPr>
        <w:t>[</w:t>
      </w:r>
      <w:r>
        <w:rPr>
          <w:rFonts w:ascii="Symbol" w:hAnsi="Symbol"/>
          <w:sz w:val="17"/>
        </w:rPr>
        <w:t>·</w:t>
      </w:r>
      <w:r>
        <w:rPr>
          <w:rFonts w:ascii="Times New Roman" w:hAnsi="Times New Roman"/>
          <w:b/>
          <w:sz w:val="17"/>
        </w:rPr>
        <w:t>]</w:t>
      </w:r>
      <w:r>
        <w:rPr>
          <w:rFonts w:ascii="Times New Roman" w:hAnsi="Times New Roman"/>
        </w:rPr>
        <w:t xml:space="preserve"> </w:t>
      </w:r>
      <w:r>
        <w:rPr>
          <w:rFonts w:ascii="Times New Roman" w:hAnsi="Times New Roman"/>
          <w:sz w:val="17"/>
        </w:rPr>
        <w:t xml:space="preserve">day of </w:t>
      </w:r>
      <w:r>
        <w:rPr>
          <w:rFonts w:ascii="Times New Roman" w:hAnsi="Times New Roman"/>
          <w:b/>
          <w:sz w:val="17"/>
        </w:rPr>
        <w:t>[</w:t>
      </w:r>
      <w:r>
        <w:rPr>
          <w:rFonts w:ascii="Symbol" w:hAnsi="Symbol"/>
          <w:sz w:val="17"/>
        </w:rPr>
        <w:t>·</w:t>
      </w:r>
      <w:r>
        <w:rPr>
          <w:rFonts w:ascii="Times New Roman" w:hAnsi="Times New Roman"/>
          <w:b/>
          <w:sz w:val="17"/>
        </w:rPr>
        <w:t>]</w:t>
      </w:r>
      <w:r>
        <w:rPr>
          <w:rFonts w:ascii="Times New Roman" w:hAnsi="Times New Roman"/>
          <w:sz w:val="17"/>
        </w:rPr>
        <w:t>, 2013 (the </w:t>
      </w:r>
      <w:r>
        <w:rPr>
          <w:rFonts w:ascii="Times New Roman" w:hAnsi="Times New Roman"/>
          <w:i/>
          <w:sz w:val="17"/>
        </w:rPr>
        <w:t>Effective Date</w:t>
      </w:r>
      <w:r>
        <w:rPr>
          <w:rFonts w:ascii="Times New Roman" w:hAnsi="Times New Roman"/>
          <w:sz w:val="17"/>
        </w:rPr>
        <w:t>), by and among Plains GP Holdings, L.P., a Delaware limited partnership (</w:t>
      </w:r>
      <w:r>
        <w:rPr>
          <w:rFonts w:ascii="Times New Roman" w:hAnsi="Times New Roman"/>
          <w:i/>
          <w:sz w:val="17"/>
        </w:rPr>
        <w:t>PAGP</w:t>
      </w:r>
      <w:r>
        <w:rPr>
          <w:rFonts w:ascii="Times New Roman" w:hAnsi="Times New Roman"/>
          <w:sz w:val="17"/>
        </w:rPr>
        <w:t>), PAA GP Holdings LLC, a Delaware limited liability company (</w:t>
      </w:r>
      <w:r>
        <w:rPr>
          <w:rFonts w:ascii="Times New Roman" w:hAnsi="Times New Roman"/>
          <w:i/>
          <w:sz w:val="17"/>
        </w:rPr>
        <w:t>PAGP GP</w:t>
      </w:r>
      <w:r>
        <w:rPr>
          <w:rFonts w:ascii="Times New Roman" w:hAnsi="Times New Roman"/>
          <w:sz w:val="17"/>
        </w:rPr>
        <w:t>), Plains All American Pipeline, L.P., a Delaware limited partnership (</w:t>
      </w:r>
      <w:r>
        <w:rPr>
          <w:rFonts w:ascii="Times New Roman" w:hAnsi="Times New Roman"/>
          <w:i/>
          <w:sz w:val="17"/>
        </w:rPr>
        <w:t>PAA</w:t>
      </w:r>
      <w:r>
        <w:rPr>
          <w:rFonts w:ascii="Times New Roman" w:hAnsi="Times New Roman"/>
          <w:sz w:val="17"/>
        </w:rPr>
        <w:t>), PAA GP LLC, a Delaware limited liability company (</w:t>
      </w:r>
      <w:r>
        <w:rPr>
          <w:rFonts w:ascii="Times New Roman" w:hAnsi="Times New Roman"/>
          <w:i/>
          <w:sz w:val="17"/>
        </w:rPr>
        <w:t>PAA GP</w:t>
      </w:r>
      <w:r>
        <w:rPr>
          <w:rFonts w:ascii="Times New Roman" w:hAnsi="Times New Roman"/>
          <w:sz w:val="17"/>
        </w:rPr>
        <w:t>), Plains AAP, L.P., a Delaware limited partnership (</w:t>
      </w:r>
      <w:r>
        <w:rPr>
          <w:rFonts w:ascii="Times New Roman" w:hAnsi="Times New Roman"/>
          <w:i/>
          <w:sz w:val="17"/>
        </w:rPr>
        <w:t>AAP</w:t>
      </w:r>
      <w:r>
        <w:rPr>
          <w:rFonts w:ascii="Times New Roman" w:hAnsi="Times New Roman"/>
          <w:sz w:val="17"/>
        </w:rPr>
        <w:t xml:space="preserve">, together with PAGP, PAGP GP and their direct and indirect subsidiaries (other than members of the GP LLC Group), the </w:t>
      </w:r>
      <w:r>
        <w:rPr>
          <w:rFonts w:ascii="Times New Roman" w:hAnsi="Times New Roman"/>
          <w:i/>
          <w:sz w:val="17"/>
        </w:rPr>
        <w:t>PAGP Entities</w:t>
      </w:r>
      <w:r>
        <w:rPr>
          <w:rFonts w:ascii="Times New Roman" w:hAnsi="Times New Roman"/>
          <w:sz w:val="17"/>
        </w:rPr>
        <w:t>) and Plains All American GP LLC, a Delaware limited liability company (</w:t>
      </w:r>
      <w:r>
        <w:rPr>
          <w:rFonts w:ascii="Times New Roman" w:hAnsi="Times New Roman"/>
          <w:i/>
          <w:sz w:val="17"/>
        </w:rPr>
        <w:t>GP LLC</w:t>
      </w:r>
      <w:r>
        <w:rPr>
          <w:rFonts w:ascii="Times New Roman" w:hAnsi="Times New Roman"/>
          <w:sz w:val="17"/>
        </w:rPr>
        <w:t xml:space="preserve">, together with PAA GP, PAA and their direct and indirect subsidiaries (other than AAP), the </w:t>
      </w:r>
      <w:r>
        <w:rPr>
          <w:rFonts w:ascii="Times New Roman" w:hAnsi="Times New Roman"/>
          <w:i/>
          <w:sz w:val="17"/>
        </w:rPr>
        <w:t>GP LLC Group</w:t>
      </w:r>
      <w:r>
        <w:rPr>
          <w:rFonts w:ascii="Times New Roman" w:hAnsi="Times New Roman"/>
          <w:sz w:val="17"/>
        </w:rPr>
        <w:t>).  The above-named entities are sometimes referred to in this Agreement each as a </w:t>
      </w:r>
      <w:r>
        <w:rPr>
          <w:rFonts w:ascii="Times New Roman" w:hAnsi="Times New Roman"/>
          <w:i/>
          <w:sz w:val="17"/>
        </w:rPr>
        <w:t>Party</w:t>
      </w:r>
      <w:r>
        <w:rPr>
          <w:rFonts w:ascii="Times New Roman" w:hAnsi="Times New Roman"/>
          <w:sz w:val="17"/>
        </w:rPr>
        <w:t> and collectively as the </w:t>
      </w:r>
      <w:r>
        <w:rPr>
          <w:rFonts w:ascii="Times New Roman" w:hAnsi="Times New Roman"/>
          <w:i/>
          <w:sz w:val="17"/>
        </w:rPr>
        <w:t>Parties</w:t>
      </w:r>
      <w:r>
        <w:rPr>
          <w:rFonts w:ascii="Times New Roman" w:hAnsi="Times New Roman"/>
          <w:sz w:val="17"/>
        </w:rPr>
        <w:t xml:space="preserve">. Capitalized terms not otherwise defined below have the meanings ascribed to such terms as set forth on </w:t>
      </w:r>
      <w:r>
        <w:rPr>
          <w:rFonts w:ascii="Times New Roman" w:hAnsi="Times New Roman"/>
          <w:sz w:val="17"/>
          <w:u w:val="single"/>
        </w:rPr>
        <w:t>Exhibit A</w:t>
      </w:r>
      <w:r>
        <w:rPr>
          <w:rFonts w:ascii="Times New Roman" w:hAnsi="Times New Roman"/>
          <w:sz w:val="17"/>
        </w:rPr>
        <w:t xml:space="preserve"> to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 E C I T A L 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Parties hereto desire, by their execution of this Agreement, to evidence the terms and conditions pursuant to which (i) GP LLC will provide certain services to the PAGP Entities and (ii) certain business opportunities will be allocated among the Parties.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 G R E E M E N T 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in consideration of the premises and the covenants, conditions, and agreements contained herein, and for other good and valuable consideration, the receipt and sufficiency of which are hereby acknowledged, the Parties hereto hereby agree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w:t>
      </w:r>
    </w:p>
    <w:p>
      <w:pPr>
        <w:pStyle w:val="TextBody"/>
        <w:spacing w:before="0" w:after="0"/>
        <w:ind w:left="0" w:right="0" w:hanging="0"/>
        <w:jc w:val="center"/>
        <w:rPr>
          <w:rFonts w:ascii="Times New Roman" w:hAnsi="Times New Roman"/>
          <w:b/>
          <w:sz w:val="17"/>
        </w:rPr>
      </w:pPr>
      <w:r>
        <w:rPr>
          <w:rFonts w:ascii="Times New Roman" w:hAnsi="Times New Roman"/>
          <w:b/>
          <w:sz w:val="17"/>
        </w:rPr>
        <w:t>DEFINITIONS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1.1</w:t>
      </w:r>
      <w:r>
        <w:rPr>
          <w:rFonts w:ascii="Times New Roman" w:hAnsi="Times New Roman"/>
        </w:rPr>
        <w:t xml:space="preserve">                               </w:t>
      </w:r>
      <w:r>
        <w:rPr>
          <w:rFonts w:ascii="Times New Roman" w:hAnsi="Times New Roman"/>
          <w:b/>
          <w:sz w:val="17"/>
        </w:rPr>
        <w:t>Definitions</w:t>
      </w:r>
      <w:r>
        <w:rPr>
          <w:rFonts w:ascii="Times New Roman" w:hAnsi="Times New Roman"/>
          <w:sz w:val="17"/>
        </w:rPr>
        <w:t xml:space="preserve">.  The definitions listed on </w:t>
      </w:r>
      <w:r>
        <w:rPr>
          <w:rFonts w:ascii="Times New Roman" w:hAnsi="Times New Roman"/>
          <w:b/>
          <w:sz w:val="17"/>
          <w:u w:val="single"/>
        </w:rPr>
        <w:t>Exhibit A</w:t>
      </w:r>
      <w:r>
        <w:rPr>
          <w:rFonts w:ascii="Times New Roman" w:hAnsi="Times New Roman"/>
          <w:sz w:val="17"/>
        </w:rPr>
        <w:t xml:space="preserve"> shall be for all purposes, unless otherwise clearly indicated to the contrary, applied to the terms used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1.2</w:t>
      </w:r>
      <w:r>
        <w:rPr>
          <w:rFonts w:ascii="Times New Roman" w:hAnsi="Times New Roman"/>
        </w:rPr>
        <w:t xml:space="preserve">                               </w:t>
      </w:r>
      <w:r>
        <w:rPr>
          <w:rFonts w:ascii="Times New Roman" w:hAnsi="Times New Roman"/>
          <w:b/>
          <w:sz w:val="17"/>
        </w:rPr>
        <w:t>Construction</w:t>
      </w:r>
      <w:r>
        <w:rPr>
          <w:rFonts w:ascii="Times New Roman" w:hAnsi="Times New Roman"/>
          <w:sz w:val="17"/>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2</w:t>
      </w:r>
    </w:p>
    <w:p>
      <w:pPr>
        <w:pStyle w:val="TextBody"/>
        <w:spacing w:before="0" w:after="0"/>
        <w:ind w:left="0" w:right="0" w:hanging="0"/>
        <w:jc w:val="center"/>
        <w:rPr>
          <w:rFonts w:ascii="Times New Roman" w:hAnsi="Times New Roman"/>
          <w:b/>
          <w:sz w:val="17"/>
        </w:rPr>
      </w:pPr>
      <w:r>
        <w:rPr>
          <w:rFonts w:ascii="Times New Roman" w:hAnsi="Times New Roman"/>
          <w:b/>
          <w:sz w:val="17"/>
        </w:rPr>
        <w:t>SERVICES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2.1</w:t>
      </w:r>
      <w:r>
        <w:rPr>
          <w:rFonts w:ascii="Times New Roman" w:hAnsi="Times New Roman"/>
        </w:rPr>
        <w:t xml:space="preserve">                               </w:t>
      </w:r>
      <w:r>
        <w:rPr>
          <w:rFonts w:ascii="Times New Roman" w:hAnsi="Times New Roman"/>
          <w:b/>
          <w:sz w:val="17"/>
        </w:rPr>
        <w:t>GP LLC Services; Term</w:t>
      </w:r>
      <w:r>
        <w:rPr>
          <w:rFonts w:ascii="Times New Roman" w:hAnsi="Times New Roman"/>
          <w:sz w:val="17"/>
        </w:rPr>
        <w:t>.  Beginning on the Effective Date and continuing until such time as this Agreement has been terminated pursuant to Section 5.14, subject to the terms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96" w:name="15636-2-LY-01_PB_1_224552_7056"/>
      <w:bookmarkEnd w:id="296"/>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Article 2 and in exchange for the compensation described in Section 2.2, GP LLC hereby agrees to provide, or to cause the GP LLC Group to provide, the PAGP Entities with such general and administrative services as may be necessary to manage and operate the business, properties and assets of the PAGP Entities; it being understood and agreed by the Parties that in connection with the provision of such services, GP LLC shall employ or otherwise retain the services of such personnel as may be necessary to cause the business, properties and assets of the PAGP Entities to be so managed and operated (individually, a </w:t>
      </w:r>
      <w:r>
        <w:rPr>
          <w:rFonts w:ascii="Times New Roman" w:hAnsi="Times New Roman"/>
          <w:i/>
          <w:sz w:val="17"/>
        </w:rPr>
        <w:t>GP LLC Service</w:t>
      </w:r>
      <w:r>
        <w:rPr>
          <w:rFonts w:ascii="Times New Roman" w:hAnsi="Times New Roman"/>
          <w:sz w:val="17"/>
        </w:rPr>
        <w:t> and, collectively, the </w:t>
      </w:r>
      <w:r>
        <w:rPr>
          <w:rFonts w:ascii="Times New Roman" w:hAnsi="Times New Roman"/>
          <w:i/>
          <w:sz w:val="17"/>
        </w:rPr>
        <w:t>GP LLC Services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2.2</w:t>
      </w:r>
      <w:r>
        <w:rPr>
          <w:rFonts w:ascii="Times New Roman" w:hAnsi="Times New Roman"/>
        </w:rPr>
        <w:t xml:space="preserve">                               </w:t>
      </w:r>
      <w:r>
        <w:rPr>
          <w:rFonts w:ascii="Times New Roman" w:hAnsi="Times New Roman"/>
          <w:b/>
          <w:sz w:val="17"/>
        </w:rPr>
        <w:t>GP LLC Compensation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Administrative Services Fee.</w:t>
      </w:r>
      <w:r>
        <w:rPr>
          <w:rFonts w:ascii="Times New Roman" w:hAnsi="Times New Roman"/>
        </w:rPr>
        <w:t xml:space="preserve">  </w:t>
      </w:r>
      <w:r>
        <w:rPr>
          <w:rFonts w:ascii="Times New Roman" w:hAnsi="Times New Roman"/>
          <w:sz w:val="17"/>
        </w:rPr>
        <w:t>As compensation for the provision by GP LLC of the GP LLC Services to the PAGP Entities, GP LLC shall be entitled to receive, and AAP agrees to pay to GP LLC, without duplication, $1.5 million annually (the </w:t>
      </w:r>
      <w:r>
        <w:rPr>
          <w:rFonts w:ascii="Times New Roman" w:hAnsi="Times New Roman"/>
          <w:i/>
          <w:sz w:val="17"/>
        </w:rPr>
        <w:t>Administrative Services Fee</w:t>
      </w:r>
      <w:r>
        <w:rPr>
          <w:rFonts w:ascii="Times New Roman" w:hAnsi="Times New Roman"/>
          <w:sz w:val="17"/>
        </w:rPr>
        <w:t>).  Following the first anniversary of this Agreement, the Administrative Services Fee shall be increased or decreased annually by the percentage increase or decrease, as applicable, in the Consumer Price Index  All Urban Consumers, U.S. City Average, Not Seasonally Adjusted for the applicable year (the </w:t>
      </w:r>
      <w:r>
        <w:rPr>
          <w:rFonts w:ascii="Times New Roman" w:hAnsi="Times New Roman"/>
          <w:i/>
          <w:sz w:val="17"/>
        </w:rPr>
        <w:t>CPI Index</w:t>
      </w:r>
      <w:r>
        <w:rPr>
          <w:rFonts w:ascii="Times New Roman" w:hAnsi="Times New Roman"/>
          <w:sz w:val="17"/>
        </w:rPr>
        <w:t>).  In making such adjustment, the Administrative Services Fee shall be increased or decreased, as applicable, commencing on January 1, 2015 and continuing on each January 1 thereafter, by the CPI Index for the prior year (or longer in the case of the first adjustment on January 1, 2015) based on the most recent information available from the U.S. Department of Labor and similarly increased or decreased, as applicable, on each subsequent January 1 by the CPI Index for the prior year period. In the event that the PAGP Entities make any acquisitions of assets or businesses or the business of the PAGP Entities otherwise changes following the Effective Date or the PAGP Entities become subject to new or modified laws, regulations, listing requirements or accounting rules that, in any case, impact the nature and/or scope of the GP LLC Services, then the Administrative Services Fee shall be appropriately increased or decreased to account for adjustments in the nature and/or scope of the GP LLC Services.  The Administrative Services Fee shall be in addition to any reimbursement for direct expenses of the PAGP Entities as provided in Section 2.2(b).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Reimbursement for Direct Expenses.</w:t>
      </w:r>
      <w:r>
        <w:rPr>
          <w:rFonts w:ascii="Times New Roman" w:hAnsi="Times New Roman"/>
        </w:rPr>
        <w:t xml:space="preserve">  </w:t>
      </w:r>
      <w:r>
        <w:rPr>
          <w:rFonts w:ascii="Times New Roman" w:hAnsi="Times New Roman"/>
          <w:sz w:val="17"/>
        </w:rPr>
        <w:t>It is contemplated that direct expenses for the PAGP Entities, other than income taxes payable by PAGP, will be paid by AAP. It is contemplated that PAGP income taxes will be paid from PAGP funds.  To the extent any member of the GP LLC Group incurs or pays any direct expenses or expenditures on behalf of the PAGP Entities, AAP hereby agrees to reimburse the GP LLC Group for such expenses and expenditures.  AAP hereby agrees to reimburse the GP LLC Group for any expenses and expenditures incurred or paid in the process of or as a result of PAGP becoming a publicly traded entity, to the extent such expenses and expenditures exceed or are in addition to those contemplated by the GP LLC Services, including expenses associated with (i) compensation for new directors of PAGP GP, (ii) incremental director and officer liability insurance, (iii) listing on the New York Stock Exchange, (iv) investor relations, (v) legal, (vi) tax and (vii) accounting.  The aggregate amount payable by AAP to the GP LLC Group pursuant to this Section 2.2(b) with respect to a given period of time shall be referred to herein as the </w:t>
      </w:r>
      <w:r>
        <w:rPr>
          <w:rFonts w:ascii="Times New Roman" w:hAnsi="Times New Roman"/>
          <w:i/>
          <w:sz w:val="17"/>
        </w:rPr>
        <w:t>Expense Reimbursement Fee</w:t>
      </w:r>
      <w:r>
        <w:rPr>
          <w:rFonts w:ascii="Times New Roman" w:hAnsi="Times New Roman"/>
          <w:sz w:val="17"/>
        </w:rPr>
        <w:t>.  The obligation of AAP to reimburse the GP LLC Group pursuant to this Section 2.2(b) shall not be subject to any monetary limitation, and shall be in addition to the Administrative Services Fee contained in Section 2.2(a).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97" w:name="15636-2-LY-01_PB_2_224602_5335"/>
      <w:bookmarkEnd w:id="297"/>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Other.</w:t>
      </w:r>
      <w:r>
        <w:rPr>
          <w:rFonts w:ascii="Times New Roman" w:hAnsi="Times New Roman"/>
        </w:rPr>
        <w:t xml:space="preserve">  </w:t>
      </w:r>
      <w:r>
        <w:rPr>
          <w:rFonts w:ascii="Times New Roman" w:hAnsi="Times New Roman"/>
          <w:sz w:val="17"/>
        </w:rPr>
        <w:t>To the extent any member of the GP LLC Group incurs or pays any expenses or expenditures not otherwise contemplated hereunder that benefits any PAGP Entity and any member of the GP LLC Group, GP LLC will allocate the costs between PAA and PAGP in its reasonable discretion. Any such costs allocated to PAGP shall be paid by AAP.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i/>
          <w:sz w:val="17"/>
        </w:rPr>
        <w:t xml:space="preserve">Parties Intent. </w:t>
      </w:r>
      <w:r>
        <w:rPr>
          <w:rFonts w:ascii="Times New Roman" w:hAnsi="Times New Roman"/>
          <w:sz w:val="17"/>
        </w:rPr>
        <w:t>The primary purpose of this agreement is to maintain effective and efficient management and administrative processes and procedures for the benefit of all Parties, and not for any Party to generate profit.  In that regard, it is the intention of the Parties that the Administrative Services Fee, the Expense Reimbursement Fee and any other costs allocated to the PAGP Entities and paid by AAP hereunder represent fair and reasonable compensation to GP LLC for the PAGP Entities allocable share of all general and administrative expenses and other costs for services borne or performed by GP LLC for the benefit of any PAGP Entity.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2.3</w:t>
      </w:r>
      <w:r>
        <w:rPr>
          <w:rFonts w:ascii="Times New Roman" w:hAnsi="Times New Roman"/>
        </w:rPr>
        <w:t xml:space="preserve">                               </w:t>
      </w:r>
      <w:r>
        <w:rPr>
          <w:rFonts w:ascii="Times New Roman" w:hAnsi="Times New Roman"/>
          <w:b/>
          <w:sz w:val="17"/>
        </w:rPr>
        <w:t>Invoices and Payment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Administrative Services Fee.</w:t>
      </w:r>
      <w:r>
        <w:rPr>
          <w:rFonts w:ascii="Times New Roman" w:hAnsi="Times New Roman"/>
        </w:rPr>
        <w:t xml:space="preserve">  </w:t>
      </w:r>
      <w:r>
        <w:rPr>
          <w:rFonts w:ascii="Times New Roman" w:hAnsi="Times New Roman"/>
          <w:sz w:val="17"/>
        </w:rPr>
        <w:t>The Administrative Services Fee shall be payable in quarterly installments on the last day of the applicable fiscal quarter, without invoice, beginning on the last day of the first fiscal quarter of PAGP ending after the date of this Agreement (prorated to account for any partial quarterly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Expense Reimbursement Fee and other Costs.</w:t>
      </w:r>
      <w:r>
        <w:rPr>
          <w:rFonts w:ascii="Times New Roman" w:hAnsi="Times New Roman"/>
        </w:rPr>
        <w:t xml:space="preserve"> </w:t>
      </w:r>
      <w:r>
        <w:rPr>
          <w:rFonts w:ascii="Times New Roman" w:hAnsi="Times New Roman"/>
          <w:sz w:val="17"/>
        </w:rPr>
        <w:t>AAP shall reimburse GP LLC within five (5) days after receipt of an invoice and related support for any Expense Reimbursement Fee.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2.4</w:t>
      </w:r>
      <w:r>
        <w:rPr>
          <w:rFonts w:ascii="Times New Roman" w:hAnsi="Times New Roman"/>
        </w:rPr>
        <w:t xml:space="preserve">                               </w:t>
      </w:r>
      <w:r>
        <w:rPr>
          <w:rFonts w:ascii="Times New Roman" w:hAnsi="Times New Roman"/>
          <w:b/>
          <w:sz w:val="17"/>
        </w:rPr>
        <w:t>Dispute Regarding Services or Calculation of Costs</w:t>
      </w:r>
      <w:r>
        <w:rPr>
          <w:rFonts w:ascii="Times New Roman" w:hAnsi="Times New Roman"/>
          <w:sz w:val="17"/>
        </w:rPr>
        <w:t>.  Should there be a dispute over the nature or quality of the GP LLC Services, the calculation of any Administrative Services Fee, the calculation of any Expense Reimbursement Fee, or the calculation of any other fee, reimbursement or allocation hereunder,  GP LLC and AAP, on behalf of the applicable PAGP Entity or Entities, shall first attempt to resolve such dispute, acting diligently and in good faith, using the past practices of such Parties and documentary evidence of costs as guidelines for such resolution.  If GP LLC and AAP, on behalf of the applicable PAGP Entity or Entities, are unable to resolve any such dispute within thirty days, or such additional time as may be reasonable under the circumstances, unless the Parties agree to an alternative dispute resolution process, the dispute shall be referred to the applicable Conflicts Committees of PAA and PAGP for resolution.  The Parties agree that the applicable Conflicts Committee shall have the authority to settle any such dispute, in its sole discretion, recognizing that it is the intent of all Parties that the dispute be resolved on a fair and reasonable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2.5</w:t>
      </w:r>
      <w:r>
        <w:rPr>
          <w:rFonts w:ascii="Times New Roman" w:hAnsi="Times New Roman"/>
        </w:rPr>
        <w:t xml:space="preserve">                               </w:t>
      </w:r>
      <w:r>
        <w:rPr>
          <w:rFonts w:ascii="Times New Roman" w:hAnsi="Times New Roman"/>
          <w:b/>
          <w:sz w:val="17"/>
        </w:rPr>
        <w:t>Disputes; Default</w:t>
      </w:r>
      <w:r>
        <w:rPr>
          <w:rFonts w:ascii="Times New Roman" w:hAnsi="Times New Roman"/>
          <w:sz w:val="17"/>
        </w:rPr>
        <w:t>.  Notwithstanding any provision of this Article 2 to the contrary, should AAP fail to pay GP LLC, when due, any amounts owing in respect of the applicable GP LLC Services, including both the Administrative Services Fee and the Expense Reimbursement Fee, except as set forth in the last sentence of this Section 2.5, upon 30 days notice, GP LLC may terminate this Article 2 as to those GP LLC Services that relate to the unpaid portion of the invoice.  Should there be a dispute as to the propriety of invoiced amounts, AAP shall pay all undisputed amounts on each invoice, but shall be entitled to withhold payment of any amount in dispute and shall promptly notify GP LLC of such disputed amount.  GP LLC shall promptly provide AAP with records relating to the disputed amount so as to enable GP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298" w:name="15636-2-LY-03_PB_3_224109_7056"/>
      <w:bookmarkEnd w:id="29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LLC and AAP to resolve the dispute.  So long as such Parties are attempting in good faith to resolve the dispute, GP LLC shall not be entitled to terminate the GP LLC Services that relate to the disputed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2.6</w:t>
      </w:r>
      <w:r>
        <w:rPr>
          <w:rFonts w:ascii="Times New Roman" w:hAnsi="Times New Roman"/>
        </w:rPr>
        <w:t xml:space="preserve">                               </w:t>
      </w:r>
      <w:r>
        <w:rPr>
          <w:rFonts w:ascii="Times New Roman" w:hAnsi="Times New Roman"/>
          <w:b/>
          <w:sz w:val="17"/>
        </w:rPr>
        <w:t>Representations Regarding Use of Services</w:t>
      </w:r>
      <w:r>
        <w:rPr>
          <w:rFonts w:ascii="Times New Roman" w:hAnsi="Times New Roman"/>
          <w:sz w:val="17"/>
        </w:rPr>
        <w:t>.  The PAGP Entities represent and agree that they will use the GP LLC Services only in accordance with all applicable federal, state and local laws and regulations, and in accordance with the reasonable conditions, rules, regulations, and specifications that may be set forth in any manuals, materials, documents, or instructions furnished from time to time by GP LLC to such PAGP Entities.  GP LLC reserves the right to take all actions, including, without limitation, termination of any portion of the GP LLC Services for any PAGP Entity that it reasonably believes is required to be terminated in order to assure compliance with applicable laws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2.7</w:t>
      </w:r>
      <w:r>
        <w:rPr>
          <w:rFonts w:ascii="Times New Roman" w:hAnsi="Times New Roman"/>
        </w:rPr>
        <w:t xml:space="preserve">                               </w:t>
      </w:r>
      <w:r>
        <w:rPr>
          <w:rFonts w:ascii="Times New Roman" w:hAnsi="Times New Roman"/>
          <w:b/>
          <w:sz w:val="17"/>
        </w:rPr>
        <w:t xml:space="preserve">Warranties; Indemnification and Limitation of Liability. </w:t>
      </w:r>
      <w:r>
        <w:rPr>
          <w:rFonts w:ascii="Times New Roman" w:hAnsi="Times New Roman"/>
        </w:rPr>
        <w:t> </w:t>
      </w:r>
      <w:r>
        <w:rPr>
          <w:rFonts w:ascii="Times New Roman" w:hAnsi="Times New Roman"/>
          <w:sz w:val="17"/>
        </w:rPr>
        <w:t>GP LLC MAKES NO (AND HEREBY DISCLAIMS AND NEGATES ANY AND ALL) WARRANTIES OR REPRESENTATIONS WHATSOEVER, EXPRESS OR IMPLIED, WITH RESPECT TO THE GP LLC SERVICES.  The PAGP Entities shall indemnify, defend and hold harmless the GP LLC Group and their respective directors, officers, partners, affiliates, agents or employees (the </w:t>
      </w:r>
      <w:r>
        <w:rPr>
          <w:rFonts w:ascii="Times New Roman" w:hAnsi="Times New Roman"/>
          <w:i/>
          <w:sz w:val="17"/>
        </w:rPr>
        <w:t>Indemnified Persons</w:t>
      </w:r>
      <w:r>
        <w:rPr>
          <w:rFonts w:ascii="Times New Roman" w:hAnsi="Times New Roman"/>
          <w:sz w:val="17"/>
        </w:rPr>
        <w:t>) from and against, and the PAGP Entities agree that no Indemnified Person shall have any liability to the PAGP Entities or its owners, parents, affiliates, security holders or creditors for, any losses, claims, damages or liabilities (including actions or proceedings in respect thereof) (collectively, </w:t>
      </w:r>
      <w:r>
        <w:rPr>
          <w:rFonts w:ascii="Times New Roman" w:hAnsi="Times New Roman"/>
          <w:i/>
          <w:sz w:val="17"/>
        </w:rPr>
        <w:t>Losses</w:t>
      </w:r>
      <w:r>
        <w:rPr>
          <w:rFonts w:ascii="Times New Roman" w:hAnsi="Times New Roman"/>
          <w:sz w:val="17"/>
        </w:rPr>
        <w:t>) related to or arising out of otherwise related to the GP LLC Services, except that the foregoing indemnity shall not apply to any Losses that are finally determined by a court or arbitral tribunal to have resulted primarily from the gross negligence, bad faith or willful misconduct of such Indemnified Person.  IN NO EVENT SHALL THE GP LLC GROUP OR THE INDEMNIFIED PERSONS BE LIABLE TO THE PAGP ENTITIES OR TO ANY OTHER PERSON FOR ANY EXEMPLARY, PUNITIVE, INDIRECT, INCIDENTAL, CONSEQUENTIAL, OR SPECIAL DAMAGES RESULTING FROM THE PERFORMANCE OF THE GP LLC SERVICES.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2.8</w:t>
      </w:r>
      <w:r>
        <w:rPr>
          <w:rFonts w:ascii="Times New Roman" w:hAnsi="Times New Roman"/>
        </w:rPr>
        <w:t xml:space="preserve">                               </w:t>
      </w:r>
      <w:r>
        <w:rPr>
          <w:rFonts w:ascii="Times New Roman" w:hAnsi="Times New Roman"/>
          <w:b/>
          <w:sz w:val="17"/>
        </w:rPr>
        <w:t>Force Majeure</w:t>
      </w:r>
      <w:r>
        <w:rPr>
          <w:rFonts w:ascii="Times New Roman" w:hAnsi="Times New Roman"/>
          <w:sz w:val="17"/>
        </w:rPr>
        <w:t>.  GP LLC shall have no obligation to perform the GP LLC Services if its failure to do so is caused by or results from any act of God, governmental action, natural disaster, strike, failure of essential equipment, or any other cause or circumstance, whether similar or dissimilar to the foregoing causes or circumstances, beyond the reasonable control of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2.9</w:t>
      </w:r>
      <w:r>
        <w:rPr>
          <w:rFonts w:ascii="Times New Roman" w:hAnsi="Times New Roman"/>
        </w:rPr>
        <w:t xml:space="preserve">                               </w:t>
      </w:r>
      <w:r>
        <w:rPr>
          <w:rFonts w:ascii="Times New Roman" w:hAnsi="Times New Roman"/>
          <w:b/>
          <w:sz w:val="17"/>
        </w:rPr>
        <w:t>Affiliates</w:t>
      </w:r>
      <w:r>
        <w:rPr>
          <w:rFonts w:ascii="Times New Roman" w:hAnsi="Times New Roman"/>
          <w:sz w:val="17"/>
        </w:rPr>
        <w:t xml:space="preserve">.  At its election, GP LLC may cause one or more of its Affiliates or third party contractors, reasonably acceptable to the Party receiving any GP LLC Services, to provide such GP LLC Services;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GP LLC shall remain responsible for the provision of such GP LLC Service in accordance with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3</w:t>
        <w:br/>
        <w:t>BUSINESS OPPORTUNITIES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3.1</w:t>
      </w:r>
      <w:r>
        <w:rPr>
          <w:rFonts w:ascii="Times New Roman" w:hAnsi="Times New Roman"/>
        </w:rPr>
        <w:t xml:space="preserve">                               </w:t>
      </w:r>
      <w:r>
        <w:rPr>
          <w:rFonts w:ascii="Times New Roman" w:hAnsi="Times New Roman"/>
          <w:b/>
          <w:sz w:val="17"/>
        </w:rPr>
        <w:t>Business Opportunities</w:t>
      </w:r>
      <w:r>
        <w:rPr>
          <w:rFonts w:ascii="Times New Roman" w:hAnsi="Times New Roman"/>
          <w:sz w:val="17"/>
        </w:rPr>
        <w:t>.  If any of the PAGP Entities or any member of the GP LLC Group is offered a business opportunity by a third party, or discovers a business opportunity, the PAGP Entity or member of the GP LLC Group that is offered or discovers such business opportunity shall promptly advise GP LLC and present such business opportunity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299" w:name="15636-2-LY-03_PB_4_224128_5335"/>
      <w:bookmarkEnd w:id="29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PAA will have the right to pursue such business opportunity.  PAGP will have the right to pursue and/or participate in such business opportunity if invited to do so by PAA, or if PAA abandons the business opportunity and GP LLC so notifies PAGP GP.</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4</w:t>
        <w:br/>
        <w:t>OTHER AGREEMENTS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4.1</w:t>
      </w:r>
      <w:r>
        <w:rPr>
          <w:rFonts w:ascii="Times New Roman" w:hAnsi="Times New Roman"/>
        </w:rPr>
        <w:t xml:space="preserve">                               </w:t>
      </w:r>
      <w:r>
        <w:rPr>
          <w:rFonts w:ascii="Times New Roman" w:hAnsi="Times New Roman"/>
          <w:b/>
          <w:sz w:val="17"/>
        </w:rPr>
        <w:t>Joint Litigation</w:t>
      </w:r>
      <w:r>
        <w:rPr>
          <w:rFonts w:ascii="Times New Roman" w:hAnsi="Times New Roman"/>
          <w:sz w:val="17"/>
        </w:rPr>
        <w:t>.  In any litigation or proceeding involving one or more members of the PAGP Entities and one or more members of the GP LLC Group, GP LLC shall have primary responsibility for assuming the defense of the related claim(s) and may employ counsel to represent jointly the PAGP Entity or PAGP Entities and the member or members of the GP LLC Group, unless PAGP GP has reasonably concluded, based on the advice of counsel, that (a) there may be a legal defense available to any PAGP Entity that is different from or in addition to those available to the GP LLC Group or (b) joint representation of the PAGP Entity or PAGP Entities and the member or members of the GP LLC Group by the same counsel would present a conflict due to actual or potential differing interests between them.  In the event that GP LLC assumes the defense of any claim(s) pursuant to this Section 4.1, GP LLC may not settle or compromise any such claim(s) on behalf of any PAGP Entity without the prior written consent of the applicable PAGP Entity.  If GP LLC assumes the defense of any claim(s) pursuant to this Section 4.1, GP LLC shall allocate the cost of such defense between the PAGP Entities and the GP LLC Group on a fair and reasonable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w:t>
      </w:r>
      <w:r>
        <w:rPr>
          <w:rFonts w:ascii="Times New Roman" w:hAnsi="Times New Roman"/>
        </w:rPr>
        <w:t xml:space="preserve">                               </w:t>
      </w:r>
      <w:r>
        <w:rPr>
          <w:rFonts w:ascii="Times New Roman" w:hAnsi="Times New Roman"/>
          <w:b/>
          <w:sz w:val="17"/>
        </w:rPr>
        <w:t>Grant of License.</w:t>
      </w:r>
      <w:r>
        <w:rPr>
          <w:rFonts w:ascii="Times New Roman" w:hAnsi="Times New Roman"/>
        </w:rPr>
        <w:t xml:space="preserve">  </w:t>
      </w:r>
      <w:r>
        <w:rPr>
          <w:rFonts w:ascii="Times New Roman" w:hAnsi="Times New Roman"/>
          <w:sz w:val="17"/>
        </w:rPr>
        <w:t>Upon the terms and conditions set forth in this Section 4.2, PAA hereby grants and conveys to each of the entities currently or hereafter comprising a part of the PAGP Entities, a nontransferable, nonexclusive, royalty free right and license (</w:t>
      </w:r>
      <w:r>
        <w:rPr>
          <w:rFonts w:ascii="Times New Roman" w:hAnsi="Times New Roman"/>
          <w:i/>
          <w:sz w:val="17"/>
        </w:rPr>
        <w:t>License</w:t>
      </w:r>
      <w:r>
        <w:rPr>
          <w:rFonts w:ascii="Times New Roman" w:hAnsi="Times New Roman"/>
          <w:sz w:val="17"/>
        </w:rPr>
        <w:t>) to use the names PAA and Plains (the </w:t>
      </w:r>
      <w:r>
        <w:rPr>
          <w:rFonts w:ascii="Times New Roman" w:hAnsi="Times New Roman"/>
          <w:i/>
          <w:sz w:val="17"/>
        </w:rPr>
        <w:t>Names</w:t>
      </w:r>
      <w:r>
        <w:rPr>
          <w:rFonts w:ascii="Times New Roman" w:hAnsi="Times New Roman"/>
          <w:sz w:val="17"/>
        </w:rPr>
        <w:t>) and any associated or related marks (the </w:t>
      </w:r>
      <w:r>
        <w:rPr>
          <w:rFonts w:ascii="Times New Roman" w:hAnsi="Times New Roman"/>
          <w:i/>
          <w:sz w:val="17"/>
        </w:rPr>
        <w:t>Marks</w:t>
      </w:r>
      <w:r>
        <w:rPr>
          <w:rFonts w:ascii="Times New Roman" w:hAnsi="Times New Roman"/>
          <w:sz w:val="17"/>
        </w:rPr>
        <w:t>).  PAGP agrees that ownership of the Names and the Marks and the goodwill relating thereto shall remain vested in PAA both during the term of this License and thereafter, and PAGP further agrees, and agrees to cause the other PAGP Entities, never to challenge, contest or question the validity of PAAs ownership of the Names and the Marks or any registration thereto by PAA. In connection with the use of the Names and the Marks, PAGP and any other PAGP Entity shall not in any manner represent that they have any ownership in the Names and the Marks or registration thereof except as set forth herein, and PAGP, on behalf of itself and the other PAGP Entities, acknowledges that the use of the Names and the Marks shall not create any right, title or interest in or to the Names and the Marks, and all use of the Names and the Marks by PAGP or any other PAGP Entity, shall inure to the benefit of PAA. PAGP agrees, and agrees to cause the other PAGP Entities, to use the Names and the Marks in accordance with such quality standards established by PAA and communicated to PAGP from time to time, it being understood that the products and services offered by the PAGP Entities immediately before the date of this Agreement are of a quality that is acceptable to PAA and justify the License.  The License shall terminate upon a termination of this Agreement pursuant to Section 5.14.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300" w:name="15636-2-LY-03_PB_5_224144_5796"/>
      <w:bookmarkEnd w:id="30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5</w:t>
        <w:br/>
        <w:t>MISCELLANEOUS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5.1</w:t>
      </w:r>
      <w:r>
        <w:rPr>
          <w:rFonts w:ascii="Times New Roman" w:hAnsi="Times New Roman"/>
        </w:rPr>
        <w:t xml:space="preserve">                               </w:t>
      </w:r>
      <w:r>
        <w:rPr>
          <w:rFonts w:ascii="Times New Roman" w:hAnsi="Times New Roman"/>
          <w:b/>
          <w:sz w:val="17"/>
        </w:rPr>
        <w:t>Choice of Law; Submission to Jurisdiction</w:t>
      </w:r>
      <w:r>
        <w:rPr>
          <w:rFonts w:ascii="Times New Roman" w:hAnsi="Times New Roman"/>
          <w:sz w:val="17"/>
        </w:rPr>
        <w:t>.  This Agreement shall be subject to and governed by the laws of the State of Texas.  Each Party hereby submits to the exclusive jurisdiction of the state and federal courts in the State of Texas and to exclusive venue in Houston, Harris County, Texas.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5.2</w:t>
      </w:r>
      <w:r>
        <w:rPr>
          <w:rFonts w:ascii="Times New Roman" w:hAnsi="Times New Roman"/>
        </w:rPr>
        <w:t xml:space="preserve">                               </w:t>
      </w:r>
      <w:r>
        <w:rPr>
          <w:rFonts w:ascii="Times New Roman" w:hAnsi="Times New Roman"/>
          <w:b/>
          <w:sz w:val="17"/>
        </w:rPr>
        <w:t>Notices</w:t>
      </w:r>
      <w:r>
        <w:rPr>
          <w:rFonts w:ascii="Times New Roman" w:hAnsi="Times New Roman"/>
          <w:sz w:val="17"/>
        </w:rPr>
        <w:t>.  All notices or requests or consents provided for or permitted to be given pursuant to this Agreement must be in writing and must 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by notice given in the manner provided in this Section 5.2.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5.3</w:t>
      </w:r>
      <w:r>
        <w:rPr>
          <w:rFonts w:ascii="Times New Roman" w:hAnsi="Times New Roman"/>
        </w:rPr>
        <w:t xml:space="preserve">                               </w:t>
      </w:r>
      <w:r>
        <w:rPr>
          <w:rFonts w:ascii="Times New Roman" w:hAnsi="Times New Roman"/>
          <w:b/>
          <w:sz w:val="17"/>
        </w:rPr>
        <w:t>Entire Agreement; Supersedure</w:t>
      </w:r>
      <w:r>
        <w:rPr>
          <w:rFonts w:ascii="Times New Roman" w:hAnsi="Times New Roman"/>
          <w:sz w:val="17"/>
        </w:rPr>
        <w:t>.  This Agreement constitutes the entire agreement of the Parties relating to the matters contained herein, superseding all prior contracts or agreements among the Parties, whether oral or written, relating to the matters contained 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5.4</w:t>
      </w:r>
      <w:r>
        <w:rPr>
          <w:rFonts w:ascii="Times New Roman" w:hAnsi="Times New Roman"/>
        </w:rPr>
        <w:t xml:space="preserve">                               </w:t>
      </w:r>
      <w:r>
        <w:rPr>
          <w:rFonts w:ascii="Times New Roman" w:hAnsi="Times New Roman"/>
          <w:b/>
          <w:sz w:val="17"/>
        </w:rPr>
        <w:t>Effect of Waiver of Consent</w:t>
      </w:r>
      <w:r>
        <w:rPr>
          <w:rFonts w:ascii="Times New Roman" w:hAnsi="Times New Roman"/>
          <w:sz w:val="17"/>
        </w:rPr>
        <w:t>.  No Partys express or implied waiver of, or consent to, any breach or default by any Party in the 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 Party in default, irrespective of how long such failure continues, shall not constitute a waiver by such Party of its rights hereunder until the applicable statute of limitations period has run.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5.5</w:t>
      </w:r>
      <w:r>
        <w:rPr>
          <w:rFonts w:ascii="Times New Roman" w:hAnsi="Times New Roman"/>
        </w:rPr>
        <w:t xml:space="preserve">                               </w:t>
      </w:r>
      <w:r>
        <w:rPr>
          <w:rFonts w:ascii="Times New Roman" w:hAnsi="Times New Roman"/>
          <w:b/>
          <w:sz w:val="17"/>
        </w:rPr>
        <w:t>Amendment or Modification</w:t>
      </w:r>
      <w:r>
        <w:rPr>
          <w:rFonts w:ascii="Times New Roman" w:hAnsi="Times New Roman"/>
          <w:sz w:val="17"/>
        </w:rPr>
        <w:t xml:space="preserve">.  This Agreement may be amended or modified from time to time only by the agreement of all the Parties affected by any such amendment;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PAGP and PAA may not, without the prior approval of its Conflicts Committee, agree to any amendment or modification of this Agreement that, in the reasonable discretion of PAGP GP or PAA GP, as applicable, will materially and adversely affect the holders of equity interests of PAGP or PAA,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5.6</w:t>
      </w:r>
      <w:r>
        <w:rPr>
          <w:rFonts w:ascii="Times New Roman" w:hAnsi="Times New Roman"/>
        </w:rPr>
        <w:t xml:space="preserve">                               </w:t>
      </w:r>
      <w:r>
        <w:rPr>
          <w:rFonts w:ascii="Times New Roman" w:hAnsi="Times New Roman"/>
          <w:b/>
          <w:sz w:val="17"/>
        </w:rPr>
        <w:t>Assignment</w:t>
      </w:r>
      <w:r>
        <w:rPr>
          <w:rFonts w:ascii="Times New Roman" w:hAnsi="Times New Roman"/>
          <w:sz w:val="17"/>
        </w:rPr>
        <w:t>.  No Party shall have the right to assign or delegate its rights or obligations under this Agreement without the consent of the other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5.7</w:t>
      </w:r>
      <w:r>
        <w:rPr>
          <w:rFonts w:ascii="Times New Roman" w:hAnsi="Times New Roman"/>
        </w:rPr>
        <w:t xml:space="preserve">                               </w:t>
      </w:r>
      <w:r>
        <w:rPr>
          <w:rFonts w:ascii="Times New Roman" w:hAnsi="Times New Roman"/>
          <w:b/>
          <w:sz w:val="17"/>
        </w:rPr>
        <w:t>Counterparts</w:t>
      </w:r>
      <w:r>
        <w:rPr>
          <w:rFonts w:ascii="Times New Roman" w:hAnsi="Times New Roman"/>
          <w:sz w:val="17"/>
        </w:rPr>
        <w:t>.  This Agreement may be executed in any number of counterparts with the same effect as if all Parties had signed the same document.  All counterparts shall be construed together and shall constitute one and the same instrument.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5.8</w:t>
      </w:r>
      <w:r>
        <w:rPr>
          <w:rFonts w:ascii="Times New Roman" w:hAnsi="Times New Roman"/>
        </w:rPr>
        <w:t xml:space="preserve">                               </w:t>
      </w:r>
      <w:r>
        <w:rPr>
          <w:rFonts w:ascii="Times New Roman" w:hAnsi="Times New Roman"/>
          <w:b/>
          <w:sz w:val="17"/>
        </w:rPr>
        <w:t>Severability</w:t>
      </w:r>
      <w:r>
        <w:rPr>
          <w:rFonts w:ascii="Times New Roman" w:hAnsi="Times New Roman"/>
          <w:sz w:val="17"/>
        </w:rPr>
        <w:t>.  If any provision of this Agreement or the application thereof to any Party or circumstance shall be held invalid or unenforceable to any extent, the remainder of this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301" w:name="15636-2-LY-03_PB_6_224158_2897"/>
      <w:bookmarkEnd w:id="30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Agreement and the application of such provision to other Parties or circumstances shall not be affected thereby and shall be enforced to the greatest extent permitted by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5.9</w:t>
      </w:r>
      <w:r>
        <w:rPr>
          <w:rFonts w:ascii="Times New Roman" w:hAnsi="Times New Roman"/>
        </w:rPr>
        <w:t xml:space="preserve">                               </w:t>
      </w:r>
      <w:r>
        <w:rPr>
          <w:rFonts w:ascii="Times New Roman" w:hAnsi="Times New Roman"/>
          <w:b/>
          <w:sz w:val="17"/>
        </w:rPr>
        <w:t>Further Assurances</w:t>
      </w:r>
      <w:r>
        <w:rPr>
          <w:rFonts w:ascii="Times New Roman" w:hAnsi="Times New Roman"/>
          <w:sz w:val="17"/>
        </w:rPr>
        <w:t>.  In connection with this Agreement and all transactions contemplated by this Agreement, each Party hereto agrees to execute and deliver such additional documents and instruments and to perform such additional acts as may be necessary or appropriate to effectuate, carry out and perform all of the terms, provisions and conditions of this Agreement and all such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5.10</w:t>
      </w:r>
      <w:r>
        <w:rPr>
          <w:rFonts w:ascii="Times New Roman" w:hAnsi="Times New Roman"/>
        </w:rPr>
        <w:t xml:space="preserve">                        </w:t>
      </w:r>
      <w:r>
        <w:rPr>
          <w:rFonts w:ascii="Times New Roman" w:hAnsi="Times New Roman"/>
          <w:b/>
          <w:sz w:val="17"/>
        </w:rPr>
        <w:t>Withholding or Granting of Consent</w:t>
      </w:r>
      <w:r>
        <w:rPr>
          <w:rFonts w:ascii="Times New Roman" w:hAnsi="Times New Roman"/>
          <w:sz w:val="17"/>
        </w:rPr>
        <w:t>.  Unless the consent or approval of a Party is expressly required not to be unreasonably withheld (or words to similar effect), 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5.11</w:t>
      </w:r>
      <w:r>
        <w:rPr>
          <w:rFonts w:ascii="Times New Roman" w:hAnsi="Times New Roman"/>
        </w:rPr>
        <w:t xml:space="preserve">                        </w:t>
      </w:r>
      <w:r>
        <w:rPr>
          <w:rFonts w:ascii="Times New Roman" w:hAnsi="Times New Roman"/>
          <w:b/>
          <w:sz w:val="17"/>
        </w:rPr>
        <w:t>U.S. Currency</w:t>
      </w:r>
      <w:r>
        <w:rPr>
          <w:rFonts w:ascii="Times New Roman" w:hAnsi="Times New Roman"/>
          <w:sz w:val="17"/>
        </w:rPr>
        <w:t>.  All sums and amounts payable or to be payable pursuant to the provisions of this Agreement shall be payable in coin or currency of the United States of America that, at the time of payment, is legal tender for the payment of public and private debts in the United States of America.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5.12</w:t>
      </w:r>
      <w:r>
        <w:rPr>
          <w:rFonts w:ascii="Times New Roman" w:hAnsi="Times New Roman"/>
        </w:rPr>
        <w:t xml:space="preserve">                        </w:t>
      </w:r>
      <w:r>
        <w:rPr>
          <w:rFonts w:ascii="Times New Roman" w:hAnsi="Times New Roman"/>
          <w:b/>
          <w:sz w:val="17"/>
        </w:rPr>
        <w:t>Laws and Regulations</w:t>
      </w:r>
      <w:r>
        <w:rPr>
          <w:rFonts w:ascii="Times New Roman" w:hAnsi="Times New Roman"/>
          <w:sz w:val="17"/>
        </w:rPr>
        <w:t>.  Notwithstanding any provision of this Agreement to the contrary, no Party hereto shall be required to take any act, or fail to take any act, under this Agreement if the effect thereof would be to cause such Party to be in violation of any applicable law, statute, rule or regulation.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5.13</w:t>
      </w:r>
      <w:r>
        <w:rPr>
          <w:rFonts w:ascii="Times New Roman" w:hAnsi="Times New Roman"/>
        </w:rPr>
        <w:t xml:space="preserve">                        </w:t>
      </w:r>
      <w:r>
        <w:rPr>
          <w:rFonts w:ascii="Times New Roman" w:hAnsi="Times New Roman"/>
          <w:b/>
          <w:sz w:val="17"/>
        </w:rPr>
        <w:t>Negation of Rights of Third Parties</w:t>
      </w:r>
      <w:r>
        <w:rPr>
          <w:rFonts w:ascii="Times New Roman" w:hAnsi="Times New Roman"/>
          <w:sz w:val="17"/>
        </w:rPr>
        <w:t>.  The provisions of this Agreement are enforceable solely by the Parties, and no limited partner of PAGP or PAA or other Person shall have the right to enforce any provision of this Agreement or to compel any Party to comply with the terms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5.14</w:t>
      </w:r>
      <w:r>
        <w:rPr>
          <w:rFonts w:ascii="Times New Roman" w:hAnsi="Times New Roman"/>
        </w:rPr>
        <w:t xml:space="preserve">                        </w:t>
      </w:r>
      <w:r>
        <w:rPr>
          <w:rFonts w:ascii="Times New Roman" w:hAnsi="Times New Roman"/>
          <w:b/>
          <w:sz w:val="17"/>
        </w:rPr>
        <w:t>Termination.</w:t>
      </w:r>
      <w:r>
        <w:rPr>
          <w:rFonts w:ascii="Times New Roman" w:hAnsi="Times New Roman"/>
        </w:rPr>
        <w:t xml:space="preserve">  </w:t>
      </w:r>
      <w:r>
        <w:rPr>
          <w:rFonts w:ascii="Times New Roman" w:hAnsi="Times New Roman"/>
          <w:sz w:val="17"/>
        </w:rPr>
        <w:t>Notwithstanding any other provision of this Agreement, this Agreement shall remain in full force and effect until terminated by mutual agreement of all Parties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5.15</w:t>
      </w:r>
      <w:r>
        <w:rPr>
          <w:rFonts w:ascii="Times New Roman" w:hAnsi="Times New Roman"/>
        </w:rPr>
        <w:t xml:space="preserve">                        </w:t>
      </w:r>
      <w:r>
        <w:rPr>
          <w:rFonts w:ascii="Times New Roman" w:hAnsi="Times New Roman"/>
          <w:b/>
          <w:sz w:val="17"/>
        </w:rPr>
        <w:t>Successors.</w:t>
      </w:r>
      <w:r>
        <w:rPr>
          <w:rFonts w:ascii="Times New Roman" w:hAnsi="Times New Roman"/>
        </w:rPr>
        <w:t xml:space="preserve">  </w:t>
      </w:r>
      <w:r>
        <w:rPr>
          <w:rFonts w:ascii="Times New Roman" w:hAnsi="Times New Roman"/>
          <w:sz w:val="17"/>
        </w:rPr>
        <w:t>This Agreement shall bind and inure to the benefit of the Parties and to their respective successors and assigns.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5.16</w:t>
      </w:r>
      <w:r>
        <w:rPr>
          <w:rFonts w:ascii="Times New Roman" w:hAnsi="Times New Roman"/>
        </w:rPr>
        <w:t xml:space="preserve">                        </w:t>
      </w:r>
      <w:r>
        <w:rPr>
          <w:rFonts w:ascii="Times New Roman" w:hAnsi="Times New Roman"/>
          <w:b/>
          <w:sz w:val="17"/>
        </w:rPr>
        <w:t>No Recourse Against Officers or Directors</w:t>
      </w:r>
      <w:r>
        <w:rPr>
          <w:rFonts w:ascii="Times New Roman" w:hAnsi="Times New Roman"/>
          <w:sz w:val="17"/>
        </w:rPr>
        <w:t>.  For the avoidance of doubt, the provisions of this Agreement shall not give rise to any right of recourse against any officer or director of PAGP, PAGP GP, PAA, AAP, PAA GP or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5.17</w:t>
      </w:r>
      <w:r>
        <w:rPr>
          <w:rFonts w:ascii="Times New Roman" w:hAnsi="Times New Roman"/>
        </w:rPr>
        <w:t xml:space="preserve">                        </w:t>
      </w:r>
      <w:r>
        <w:rPr>
          <w:rFonts w:ascii="Times New Roman" w:hAnsi="Times New Roman"/>
          <w:b/>
          <w:sz w:val="17"/>
        </w:rPr>
        <w:t>Legal Compliance</w:t>
      </w:r>
      <w:r>
        <w:rPr>
          <w:rFonts w:ascii="Times New Roman" w:hAnsi="Times New Roman"/>
          <w:sz w:val="17"/>
        </w:rPr>
        <w:t>.  The Parties acknowledge and agree that this Agreement, and all services provided under this Agreement, are intended to comply with any and all laws and legal obligations and that this Agreement should be construed and interpreted with this purpose in mind. In this regard, the Parties specifically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Parties will comply with all equal employment opportunity requirements and other applicable employment laws. Where a joint or combined action 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302" w:name="15636-2-LY-03_PB_7_224216_3020"/>
      <w:bookmarkEnd w:id="30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required by the law in order to comply with an employment obligation, the Parties will cooperate fully and in good faith to comply with the applicable obligation.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Parties agree that they will adhere to the Fair Labor Standards Act of 1938, as amended, any comparable state law and any law regulating the payment of wages or compensation.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303" w:name="15636-2-LY-03_PB_8_224234_7748"/>
      <w:bookmarkEnd w:id="303"/>
    </w:p>
    <w:p>
      <w:pPr>
        <w:pStyle w:val="HorizontalLine"/>
        <w:pBdr>
          <w:bottom w:val="single" w:sz="18" w:space="0" w:color="010101"/>
        </w:pBdr>
        <w:spacing w:before="0" w:after="0"/>
        <w:rPr/>
      </w:pPr>
      <w:r>
        <w:rPr/>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 WITNESS WHEREOF, the Parties have caused this Agreement to be duly executed by their respective authorized officers as of </w:t>
      </w:r>
      <w:r>
        <w:rPr>
          <w:rFonts w:ascii="Times New Roman" w:hAnsi="Times New Roman"/>
          <w:b/>
          <w:sz w:val="17"/>
        </w:rPr>
        <w:t>[</w:t>
      </w:r>
      <w:r>
        <w:rPr>
          <w:rFonts w:ascii="Symbol" w:hAnsi="Symbol"/>
          <w:sz w:val="17"/>
        </w:rPr>
        <w:t>·</w:t>
      </w:r>
      <w:r>
        <w:rPr>
          <w:rFonts w:ascii="Times New Roman" w:hAnsi="Times New Roman"/>
          <w:b/>
          <w:sz w:val="17"/>
        </w:rPr>
        <w:t>]</w:t>
      </w:r>
      <w:r>
        <w:rPr>
          <w:rFonts w:ascii="Times New Roman" w:hAnsi="Times New Roman"/>
          <w:sz w:val="17"/>
        </w:rPr>
        <w:t>, 2013, to be effective as of the Effective Date.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407"/>
        <w:gridCol w:w="4696"/>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GP HOLDINGS, L.P.</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PAA GP HOLDINGS LLC</w:t>
            </w:r>
            <w:r>
              <w:rPr/>
              <w:t xml:space="preserve">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Individually and as General Partner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of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9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46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02"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46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 xml:space="preserve">Address for Notice: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333 Clay Street, Suite 1600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Houston, Texas 77002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Facsimile No.: (713) 646-4313</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 xml:space="preserve">PLAINS ALL AMERICAN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PIPELINE, L.P.</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GP LLC</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AAP, L.P.</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 xml:space="preserve">PLAINS ALL AMERICAN GP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rFonts w:ascii="Times New Roman" w:hAnsi="Times New Roman"/>
                <w:b/>
                <w:sz w:val="17"/>
              </w:rPr>
              <w:t>LLC,</w:t>
            </w:r>
            <w:r>
              <w:rPr/>
              <w:t xml:space="preserve">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Individually and as General Partner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of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the Sole Member</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of PAA GP LLC, the General Partner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of Plains All American Pipeline, L.P.</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9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46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r>
      <w:tr>
        <w:trPr/>
        <w:tc>
          <w:tcPr>
            <w:tcW w:w="5102" w:type="dxa"/>
            <w:tcBorders/>
            <w:shd w:fill="auto" w:val="clear"/>
          </w:tcPr>
          <w:p>
            <w:pPr>
              <w:pStyle w:val="TableContents"/>
              <w:spacing w:before="0" w:after="0"/>
              <w:ind w:left="0" w:right="0" w:hanging="0"/>
              <w:rPr/>
            </w:pPr>
            <w:r>
              <w:rPr/>
              <w:t> </w:t>
            </w:r>
          </w:p>
        </w:tc>
        <w:tc>
          <w:tcPr>
            <w:tcW w:w="407" w:type="dxa"/>
            <w:tcBorders/>
            <w:shd w:fill="auto" w:val="clear"/>
          </w:tcPr>
          <w:p>
            <w:pPr>
              <w:pStyle w:val="TableContents"/>
              <w:spacing w:before="0" w:after="0"/>
              <w:ind w:left="0" w:right="0" w:hanging="0"/>
              <w:rPr/>
            </w:pPr>
            <w:r>
              <w:rPr/>
              <w:t> </w:t>
            </w:r>
          </w:p>
        </w:tc>
        <w:tc>
          <w:tcPr>
            <w:tcW w:w="469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 xml:space="preserve">Address for Notice: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333 Clay Street, Suite 1600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Houston, Texas 77002 </w:t>
            </w:r>
          </w:p>
        </w:tc>
      </w:tr>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Facsimile No.: (713) 646-4313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304" w:name="15636-2-LY-05_PB_9_225103_7056"/>
      <w:bookmarkEnd w:id="30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A</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DEFINED TERMS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AAP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Administrative Services Fee</w:t>
      </w:r>
      <w:r>
        <w:rPr>
          <w:rFonts w:ascii="Times New Roman" w:hAnsi="Times New Roman"/>
          <w:sz w:val="17"/>
        </w:rPr>
        <w:t> shall have the meaning set forth in Section 2.2(a).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Affiliate</w:t>
      </w:r>
      <w:r>
        <w:rPr>
          <w:rFonts w:ascii="Times New Roman" w:hAnsi="Times New Roman"/>
          <w:sz w:val="17"/>
        </w:rPr>
        <w:t> shall mean, with respect to any Person, any other Person that directly or indirectly through one or more intermediaries controls, is controlled by or is under common control with, the Person in question. As used herein, the term </w:t>
      </w:r>
      <w:r>
        <w:rPr>
          <w:rFonts w:ascii="Times New Roman" w:hAnsi="Times New Roman"/>
          <w:i/>
          <w:sz w:val="17"/>
        </w:rPr>
        <w:t>control</w:t>
      </w:r>
      <w:r>
        <w:rPr>
          <w:rFonts w:ascii="Times New Roman" w:hAnsi="Times New Roman"/>
          <w:sz w:val="17"/>
        </w:rPr>
        <w:t> means the possession, direct or indirect, of the power to direct or cause the direction of the management and policies of a Person, whether through ownership of voting securities, by contract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Agreement</w:t>
      </w:r>
      <w:r>
        <w:rPr>
          <w:rFonts w:ascii="Times New Roman" w:hAnsi="Times New Roman"/>
          <w:sz w:val="17"/>
        </w:rPr>
        <w:t> shall mean this Administrative Agreement, as it may be amended, modified, or supplemented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Conflicts Committee</w:t>
      </w:r>
      <w:r>
        <w:rPr>
          <w:rFonts w:ascii="Times New Roman" w:hAnsi="Times New Roman"/>
          <w:sz w:val="17"/>
        </w:rPr>
        <w:t> has the definition of such committee in the partnership agreements of PAA and PAGP,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CPI Index</w:t>
      </w:r>
      <w:r>
        <w:rPr>
          <w:rFonts w:ascii="Times New Roman" w:hAnsi="Times New Roman"/>
          <w:sz w:val="17"/>
        </w:rPr>
        <w:t xml:space="preserve"> shall have the meaning set forth in Section 2.2(a).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Effective Date</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Expense Reimbursement Fee</w:t>
      </w:r>
      <w:r>
        <w:rPr>
          <w:rFonts w:ascii="Times New Roman" w:hAnsi="Times New Roman"/>
          <w:sz w:val="17"/>
        </w:rPr>
        <w:t xml:space="preserve"> shall have the meaning set forth in Section 2.2(b).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GP LLC</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GP LLC Group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GP LLC Services</w:t>
      </w:r>
      <w:r>
        <w:rPr>
          <w:rFonts w:ascii="Times New Roman" w:hAnsi="Times New Roman"/>
          <w:sz w:val="17"/>
        </w:rPr>
        <w:t> shall have the meaning set forth in Section 2.1.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Indemnified Persons</w:t>
      </w:r>
      <w:r>
        <w:rPr>
          <w:rFonts w:ascii="Times New Roman" w:hAnsi="Times New Roman"/>
          <w:sz w:val="17"/>
        </w:rPr>
        <w:t> shall have the meaning set forth in Section 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License</w:t>
      </w:r>
      <w:r>
        <w:rPr>
          <w:rFonts w:ascii="Times New Roman" w:hAnsi="Times New Roman"/>
          <w:sz w:val="17"/>
        </w:rPr>
        <w:t> shall have the meaning set forth in Section 4.2.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Losses</w:t>
      </w:r>
      <w:r>
        <w:rPr>
          <w:rFonts w:ascii="Times New Roman" w:hAnsi="Times New Roman"/>
          <w:sz w:val="17"/>
        </w:rPr>
        <w:t> shall have the meaning set forth in Section 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Marks</w:t>
      </w:r>
      <w:r>
        <w:rPr>
          <w:rFonts w:ascii="Times New Roman" w:hAnsi="Times New Roman"/>
          <w:sz w:val="17"/>
        </w:rPr>
        <w:t> shall have the meaning set forth in Section 4.2.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Names</w:t>
      </w:r>
      <w:r>
        <w:rPr>
          <w:rFonts w:ascii="Times New Roman" w:hAnsi="Times New Roman"/>
          <w:sz w:val="17"/>
        </w:rPr>
        <w:t> shall have the meaning set forth in Section 4.2.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PAA</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PAA GP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PAGP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PAGP Entities</w:t>
      </w:r>
      <w:r>
        <w:rPr>
          <w:rFonts w:ascii="Times New Roman" w:hAnsi="Times New Roman"/>
          <w:sz w:val="17"/>
        </w:rPr>
        <w:t> shall have the meaning set forth in the Preamble.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A-1</w:t>
      </w:r>
      <w:bookmarkStart w:id="305" w:name="15636-2-LY-05_PB_1_225306_5335"/>
      <w:bookmarkEnd w:id="30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PAGP GP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Party</w:t>
      </w:r>
      <w:r>
        <w:rPr>
          <w:rFonts w:ascii="Times New Roman" w:hAnsi="Times New Roman"/>
          <w:sz w:val="17"/>
        </w:rPr>
        <w:t> shall mean any one of the Persons that executes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Person</w:t>
      </w:r>
      <w:r>
        <w:rPr>
          <w:rFonts w:ascii="Times New Roman" w:hAnsi="Times New Roman"/>
          <w:sz w:val="17"/>
        </w:rPr>
        <w:t> means an individual or a corporation, limited liability company, partnership, joint venture, trust, unincorporated organization, association, government agency or political subdivision thereof or other entity.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A-2</w:t>
      </w:r>
      <w:bookmarkStart w:id="306" w:name="15636-2-LY-05_PB_2_044755_5335"/>
      <w:bookmarkEnd w:id="306"/>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07" w:name="a2216857zex-10_49.htm"/>
      <w:bookmarkStart w:id="308" w:name="ksa2216857zex10_49"/>
      <w:bookmarkStart w:id="309" w:name="a2216857zex-10_49.htm"/>
      <w:bookmarkStart w:id="310" w:name="ksa2216857zex10_49"/>
      <w:bookmarkEnd w:id="309"/>
      <w:bookmarkEnd w:id="310"/>
    </w:p>
    <w:p>
      <w:pPr>
        <w:pStyle w:val="TextBody"/>
        <w:spacing w:before="0" w:after="0"/>
        <w:ind w:left="0" w:right="0" w:hanging="0"/>
        <w:jc w:val="right"/>
        <w:rPr>
          <w:rFonts w:ascii="Times New Roman" w:hAnsi="Times New Roman"/>
          <w:b/>
          <w:sz w:val="17"/>
        </w:rPr>
      </w:pPr>
      <w:r>
        <w:rPr>
          <w:rFonts w:ascii="Times New Roman" w:hAnsi="Times New Roman"/>
          <w:b/>
          <w:sz w:val="17"/>
        </w:rPr>
        <w:t>Exhibit 10.49</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CONTRIBUTION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By and Among,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GP HOLDINGS,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PAA GP HOLDINGS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THE OTHER PARTIES SIGNATORY HERETO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Dated as of [</w:t>
      </w:r>
      <w:r>
        <w:rPr>
          <w:rFonts w:ascii="Symbol" w:hAnsi="Symbol"/>
          <w:b/>
          <w:sz w:val="17"/>
        </w:rPr>
        <w:t>·</w:t>
      </w:r>
      <w:r>
        <w:rPr>
          <w:rFonts w:ascii="Times New Roman" w:hAnsi="Times New Roman"/>
          <w:b/>
          <w:sz w:val="17"/>
        </w:rPr>
        <w:t>], 2013</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CONTRIBUTION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This Contribution Agreement, dated as of </w:t>
      </w:r>
      <w:r>
        <w:rPr>
          <w:rFonts w:ascii="Times New Roman" w:hAnsi="Times New Roman"/>
          <w:b/>
          <w:sz w:val="17"/>
        </w:rPr>
        <w:t>[</w:t>
      </w:r>
      <w:r>
        <w:rPr>
          <w:rFonts w:ascii="Symbol" w:hAnsi="Symbol"/>
          <w:sz w:val="17"/>
        </w:rPr>
        <w:t>·</w:t>
      </w:r>
      <w:r>
        <w:rPr>
          <w:rFonts w:ascii="Times New Roman" w:hAnsi="Times New Roman"/>
          <w:b/>
          <w:sz w:val="17"/>
        </w:rPr>
        <w:t>]</w:t>
      </w:r>
      <w:r>
        <w:rPr>
          <w:rFonts w:ascii="Times New Roman" w:hAnsi="Times New Roman"/>
          <w:sz w:val="17"/>
        </w:rPr>
        <w:t>, 2013 (this </w:t>
      </w:r>
      <w:r>
        <w:rPr>
          <w:rFonts w:ascii="Times New Roman" w:hAnsi="Times New Roman"/>
          <w:sz w:val="17"/>
          <w:u w:val="single"/>
        </w:rPr>
        <w:t>Contribution Agreement</w:t>
      </w:r>
      <w:r>
        <w:rPr>
          <w:rFonts w:ascii="Times New Roman" w:hAnsi="Times New Roman"/>
          <w:sz w:val="17"/>
        </w:rPr>
        <w:t>), is by and among Plains GP Holdings, L.P., a Delaware limited partnership (</w:t>
      </w:r>
      <w:r>
        <w:rPr>
          <w:rFonts w:ascii="Times New Roman" w:hAnsi="Times New Roman"/>
          <w:sz w:val="17"/>
          <w:u w:val="single"/>
        </w:rPr>
        <w:t>PAGP</w:t>
      </w:r>
      <w:r>
        <w:rPr>
          <w:rFonts w:ascii="Times New Roman" w:hAnsi="Times New Roman"/>
          <w:sz w:val="17"/>
        </w:rPr>
        <w:t>), PAA GP Holdings LLC, a Delaware limited liability company and the general partner of PAGP (</w:t>
      </w:r>
      <w:r>
        <w:rPr>
          <w:rFonts w:ascii="Times New Roman" w:hAnsi="Times New Roman"/>
          <w:sz w:val="17"/>
          <w:u w:val="single"/>
        </w:rPr>
        <w:t>PAGP GP</w:t>
      </w:r>
      <w:r>
        <w:rPr>
          <w:rFonts w:ascii="Times New Roman" w:hAnsi="Times New Roman"/>
          <w:sz w:val="17"/>
        </w:rPr>
        <w:t>), the Persons listed under the heading Existing Owners on the signature pages hereto (collectively, the </w:t>
      </w:r>
      <w:r>
        <w:rPr>
          <w:rFonts w:ascii="Times New Roman" w:hAnsi="Times New Roman"/>
          <w:sz w:val="17"/>
          <w:u w:val="single"/>
        </w:rPr>
        <w:t>Existing Owners</w:t>
      </w:r>
      <w:r>
        <w:rPr>
          <w:rFonts w:ascii="Times New Roman" w:hAnsi="Times New Roman"/>
          <w:sz w:val="17"/>
        </w:rPr>
        <w:t xml:space="preserve">) and the Persons listed under the heading EMG Seller Parties on the signature pages hereto (such EMG Seller Parties, together with any Existing Owner who will receive a cash payment as reflected on </w:t>
      </w:r>
      <w:r>
        <w:rPr>
          <w:rFonts w:ascii="Times New Roman" w:hAnsi="Times New Roman"/>
          <w:sz w:val="17"/>
          <w:u w:val="single"/>
        </w:rPr>
        <w:t>Exhibit A</w:t>
      </w:r>
      <w:r>
        <w:rPr>
          <w:rFonts w:ascii="Times New Roman" w:hAnsi="Times New Roman"/>
          <w:sz w:val="17"/>
        </w:rPr>
        <w:t xml:space="preserve"> hereto, the </w:t>
      </w:r>
      <w:r>
        <w:rPr>
          <w:rFonts w:ascii="Times New Roman" w:hAnsi="Times New Roman"/>
          <w:sz w:val="17"/>
          <w:u w:val="single"/>
        </w:rPr>
        <w:t>Sellers</w:t>
      </w:r>
      <w:r>
        <w:rPr>
          <w:rFonts w:ascii="Times New Roman" w:hAnsi="Times New Roman"/>
          <w:sz w:val="17"/>
        </w:rPr>
        <w:t>).  The above-named Persons are sometimes referred to in this Contribution Agreement each as a </w:t>
      </w:r>
      <w:r>
        <w:rPr>
          <w:rFonts w:ascii="Times New Roman" w:hAnsi="Times New Roman"/>
          <w:sz w:val="17"/>
          <w:u w:val="single"/>
        </w:rPr>
        <w:t>Party</w:t>
      </w:r>
      <w:r>
        <w:rPr>
          <w:rFonts w:ascii="Times New Roman" w:hAnsi="Times New Roman"/>
          <w:sz w:val="17"/>
        </w:rPr>
        <w:t> and collectively as the </w:t>
      </w:r>
      <w:r>
        <w:rPr>
          <w:rFonts w:ascii="Times New Roman" w:hAnsi="Times New Roman"/>
          <w:sz w:val="17"/>
          <w:u w:val="single"/>
        </w:rPr>
        <w:t>Parties</w:t>
      </w:r>
      <w:r>
        <w:rPr>
          <w:rFonts w:ascii="Times New Roman" w:hAnsi="Times New Roman"/>
          <w:sz w:val="17"/>
        </w:rPr>
        <w:t>.  Capitalized terms used herein shall have the meanings assigned to such terms in Article I.</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RECITALS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Existing Owners collectively own 100% of the Class A Units (the </w:t>
      </w:r>
      <w:r>
        <w:rPr>
          <w:rFonts w:ascii="Times New Roman" w:hAnsi="Times New Roman"/>
          <w:sz w:val="17"/>
          <w:u w:val="single"/>
        </w:rPr>
        <w:t>AAP Units</w:t>
      </w:r>
      <w:r>
        <w:rPr>
          <w:rFonts w:ascii="Times New Roman" w:hAnsi="Times New Roman"/>
          <w:sz w:val="17"/>
        </w:rPr>
        <w:t>) in Plains AAP, L.P., a Delaware limited partnership (</w:t>
      </w:r>
      <w:r>
        <w:rPr>
          <w:rFonts w:ascii="Times New Roman" w:hAnsi="Times New Roman"/>
          <w:sz w:val="17"/>
          <w:u w:val="single"/>
        </w:rPr>
        <w:t>AAP</w:t>
      </w:r>
      <w:r>
        <w:rPr>
          <w:rFonts w:ascii="Times New Roman" w:hAnsi="Times New Roman"/>
          <w:sz w:val="17"/>
        </w:rPr>
        <w:t>), and 100% of the membership interests in Plains All American GP LLC, a Delaware limited liability company (</w:t>
      </w:r>
      <w:r>
        <w:rPr>
          <w:rFonts w:ascii="Times New Roman" w:hAnsi="Times New Roman"/>
          <w:sz w:val="17"/>
          <w:u w:val="single"/>
        </w:rPr>
        <w:t>GP LLC</w:t>
      </w:r>
      <w:r>
        <w:rPr>
          <w:rFonts w:ascii="Times New Roman" w:hAnsi="Times New Roman"/>
          <w:sz w:val="17"/>
        </w:rPr>
        <w:t xml:space="preserve">) (each as reflected in </w:t>
      </w:r>
      <w:r>
        <w:rPr>
          <w:rFonts w:ascii="Times New Roman" w:hAnsi="Times New Roman"/>
          <w:sz w:val="17"/>
          <w:u w:val="single"/>
        </w:rPr>
        <w:t>Exhibit A</w:t>
      </w:r>
      <w:r>
        <w:rPr>
          <w:rFonts w:ascii="Times New Roman" w:hAnsi="Times New Roman"/>
          <w:sz w:val="17"/>
        </w:rPr>
        <w:t xml:space="preserve"> attached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AAP directly owns all of the incentive distribution rights in Plains All American Pipeline, L.P., a Delaware limited partnership (</w:t>
      </w:r>
      <w:r>
        <w:rPr>
          <w:rFonts w:ascii="Times New Roman" w:hAnsi="Times New Roman"/>
          <w:sz w:val="17"/>
          <w:u w:val="single"/>
        </w:rPr>
        <w:t>PAA</w:t>
      </w:r>
      <w:r>
        <w:rPr>
          <w:rFonts w:ascii="Times New Roman" w:hAnsi="Times New Roman"/>
          <w:sz w:val="17"/>
        </w:rPr>
        <w:t>), and 100% of the membership interests in PAA GP LLC, a Delaware limited partnership and direct owner of a 2% general partner interest in PAA (</w:t>
      </w:r>
      <w:r>
        <w:rPr>
          <w:rFonts w:ascii="Times New Roman" w:hAnsi="Times New Roman"/>
          <w:sz w:val="17"/>
          <w:u w:val="single"/>
        </w:rPr>
        <w:t>PAA GP</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PAA Management, L.P., a Delaware limited partnership (</w:t>
      </w:r>
      <w:r>
        <w:rPr>
          <w:rFonts w:ascii="Times New Roman" w:hAnsi="Times New Roman"/>
          <w:sz w:val="17"/>
          <w:u w:val="single"/>
        </w:rPr>
        <w:t>PAA Management</w:t>
      </w:r>
      <w:r>
        <w:rPr>
          <w:rFonts w:ascii="Times New Roman" w:hAnsi="Times New Roman"/>
          <w:sz w:val="17"/>
        </w:rPr>
        <w:t>), formed PAGP GP, pursuant to the terms of the Delaware Limited Liability Company Act to act as the general partner of PAGP;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PAA Management and PAGP GP formed PAGP pursuant to the terms of the Delaware Revised Uniform Limited Partnership Act for the purpose of facilitating the Offering;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pursuant to resolutions adopted by GP LLC (on behalf of itself and in its capacity as the general partner of AAP), the 1% general partner interest in AAP owned by GP LLC has been converted into AAP Units and a non-economic general partner interest in AAP, and GP LLC has effected a pro rata distribution of such AAP Units it received as a result of such conversion to the Existing Owners;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EMG Investment, LLC has made a distribution of a portion of its AAP Units and membership interests in GP LLC to the EMG Seller Parties and the EMG Seller Parties have agreed to be Sellers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Existing Owners desire to contribute their membership interests in GP LLC to PAGP GP in exchange for the issuance by PAGP GP of membership interests in PAGP GP (the </w:t>
      </w:r>
      <w:r>
        <w:rPr>
          <w:rFonts w:ascii="Times New Roman" w:hAnsi="Times New Roman"/>
          <w:sz w:val="17"/>
          <w:u w:val="single"/>
        </w:rPr>
        <w:t>GP Units</w:t>
      </w:r>
      <w:r>
        <w:rPr>
          <w:rFonts w:ascii="Times New Roman" w:hAnsi="Times New Roman"/>
          <w:sz w:val="17"/>
        </w:rPr>
        <w:t>), whereupon the organizational membership interest of PAA Management in PAGP GP shall be cancelled;</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PAGP GP desires to further contribute 100% of the membership interest in GP LLC received by it from the Existing Owners to PAGP in exchange for the continuation of its non-economic general partner interest;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xml:space="preserve">, in connection with the foregoing contributions, the Existing Owners will be issued PAGP Class B Shares as reflected on </w:t>
      </w:r>
      <w:r>
        <w:rPr>
          <w:rFonts w:ascii="Times New Roman" w:hAnsi="Times New Roman"/>
          <w:sz w:val="17"/>
          <w:u w:val="single"/>
        </w:rPr>
        <w:t>Exhibit 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xml:space="preserve">, in connection with the contributions noted above and as part of the Offering and in exchange for the Consideration, the Sellers desire to transfer to PAGP (i) in the case of the EMG Seller Parties, the interests set forth for such Party in the columns Pre-Closing Percentage Ownership of AAP Units and Pre-Closing Percentage Ownership of GP LLC and (ii) in the case of all other Sellers, the interests set forth for such Party in the columns AAP Units Contributed and GP Units Contributed, in each case as reflected on </w:t>
      </w:r>
      <w:r>
        <w:rPr>
          <w:rFonts w:ascii="Times New Roman" w:hAnsi="Times New Roman"/>
          <w:sz w:val="17"/>
          <w:u w:val="single"/>
        </w:rPr>
        <w:t>Exhibit A</w:t>
      </w:r>
      <w:r>
        <w:rPr>
          <w:rFonts w:ascii="Times New Roman" w:hAnsi="Times New Roman"/>
          <w:sz w:val="17"/>
        </w:rPr>
        <w:t xml:space="preserve"> (collectively, the </w:t>
      </w:r>
      <w:r>
        <w:rPr>
          <w:rFonts w:ascii="Times New Roman" w:hAnsi="Times New Roman"/>
          <w:sz w:val="17"/>
          <w:u w:val="single"/>
        </w:rPr>
        <w:t>Transferred Assets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NOW</w:t>
      </w:r>
      <w:r>
        <w:rPr>
          <w:rFonts w:ascii="Times New Roman" w:hAnsi="Times New Roman"/>
          <w:sz w:val="17"/>
        </w:rPr>
        <w:t xml:space="preserve">, </w:t>
      </w:r>
      <w:r>
        <w:rPr>
          <w:rFonts w:ascii="Times New Roman" w:hAnsi="Times New Roman"/>
          <w:b/>
          <w:sz w:val="17"/>
        </w:rPr>
        <w:t>THEREFORE</w:t>
      </w:r>
      <w:r>
        <w:rPr>
          <w:rFonts w:ascii="Times New Roman" w:hAnsi="Times New Roman"/>
          <w:sz w:val="17"/>
        </w:rPr>
        <w:t>, in consideration of the mutual covenants, representations, warranties and agreements herein contained, the Parties agree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w:t>
        <w:br/>
        <w:t>DEFINITIONS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terms set forth below in this ARTICLE I shall have the meanings ascribed to them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AAP</w:t>
      </w:r>
      <w:r>
        <w:rPr>
          <w:rFonts w:ascii="Times New Roman" w:hAnsi="Times New Roman"/>
          <w:sz w:val="17"/>
        </w:rPr>
        <w:t> has the meaning set forth in the 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AAP Partnership Agreement</w:t>
      </w:r>
      <w:r>
        <w:rPr>
          <w:rFonts w:ascii="Times New Roman" w:hAnsi="Times New Roman"/>
          <w:sz w:val="17"/>
        </w:rPr>
        <w:t> has the meaning set forth in Section 5.2.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AAP Units</w:t>
      </w:r>
      <w:r>
        <w:rPr>
          <w:rFonts w:ascii="Times New Roman" w:hAnsi="Times New Roman"/>
          <w:sz w:val="17"/>
        </w:rPr>
        <w:t> has the meaning set forth in the 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Commission</w:t>
      </w:r>
      <w:r>
        <w:rPr>
          <w:rFonts w:ascii="Times New Roman" w:hAnsi="Times New Roman"/>
          <w:sz w:val="17"/>
        </w:rPr>
        <w:t> means the U.S.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Consideration</w:t>
      </w:r>
      <w:r>
        <w:rPr>
          <w:rFonts w:ascii="Times New Roman" w:hAnsi="Times New Roman"/>
          <w:sz w:val="17"/>
        </w:rPr>
        <w:t> has the meaning set forth in Section 2.3.</w:t>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w:t>
      </w:r>
      <w:r>
        <w:rPr>
          <w:rFonts w:ascii="Times New Roman" w:hAnsi="Times New Roman"/>
          <w:sz w:val="17"/>
          <w:u w:val="single"/>
        </w:rPr>
        <w:t>Closing</w:t>
      </w:r>
      <w:r>
        <w:rPr>
          <w:rFonts w:ascii="Times New Roman" w:hAnsi="Times New Roman"/>
          <w:sz w:val="17"/>
        </w:rPr>
        <w:t> means the closing of the transactions contemplated pursuant to this Contribution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Effective Time</w:t>
      </w:r>
      <w:r>
        <w:rPr>
          <w:rFonts w:ascii="Times New Roman" w:hAnsi="Times New Roman"/>
          <w:sz w:val="17"/>
        </w:rPr>
        <w:t> means immediately prior to the closing of the Offering pursuant to the Underwriting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Existing Owners</w:t>
      </w:r>
      <w:r>
        <w:rPr>
          <w:rFonts w:ascii="Times New Roman" w:hAnsi="Times New Roman"/>
          <w:sz w:val="17"/>
        </w:rPr>
        <w:t> has the meaning set forth in the introductory paragraph.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Governmental Authority</w:t>
      </w:r>
      <w:r>
        <w:rPr>
          <w:rFonts w:ascii="Times New Roman" w:hAnsi="Times New Roman"/>
          <w:sz w:val="17"/>
        </w:rPr>
        <w:t> means (i) the United States of America, (ii) any state, province, county, municipality or other governmental subdivision within the United States of America, and (iii) any court or any governmental department, commission, board, bureau, agency or other instrumentality of the United States of America, or of any state, province, county, municipality or other governmental subdivision within the United States of America.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11" w:name="15636-2-KM-01_PB_2_071724_5138"/>
      <w:bookmarkEnd w:id="3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GP LLC</w:t>
      </w:r>
      <w:r>
        <w:rPr>
          <w:rFonts w:ascii="Times New Roman" w:hAnsi="Times New Roman"/>
          <w:sz w:val="17"/>
        </w:rPr>
        <w:t> has the meaning set forth in the 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GP LLC Agreement</w:t>
      </w:r>
      <w:r>
        <w:rPr>
          <w:rFonts w:ascii="Times New Roman" w:hAnsi="Times New Roman"/>
          <w:sz w:val="17"/>
        </w:rPr>
        <w:t> has the meaning set forth in Section 5.3.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GP Units</w:t>
      </w:r>
      <w:r>
        <w:rPr>
          <w:rFonts w:ascii="Times New Roman" w:hAnsi="Times New Roman"/>
          <w:sz w:val="17"/>
        </w:rPr>
        <w:t> has the meaning set forth in the 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Offering</w:t>
      </w:r>
      <w:r>
        <w:rPr>
          <w:rFonts w:ascii="Times New Roman" w:hAnsi="Times New Roman"/>
          <w:sz w:val="17"/>
        </w:rPr>
        <w:t> means the initial public offering of the Class A Shares contemplated by the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Option</w:t>
      </w:r>
      <w:r>
        <w:rPr>
          <w:rFonts w:ascii="Times New Roman" w:hAnsi="Times New Roman"/>
          <w:sz w:val="17"/>
        </w:rPr>
        <w:t> has the meaning set forth in Section 3.1.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Option Proceeds</w:t>
      </w:r>
      <w:r>
        <w:rPr>
          <w:rFonts w:ascii="Times New Roman" w:hAnsi="Times New Roman"/>
          <w:sz w:val="17"/>
        </w:rPr>
        <w:t> has the meaning set forth in Section 3.1.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Oxy</w:t>
      </w:r>
      <w:r>
        <w:rPr>
          <w:rFonts w:ascii="Times New Roman" w:hAnsi="Times New Roman"/>
          <w:sz w:val="17"/>
        </w:rPr>
        <w:t> has the meaning set forth in Section 3.2.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PAA</w:t>
      </w:r>
      <w:r>
        <w:rPr>
          <w:rFonts w:ascii="Times New Roman" w:hAnsi="Times New Roman"/>
          <w:sz w:val="17"/>
        </w:rPr>
        <w:t> has the meaning set forth in the 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PAA GP</w:t>
      </w:r>
      <w:r>
        <w:rPr>
          <w:rFonts w:ascii="Times New Roman" w:hAnsi="Times New Roman"/>
          <w:sz w:val="17"/>
        </w:rPr>
        <w:t> has the meaning set forth in the 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PAA Management</w:t>
      </w:r>
      <w:r>
        <w:rPr>
          <w:rFonts w:ascii="Times New Roman" w:hAnsi="Times New Roman"/>
          <w:sz w:val="17"/>
        </w:rPr>
        <w:t> has the meaning set forth in the 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PAGP</w:t>
      </w:r>
      <w:r>
        <w:rPr>
          <w:rFonts w:ascii="Times New Roman" w:hAnsi="Times New Roman"/>
          <w:sz w:val="17"/>
        </w:rPr>
        <w:t> has the meaning set forth in the introductory paragraph.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PAGP Class B Shares</w:t>
      </w:r>
      <w:r>
        <w:rPr>
          <w:rFonts w:ascii="Times New Roman" w:hAnsi="Times New Roman"/>
          <w:sz w:val="17"/>
        </w:rPr>
        <w:t> means the Class B Shares of PAGP, representing limited partner interests in PAGP.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PAGP GP</w:t>
      </w:r>
      <w:r>
        <w:rPr>
          <w:rFonts w:ascii="Times New Roman" w:hAnsi="Times New Roman"/>
          <w:sz w:val="17"/>
        </w:rPr>
        <w:t> has the meaning set forth in the introductory paragraph.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Party or Parties</w:t>
      </w:r>
      <w:r>
        <w:rPr>
          <w:rFonts w:ascii="Times New Roman" w:hAnsi="Times New Roman"/>
          <w:sz w:val="17"/>
        </w:rPr>
        <w:t> has the meaning set forth in the introductory paragraph.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Person</w:t>
      </w:r>
      <w:r>
        <w:rPr>
          <w:rFonts w:ascii="Times New Roman" w:hAnsi="Times New Roman"/>
          <w:sz w:val="17"/>
        </w:rPr>
        <w:t> means any individual, partnership, corporation, limited liability company, trust, incorporated or unincorporated organization or other legal entity of any kind.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Registration Statement</w:t>
      </w:r>
      <w:r>
        <w:rPr>
          <w:rFonts w:ascii="Times New Roman" w:hAnsi="Times New Roman"/>
          <w:sz w:val="17"/>
        </w:rPr>
        <w:t xml:space="preserve"> means PAGPs Registration Statement on Form S-1 filed with the Commission (Registration No. 333-190227),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Sellers</w:t>
      </w:r>
      <w:r>
        <w:rPr>
          <w:rFonts w:ascii="Times New Roman" w:hAnsi="Times New Roman"/>
          <w:sz w:val="17"/>
        </w:rPr>
        <w:t> has the meaning set forth in the introductory paragraph.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Spread</w:t>
      </w:r>
      <w:r>
        <w:rPr>
          <w:rFonts w:ascii="Times New Roman" w:hAnsi="Times New Roman"/>
          <w:sz w:val="17"/>
        </w:rPr>
        <w:t> means the underwriting discounts and commissions payable by PAGP to the underwriters in connection with the Offering, including in respect of the Option.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Transferred Assets</w:t>
      </w:r>
      <w:r>
        <w:rPr>
          <w:rFonts w:ascii="Times New Roman" w:hAnsi="Times New Roman"/>
          <w:sz w:val="17"/>
        </w:rPr>
        <w:t> has the meaning set forth in the 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sz w:val="17"/>
          <w:u w:val="single"/>
        </w:rPr>
        <w:t>Underwriters</w:t>
      </w:r>
      <w:r>
        <w:rPr>
          <w:rFonts w:ascii="Times New Roman" w:hAnsi="Times New Roman"/>
          <w:sz w:val="17"/>
        </w:rPr>
        <w:t> means those underwriters listed in the Underwriting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sz w:val="17"/>
          <w:u w:val="single"/>
        </w:rPr>
        <w:t>Underwriting Agreement</w:t>
      </w:r>
      <w:r>
        <w:rPr>
          <w:rFonts w:ascii="Times New Roman" w:hAnsi="Times New Roman"/>
          <w:sz w:val="17"/>
        </w:rPr>
        <w:t xml:space="preserve"> means that certain Underwriting Agreement among Barclays Capital Inc., as representative of the Underwriters, PAGP GP and PAGP dated as of </w:t>
      </w:r>
      <w:r>
        <w:rPr>
          <w:rFonts w:ascii="Times New Roman" w:hAnsi="Times New Roman"/>
          <w:b/>
          <w:sz w:val="17"/>
        </w:rPr>
        <w:t>[</w:t>
      </w:r>
      <w:r>
        <w:rPr>
          <w:rFonts w:ascii="Symbol" w:hAnsi="Symbol"/>
          <w:sz w:val="17"/>
        </w:rPr>
        <w:t>·</w:t>
      </w:r>
      <w:r>
        <w:rPr>
          <w:rFonts w:ascii="Times New Roman" w:hAnsi="Times New Roman"/>
          <w:b/>
          <w:sz w:val="17"/>
        </w:rPr>
        <w:t>]</w:t>
      </w:r>
      <w:r>
        <w:rPr>
          <w:rFonts w:ascii="Times New Roman" w:hAnsi="Times New Roman"/>
          <w:sz w:val="17"/>
        </w:rPr>
        <w:t>,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12" w:name="15636-2-KM-01_PB_3_071740_4631"/>
      <w:bookmarkEnd w:id="31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II</w:t>
        <w:br/>
        <w:t>CONTRIBUTION AND DISTRIBUTION TRANSACTIONS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2.1</w:t>
      </w:r>
      <w:r>
        <w:rPr>
          <w:rFonts w:ascii="Times New Roman" w:hAnsi="Times New Roman"/>
        </w:rPr>
        <w:t xml:space="preserve">                                   </w:t>
      </w:r>
      <w:r>
        <w:rPr>
          <w:rFonts w:ascii="Times New Roman" w:hAnsi="Times New Roman"/>
          <w:b/>
          <w:sz w:val="17"/>
          <w:u w:val="single"/>
        </w:rPr>
        <w:t>Contribution by the Existing Owners of Interests in GP LLC to PAGP GP and PAGP</w:t>
      </w:r>
      <w:r>
        <w:rPr>
          <w:rFonts w:ascii="Times New Roman" w:hAnsi="Times New Roman"/>
          <w:sz w:val="17"/>
        </w:rPr>
        <w:t xml:space="preserve">.  Each of the Existing Owners hereby grants, contributes, bargains, assigns, transfers, sets over and delivers to PAGP GP, its successors and assigns, for its and their own use forever, the membership interests in GP LLC of such Existing Owner set forth for such Party in the column Pre-Closing Percentage Ownership of GP LLC on </w:t>
      </w:r>
      <w:r>
        <w:rPr>
          <w:rFonts w:ascii="Times New Roman" w:hAnsi="Times New Roman"/>
          <w:sz w:val="17"/>
          <w:u w:val="single"/>
        </w:rPr>
        <w:t>Exhibit A</w:t>
      </w:r>
      <w:r>
        <w:rPr>
          <w:rFonts w:ascii="Times New Roman" w:hAnsi="Times New Roman"/>
          <w:sz w:val="17"/>
        </w:rPr>
        <w:t xml:space="preserve"> in exchange for the receipt of the membership interests in PAGP GP set forth for such Party in the column titled GP Units Received on </w:t>
      </w:r>
      <w:r>
        <w:rPr>
          <w:rFonts w:ascii="Times New Roman" w:hAnsi="Times New Roman"/>
          <w:sz w:val="17"/>
          <w:u w:val="single"/>
        </w:rPr>
        <w:t>Exhibit A</w:t>
      </w:r>
      <w:r>
        <w:rPr>
          <w:rFonts w:ascii="Times New Roman" w:hAnsi="Times New Roman"/>
          <w:sz w:val="17"/>
        </w:rPr>
        <w:t>.  In connection with such contribution, PAA Management</w:t>
      </w:r>
      <w:r>
        <w:rPr>
          <w:rFonts w:ascii="Times New Roman" w:hAnsi="Times New Roman"/>
        </w:rPr>
        <w:t xml:space="preserve"> </w:t>
      </w:r>
      <w:r>
        <w:rPr>
          <w:rFonts w:ascii="Times New Roman" w:hAnsi="Times New Roman"/>
          <w:sz w:val="17"/>
        </w:rPr>
        <w:t>hereby agrees to the cancellation of its initial formation interest in PAGP GP. Immediately following such contribution, PAGP GP hereby contributes all of such membership interests in GP LLC to PAGP in exchange for the continuation of its non-economic general partner interest in PAGP.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2.2</w:t>
      </w:r>
      <w:r>
        <w:rPr>
          <w:rFonts w:ascii="Times New Roman" w:hAnsi="Times New Roman"/>
        </w:rPr>
        <w:t xml:space="preserve">                                   </w:t>
      </w:r>
      <w:r>
        <w:rPr>
          <w:rFonts w:ascii="Times New Roman" w:hAnsi="Times New Roman"/>
          <w:b/>
          <w:sz w:val="17"/>
          <w:u w:val="single"/>
        </w:rPr>
        <w:t>Receipt of PAGP Class B Shares</w:t>
      </w:r>
      <w:r>
        <w:rPr>
          <w:rFonts w:ascii="Times New Roman" w:hAnsi="Times New Roman"/>
          <w:sz w:val="17"/>
        </w:rPr>
        <w:t xml:space="preserve">.  As a result of the contributions described in Section 2.1, in connection with the closing of the Offering, PAGP will issue the total number of PAGP Class B Shares set forth at the bottom of the column PAGP Class B Shares Received on </w:t>
      </w:r>
      <w:r>
        <w:rPr>
          <w:rFonts w:ascii="Times New Roman" w:hAnsi="Times New Roman"/>
          <w:sz w:val="17"/>
          <w:u w:val="single"/>
        </w:rPr>
        <w:t>Exhibit A</w:t>
      </w:r>
      <w:r>
        <w:rPr>
          <w:rFonts w:ascii="Times New Roman" w:hAnsi="Times New Roman"/>
          <w:sz w:val="17"/>
        </w:rPr>
        <w:t xml:space="preserve"> to PAGP GP. Immediately following such issuance, PAGP GP will distribute to each Existing Owner the number of PAGP Class B Shares set forth for such Party in the column PAGP Class B Shares Received on </w:t>
      </w:r>
      <w:r>
        <w:rPr>
          <w:rFonts w:ascii="Times New Roman" w:hAnsi="Times New Roman"/>
          <w:sz w:val="17"/>
          <w:u w:val="single"/>
        </w:rPr>
        <w:t>Exhibit 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2.3</w:t>
      </w:r>
      <w:r>
        <w:rPr>
          <w:rFonts w:ascii="Times New Roman" w:hAnsi="Times New Roman"/>
        </w:rPr>
        <w:t xml:space="preserve">                                   </w:t>
      </w:r>
      <w:r>
        <w:rPr>
          <w:rFonts w:ascii="Times New Roman" w:hAnsi="Times New Roman"/>
          <w:b/>
          <w:sz w:val="17"/>
          <w:u w:val="single"/>
        </w:rPr>
        <w:t>Sale of Interests in PAGP GP and AAP</w:t>
      </w:r>
      <w:r>
        <w:rPr>
          <w:rFonts w:ascii="Times New Roman" w:hAnsi="Times New Roman"/>
          <w:sz w:val="17"/>
        </w:rPr>
        <w:t xml:space="preserve">.  Each Seller hereby grants, contributes, bargains, assigns, sells, transfers, sets over and delivers to PAGP, its successors and assigns, for its and their own use forever, the Transferred Assets owned by such Seller.  In exchange for such transfer, each Seller shall in connection with the closing of the Offering receive a cash payment from PAGP in the amount set forth for such Party in the column Cash Payment on </w:t>
      </w:r>
      <w:r>
        <w:rPr>
          <w:rFonts w:ascii="Times New Roman" w:hAnsi="Times New Roman"/>
          <w:sz w:val="17"/>
          <w:u w:val="single"/>
        </w:rPr>
        <w:t>Exhibit A</w:t>
      </w:r>
      <w:r>
        <w:rPr>
          <w:rFonts w:ascii="Times New Roman" w:hAnsi="Times New Roman"/>
          <w:sz w:val="17"/>
        </w:rPr>
        <w:t xml:space="preserve"> (the </w:t>
      </w:r>
      <w:r>
        <w:rPr>
          <w:rFonts w:ascii="Times New Roman" w:hAnsi="Times New Roman"/>
          <w:sz w:val="17"/>
          <w:u w:val="single"/>
        </w:rPr>
        <w:t>Consideration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2.4</w:t>
      </w:r>
      <w:r>
        <w:rPr>
          <w:rFonts w:ascii="Times New Roman" w:hAnsi="Times New Roman"/>
        </w:rPr>
        <w:t xml:space="preserve">                                   </w:t>
      </w:r>
      <w:r>
        <w:rPr>
          <w:rFonts w:ascii="Times New Roman" w:hAnsi="Times New Roman"/>
          <w:b/>
          <w:sz w:val="17"/>
          <w:u w:val="single"/>
        </w:rPr>
        <w:t>Resulting Ownership Interests</w:t>
      </w:r>
      <w:r>
        <w:rPr>
          <w:rFonts w:ascii="Times New Roman" w:hAnsi="Times New Roman"/>
          <w:sz w:val="17"/>
        </w:rPr>
        <w:t>.  After giving effect to the transactions contemplated by Sections 2.1, 2.2 and 2.3, the Existing Owners will collectively own a [</w:t>
      </w:r>
      <w:r>
        <w:rPr>
          <w:rFonts w:ascii="Symbol" w:hAnsi="Symbol"/>
          <w:sz w:val="17"/>
        </w:rPr>
        <w:t>·</w:t>
      </w:r>
      <w:r>
        <w:rPr>
          <w:rFonts w:ascii="Times New Roman" w:hAnsi="Times New Roman"/>
          <w:sz w:val="17"/>
        </w:rPr>
        <w:t>]% membership interest in PAGP GP and a [</w:t>
      </w:r>
      <w:r>
        <w:rPr>
          <w:rFonts w:ascii="Symbol" w:hAnsi="Symbol"/>
          <w:sz w:val="17"/>
        </w:rPr>
        <w:t>·</w:t>
      </w:r>
      <w:r>
        <w:rPr>
          <w:rFonts w:ascii="Times New Roman" w:hAnsi="Times New Roman"/>
          <w:sz w:val="17"/>
        </w:rPr>
        <w:t xml:space="preserve">]% limited partnership interest in AAP, as reflected on an individual basis on </w:t>
      </w:r>
      <w:r>
        <w:rPr>
          <w:rFonts w:ascii="Times New Roman" w:hAnsi="Times New Roman"/>
          <w:sz w:val="17"/>
          <w:u w:val="single"/>
        </w:rPr>
        <w:t>Exhibit A</w:t>
      </w:r>
      <w:r>
        <w:rPr>
          <w:rFonts w:ascii="Times New Roman" w:hAnsi="Times New Roman"/>
          <w:sz w:val="17"/>
        </w:rPr>
        <w:t xml:space="preserve"> and PAGP will own a [</w:t>
      </w:r>
      <w:r>
        <w:rPr>
          <w:rFonts w:ascii="Symbol" w:hAnsi="Symbol"/>
          <w:sz w:val="17"/>
        </w:rPr>
        <w:t>·</w:t>
      </w:r>
      <w:r>
        <w:rPr>
          <w:rFonts w:ascii="Times New Roman" w:hAnsi="Times New Roman"/>
          <w:sz w:val="17"/>
        </w:rPr>
        <w:t>]% limited partnership interest in AAP.</w:t>
      </w:r>
      <w:r>
        <w:rPr>
          <w:rFonts w:ascii="Times New Roman" w:hAnsi="Times New Roman"/>
        </w:rPr>
        <w:t xml:space="preserve"> </w:t>
      </w:r>
      <w:r>
        <w:rPr>
          <w:rFonts w:ascii="Times New Roman" w:hAnsi="Times New Roman"/>
          <w:sz w:val="17"/>
        </w:rPr>
        <w:t>Additionally, PAA Management hereby agrees to the cancellation of its initial limited partner interest in PAGP.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2.5</w:t>
      </w:r>
      <w:r>
        <w:rPr>
          <w:rFonts w:ascii="Times New Roman" w:hAnsi="Times New Roman"/>
        </w:rPr>
        <w:t xml:space="preserve">                                   </w:t>
      </w:r>
      <w:r>
        <w:rPr>
          <w:rFonts w:ascii="Times New Roman" w:hAnsi="Times New Roman"/>
          <w:b/>
          <w:sz w:val="17"/>
          <w:u w:val="single"/>
        </w:rPr>
        <w:t>Underwriters Cash Contribution</w:t>
      </w:r>
      <w:r>
        <w:rPr>
          <w:rFonts w:ascii="Times New Roman" w:hAnsi="Times New Roman"/>
          <w:sz w:val="17"/>
        </w:rPr>
        <w:t>.  The Parties acknowledge that, contemporaneously with the execution and delivery of this Contribution Agreement, the Underwriters are, pursuant to the Underwriting Agreement, making a capital contribution to PAGP of $[</w:t>
      </w:r>
      <w:r>
        <w:rPr>
          <w:rFonts w:ascii="Symbol" w:hAnsi="Symbol"/>
          <w:sz w:val="17"/>
        </w:rPr>
        <w:t>·</w:t>
      </w:r>
      <w:r>
        <w:rPr>
          <w:rFonts w:ascii="Times New Roman" w:hAnsi="Times New Roman"/>
          <w:sz w:val="17"/>
        </w:rPr>
        <w:t>] billion in cash, (or a net capital contribution of $[</w:t>
      </w:r>
      <w:r>
        <w:rPr>
          <w:rFonts w:ascii="Symbol" w:hAnsi="Symbol"/>
          <w:sz w:val="17"/>
        </w:rPr>
        <w:t>·</w:t>
      </w:r>
      <w:r>
        <w:rPr>
          <w:rFonts w:ascii="Times New Roman" w:hAnsi="Times New Roman"/>
          <w:sz w:val="17"/>
        </w:rPr>
        <w:t>] after deducting the Spread of $[</w:t>
      </w:r>
      <w:r>
        <w:rPr>
          <w:rFonts w:ascii="Symbol" w:hAnsi="Symbol"/>
          <w:sz w:val="17"/>
        </w:rPr>
        <w:t>·</w:t>
      </w:r>
      <w:r>
        <w:rPr>
          <w:rFonts w:ascii="Times New Roman" w:hAnsi="Times New Roman"/>
          <w:sz w:val="17"/>
        </w:rPr>
        <w:t>]) in exchange for the issuance by PAGP to the Underwriters of [</w:t>
      </w:r>
      <w:r>
        <w:rPr>
          <w:rFonts w:ascii="Symbol" w:hAnsi="Symbol"/>
          <w:sz w:val="17"/>
        </w:rPr>
        <w:t>·</w:t>
      </w:r>
      <w:r>
        <w:rPr>
          <w:rFonts w:ascii="Times New Roman" w:hAnsi="Times New Roman"/>
          <w:sz w:val="17"/>
        </w:rPr>
        <w:t>] Class A Shares, representing a [</w:t>
      </w:r>
      <w:r>
        <w:rPr>
          <w:rFonts w:ascii="Symbol" w:hAnsi="Symbol"/>
          <w:sz w:val="17"/>
        </w:rPr>
        <w:t>·</w:t>
      </w:r>
      <w:r>
        <w:rPr>
          <w:rFonts w:ascii="Times New Roman" w:hAnsi="Times New Roman"/>
          <w:sz w:val="17"/>
        </w:rPr>
        <w:t>]% limited partner interest in PAGP.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2.6</w:t>
      </w:r>
      <w:r>
        <w:rPr>
          <w:rFonts w:ascii="Times New Roman" w:hAnsi="Times New Roman"/>
        </w:rPr>
        <w:t xml:space="preserve">                                   </w:t>
      </w:r>
      <w:r>
        <w:rPr>
          <w:rFonts w:ascii="Times New Roman" w:hAnsi="Times New Roman"/>
          <w:b/>
          <w:sz w:val="17"/>
          <w:u w:val="single"/>
        </w:rPr>
        <w:t>Payment of Transaction Expenses by PAGP</w:t>
      </w:r>
      <w:r>
        <w:rPr>
          <w:rFonts w:ascii="Times New Roman" w:hAnsi="Times New Roman"/>
          <w:sz w:val="17"/>
        </w:rPr>
        <w:t>.  The Parties hereby acknowledge (a) the incurrence by PAGP, in connection with the transactions contemplated hereby, of transaction expenses in the estimated amount of approximately $[</w:t>
      </w:r>
      <w:r>
        <w:rPr>
          <w:rFonts w:ascii="Symbol" w:hAnsi="Symbol"/>
          <w:sz w:val="17"/>
        </w:rPr>
        <w:t>·</w:t>
      </w:r>
      <w:r>
        <w:rPr>
          <w:rFonts w:ascii="Times New Roman" w:hAnsi="Times New Roman"/>
          <w:sz w:val="17"/>
        </w:rPr>
        <w:t>] million (exclusive of the Spread), including reimbursement of certain transaction expenses advanced by certain of the Existing Owners, and (b) the payment by PAGP of $[</w:t>
      </w:r>
      <w:r>
        <w:rPr>
          <w:rFonts w:ascii="Symbol" w:hAnsi="Symbol"/>
          <w:sz w:val="17"/>
        </w:rPr>
        <w:t>·</w:t>
      </w:r>
      <w:r>
        <w:rPr>
          <w:rFonts w:ascii="Times New Roman" w:hAnsi="Times New Roman"/>
          <w:sz w:val="17"/>
        </w:rPr>
        <w:t xml:space="preserve">], representing the net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313" w:name="15636-2-KM-01_PB_4_071755_3536"/>
      <w:bookmarkEnd w:id="31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proceeds of the Offering after deducting expenses in a manner consistent with this Section 2.6, to the Sellers as contemplated by Section 2.3 above. The Parties further acknowledge that certain of the transaction expenses incurred by PAGP relate to the Offering and other transaction expenses are not directly related to the Offering but relate generally to the formation and restructuring of PAGP, PAGP GP and related entities.  In recognition of the foregoing, the Parties agree that (i) the Sellers receiving cash proceeds in connection with the Offering, as reflected on </w:t>
      </w:r>
      <w:r>
        <w:rPr>
          <w:rFonts w:ascii="Times New Roman" w:hAnsi="Times New Roman"/>
          <w:sz w:val="17"/>
          <w:u w:val="single"/>
        </w:rPr>
        <w:t>Exhibit A</w:t>
      </w:r>
      <w:r>
        <w:rPr>
          <w:rFonts w:ascii="Times New Roman" w:hAnsi="Times New Roman"/>
          <w:sz w:val="17"/>
        </w:rPr>
        <w:t>, will bear [75%] of the above described estimated transaction expenses, in proportion to their relative receipt of cash proceeds of the Offering and (ii) PAGP will cause AAP to bear the remainder of such transaction expenses (including any expenses that exceed the estimate described above).  The residual transaction expenses to be borne by AAP shall be deducted from the distribution payable to the Existing Owners by AAP with respect to the third quarter of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2.7</w:t>
      </w:r>
      <w:r>
        <w:rPr>
          <w:rFonts w:ascii="Times New Roman" w:hAnsi="Times New Roman"/>
        </w:rPr>
        <w:t xml:space="preserve">                                   </w:t>
      </w:r>
      <w:r>
        <w:rPr>
          <w:rFonts w:ascii="Times New Roman" w:hAnsi="Times New Roman"/>
          <w:b/>
          <w:sz w:val="17"/>
          <w:u w:val="single"/>
        </w:rPr>
        <w:t>Tax Matters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Parties agree to treat the transfer and sale of the Transferred Assets by the Sellers to PAGP in exchange for the Consideration as a taxable sale or exchange.  The Parties also agree to report such transfer in accordance with the foregoing sentence for all U.S. federal income and any applicable state and local income or franchise tax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At Closing, each Seller shall provide to PAGP</w:t>
      </w:r>
      <w:r>
        <w:rPr>
          <w:rFonts w:ascii="Times New Roman" w:hAnsi="Times New Roman"/>
        </w:rPr>
        <w:t xml:space="preserve"> </w:t>
      </w:r>
      <w:r>
        <w:rPr>
          <w:rFonts w:ascii="Times New Roman" w:hAnsi="Times New Roman"/>
          <w:sz w:val="17"/>
        </w:rPr>
        <w:t xml:space="preserve">an executed certificate of non-foreign status described in Treasury Regulation § 1.1445-2(b)(2) substantially in the form attached hereto as </w:t>
      </w:r>
      <w:r>
        <w:rPr>
          <w:rFonts w:ascii="Times New Roman" w:hAnsi="Times New Roman"/>
          <w:sz w:val="17"/>
          <w:u w:val="single"/>
        </w:rPr>
        <w:t>Exhibit B</w:t>
      </w:r>
      <w:r>
        <w:rPr>
          <w:rFonts w:ascii="Times New Roman" w:hAnsi="Times New Roman"/>
          <w:sz w:val="17"/>
        </w:rPr>
        <w:t xml:space="preserve"> (individual form) or </w:t>
      </w:r>
      <w:r>
        <w:rPr>
          <w:rFonts w:ascii="Times New Roman" w:hAnsi="Times New Roman"/>
          <w:sz w:val="17"/>
          <w:u w:val="single"/>
        </w:rPr>
        <w:t>Exhibit C</w:t>
      </w:r>
      <w:r>
        <w:rPr>
          <w:rFonts w:ascii="Times New Roman" w:hAnsi="Times New Roman"/>
          <w:sz w:val="17"/>
        </w:rPr>
        <w:t xml:space="preserve"> (entity form), as appropriate.  With respect to any Seller that fails to provide such certificate, PAGP will withhold pursuant to Section 1445 of the Internal Revenue Code cash in an amount equal to 10% of the Consideration delivered to such Seller.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Parties agree that the allocations of taxable income of AAP for the 2013 tax year shall be made in a manner that reflects the rights of the Sellers and PAGP to cash distributions as reflected in Section 4.2 of the AAP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2.8</w:t>
      </w:r>
      <w:r>
        <w:rPr>
          <w:rFonts w:ascii="Times New Roman" w:hAnsi="Times New Roman"/>
        </w:rPr>
        <w:t xml:space="preserve">                                   </w:t>
      </w:r>
      <w:r>
        <w:rPr>
          <w:rFonts w:ascii="Times New Roman" w:hAnsi="Times New Roman"/>
          <w:b/>
          <w:sz w:val="17"/>
          <w:u w:val="single"/>
        </w:rPr>
        <w:t>Nature of Existing Owners and Sellers Obligations and Rights</w:t>
      </w:r>
      <w:r>
        <w:rPr>
          <w:rFonts w:ascii="Times New Roman" w:hAnsi="Times New Roman"/>
          <w:sz w:val="17"/>
        </w:rPr>
        <w:t>.  The respective obligations of each Existing Owner and each Seller under this Contribution Agreement are several and not joint with the obligations of any other Existing Owner and Seller, and no Existing Owner or Seller shall be responsible in any way for the performance of the obligations of any other Existing Owner or Seller under this Contribution Agreement. The failure or waiver of performance under this Contribution Agreement by any Existing Owner or Seller, or on its behalf, does not excuse performance by any other Existing Owner or Seller. Nothing contained herein, no transactions contemplated hereby, and no action taken by any Existing Owner or Seller pursuant hereto, shall be deemed to constitute the Existing Owners and/or the Sellers as a partnership, an association, a joint venture or any other kind of entity, or create a presumption that the Existing Owners or the Sellers are in any way acting in concert or as a group with respect to such obligations or the transactions contemplated hereby. Each Existing Owner and each Seller shall be entitled to independently protect and enforce its rights, and it shall not be necessary for any other Existing Owner or Seller to be joined as an additional party in any proceeding for such purpose.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314" w:name="15636-2-KM-01_PB_5_071805_4049"/>
      <w:bookmarkEnd w:id="31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III</w:t>
        <w:br/>
        <w:t>ADDITIONAL TRANSACTIONS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3.1</w:t>
      </w:r>
      <w:r>
        <w:rPr>
          <w:rFonts w:ascii="Times New Roman" w:hAnsi="Times New Roman"/>
        </w:rPr>
        <w:t xml:space="preserve">                                   </w:t>
      </w:r>
      <w:r>
        <w:rPr>
          <w:rFonts w:ascii="Times New Roman" w:hAnsi="Times New Roman"/>
          <w:b/>
          <w:sz w:val="17"/>
          <w:u w:val="single"/>
        </w:rPr>
        <w:t>Over-Allotment Option</w:t>
      </w:r>
      <w:r>
        <w:rPr>
          <w:rFonts w:ascii="Times New Roman" w:hAnsi="Times New Roman"/>
          <w:sz w:val="17"/>
        </w:rPr>
        <w:t>.  The Parties agree that in the event the option granted by PAGP to the Underwriters in the Underwriting Agreement to purchase additional Class A Shares is exercised in whole or in part by the Underwriters (the </w:t>
      </w:r>
      <w:r>
        <w:rPr>
          <w:rFonts w:ascii="Times New Roman" w:hAnsi="Times New Roman"/>
          <w:sz w:val="17"/>
          <w:u w:val="single"/>
        </w:rPr>
        <w:t>Option</w:t>
      </w:r>
      <w:r>
        <w:rPr>
          <w:rFonts w:ascii="Times New Roman" w:hAnsi="Times New Roman"/>
          <w:sz w:val="17"/>
        </w:rPr>
        <w:t>), the Underwriters will contribute additional cash to PAGP (the </w:t>
      </w:r>
      <w:r>
        <w:rPr>
          <w:rFonts w:ascii="Times New Roman" w:hAnsi="Times New Roman"/>
          <w:sz w:val="17"/>
          <w:u w:val="single"/>
        </w:rPr>
        <w:t>Option Proceeds</w:t>
      </w:r>
      <w:r>
        <w:rPr>
          <w:rFonts w:ascii="Times New Roman" w:hAnsi="Times New Roman"/>
          <w:sz w:val="17"/>
        </w:rPr>
        <w:t>) in exchange for up to an additional [</w:t>
      </w:r>
      <w:r>
        <w:rPr>
          <w:rFonts w:ascii="Symbol" w:hAnsi="Symbol"/>
          <w:sz w:val="17"/>
        </w:rPr>
        <w:t>·</w:t>
      </w:r>
      <w:r>
        <w:rPr>
          <w:rFonts w:ascii="Times New Roman" w:hAnsi="Times New Roman"/>
          <w:sz w:val="17"/>
        </w:rPr>
        <w:t>] Class A Shares on the basis of the initial public offering price per Class A Share set forth in the Registration Statement, net of the Spread and offering expenses associated with the Option.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3.2</w:t>
      </w:r>
      <w:r>
        <w:rPr>
          <w:rFonts w:ascii="Times New Roman" w:hAnsi="Times New Roman"/>
        </w:rPr>
        <w:t xml:space="preserve">                                   </w:t>
      </w:r>
      <w:r>
        <w:rPr>
          <w:rFonts w:ascii="Times New Roman" w:hAnsi="Times New Roman"/>
          <w:b/>
          <w:sz w:val="17"/>
          <w:u w:val="single"/>
        </w:rPr>
        <w:t>Redemption of Class B Shares and AAP Units</w:t>
      </w:r>
      <w:r>
        <w:rPr>
          <w:rFonts w:ascii="Times New Roman" w:hAnsi="Times New Roman"/>
          <w:sz w:val="17"/>
        </w:rPr>
        <w:t>.  The Parties agree, that if the Option is exercised in whole or in part by the Underwriters, (a) PAGP will redeem from Oxy Holding Company (Pipeline), Inc. (</w:t>
      </w:r>
      <w:r>
        <w:rPr>
          <w:rFonts w:ascii="Times New Roman" w:hAnsi="Times New Roman"/>
          <w:sz w:val="17"/>
          <w:u w:val="single"/>
        </w:rPr>
        <w:t>Oxy</w:t>
      </w:r>
      <w:r>
        <w:rPr>
          <w:rFonts w:ascii="Times New Roman" w:hAnsi="Times New Roman"/>
          <w:sz w:val="17"/>
        </w:rPr>
        <w:t>) a number of PAGP Class B Shares, and purchase from Oxy a corresponding number of AAP Units, equal to the number of Class A Shares purchased by the Underwriters pursuant to the Option for a price equal to the product of (i) the initial public offering price per Class A Share set forth in the Registration Statement, less the Spread and (ii) the number of AAP Units being purchased by PAGP, less the total amount of offering expenses associated with the Option, and (b) Oxy will contribute to PAGP a number of GP Units that equals the number of PAGP Class B Shares redeemed.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IV</w:t>
        <w:br/>
        <w:t xml:space="preserve">REPRESENTATIONS AND WARRANTIES OF THE </w:t>
        <w:br/>
        <w:t>EXISTING OWNERS AND THE SELLERS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Each Existing Owner and each Seller, severally and not jointly, hereby represents and warrants to PAGP with respect to itself, as of the date hereof,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Such Party is an individual or has been duly incorporated or formed and is validly existing in good standing under the laws of its state of incorporation or formation, with all individual, corporate or partnership power and authority necessary to own or hold each such Partys properties and conduct the businesses in which each such Party is engaged and, to execute and deliver this Contribution Agreement and to consummate the transactions contemplated hereby.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Such Party owns the Pre-Closing Percentage Ownership of AAP Units, Pre-Closing Percentage Ownership of GP LLC and GP Units Received set forth opposite such Partys name in the columns so titled on </w:t>
      </w:r>
      <w:r>
        <w:rPr>
          <w:rFonts w:ascii="Times New Roman" w:hAnsi="Times New Roman"/>
          <w:sz w:val="17"/>
          <w:u w:val="single"/>
        </w:rPr>
        <w:t>Exhibit A</w:t>
      </w:r>
      <w:r>
        <w:rPr>
          <w:rFonts w:ascii="Times New Roman" w:hAnsi="Times New Roman"/>
          <w:sz w:val="17"/>
        </w:rPr>
        <w:t>, free and clear of all liens, encumbrances, security interests, equities, charges or claims.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All individual, corporate or partnership action required to be taken by such Party or any of its securityholders for the authorization, execution and delivery of this Contribution Agreement and the consummation of the transactions contemplated by this Contribution Agreement has been validly taken.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None of the (i) the execution, delivery and performance of this Contribution Agreement by such Party, or (ii) consummation of the transactions contemplated hereby (A) conflicts with or constitutes a violation of the organizational documents of such Party, (B)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315" w:name="15636-2-KM-01_PB_6_071817_2698"/>
      <w:bookmarkEnd w:id="31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conflicts with or constitutes a breach or violation of, or a default (or an event that, with notice or lapse of time or both, would constitute such a default) under, any indenture, mortgage, deed of trust, loan agreement, lease or other agreement or instrument to which such Party is a party or by which such Party or any of its respective properties may be bound, (C) violates any statute, law or regulation or any order, judgment, decree or injunction of any Governmental Authority or body having jurisdiction over such Party, or any of its respective properties or assets, or (D) results in the creation or imposition of any lien, charge or encumbrance upon any property or assets of such Party, which conflicts, breaches, violations, defaults or liens, in the case of clauses (B), (C) or (D), would, individually or in the aggregate, materially impair (i) the transactions contemplated by this Contribution Agreement or (ii) the ownership and use by PAGP of the Transferred Assets at or after the Effective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No permit, consent, approval, authorization, order, registration, filing or qualification (a </w:t>
      </w:r>
      <w:r>
        <w:rPr>
          <w:rFonts w:ascii="Times New Roman" w:hAnsi="Times New Roman"/>
          <w:sz w:val="17"/>
          <w:u w:val="single"/>
        </w:rPr>
        <w:t>consent</w:t>
      </w:r>
      <w:r>
        <w:rPr>
          <w:rFonts w:ascii="Times New Roman" w:hAnsi="Times New Roman"/>
          <w:sz w:val="17"/>
        </w:rPr>
        <w:t>) of or with any Governmental Authority or body having jurisdiction over such Party or any of its respective properties is required in connection with (i) the execution, delivery and performance of this Contribution Agreement by such Party, or (ii) the consummation by such Party of the transactions contemplated by this Contribution Agreement, except for such consents that have been obtained.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w:t>
        <w:br/>
        <w:t>APPROVALS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5.1</w:t>
      </w:r>
      <w:r>
        <w:rPr>
          <w:rFonts w:ascii="Times New Roman" w:hAnsi="Times New Roman"/>
        </w:rPr>
        <w:t xml:space="preserve">                                   </w:t>
      </w:r>
      <w:r>
        <w:rPr>
          <w:rFonts w:ascii="Times New Roman" w:hAnsi="Times New Roman"/>
          <w:b/>
          <w:sz w:val="17"/>
          <w:u w:val="single"/>
        </w:rPr>
        <w:t>Consent to Contribution Agreement Transactions</w:t>
      </w:r>
      <w:r>
        <w:rPr>
          <w:rFonts w:ascii="Times New Roman" w:hAnsi="Times New Roman"/>
          <w:sz w:val="17"/>
        </w:rPr>
        <w:t>.  Each of the Existing Owners and the Sellers, on behalf of themselves, GP LLC and AAP, in their capacity as members of GP LLC and in their capacity as holders of AAP Units, and in GP LLCs capacity as the general partner of AAP, hereby ratifies, authorizes, approves, confirms and consents to, in all respects, the terms and provisions of, and the transactions contemplated by, this Contribution Agreement.  Without limiting the generality of the foregoing, each Party (i) deems the transfers of AAP Units and membership interests in GP LLC and, if applicable the transfers of PAGP Class B Shares, pursuant to Article II or Article III hereof, when consummated in accordance with this Contribution Agreement, to have satisfied all requirements for the effectiveness of such transfers under the AAP Partnership Agreement (including, as in effect prior to the date hereof) and the GP LLC Agreement (including, as in effect prior to the date hereof); and (ii) permanently, irrevocably and unconditionally waives any right or power it might have to prevent, alter, encumber, rescind or nullify any of such transfers, including a waiver of any right of first refusal it may hold pursuant to Section 7.8 of the AAP Partnership Agreement (including, as in effect prior to the date hereof) and/or Section 9.8 of the GP LLC Agreement (including, as in effect prior to the date hereof) with respect to such transfers.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5.2</w:t>
      </w:r>
      <w:r>
        <w:rPr>
          <w:rFonts w:ascii="Times New Roman" w:hAnsi="Times New Roman"/>
        </w:rPr>
        <w:t xml:space="preserve">                                   </w:t>
      </w:r>
      <w:r>
        <w:rPr>
          <w:rFonts w:ascii="Times New Roman" w:hAnsi="Times New Roman"/>
          <w:b/>
          <w:sz w:val="17"/>
          <w:u w:val="single"/>
        </w:rPr>
        <w:t>Amendment and Restatement of the Limited Partnership Agreement of AAP</w:t>
      </w:r>
      <w:r>
        <w:rPr>
          <w:rFonts w:ascii="Times New Roman" w:hAnsi="Times New Roman"/>
          <w:sz w:val="17"/>
        </w:rPr>
        <w:t xml:space="preserve">.  Each of the Existing Owners, on behalf of themselves, GP LLC and AAP, in their capacity as members of GP LLC, and in GP LLCs capacity as the general partner of AAP, hereby ratifies, authorizes, approves, adopts and confirms, in all respects, the terms and provisions of the Seventh Amended and Restated Limited Partnership Agreement of AAP, substantially in the form attached hereto as </w:t>
      </w:r>
      <w:r>
        <w:rPr>
          <w:rFonts w:ascii="Times New Roman" w:hAnsi="Times New Roman"/>
          <w:sz w:val="17"/>
          <w:u w:val="single"/>
        </w:rPr>
        <w:t>Exhibit D</w:t>
      </w:r>
      <w:r>
        <w:rPr>
          <w:rFonts w:ascii="Times New Roman" w:hAnsi="Times New Roman"/>
          <w:sz w:val="17"/>
        </w:rPr>
        <w:t xml:space="preserve"> (the </w:t>
      </w:r>
      <w:r>
        <w:rPr>
          <w:rFonts w:ascii="Times New Roman" w:hAnsi="Times New Roman"/>
          <w:sz w:val="17"/>
          <w:u w:val="single"/>
        </w:rPr>
        <w:t>AAP Partnership Agreement</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316" w:name="15636-2-KM-01_PB_7_071827_557"/>
      <w:bookmarkEnd w:id="31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5.3</w:t>
      </w:r>
      <w:r>
        <w:rPr>
          <w:rFonts w:ascii="Times New Roman" w:hAnsi="Times New Roman"/>
        </w:rPr>
        <w:t xml:space="preserve">                                   </w:t>
      </w:r>
      <w:r>
        <w:rPr>
          <w:rFonts w:ascii="Times New Roman" w:hAnsi="Times New Roman"/>
          <w:b/>
          <w:sz w:val="17"/>
          <w:u w:val="single"/>
        </w:rPr>
        <w:t>Amendment and Restatement of the Limited Liability Company Agreement of GP LLC</w:t>
      </w:r>
      <w:r>
        <w:rPr>
          <w:rFonts w:ascii="Times New Roman" w:hAnsi="Times New Roman"/>
          <w:sz w:val="17"/>
        </w:rPr>
        <w:t xml:space="preserve">.  Each of the Existing Owners, on behalf of themselves and GP LLC, in their capacity as members of GP LLC, hereby ratifies, authorizes, approves, adopts and confirms, in all respects, the terms and provisions of the Sixth Amended and Restated Limited Liability Company Agreement of GP LLC, substantially in the form attached hereto as </w:t>
      </w:r>
      <w:r>
        <w:rPr>
          <w:rFonts w:ascii="Times New Roman" w:hAnsi="Times New Roman"/>
          <w:sz w:val="17"/>
          <w:u w:val="single"/>
        </w:rPr>
        <w:t>Exhibit E</w:t>
      </w:r>
      <w:r>
        <w:rPr>
          <w:rFonts w:ascii="Times New Roman" w:hAnsi="Times New Roman"/>
          <w:sz w:val="17"/>
        </w:rPr>
        <w:t xml:space="preserve"> (the </w:t>
      </w:r>
      <w:r>
        <w:rPr>
          <w:rFonts w:ascii="Times New Roman" w:hAnsi="Times New Roman"/>
          <w:sz w:val="17"/>
          <w:u w:val="single"/>
        </w:rPr>
        <w:t>GP LLC Agreement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5.4</w:t>
      </w:r>
      <w:r>
        <w:rPr>
          <w:rFonts w:ascii="Times New Roman" w:hAnsi="Times New Roman"/>
        </w:rPr>
        <w:t xml:space="preserve">                                   </w:t>
      </w:r>
      <w:r>
        <w:rPr>
          <w:rFonts w:ascii="Times New Roman" w:hAnsi="Times New Roman"/>
          <w:b/>
          <w:sz w:val="17"/>
          <w:u w:val="single"/>
        </w:rPr>
        <w:t>Amendment and Restatement of the Limited Liability Company Agreement of PAGP GP</w:t>
      </w:r>
      <w:r>
        <w:rPr>
          <w:rFonts w:ascii="Times New Roman" w:hAnsi="Times New Roman"/>
          <w:sz w:val="17"/>
        </w:rPr>
        <w:t xml:space="preserve">.  Each of the Existing Owners, on behalf of themselves and PAGP GP, in their capacity as members of PAGP GP, hereby ratifies, authorizes, approves, adopts and confirms, in all respects, the terms and provisions of the Amended and Restated Limited Liability Company Agreement of PAGP GP, substantially in the form attached hereto as </w:t>
      </w:r>
      <w:r>
        <w:rPr>
          <w:rFonts w:ascii="Times New Roman" w:hAnsi="Times New Roman"/>
          <w:sz w:val="17"/>
          <w:u w:val="single"/>
        </w:rPr>
        <w:t>Exhibit F</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w:t>
        <w:br/>
        <w:t>FURTHER ASSURANCES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From time to time after the Effective Time, and without any further consideration, the Parties agree to execute, acknowledge and deliver all such additional deeds, assignments, bills of sale, conveyances, instruments, notices, releases, acquittances and other documents, and will do all such other acts and things, all in accordance with applicable law, as may be necessary or appropriate (a) more fully to assure that the applicable Parties own all of the properties, rights, titles, interests, estates, remedies, powers and privileges granted by this Contribution Agreement, or which are intended to be so granted, or (b) more fully and effectively to vest in the applicable Parties and their respective successors and assigns beneficial and record title to the interests contributed and assigned by this Contribution Agreement or intended so to be, and (c) more fully and effectively to carry out the purposes and intent of this Contribution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VII</w:t>
        <w:br/>
        <w:t>EFFECTIVE TIME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Notwithstanding anything contained in this Contribution Agreement to the contrary, none of the provisions of ARTICLE II or ARTICLE III of this Contribution Agreement shall be operative or have any effect prior to the Effective Time; immediately following the Effective Time all the provisions of ARTICLE II of this Contribution Agreement shall be effective and operative, without further action by any Party hereto; and to the extent the Option is exercised by the Underwriters, the transactions contemplated by the ARTICLE III shall be effective and operative at the closing of the Option, in accordance with ARTICLE III.</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VIII</w:t>
        <w:br/>
        <w:t>INDEMNIFICATION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8.1</w:t>
      </w:r>
      <w:r>
        <w:rPr>
          <w:rFonts w:ascii="Times New Roman" w:hAnsi="Times New Roman"/>
        </w:rPr>
        <w:t xml:space="preserve">                                   </w:t>
      </w:r>
      <w:r>
        <w:rPr>
          <w:rFonts w:ascii="Times New Roman" w:hAnsi="Times New Roman"/>
          <w:b/>
          <w:sz w:val="17"/>
          <w:u w:val="single"/>
        </w:rPr>
        <w:t>Indemnification by the Existing Owners and Sellers</w:t>
      </w:r>
      <w:r>
        <w:rPr>
          <w:rFonts w:ascii="Times New Roman" w:hAnsi="Times New Roman"/>
          <w:sz w:val="17"/>
        </w:rPr>
        <w:t xml:space="preserve">.  Subject to the other provisions of this ARTICLE VIII, each Existing Owner and each Seller agrees, severally and not jointly, to indemnify, defend and hold harmless PAGP from and against any losses, damages, liabilities, claims, demands, causes of action, judgments, settlements, fines, penalties, costs and expenses (including, without limitation, court costs and reasonable attorneys fees and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317" w:name="15636-2-KM-01_PB_8_071839_2439"/>
      <w:bookmarkEnd w:id="31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expert fees) of any and every kind and character (Losses), insofar as such Losses arise out of or are based upon: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the failure of such Existing Owner or Seller to transfer to PAGP GP and PAGP good and valid title to the equity interests set forth such Existing Owners or Sellers name on </w:t>
      </w:r>
      <w:r>
        <w:rPr>
          <w:rFonts w:ascii="Times New Roman" w:hAnsi="Times New Roman"/>
          <w:sz w:val="17"/>
          <w:u w:val="single"/>
        </w:rPr>
        <w:t>Exhibit A</w:t>
      </w:r>
      <w:r>
        <w:rPr>
          <w:rFonts w:ascii="Times New Roman" w:hAnsi="Times New Roman"/>
          <w:sz w:val="17"/>
        </w:rPr>
        <w:t xml:space="preserve"> hereto, free and clear of all liens, encumbrances, security interests, equities, charges or claims (other than as may arise or exist under the AAP Partnership Agreement), pursuant to the terms of this Contribution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failure of such Existing Owner or Seller to have as of the Closing any consent or approval of a Governmental Authority necessary to allow the transfer by such Existing Owner or Seller of its portion of the membership interest in GP LLC or the Transferred Assets, as applicable;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all federal, state and local income tax liabilities attributable to the Transferred Assets allocable to such Existing Owner or Seller prior to the Closing, including any such income tax liabilities of any Seller that may result from the consummation of the transactions contemplated by this Contribution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8.2</w:t>
      </w:r>
      <w:r>
        <w:rPr>
          <w:rFonts w:ascii="Times New Roman" w:hAnsi="Times New Roman"/>
        </w:rPr>
        <w:t xml:space="preserve">                                   </w:t>
      </w:r>
      <w:r>
        <w:rPr>
          <w:rFonts w:ascii="Times New Roman" w:hAnsi="Times New Roman"/>
          <w:b/>
          <w:sz w:val="17"/>
          <w:u w:val="single"/>
        </w:rPr>
        <w:t>Indemnification Procedure</w:t>
      </w:r>
      <w:r>
        <w:rPr>
          <w:rFonts w:ascii="Times New Roman" w:hAnsi="Times New Roman"/>
          <w:b/>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As used in this Section 8.2, the term Indemnifying Party refers to the Existing Owners; and the term Indemnified Party refers to PAGP.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Indemnified Party agrees that within a reasonable period of time after it becomes aware of facts giving rise to a claim for indemnification under this ARTICLE VIII, it will provide notice thereof in writing to the Indemnifying Party, specifying the nature of and specific basis for such claim.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The Indemnifying Party shall have the right to control, at its sole cost and expense, all aspects of the defense of (and any counterclaims with respect to) any claims brought against the Indemnified Party that are covered by the indemnification under this ARTICLE VIII, including, without limitation, the selection of counsel, determination of whether to appeal any decision of any Governmental Authority and the settling of any such matter or any issues relating thereto;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that no such settlement shall be entered into without the consent of the Indemnified Party (which consent shall not be unreasonably withheld) unless it includes a full release of the Indemnified Party from such matter or issues, as the case may be.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Indemnified Party agrees to cooperate fully with the Indemnifying Party, with respect to (i) its pursuit of insurance coverage or recoveries with respect to the claims covered by the indemnification under this ARTICLE VIII and (ii) all aspects of the defense of any claims covered by the indemnification under this ARTICLE VIII, including, without limitation, the prompt furnishing to the Indemnifying Party of any correspondence or other notice relating thereto that the Indemnified Party may receive, permitting the name of the Indemnified Party to be utilized in connection with such defense, the making available to the Indemnifying Party of any files, records or other information of the Indemnified Party that the Indemnifying Party considers relevant to such defense and the making available to the Indemnifying Party of any employees of the Indemnified Party; provided, however, that in connection therewith the Indemnifying Party agrees to use reasonable efforts to minimize the impact thereof on the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318" w:name="15636-2-KM-01_PB_9_071848_9792"/>
      <w:bookmarkEnd w:id="31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operations of the Indemnified Party and further agrees to maintain the confidentiality of all files, records, and other information furnished by the Indemnified Party pursuant to this Section 8.2.  In no event shall the obligation of the Indemnified Party to cooperate with the Indemnifying Party as set forth in the immediately preceding sentence be construed as imposing upon the Indemnified Party an obligation to hire and pay for counsel in connection with the defense of any claims covered by the indemnification set forth in this ARTICLE VIII provided, however, that the Indemnified Party may, at its own option, cost and expense, hire and pay for counsel in connection with any such defense.  The Indemnifying Party agrees to keep any such counsel hired by the Indemnified Party informed as to the status of any such defense, but the Indemnifying Party shall have the right to retain sole control over such defense.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IX</w:t>
        <w:br/>
        <w:t>MISCELLANEOUS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9.1</w:t>
      </w:r>
      <w:r>
        <w:rPr>
          <w:rFonts w:ascii="Times New Roman" w:hAnsi="Times New Roman"/>
        </w:rPr>
        <w:t xml:space="preserve">                                   </w:t>
      </w:r>
      <w:r>
        <w:rPr>
          <w:rFonts w:ascii="Times New Roman" w:hAnsi="Times New Roman"/>
          <w:b/>
          <w:sz w:val="17"/>
          <w:u w:val="single"/>
        </w:rPr>
        <w:t>Order of Completion of Transactions</w:t>
      </w:r>
      <w:r>
        <w:rPr>
          <w:rFonts w:ascii="Times New Roman" w:hAnsi="Times New Roman"/>
          <w:sz w:val="17"/>
        </w:rPr>
        <w:t>.  The transactions provided for in ARTICLE II shall be completed immediately following the Effective Time.  The transactions provided for in ARTICLE III shall be completed as reflected therein in connection with the closing of the Option.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9.2</w:t>
      </w:r>
      <w:r>
        <w:rPr>
          <w:rFonts w:ascii="Times New Roman" w:hAnsi="Times New Roman"/>
        </w:rPr>
        <w:t xml:space="preserve">                                   </w:t>
      </w:r>
      <w:r>
        <w:rPr>
          <w:rFonts w:ascii="Times New Roman" w:hAnsi="Times New Roman"/>
          <w:b/>
          <w:sz w:val="17"/>
          <w:u w:val="single"/>
        </w:rPr>
        <w:t>Headings; References; Interpretation</w:t>
      </w:r>
      <w:r>
        <w:rPr>
          <w:rFonts w:ascii="Times New Roman" w:hAnsi="Times New Roman"/>
          <w:sz w:val="17"/>
        </w:rPr>
        <w:t>.  All Article and Section headings in this Contribution Agreement are for convenience only and shall not be deemed to control or affect the meaning or construction of any of the provisions hereof.  The words hereof, herein and hereunder and words of similar import, when used in this Contribution Agreement, shall refer to this Contribution Agreement as a whole, including, without limitation, all Exhibits attached hereto, and not to any particular provision of this Contribution Agreement.  All personal pronouns used in this Contribution Agreement, whether used in the masculine, feminine or neuter gender, shall include all other genders, and the singular shall include the plural and vice versa.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9.3</w:t>
      </w:r>
      <w:r>
        <w:rPr>
          <w:rFonts w:ascii="Times New Roman" w:hAnsi="Times New Roman"/>
        </w:rPr>
        <w:t xml:space="preserve">                                   </w:t>
      </w:r>
      <w:r>
        <w:rPr>
          <w:rFonts w:ascii="Times New Roman" w:hAnsi="Times New Roman"/>
          <w:b/>
          <w:sz w:val="17"/>
          <w:u w:val="single"/>
        </w:rPr>
        <w:t>Successors and Assigns</w:t>
      </w:r>
      <w:r>
        <w:rPr>
          <w:rFonts w:ascii="Times New Roman" w:hAnsi="Times New Roman"/>
          <w:sz w:val="17"/>
        </w:rPr>
        <w:t>.  The Contribution Agreement shall be binding upon and inure to the benefit of the Parties and their respective successors and assigns.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9.4</w:t>
      </w:r>
      <w:r>
        <w:rPr>
          <w:rFonts w:ascii="Times New Roman" w:hAnsi="Times New Roman"/>
        </w:rPr>
        <w:t xml:space="preserve">                                   </w:t>
      </w:r>
      <w:r>
        <w:rPr>
          <w:rFonts w:ascii="Times New Roman" w:hAnsi="Times New Roman"/>
          <w:b/>
          <w:sz w:val="17"/>
          <w:u w:val="single"/>
        </w:rPr>
        <w:t>No Third Party Rights</w:t>
      </w:r>
      <w:r>
        <w:rPr>
          <w:rFonts w:ascii="Times New Roman" w:hAnsi="Times New Roman"/>
          <w:sz w:val="17"/>
        </w:rPr>
        <w:t>.  The provisions of this Contribution Agreement are intended to bind the Parties as to each other and are not intended to and do not create rights in any other person or confer upon any other person any benefits, rights or remedies and no person is or is intended to be a third party beneficiary of any of the provisions of this Contribution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9.5</w:t>
      </w:r>
      <w:r>
        <w:rPr>
          <w:rFonts w:ascii="Times New Roman" w:hAnsi="Times New Roman"/>
        </w:rPr>
        <w:t xml:space="preserve">                                   </w:t>
      </w:r>
      <w:r>
        <w:rPr>
          <w:rFonts w:ascii="Times New Roman" w:hAnsi="Times New Roman"/>
          <w:b/>
          <w:sz w:val="17"/>
          <w:u w:val="single"/>
        </w:rPr>
        <w:t>Counterparts</w:t>
      </w:r>
      <w:r>
        <w:rPr>
          <w:rFonts w:ascii="Times New Roman" w:hAnsi="Times New Roman"/>
          <w:sz w:val="17"/>
        </w:rPr>
        <w:t>.  This Contribution Agreement may be executed in any number of counterparts, all of which together shall constitute one agreement binding on the Parties hereto.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319" w:name="15636-2-KM-01_PB_10_071856_610"/>
      <w:bookmarkEnd w:id="319"/>
    </w:p>
    <w:p>
      <w:pPr>
        <w:pStyle w:val="HorizontalLine"/>
        <w:pBdr>
          <w:bottom w:val="single" w:sz="18" w:space="0" w:color="010101"/>
        </w:pBdr>
        <w:spacing w:before="0" w:after="0"/>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9.6</w:t>
      </w:r>
      <w:r>
        <w:rPr>
          <w:rFonts w:ascii="Times New Roman" w:hAnsi="Times New Roman"/>
        </w:rPr>
        <w:t xml:space="preserve">                                   </w:t>
      </w:r>
      <w:r>
        <w:rPr>
          <w:rFonts w:ascii="Times New Roman" w:hAnsi="Times New Roman"/>
          <w:b/>
          <w:sz w:val="17"/>
          <w:u w:val="single"/>
        </w:rPr>
        <w:t>Governing Law</w:t>
      </w:r>
      <w:r>
        <w:rPr>
          <w:rFonts w:ascii="Times New Roman" w:hAnsi="Times New Roman"/>
          <w:sz w:val="17"/>
        </w:rPr>
        <w:t>.  This Contribution Agreement shall be governed by, and construed in accordance with, the laws of the State of Texas applicable to contracts made and to be performed wholly within such state without giving effect to conflict of law principles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9.7</w:t>
      </w:r>
      <w:r>
        <w:rPr>
          <w:rFonts w:ascii="Times New Roman" w:hAnsi="Times New Roman"/>
        </w:rPr>
        <w:t xml:space="preserve">                                   </w:t>
      </w:r>
      <w:r>
        <w:rPr>
          <w:rFonts w:ascii="Times New Roman" w:hAnsi="Times New Roman"/>
          <w:b/>
          <w:sz w:val="17"/>
          <w:u w:val="single"/>
        </w:rPr>
        <w:t>Severability</w:t>
      </w:r>
      <w:r>
        <w:rPr>
          <w:rFonts w:ascii="Times New Roman" w:hAnsi="Times New Roman"/>
          <w:sz w:val="17"/>
        </w:rPr>
        <w:t>.  If any of the provisions of this Contribution Agreement are held by any court of competent jurisdiction to contravene, or to be invalid under, the laws of any political body having jurisdiction over the subject matter hereof, such contravention or invalidity shall not invalidate the entire Contribution Agreement. Instead, this Contribution Agreement shall be construed as if it did not contain the particular provision or provisions held to be invalid and an equitable adjustment shall be made and necessary provision added so as to give effect to the intention of the Parties as expressed in this Contribution Agreement at the time of execution of this Contribution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9.8</w:t>
      </w:r>
      <w:r>
        <w:rPr>
          <w:rFonts w:ascii="Times New Roman" w:hAnsi="Times New Roman"/>
        </w:rPr>
        <w:t xml:space="preserve">                                   </w:t>
      </w:r>
      <w:r>
        <w:rPr>
          <w:rFonts w:ascii="Times New Roman" w:hAnsi="Times New Roman"/>
          <w:b/>
          <w:sz w:val="17"/>
          <w:u w:val="single"/>
        </w:rPr>
        <w:t>Amendment or Modification</w:t>
      </w:r>
      <w:r>
        <w:rPr>
          <w:rFonts w:ascii="Times New Roman" w:hAnsi="Times New Roman"/>
          <w:sz w:val="17"/>
        </w:rPr>
        <w:t>.  This Contribution Agreement may be amended or modified from time to time only by the written agreement of all the Parties. Each such instrument shall be reduced to writing and shall be designated on its face as an Amendment to this Contribution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9.9</w:t>
      </w:r>
      <w:r>
        <w:rPr>
          <w:rFonts w:ascii="Times New Roman" w:hAnsi="Times New Roman"/>
        </w:rPr>
        <w:t xml:space="preserve">                                   </w:t>
      </w:r>
      <w:r>
        <w:rPr>
          <w:rFonts w:ascii="Times New Roman" w:hAnsi="Times New Roman"/>
          <w:b/>
          <w:sz w:val="17"/>
          <w:u w:val="single"/>
        </w:rPr>
        <w:t>Integration</w:t>
      </w:r>
      <w:r>
        <w:rPr>
          <w:rFonts w:ascii="Times New Roman" w:hAnsi="Times New Roman"/>
          <w:sz w:val="17"/>
        </w:rPr>
        <w:t>.  This Contribution Agreement and the instruments referenced herein supersede all previous understandings or agreements among the Parties, whether oral or written, with respect to their subject matter. This Contribution Agreement and such instruments contain the entire understanding of the Parties with respect to the subject matter hereof and thereof. No understanding, representation, promise or agreement, whether oral or written, is intended to be or shall be included in or form part of this Contribution Agreement unless it is contained in a written amendment hereto executed by the parties hereto after the date of this Contribution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9.10</w:t>
      </w:r>
      <w:r>
        <w:rPr>
          <w:rFonts w:ascii="Times New Roman" w:hAnsi="Times New Roman"/>
        </w:rPr>
        <w:t xml:space="preserve">                            </w:t>
      </w:r>
      <w:r>
        <w:rPr>
          <w:rFonts w:ascii="Times New Roman" w:hAnsi="Times New Roman"/>
          <w:b/>
          <w:sz w:val="17"/>
          <w:u w:val="single"/>
        </w:rPr>
        <w:t>Deed; Bill of Sale; Assignment</w:t>
      </w:r>
      <w:r>
        <w:rPr>
          <w:rFonts w:ascii="Times New Roman" w:hAnsi="Times New Roman"/>
          <w:sz w:val="17"/>
        </w:rPr>
        <w:t>.  To the extent required and permitted by applicable law, this Contribution Agreement shall also constitute a deed, bill of sale or assignment of the assets and interests referenced 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Section 9.11</w:t>
      </w:r>
      <w:r>
        <w:rPr>
          <w:rFonts w:ascii="Times New Roman" w:hAnsi="Times New Roman"/>
        </w:rPr>
        <w:t xml:space="preserve">                            </w:t>
      </w:r>
      <w:r>
        <w:rPr>
          <w:rFonts w:ascii="Times New Roman" w:hAnsi="Times New Roman"/>
          <w:b/>
          <w:sz w:val="17"/>
          <w:u w:val="single"/>
        </w:rPr>
        <w:t>EMG Seller Parties</w:t>
      </w:r>
      <w:r>
        <w:rPr>
          <w:rFonts w:ascii="Times New Roman" w:hAnsi="Times New Roman"/>
          <w:sz w:val="17"/>
        </w:rPr>
        <w:t>.  Each of the Persons identified as an EMG Seller Party (collectively, the </w:t>
      </w:r>
      <w:r>
        <w:rPr>
          <w:rFonts w:ascii="Times New Roman" w:hAnsi="Times New Roman"/>
          <w:sz w:val="17"/>
          <w:u w:val="single"/>
        </w:rPr>
        <w:t>EMG Seller Parties</w:t>
      </w:r>
      <w:r>
        <w:rPr>
          <w:rFonts w:ascii="Times New Roman" w:hAnsi="Times New Roman"/>
          <w:sz w:val="17"/>
        </w:rPr>
        <w:t>) in that certain letter dated                       to PAGP from John T. Raymond, in his capacity as attorney-in-fact for the EMG Seller Parties, have granted John T. Raymond a power-of-attorney with full power and authority to execute and deliver this  Contribution Agreement.  EMG Investment, LLC or its authorized representative has delivered to PAGP an agreement evidencing such power-of-attorney.  EMG Investment, LLC represents and warrants to PAGP that such power-of-attorney remains in full force and effect as of the date hereof.  The EMG Seller Parties or their authorized representative have provided PAGP with certain notice, wiring and other information requested by PAGP by separate letter.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rPr>
      </w:pPr>
      <w:r>
        <w:rPr>
          <w:rFonts w:ascii="Times New Roman" w:hAnsi="Times New Roman"/>
          <w:b/>
          <w:sz w:val="17"/>
        </w:rPr>
        <w:t>[</w:t>
      </w:r>
      <w:r>
        <w:rPr>
          <w:rFonts w:ascii="Times New Roman" w:hAnsi="Times New Roman"/>
          <w:i/>
          <w:sz w:val="17"/>
        </w:rPr>
        <w:t>signature pages follow</w:t>
      </w:r>
      <w:r>
        <w:rPr>
          <w:rFonts w:ascii="Times New Roman" w:hAnsi="Times New Roman"/>
          <w:b/>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320" w:name="15636-2-KM-03_PB_11_072031_3904"/>
      <w:bookmarkEnd w:id="32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to this Contribution Agreement have caused it to be duly executed as of the date first above written.</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3"/>
        <w:gridCol w:w="515"/>
        <w:gridCol w:w="4537"/>
      </w:tblGrid>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GP HOLDINGS, L.P.</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GP HOLDINGS LLC</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Contribution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3"/>
        <w:gridCol w:w="515"/>
        <w:gridCol w:w="4537"/>
      </w:tblGrid>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EXISTING OWNERS:</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OXY HOLDING COMPANY (PIPELINE), INC.</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EMG INVESTMENT, LLC</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KAFU HOLDINGS, L.P.</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KAFU Holdings, LLC, its general partner</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 FIRST RESERVE XII, LLC</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MANAGEMENT, L.P.</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Management LLC, its general partner</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7"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3"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Contribution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STROME PAA,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pPr>
            <w:r>
              <w:rPr>
                <w:rFonts w:ascii="Times New Roman" w:hAnsi="Times New Roman"/>
                <w:b/>
                <w:sz w:val="17"/>
              </w:rPr>
              <w:t>[</w:t>
            </w:r>
            <w:r>
              <w:rPr>
                <w:rFonts w:ascii="Symbol" w:hAnsi="Symbol"/>
                <w:sz w:val="17"/>
              </w:rPr>
              <w:t>·</w:t>
            </w:r>
            <w:r>
              <w:rPr>
                <w:b/>
                <w:sz w:val="17"/>
              </w:rPr>
              <w:t>]</w:t>
            </w:r>
            <w:r>
              <w:rPr>
                <w:sz w:val="17"/>
              </w:rPr>
              <w:t>,</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MARK E. STROME LIVING TRUST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WINDY,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LYNX HOLDINGS I,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KAFU HOLDINGS II,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Contribution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091"/>
        <w:gridCol w:w="564"/>
        <w:gridCol w:w="4550"/>
      </w:tblGrid>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MLP INVESTMENT COMPANY</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50"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64" w:type="dxa"/>
            <w:tcBorders/>
            <w:shd w:fill="auto" w:val="clear"/>
          </w:tcPr>
          <w:p>
            <w:pPr>
              <w:pStyle w:val="TableContents"/>
              <w:spacing w:before="0" w:after="0"/>
              <w:ind w:left="0" w:right="0" w:hanging="0"/>
              <w:rPr/>
            </w:pPr>
            <w:r>
              <w:rPr/>
              <w:t> </w:t>
            </w:r>
          </w:p>
        </w:tc>
        <w:tc>
          <w:tcPr>
            <w:tcW w:w="45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091" w:type="dxa"/>
            <w:tcBorders/>
            <w:shd w:fill="auto" w:val="clear"/>
          </w:tcPr>
          <w:p>
            <w:pPr>
              <w:pStyle w:val="TableContents"/>
              <w:spacing w:before="0" w:after="0"/>
              <w:ind w:left="0" w:right="0" w:hanging="0"/>
              <w:rPr/>
            </w:pPr>
            <w:r>
              <w:rPr/>
              <w:t> </w:t>
            </w:r>
          </w:p>
        </w:tc>
        <w:tc>
          <w:tcPr>
            <w:tcW w:w="564" w:type="dxa"/>
            <w:tcBorders/>
            <w:shd w:fill="auto" w:val="clear"/>
          </w:tcPr>
          <w:p>
            <w:pPr>
              <w:pStyle w:val="TableContents"/>
              <w:spacing w:before="0" w:after="0"/>
              <w:ind w:left="0" w:right="0" w:hanging="0"/>
              <w:rPr/>
            </w:pPr>
            <w:r>
              <w:rPr/>
              <w:t> </w:t>
            </w:r>
          </w:p>
        </w:tc>
        <w:tc>
          <w:tcPr>
            <w:tcW w:w="45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ENERGY DEVELOPMENT COMPANY</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50"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64" w:type="dxa"/>
            <w:tcBorders/>
            <w:shd w:fill="auto" w:val="clear"/>
          </w:tcPr>
          <w:p>
            <w:pPr>
              <w:pStyle w:val="TableContents"/>
              <w:spacing w:before="0" w:after="0"/>
              <w:ind w:left="0" w:right="0" w:hanging="0"/>
              <w:rPr/>
            </w:pPr>
            <w:r>
              <w:rPr/>
              <w:t> </w:t>
            </w:r>
          </w:p>
        </w:tc>
        <w:tc>
          <w:tcPr>
            <w:tcW w:w="45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091" w:type="dxa"/>
            <w:tcBorders/>
            <w:shd w:fill="auto" w:val="clear"/>
          </w:tcPr>
          <w:p>
            <w:pPr>
              <w:pStyle w:val="TableContents"/>
              <w:spacing w:before="0" w:after="0"/>
              <w:ind w:left="0" w:right="0" w:hanging="0"/>
              <w:rPr/>
            </w:pPr>
            <w:r>
              <w:rPr/>
              <w:t> </w:t>
            </w:r>
          </w:p>
        </w:tc>
        <w:tc>
          <w:tcPr>
            <w:tcW w:w="564" w:type="dxa"/>
            <w:tcBorders/>
            <w:shd w:fill="auto" w:val="clear"/>
          </w:tcPr>
          <w:p>
            <w:pPr>
              <w:pStyle w:val="TableContents"/>
              <w:spacing w:before="0" w:after="0"/>
              <w:ind w:left="0" w:right="0" w:hanging="0"/>
              <w:rPr/>
            </w:pPr>
            <w:r>
              <w:rPr/>
              <w:t> </w:t>
            </w:r>
          </w:p>
        </w:tc>
        <w:tc>
          <w:tcPr>
            <w:tcW w:w="45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MIDSTREAM/ENERGY FUND, INC.</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50"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64" w:type="dxa"/>
            <w:tcBorders/>
            <w:shd w:fill="auto" w:val="clear"/>
          </w:tcPr>
          <w:p>
            <w:pPr>
              <w:pStyle w:val="TableContents"/>
              <w:spacing w:before="0" w:after="0"/>
              <w:ind w:left="0" w:right="0" w:hanging="0"/>
              <w:rPr/>
            </w:pPr>
            <w:r>
              <w:rPr/>
              <w:t> </w:t>
            </w:r>
          </w:p>
        </w:tc>
        <w:tc>
          <w:tcPr>
            <w:tcW w:w="45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091" w:type="dxa"/>
            <w:tcBorders/>
            <w:shd w:fill="auto" w:val="clear"/>
          </w:tcPr>
          <w:p>
            <w:pPr>
              <w:pStyle w:val="TableContents"/>
              <w:spacing w:before="0" w:after="0"/>
              <w:ind w:left="0" w:right="0" w:hanging="0"/>
              <w:rPr/>
            </w:pPr>
            <w:r>
              <w:rPr/>
              <w:t> </w:t>
            </w:r>
          </w:p>
        </w:tc>
        <w:tc>
          <w:tcPr>
            <w:tcW w:w="564" w:type="dxa"/>
            <w:tcBorders/>
            <w:shd w:fill="auto" w:val="clear"/>
          </w:tcPr>
          <w:p>
            <w:pPr>
              <w:pStyle w:val="TableContents"/>
              <w:spacing w:before="0" w:after="0"/>
              <w:ind w:left="0" w:right="0" w:hanging="0"/>
              <w:rPr/>
            </w:pPr>
            <w:r>
              <w:rPr/>
              <w:t> </w:t>
            </w:r>
          </w:p>
        </w:tc>
        <w:tc>
          <w:tcPr>
            <w:tcW w:w="45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JAY CHERNOSKY</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PAUL N. RIDDLE</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RUSSELL T. CLINGMAN</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DAVID E. HUMPHREYS</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J. TRINDER</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shd w:fill="auto" w:val="clear"/>
          </w:tcPr>
          <w:p>
            <w:pPr>
              <w:pStyle w:val="TableContents"/>
              <w:spacing w:before="0" w:after="0"/>
              <w:ind w:left="0" w:right="0" w:hanging="0"/>
              <w:rPr/>
            </w:pPr>
            <w:r>
              <w:rPr/>
              <w:t> </w:t>
            </w:r>
          </w:p>
        </w:tc>
      </w:tr>
      <w:tr>
        <w:trPr/>
        <w:tc>
          <w:tcPr>
            <w:tcW w:w="5091" w:type="dxa"/>
            <w:tcBorders/>
            <w:shd w:fill="auto" w:val="clear"/>
          </w:tcPr>
          <w:p>
            <w:pPr>
              <w:pStyle w:val="TableContents"/>
              <w:spacing w:before="0" w:after="0"/>
              <w:ind w:left="0" w:right="0" w:hanging="0"/>
              <w:rPr/>
            </w:pPr>
            <w:r>
              <w:rPr/>
              <w:t> </w:t>
            </w:r>
          </w:p>
        </w:tc>
        <w:tc>
          <w:tcPr>
            <w:tcW w:w="5114"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Contribution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5"/>
        <w:gridCol w:w="618"/>
        <w:gridCol w:w="4432"/>
      </w:tblGrid>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KIPP PAA TRUST</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2"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EMG SELLERS:</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EMG SELLER PARTIES</w:t>
            </w:r>
          </w:p>
        </w:tc>
      </w:tr>
      <w:tr>
        <w:trPr/>
        <w:tc>
          <w:tcPr>
            <w:tcW w:w="5155" w:type="dxa"/>
            <w:tcBorders/>
            <w:shd w:fill="auto" w:val="clear"/>
          </w:tcPr>
          <w:p>
            <w:pPr>
              <w:pStyle w:val="TableContents"/>
              <w:spacing w:before="0" w:after="0"/>
              <w:ind w:left="0" w:right="0" w:hanging="0"/>
              <w:rPr/>
            </w:pPr>
            <w:r>
              <w:rPr/>
              <w:t> </w:t>
            </w:r>
          </w:p>
        </w:tc>
        <w:tc>
          <w:tcPr>
            <w:tcW w:w="5050" w:type="dxa"/>
            <w:gridSpan w:val="2"/>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T. Raymond, as attorney-in-fact for each of the EMG Seller Parties</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2"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John T. Raymond</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Contribution Agreement</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76"/>
        <w:gridCol w:w="79"/>
        <w:gridCol w:w="809"/>
        <w:gridCol w:w="166"/>
        <w:gridCol w:w="809"/>
        <w:gridCol w:w="166"/>
        <w:gridCol w:w="670"/>
        <w:gridCol w:w="103"/>
        <w:gridCol w:w="848"/>
        <w:gridCol w:w="103"/>
        <w:gridCol w:w="848"/>
        <w:gridCol w:w="103"/>
        <w:gridCol w:w="670"/>
        <w:gridCol w:w="103"/>
        <w:gridCol w:w="283"/>
        <w:gridCol w:w="347"/>
        <w:gridCol w:w="103"/>
        <w:gridCol w:w="779"/>
        <w:gridCol w:w="103"/>
        <w:gridCol w:w="861"/>
        <w:gridCol w:w="166"/>
        <w:gridCol w:w="916"/>
        <w:gridCol w:w="94"/>
      </w:tblGrid>
      <w:tr>
        <w:trPr/>
        <w:tc>
          <w:tcPr>
            <w:tcW w:w="1076" w:type="dxa"/>
            <w:tcBorders/>
            <w:shd w:fill="auto" w:val="clear"/>
          </w:tcPr>
          <w:p>
            <w:pPr>
              <w:pStyle w:val="TableContents"/>
              <w:spacing w:before="0" w:after="0"/>
              <w:ind w:left="0" w:right="0" w:hanging="0"/>
              <w:rPr/>
            </w:pPr>
            <w:r>
              <w:rPr/>
              <w:t> </w:t>
            </w:r>
          </w:p>
        </w:tc>
        <w:tc>
          <w:tcPr>
            <w:tcW w:w="79" w:type="dxa"/>
            <w:tcBorders/>
            <w:shd w:fill="auto" w:val="clear"/>
          </w:tcPr>
          <w:p>
            <w:pPr>
              <w:pStyle w:val="TableContents"/>
              <w:spacing w:before="0" w:after="0"/>
              <w:ind w:left="0" w:right="0" w:hanging="0"/>
              <w:rPr/>
            </w:pPr>
            <w:r>
              <w:rPr/>
              <w:t> </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pPr>
            <w:r>
              <w:rPr/>
              <w:t> </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pPr>
            <w:r>
              <w:rPr/>
              <w:t> </w:t>
            </w:r>
          </w:p>
        </w:tc>
        <w:tc>
          <w:tcPr>
            <w:tcW w:w="670" w:type="dxa"/>
            <w:tcBorders/>
            <w:shd w:fill="auto" w:val="clear"/>
          </w:tcPr>
          <w:p>
            <w:pPr>
              <w:pStyle w:val="TableContents"/>
              <w:spacing w:before="0" w:after="0"/>
              <w:ind w:left="0" w:right="0" w:hanging="0"/>
              <w:jc w:val="center"/>
              <w:rPr/>
            </w:pPr>
            <w:r>
              <w:rP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t> </w:t>
            </w:r>
          </w:p>
        </w:tc>
        <w:tc>
          <w:tcPr>
            <w:tcW w:w="103" w:type="dxa"/>
            <w:tcBorders/>
            <w:shd w:fill="auto" w:val="clear"/>
          </w:tcPr>
          <w:p>
            <w:pPr>
              <w:pStyle w:val="TableContents"/>
              <w:spacing w:before="0" w:after="0"/>
              <w:ind w:left="0" w:right="0" w:hanging="0"/>
              <w:jc w:val="center"/>
              <w:rPr/>
            </w:pPr>
            <w:r>
              <w:rPr/>
              <w:t> </w:t>
            </w:r>
          </w:p>
        </w:tc>
        <w:tc>
          <w:tcPr>
            <w:tcW w:w="670" w:type="dxa"/>
            <w:tcBorders/>
            <w:shd w:fill="auto" w:val="clear"/>
          </w:tcPr>
          <w:p>
            <w:pPr>
              <w:pStyle w:val="TableContents"/>
              <w:spacing w:before="0" w:after="0"/>
              <w:ind w:left="0" w:right="0" w:hanging="0"/>
              <w:jc w:val="center"/>
              <w:rPr/>
            </w:pPr>
            <w:r>
              <w:rPr/>
              <w:t> </w:t>
            </w:r>
          </w:p>
        </w:tc>
        <w:tc>
          <w:tcPr>
            <w:tcW w:w="103" w:type="dxa"/>
            <w:tcBorders/>
            <w:shd w:fill="auto" w:val="clear"/>
          </w:tcPr>
          <w:p>
            <w:pPr>
              <w:pStyle w:val="TableContents"/>
              <w:spacing w:before="0" w:after="0"/>
              <w:ind w:left="0" w:right="0" w:hanging="0"/>
              <w:rPr/>
            </w:pPr>
            <w:r>
              <w:rPr/>
              <w:t> </w:t>
            </w:r>
          </w:p>
        </w:tc>
        <w:tc>
          <w:tcPr>
            <w:tcW w:w="283" w:type="dxa"/>
            <w:tcBorders/>
            <w:shd w:fill="auto" w:val="clear"/>
          </w:tcPr>
          <w:p>
            <w:pPr>
              <w:pStyle w:val="TableContents"/>
              <w:spacing w:before="0" w:after="0"/>
              <w:ind w:left="0" w:right="0" w:hanging="0"/>
              <w:rPr/>
            </w:pPr>
            <w:r>
              <w:rPr/>
              <w:t> </w:t>
            </w:r>
          </w:p>
        </w:tc>
        <w:tc>
          <w:tcPr>
            <w:tcW w:w="347" w:type="dxa"/>
            <w:tcBorders/>
            <w:shd w:fill="auto" w:val="clear"/>
          </w:tcPr>
          <w:p>
            <w:pPr>
              <w:pStyle w:val="TableContents"/>
              <w:spacing w:before="0" w:after="0"/>
              <w:ind w:left="0" w:right="0" w:hanging="0"/>
              <w:jc w:val="right"/>
              <w:rPr/>
            </w:pPr>
            <w:r>
              <w:rPr/>
              <w:t> </w:t>
            </w:r>
          </w:p>
        </w:tc>
        <w:tc>
          <w:tcPr>
            <w:tcW w:w="103" w:type="dxa"/>
            <w:tcBorders/>
            <w:shd w:fill="auto" w:val="clear"/>
          </w:tcPr>
          <w:p>
            <w:pPr>
              <w:pStyle w:val="TableContents"/>
              <w:spacing w:before="0" w:after="0"/>
              <w:ind w:left="0" w:right="0" w:hanging="0"/>
              <w:rPr/>
            </w:pPr>
            <w:r>
              <w:rPr/>
              <w:t> </w:t>
            </w:r>
          </w:p>
        </w:tc>
        <w:tc>
          <w:tcPr>
            <w:tcW w:w="779" w:type="dxa"/>
            <w:tcBorders/>
            <w:shd w:fill="auto" w:val="clear"/>
          </w:tcPr>
          <w:p>
            <w:pPr>
              <w:pStyle w:val="TableContents"/>
              <w:spacing w:before="0" w:after="0"/>
              <w:ind w:left="0" w:right="0" w:hanging="0"/>
              <w:jc w:val="center"/>
              <w:rPr/>
            </w:pPr>
            <w:r>
              <w:rPr/>
              <w:t> </w:t>
            </w:r>
          </w:p>
        </w:tc>
        <w:tc>
          <w:tcPr>
            <w:tcW w:w="103" w:type="dxa"/>
            <w:tcBorders/>
            <w:shd w:fill="auto" w:val="clear"/>
          </w:tcPr>
          <w:p>
            <w:pPr>
              <w:pStyle w:val="TableContents"/>
              <w:spacing w:before="0" w:after="0"/>
              <w:ind w:left="0" w:right="0" w:hanging="0"/>
              <w:rPr/>
            </w:pPr>
            <w:r>
              <w:rPr/>
              <w:t> </w:t>
            </w:r>
          </w:p>
        </w:tc>
        <w:tc>
          <w:tcPr>
            <w:tcW w:w="861"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pPr>
            <w:r>
              <w:rPr/>
              <w:t> </w:t>
            </w:r>
          </w:p>
        </w:tc>
        <w:tc>
          <w:tcPr>
            <w:tcW w:w="916" w:type="dxa"/>
            <w:tcBorders/>
            <w:shd w:fill="auto" w:val="clear"/>
          </w:tcPr>
          <w:p>
            <w:pPr>
              <w:pStyle w:val="TableContents"/>
              <w:spacing w:before="0" w:after="0"/>
              <w:ind w:left="0" w:right="0" w:hanging="0"/>
              <w:jc w:val="center"/>
              <w:rPr/>
            </w:pPr>
            <w:r>
              <w:rPr/>
              <w:t> </w:t>
            </w:r>
          </w:p>
        </w:tc>
        <w:tc>
          <w:tcPr>
            <w:tcW w:w="94" w:type="dxa"/>
            <w:tcBorders/>
            <w:shd w:fill="auto" w:val="clear"/>
          </w:tcPr>
          <w:p>
            <w:pPr>
              <w:pStyle w:val="TableContents"/>
              <w:spacing w:before="0" w:after="0"/>
              <w:ind w:left="0" w:right="0" w:hanging="0"/>
              <w:rPr/>
            </w:pPr>
            <w:r>
              <w:rPr/>
              <w:t> </w:t>
            </w:r>
          </w:p>
        </w:tc>
      </w:tr>
      <w:tr>
        <w:trPr/>
        <w:tc>
          <w:tcPr>
            <w:tcW w:w="1076"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Existing Owner/Seller</w:t>
            </w:r>
          </w:p>
        </w:tc>
        <w:tc>
          <w:tcPr>
            <w:tcW w:w="79" w:type="dxa"/>
            <w:tcBorders/>
            <w:shd w:fill="auto" w:val="clear"/>
            <w:vAlign w:val="bottom"/>
          </w:tcPr>
          <w:p>
            <w:pPr>
              <w:pStyle w:val="TableContents"/>
              <w:spacing w:before="0" w:after="0"/>
              <w:ind w:left="0" w:right="0" w:hanging="0"/>
              <w:jc w:val="center"/>
              <w:rPr/>
            </w:pPr>
            <w:r>
              <w:rPr/>
              <w:t> </w:t>
            </w:r>
          </w:p>
        </w:tc>
        <w:tc>
          <w:tcPr>
            <w:tcW w:w="80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Pre-Closing</w:t>
              <w:br/>
              <w:t>Percentage</w:t>
              <w:br/>
              <w:t>Ownership of</w:t>
              <w:br/>
              <w:t>AAP Units</w:t>
            </w:r>
          </w:p>
        </w:tc>
        <w:tc>
          <w:tcPr>
            <w:tcW w:w="166" w:type="dxa"/>
            <w:tcBorders/>
            <w:shd w:fill="auto" w:val="clear"/>
            <w:vAlign w:val="bottom"/>
          </w:tcPr>
          <w:p>
            <w:pPr>
              <w:pStyle w:val="TableContents"/>
              <w:spacing w:before="0" w:after="0"/>
              <w:ind w:left="0" w:right="0" w:hanging="0"/>
              <w:jc w:val="center"/>
              <w:rPr/>
            </w:pPr>
            <w:r>
              <w:rPr/>
              <w:t> </w:t>
            </w:r>
          </w:p>
        </w:tc>
        <w:tc>
          <w:tcPr>
            <w:tcW w:w="80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Pre-Closing</w:t>
              <w:br/>
              <w:t>Percentage</w:t>
              <w:br/>
              <w:t>Ownership of</w:t>
              <w:br/>
              <w:t>GP LLC</w:t>
            </w:r>
          </w:p>
        </w:tc>
        <w:tc>
          <w:tcPr>
            <w:tcW w:w="166" w:type="dxa"/>
            <w:tcBorders/>
            <w:shd w:fill="auto" w:val="clear"/>
            <w:vAlign w:val="bottom"/>
          </w:tcPr>
          <w:p>
            <w:pPr>
              <w:pStyle w:val="TableContents"/>
              <w:spacing w:before="0" w:after="0"/>
              <w:ind w:left="0" w:right="0" w:hanging="0"/>
              <w:jc w:val="center"/>
              <w:rPr/>
            </w:pPr>
            <w:r>
              <w:rPr/>
              <w:t> </w:t>
            </w:r>
          </w:p>
        </w:tc>
        <w:tc>
          <w:tcPr>
            <w:tcW w:w="67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GP Units</w:t>
              <w:br/>
              <w:t>Received</w:t>
            </w:r>
          </w:p>
        </w:tc>
        <w:tc>
          <w:tcPr>
            <w:tcW w:w="103" w:type="dxa"/>
            <w:tcBorders/>
            <w:shd w:fill="auto" w:val="clear"/>
            <w:vAlign w:val="bottom"/>
          </w:tcPr>
          <w:p>
            <w:pPr>
              <w:pStyle w:val="TableContents"/>
              <w:spacing w:before="0" w:after="0"/>
              <w:ind w:left="0" w:right="0" w:hanging="0"/>
              <w:jc w:val="center"/>
              <w:rPr/>
            </w:pPr>
            <w:r>
              <w:rPr/>
              <w:t> </w:t>
            </w:r>
          </w:p>
        </w:tc>
        <w:tc>
          <w:tcPr>
            <w:tcW w:w="8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AAP Units</w:t>
              <w:br/>
              <w:t>Contributed</w:t>
            </w:r>
          </w:p>
        </w:tc>
        <w:tc>
          <w:tcPr>
            <w:tcW w:w="103" w:type="dxa"/>
            <w:tcBorders/>
            <w:shd w:fill="auto" w:val="clear"/>
            <w:vAlign w:val="bottom"/>
          </w:tcPr>
          <w:p>
            <w:pPr>
              <w:pStyle w:val="TableContents"/>
              <w:spacing w:before="0" w:after="0"/>
              <w:ind w:left="0" w:right="0" w:hanging="0"/>
              <w:jc w:val="center"/>
              <w:rPr/>
            </w:pPr>
            <w:r>
              <w:rPr/>
              <w:t> </w:t>
            </w:r>
          </w:p>
        </w:tc>
        <w:tc>
          <w:tcPr>
            <w:tcW w:w="8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GP Units</w:t>
              <w:br/>
              <w:t>Contributed</w:t>
            </w:r>
          </w:p>
        </w:tc>
        <w:tc>
          <w:tcPr>
            <w:tcW w:w="103" w:type="dxa"/>
            <w:tcBorders/>
            <w:shd w:fill="auto" w:val="clear"/>
            <w:vAlign w:val="bottom"/>
          </w:tcPr>
          <w:p>
            <w:pPr>
              <w:pStyle w:val="TableContents"/>
              <w:spacing w:before="0" w:after="0"/>
              <w:ind w:left="0" w:right="0" w:hanging="0"/>
              <w:jc w:val="center"/>
              <w:rPr/>
            </w:pPr>
            <w:r>
              <w:rPr/>
              <w:t> </w:t>
            </w:r>
          </w:p>
        </w:tc>
        <w:tc>
          <w:tcPr>
            <w:tcW w:w="67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PAGP Class B</w:t>
              <w:br/>
              <w:t>Shares Received</w:t>
            </w:r>
          </w:p>
        </w:tc>
        <w:tc>
          <w:tcPr>
            <w:tcW w:w="103" w:type="dxa"/>
            <w:tcBorders/>
            <w:shd w:fill="auto" w:val="clear"/>
            <w:vAlign w:val="bottom"/>
          </w:tcPr>
          <w:p>
            <w:pPr>
              <w:pStyle w:val="TableContents"/>
              <w:spacing w:before="0" w:after="0"/>
              <w:ind w:left="0" w:right="0" w:hanging="0"/>
              <w:jc w:val="center"/>
              <w:rPr/>
            </w:pPr>
            <w:r>
              <w:rPr/>
              <w:t> </w:t>
            </w:r>
          </w:p>
        </w:tc>
        <w:tc>
          <w:tcPr>
            <w:tcW w:w="6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Cash</w:t>
              <w:br/>
              <w:t>Payment</w:t>
            </w:r>
          </w:p>
        </w:tc>
        <w:tc>
          <w:tcPr>
            <w:tcW w:w="103" w:type="dxa"/>
            <w:tcBorders/>
            <w:shd w:fill="auto" w:val="clear"/>
            <w:vAlign w:val="bottom"/>
          </w:tcPr>
          <w:p>
            <w:pPr>
              <w:pStyle w:val="TableContents"/>
              <w:spacing w:before="0" w:after="0"/>
              <w:ind w:left="0" w:right="0" w:hanging="0"/>
              <w:jc w:val="center"/>
              <w:rPr/>
            </w:pPr>
            <w:r>
              <w:rPr/>
              <w:t> </w:t>
            </w:r>
          </w:p>
        </w:tc>
        <w:tc>
          <w:tcPr>
            <w:tcW w:w="7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Resulting</w:t>
              <w:br/>
              <w:t>Ownership of</w:t>
              <w:br/>
              <w:t>AAP Units</w:t>
            </w:r>
          </w:p>
        </w:tc>
        <w:tc>
          <w:tcPr>
            <w:tcW w:w="103" w:type="dxa"/>
            <w:tcBorders/>
            <w:shd w:fill="auto" w:val="cle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Resulting</w:t>
              <w:br/>
              <w:t>Membership</w:t>
              <w:br/>
              <w:t>Interest in</w:t>
              <w:br/>
              <w:t>PAGP GP</w:t>
            </w:r>
          </w:p>
        </w:tc>
        <w:tc>
          <w:tcPr>
            <w:tcW w:w="166" w:type="dxa"/>
            <w:tcBorders/>
            <w:shd w:fill="auto" w:val="clear"/>
            <w:vAlign w:val="bottom"/>
          </w:tcPr>
          <w:p>
            <w:pPr>
              <w:pStyle w:val="TableContents"/>
              <w:spacing w:before="0" w:after="0"/>
              <w:ind w:left="0" w:right="0" w:hanging="0"/>
              <w:jc w:val="center"/>
              <w:rPr/>
            </w:pPr>
            <w:r>
              <w:rPr/>
              <w:t> </w:t>
            </w:r>
          </w:p>
        </w:tc>
        <w:tc>
          <w:tcPr>
            <w:tcW w:w="9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Participation</w:t>
              <w:br/>
              <w:t>in</w:t>
              <w:br/>
              <w:t>Redemption</w:t>
              <w:br/>
              <w:t>Following</w:t>
              <w:br/>
              <w:t>Exercise of</w:t>
              <w:br/>
              <w:t>Option(1)</w:t>
            </w:r>
          </w:p>
        </w:tc>
        <w:tc>
          <w:tcPr>
            <w:tcW w:w="94" w:type="dxa"/>
            <w:tcBorders/>
            <w:shd w:fill="auto" w:val="clear"/>
            <w:vAlign w:val="bottom"/>
          </w:tcPr>
          <w:p>
            <w:pPr>
              <w:pStyle w:val="TableContents"/>
              <w:spacing w:before="0" w:after="0"/>
              <w:ind w:left="0" w:right="0" w:hanging="0"/>
              <w:jc w:val="center"/>
              <w:rPr/>
            </w:pPr>
            <w:r>
              <w:rPr/>
              <w:t> </w:t>
            </w:r>
          </w:p>
        </w:tc>
      </w:tr>
      <w:tr>
        <w:trPr/>
        <w:tc>
          <w:tcPr>
            <w:tcW w:w="10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c>
          <w:tcPr>
            <w:tcW w:w="79" w:type="dxa"/>
            <w:tcBorders/>
            <w:shd w:fill="CCEEFF" w:val="clear"/>
          </w:tcPr>
          <w:p>
            <w:pPr>
              <w:pStyle w:val="TableContents"/>
              <w:spacing w:before="0" w:after="0"/>
              <w:ind w:left="0" w:right="0" w:hanging="0"/>
              <w:rPr/>
            </w:pPr>
            <w:r>
              <w:rPr/>
              <w:t> </w:t>
            </w:r>
          </w:p>
        </w:tc>
        <w:tc>
          <w:tcPr>
            <w:tcW w:w="809"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6" w:type="dxa"/>
            <w:tcBorders/>
            <w:shd w:fill="CCEEFF" w:val="clear"/>
          </w:tcPr>
          <w:p>
            <w:pPr>
              <w:pStyle w:val="TableContents"/>
              <w:spacing w:before="0" w:after="0"/>
              <w:ind w:left="0" w:right="0" w:hanging="0"/>
              <w:rPr/>
            </w:pPr>
            <w:r>
              <w:rPr/>
              <w:t> </w:t>
            </w:r>
          </w:p>
        </w:tc>
        <w:tc>
          <w:tcPr>
            <w:tcW w:w="809" w:type="dxa"/>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6" w:type="dxa"/>
            <w:tcBorders/>
            <w:shd w:fill="CCEEFF" w:val="clear"/>
          </w:tcPr>
          <w:p>
            <w:pPr>
              <w:pStyle w:val="TableContents"/>
              <w:spacing w:before="0" w:after="0"/>
              <w:ind w:left="0" w:right="0" w:hanging="0"/>
              <w:rPr/>
            </w:pPr>
            <w:r>
              <w:rPr/>
              <w:t> </w:t>
            </w:r>
          </w:p>
        </w:tc>
        <w:tc>
          <w:tcPr>
            <w:tcW w:w="67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103" w:type="dxa"/>
            <w:tcBorders/>
            <w:shd w:fill="CCEEFF" w:val="clear"/>
          </w:tcPr>
          <w:p>
            <w:pPr>
              <w:pStyle w:val="TableContents"/>
              <w:spacing w:before="0" w:after="0"/>
              <w:ind w:left="0" w:right="0" w:hanging="0"/>
              <w:jc w:val="center"/>
              <w:rPr/>
            </w:pPr>
            <w:r>
              <w:rPr/>
              <w:t> </w:t>
            </w:r>
          </w:p>
        </w:tc>
        <w:tc>
          <w:tcPr>
            <w:tcW w:w="67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103" w:type="dxa"/>
            <w:tcBorders/>
            <w:shd w:fill="CCEEFF" w:val="clear"/>
          </w:tcPr>
          <w:p>
            <w:pPr>
              <w:pStyle w:val="TableContents"/>
              <w:spacing w:before="0" w:after="0"/>
              <w:ind w:left="0" w:right="0" w:hanging="0"/>
              <w:rPr/>
            </w:pPr>
            <w:r>
              <w:rPr/>
              <w:t> </w:t>
            </w:r>
          </w:p>
        </w:tc>
        <w:tc>
          <w:tcPr>
            <w:tcW w:w="630" w:type="dxa"/>
            <w:gridSpan w:val="2"/>
            <w:tcBorders/>
            <w:shd w:fill="CCEEFF"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3" w:type="dxa"/>
            <w:tcBorders/>
            <w:shd w:fill="CCEEFF" w:val="clear"/>
          </w:tcPr>
          <w:p>
            <w:pPr>
              <w:pStyle w:val="TableContents"/>
              <w:spacing w:before="0" w:after="0"/>
              <w:ind w:left="0" w:right="0" w:hanging="0"/>
              <w:rPr/>
            </w:pPr>
            <w:r>
              <w:rPr/>
              <w:t> </w:t>
            </w:r>
          </w:p>
        </w:tc>
        <w:tc>
          <w:tcPr>
            <w:tcW w:w="779"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w:t>
            </w:r>
          </w:p>
        </w:tc>
        <w:tc>
          <w:tcPr>
            <w:tcW w:w="103" w:type="dxa"/>
            <w:tcBorders/>
            <w:shd w:fill="CCEEFF" w:val="clear"/>
          </w:tcPr>
          <w:p>
            <w:pPr>
              <w:pStyle w:val="TableContents"/>
              <w:spacing w:before="0" w:after="0"/>
              <w:ind w:left="0" w:right="0" w:hanging="0"/>
              <w:rPr/>
            </w:pPr>
            <w:r>
              <w:rPr/>
              <w:t> </w:t>
            </w:r>
          </w:p>
        </w:tc>
        <w:tc>
          <w:tcPr>
            <w:tcW w:w="861"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CCEEFF" w:val="clear"/>
          </w:tcPr>
          <w:p>
            <w:pPr>
              <w:pStyle w:val="TableContents"/>
              <w:spacing w:before="0" w:after="0"/>
              <w:ind w:left="0" w:right="0" w:hanging="0"/>
              <w:rPr/>
            </w:pPr>
            <w:r>
              <w:rPr/>
              <w:t> </w:t>
            </w:r>
          </w:p>
        </w:tc>
      </w:tr>
      <w:tr>
        <w:trPr/>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Oxy Holding Company (Pipeline), Inc.</w:t>
            </w:r>
          </w:p>
        </w:tc>
        <w:tc>
          <w:tcPr>
            <w:tcW w:w="79" w:type="dxa"/>
            <w:tcBorders/>
            <w:shd w:fill="auto" w:val="clear"/>
          </w:tcPr>
          <w:p>
            <w:pPr>
              <w:pStyle w:val="TableContents"/>
              <w:spacing w:before="0" w:after="0"/>
              <w:ind w:left="0" w:right="0" w:hanging="0"/>
              <w:rPr/>
            </w:pPr>
            <w:r>
              <w:rPr/>
              <w:t> </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auto" w:val="clear"/>
          </w:tcPr>
          <w:p>
            <w:pPr>
              <w:pStyle w:val="TableContents"/>
              <w:spacing w:before="0" w:after="0"/>
              <w:ind w:left="0" w:right="0" w:hanging="0"/>
              <w:rPr/>
            </w:pPr>
            <w:r>
              <w:rPr/>
              <w:t> </w:t>
            </w:r>
          </w:p>
        </w:tc>
        <w:tc>
          <w:tcPr>
            <w:tcW w:w="2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auto"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auto" w:val="clear"/>
          </w:tcPr>
          <w:p>
            <w:pPr>
              <w:pStyle w:val="TableContents"/>
              <w:spacing w:before="0" w:after="0"/>
              <w:ind w:left="0" w:right="0" w:hanging="0"/>
              <w:rPr/>
            </w:pPr>
            <w:r>
              <w:rPr/>
              <w:t> </w:t>
            </w:r>
          </w:p>
        </w:tc>
        <w:tc>
          <w:tcPr>
            <w:tcW w:w="779"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auto" w:val="clear"/>
          </w:tcPr>
          <w:p>
            <w:pPr>
              <w:pStyle w:val="TableContents"/>
              <w:spacing w:before="0" w:after="0"/>
              <w:ind w:left="0" w:right="0" w:hanging="0"/>
              <w:rPr/>
            </w:pPr>
            <w:r>
              <w:rPr/>
              <w:t> </w:t>
            </w:r>
          </w:p>
        </w:tc>
        <w:tc>
          <w:tcPr>
            <w:tcW w:w="861"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w:t>
            </w:r>
          </w:p>
        </w:tc>
        <w:tc>
          <w:tcPr>
            <w:tcW w:w="94" w:type="dxa"/>
            <w:tcBorders/>
            <w:shd w:fill="auto" w:val="clear"/>
          </w:tcPr>
          <w:p>
            <w:pPr>
              <w:pStyle w:val="TableContents"/>
              <w:spacing w:before="0" w:after="0"/>
              <w:ind w:left="0" w:right="0" w:hanging="0"/>
              <w:rPr/>
            </w:pPr>
            <w:r>
              <w:rPr/>
              <w:t> </w:t>
            </w:r>
          </w:p>
        </w:tc>
      </w:tr>
      <w:tr>
        <w:trPr/>
        <w:tc>
          <w:tcPr>
            <w:tcW w:w="10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EMG Investment, LLC</w:t>
            </w:r>
          </w:p>
        </w:tc>
        <w:tc>
          <w:tcPr>
            <w:tcW w:w="79" w:type="dxa"/>
            <w:tcBorders/>
            <w:shd w:fill="CCEEFF" w:val="clear"/>
          </w:tcPr>
          <w:p>
            <w:pPr>
              <w:pStyle w:val="TableContents"/>
              <w:spacing w:before="0" w:after="0"/>
              <w:ind w:left="0" w:right="0" w:hanging="0"/>
              <w:rPr/>
            </w:pPr>
            <w:r>
              <w:rPr/>
              <w:t> </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CCEEFF" w:val="clear"/>
          </w:tcPr>
          <w:p>
            <w:pPr>
              <w:pStyle w:val="TableContents"/>
              <w:spacing w:before="0" w:after="0"/>
              <w:ind w:left="0" w:right="0" w:hanging="0"/>
              <w:rPr/>
            </w:pPr>
            <w:r>
              <w:rPr/>
              <w:t> </w:t>
            </w:r>
          </w:p>
        </w:tc>
        <w:tc>
          <w:tcPr>
            <w:tcW w:w="2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CCEEFF"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CCEEFF" w:val="clear"/>
          </w:tcPr>
          <w:p>
            <w:pPr>
              <w:pStyle w:val="TableContents"/>
              <w:spacing w:before="0" w:after="0"/>
              <w:ind w:left="0" w:right="0" w:hanging="0"/>
              <w:rPr/>
            </w:pPr>
            <w:r>
              <w:rPr/>
              <w:t> </w:t>
            </w:r>
          </w:p>
        </w:tc>
        <w:tc>
          <w:tcPr>
            <w:tcW w:w="779"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CCEEFF" w:val="clear"/>
          </w:tcPr>
          <w:p>
            <w:pPr>
              <w:pStyle w:val="TableContents"/>
              <w:spacing w:before="0" w:after="0"/>
              <w:ind w:left="0" w:right="0" w:hanging="0"/>
              <w:rPr/>
            </w:pPr>
            <w:r>
              <w:rPr/>
              <w:t> </w:t>
            </w:r>
          </w:p>
        </w:tc>
        <w:tc>
          <w:tcPr>
            <w:tcW w:w="861"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CCEEFF" w:val="clear"/>
          </w:tcPr>
          <w:p>
            <w:pPr>
              <w:pStyle w:val="TableContents"/>
              <w:spacing w:before="0" w:after="0"/>
              <w:ind w:left="0" w:right="0" w:hanging="0"/>
              <w:rPr/>
            </w:pPr>
            <w:r>
              <w:rPr/>
              <w:t> </w:t>
            </w:r>
          </w:p>
        </w:tc>
      </w:tr>
      <w:tr>
        <w:trPr/>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EMG Seller 1</w:t>
            </w:r>
          </w:p>
        </w:tc>
        <w:tc>
          <w:tcPr>
            <w:tcW w:w="79" w:type="dxa"/>
            <w:tcBorders/>
            <w:shd w:fill="auto" w:val="clear"/>
          </w:tcPr>
          <w:p>
            <w:pPr>
              <w:pStyle w:val="TableContents"/>
              <w:spacing w:before="0" w:after="0"/>
              <w:ind w:left="0" w:right="0" w:hanging="0"/>
              <w:rPr/>
            </w:pPr>
            <w:r>
              <w:rPr/>
              <w:t> </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auto" w:val="clear"/>
          </w:tcPr>
          <w:p>
            <w:pPr>
              <w:pStyle w:val="TableContents"/>
              <w:spacing w:before="0" w:after="0"/>
              <w:ind w:left="0" w:right="0" w:hanging="0"/>
              <w:rPr/>
            </w:pPr>
            <w:r>
              <w:rPr/>
              <w:t> </w:t>
            </w:r>
          </w:p>
        </w:tc>
        <w:tc>
          <w:tcPr>
            <w:tcW w:w="2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auto"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auto" w:val="clear"/>
          </w:tcPr>
          <w:p>
            <w:pPr>
              <w:pStyle w:val="TableContents"/>
              <w:spacing w:before="0" w:after="0"/>
              <w:ind w:left="0" w:right="0" w:hanging="0"/>
              <w:rPr/>
            </w:pPr>
            <w:r>
              <w:rPr/>
              <w:t> </w:t>
            </w:r>
          </w:p>
        </w:tc>
        <w:tc>
          <w:tcPr>
            <w:tcW w:w="779"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auto" w:val="clear"/>
          </w:tcPr>
          <w:p>
            <w:pPr>
              <w:pStyle w:val="TableContents"/>
              <w:spacing w:before="0" w:after="0"/>
              <w:ind w:left="0" w:right="0" w:hanging="0"/>
              <w:rPr/>
            </w:pPr>
            <w:r>
              <w:rPr/>
              <w:t> </w:t>
            </w:r>
          </w:p>
        </w:tc>
        <w:tc>
          <w:tcPr>
            <w:tcW w:w="861"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auto" w:val="clear"/>
          </w:tcPr>
          <w:p>
            <w:pPr>
              <w:pStyle w:val="TableContents"/>
              <w:spacing w:before="0" w:after="0"/>
              <w:ind w:left="0" w:right="0" w:hanging="0"/>
              <w:rPr/>
            </w:pPr>
            <w:r>
              <w:rPr/>
              <w:t> </w:t>
            </w:r>
          </w:p>
        </w:tc>
      </w:tr>
      <w:tr>
        <w:trPr/>
        <w:tc>
          <w:tcPr>
            <w:tcW w:w="10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EMG Seller 2</w:t>
            </w:r>
          </w:p>
        </w:tc>
        <w:tc>
          <w:tcPr>
            <w:tcW w:w="79" w:type="dxa"/>
            <w:tcBorders/>
            <w:shd w:fill="CCEEFF" w:val="clear"/>
          </w:tcPr>
          <w:p>
            <w:pPr>
              <w:pStyle w:val="TableContents"/>
              <w:spacing w:before="0" w:after="0"/>
              <w:ind w:left="0" w:right="0" w:hanging="0"/>
              <w:rPr/>
            </w:pPr>
            <w:r>
              <w:rPr/>
              <w:t> </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CCEEFF" w:val="clear"/>
          </w:tcPr>
          <w:p>
            <w:pPr>
              <w:pStyle w:val="TableContents"/>
              <w:spacing w:before="0" w:after="0"/>
              <w:ind w:left="0" w:right="0" w:hanging="0"/>
              <w:rPr/>
            </w:pPr>
            <w:r>
              <w:rPr/>
              <w:t> </w:t>
            </w:r>
          </w:p>
        </w:tc>
        <w:tc>
          <w:tcPr>
            <w:tcW w:w="2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CCEEFF"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CCEEFF" w:val="clear"/>
          </w:tcPr>
          <w:p>
            <w:pPr>
              <w:pStyle w:val="TableContents"/>
              <w:spacing w:before="0" w:after="0"/>
              <w:ind w:left="0" w:right="0" w:hanging="0"/>
              <w:rPr/>
            </w:pPr>
            <w:r>
              <w:rPr/>
              <w:t> </w:t>
            </w:r>
          </w:p>
        </w:tc>
        <w:tc>
          <w:tcPr>
            <w:tcW w:w="779"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CCEEFF" w:val="clear"/>
          </w:tcPr>
          <w:p>
            <w:pPr>
              <w:pStyle w:val="TableContents"/>
              <w:spacing w:before="0" w:after="0"/>
              <w:ind w:left="0" w:right="0" w:hanging="0"/>
              <w:rPr/>
            </w:pPr>
            <w:r>
              <w:rPr/>
              <w:t> </w:t>
            </w:r>
          </w:p>
        </w:tc>
        <w:tc>
          <w:tcPr>
            <w:tcW w:w="861"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CCEEFF" w:val="clear"/>
          </w:tcPr>
          <w:p>
            <w:pPr>
              <w:pStyle w:val="TableContents"/>
              <w:spacing w:before="0" w:after="0"/>
              <w:ind w:left="0" w:right="0" w:hanging="0"/>
              <w:rPr/>
            </w:pPr>
            <w:r>
              <w:rPr/>
              <w:t> </w:t>
            </w:r>
          </w:p>
        </w:tc>
      </w:tr>
      <w:tr>
        <w:trPr/>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EMG Seller 3</w:t>
            </w:r>
          </w:p>
        </w:tc>
        <w:tc>
          <w:tcPr>
            <w:tcW w:w="79" w:type="dxa"/>
            <w:tcBorders/>
            <w:shd w:fill="auto" w:val="clear"/>
          </w:tcPr>
          <w:p>
            <w:pPr>
              <w:pStyle w:val="TableContents"/>
              <w:spacing w:before="0" w:after="0"/>
              <w:ind w:left="0" w:right="0" w:hanging="0"/>
              <w:rPr/>
            </w:pPr>
            <w:r>
              <w:rPr/>
              <w:t> </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auto" w:val="clear"/>
          </w:tcPr>
          <w:p>
            <w:pPr>
              <w:pStyle w:val="TableContents"/>
              <w:spacing w:before="0" w:after="0"/>
              <w:ind w:left="0" w:right="0" w:hanging="0"/>
              <w:rPr/>
            </w:pPr>
            <w:r>
              <w:rPr/>
              <w:t> </w:t>
            </w:r>
          </w:p>
        </w:tc>
        <w:tc>
          <w:tcPr>
            <w:tcW w:w="2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auto"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auto" w:val="clear"/>
          </w:tcPr>
          <w:p>
            <w:pPr>
              <w:pStyle w:val="TableContents"/>
              <w:spacing w:before="0" w:after="0"/>
              <w:ind w:left="0" w:right="0" w:hanging="0"/>
              <w:rPr/>
            </w:pPr>
            <w:r>
              <w:rPr/>
              <w:t> </w:t>
            </w:r>
          </w:p>
        </w:tc>
        <w:tc>
          <w:tcPr>
            <w:tcW w:w="779"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auto" w:val="clear"/>
          </w:tcPr>
          <w:p>
            <w:pPr>
              <w:pStyle w:val="TableContents"/>
              <w:spacing w:before="0" w:after="0"/>
              <w:ind w:left="0" w:right="0" w:hanging="0"/>
              <w:rPr/>
            </w:pPr>
            <w:r>
              <w:rPr/>
              <w:t> </w:t>
            </w:r>
          </w:p>
        </w:tc>
        <w:tc>
          <w:tcPr>
            <w:tcW w:w="861"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auto" w:val="clear"/>
          </w:tcPr>
          <w:p>
            <w:pPr>
              <w:pStyle w:val="TableContents"/>
              <w:spacing w:before="0" w:after="0"/>
              <w:ind w:left="0" w:right="0" w:hanging="0"/>
              <w:rPr/>
            </w:pPr>
            <w:r>
              <w:rPr/>
              <w:t> </w:t>
            </w:r>
          </w:p>
        </w:tc>
      </w:tr>
      <w:tr>
        <w:trPr/>
        <w:tc>
          <w:tcPr>
            <w:tcW w:w="10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EMG Seller 4</w:t>
            </w:r>
          </w:p>
        </w:tc>
        <w:tc>
          <w:tcPr>
            <w:tcW w:w="79" w:type="dxa"/>
            <w:tcBorders/>
            <w:shd w:fill="CCEEFF" w:val="clear"/>
          </w:tcPr>
          <w:p>
            <w:pPr>
              <w:pStyle w:val="TableContents"/>
              <w:spacing w:before="0" w:after="0"/>
              <w:ind w:left="0" w:right="0" w:hanging="0"/>
              <w:rPr/>
            </w:pPr>
            <w:r>
              <w:rPr/>
              <w:t> </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CCEEFF" w:val="clear"/>
          </w:tcPr>
          <w:p>
            <w:pPr>
              <w:pStyle w:val="TableContents"/>
              <w:spacing w:before="0" w:after="0"/>
              <w:ind w:left="0" w:right="0" w:hanging="0"/>
              <w:rPr/>
            </w:pPr>
            <w:r>
              <w:rPr/>
              <w:t> </w:t>
            </w:r>
          </w:p>
        </w:tc>
        <w:tc>
          <w:tcPr>
            <w:tcW w:w="2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CCEEFF"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CCEEFF" w:val="clear"/>
          </w:tcPr>
          <w:p>
            <w:pPr>
              <w:pStyle w:val="TableContents"/>
              <w:spacing w:before="0" w:after="0"/>
              <w:ind w:left="0" w:right="0" w:hanging="0"/>
              <w:rPr/>
            </w:pPr>
            <w:r>
              <w:rPr/>
              <w:t> </w:t>
            </w:r>
          </w:p>
        </w:tc>
        <w:tc>
          <w:tcPr>
            <w:tcW w:w="779"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CCEEFF" w:val="clear"/>
          </w:tcPr>
          <w:p>
            <w:pPr>
              <w:pStyle w:val="TableContents"/>
              <w:spacing w:before="0" w:after="0"/>
              <w:ind w:left="0" w:right="0" w:hanging="0"/>
              <w:rPr/>
            </w:pPr>
            <w:r>
              <w:rPr/>
              <w:t> </w:t>
            </w:r>
          </w:p>
        </w:tc>
        <w:tc>
          <w:tcPr>
            <w:tcW w:w="861"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CCEEFF" w:val="clear"/>
          </w:tcPr>
          <w:p>
            <w:pPr>
              <w:pStyle w:val="TableContents"/>
              <w:spacing w:before="0" w:after="0"/>
              <w:ind w:left="0" w:right="0" w:hanging="0"/>
              <w:rPr/>
            </w:pPr>
            <w:r>
              <w:rPr/>
              <w:t> </w:t>
            </w:r>
          </w:p>
        </w:tc>
      </w:tr>
      <w:tr>
        <w:trPr/>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EMG Seller 5</w:t>
            </w:r>
          </w:p>
        </w:tc>
        <w:tc>
          <w:tcPr>
            <w:tcW w:w="79" w:type="dxa"/>
            <w:tcBorders/>
            <w:shd w:fill="auto" w:val="clear"/>
          </w:tcPr>
          <w:p>
            <w:pPr>
              <w:pStyle w:val="TableContents"/>
              <w:spacing w:before="0" w:after="0"/>
              <w:ind w:left="0" w:right="0" w:hanging="0"/>
              <w:rPr/>
            </w:pPr>
            <w:r>
              <w:rPr/>
              <w:t> </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auto" w:val="clear"/>
          </w:tcPr>
          <w:p>
            <w:pPr>
              <w:pStyle w:val="TableContents"/>
              <w:spacing w:before="0" w:after="0"/>
              <w:ind w:left="0" w:right="0" w:hanging="0"/>
              <w:rPr/>
            </w:pPr>
            <w:r>
              <w:rPr/>
              <w:t> </w:t>
            </w:r>
          </w:p>
        </w:tc>
        <w:tc>
          <w:tcPr>
            <w:tcW w:w="2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auto"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auto" w:val="clear"/>
          </w:tcPr>
          <w:p>
            <w:pPr>
              <w:pStyle w:val="TableContents"/>
              <w:spacing w:before="0" w:after="0"/>
              <w:ind w:left="0" w:right="0" w:hanging="0"/>
              <w:rPr/>
            </w:pPr>
            <w:r>
              <w:rPr/>
              <w:t> </w:t>
            </w:r>
          </w:p>
        </w:tc>
        <w:tc>
          <w:tcPr>
            <w:tcW w:w="779"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auto" w:val="clear"/>
          </w:tcPr>
          <w:p>
            <w:pPr>
              <w:pStyle w:val="TableContents"/>
              <w:spacing w:before="0" w:after="0"/>
              <w:ind w:left="0" w:right="0" w:hanging="0"/>
              <w:rPr/>
            </w:pPr>
            <w:r>
              <w:rPr/>
              <w:t> </w:t>
            </w:r>
          </w:p>
        </w:tc>
        <w:tc>
          <w:tcPr>
            <w:tcW w:w="861"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auto" w:val="clear"/>
          </w:tcPr>
          <w:p>
            <w:pPr>
              <w:pStyle w:val="TableContents"/>
              <w:spacing w:before="0" w:after="0"/>
              <w:ind w:left="0" w:right="0" w:hanging="0"/>
              <w:rPr/>
            </w:pPr>
            <w:r>
              <w:rPr/>
              <w:t> </w:t>
            </w:r>
          </w:p>
        </w:tc>
      </w:tr>
      <w:tr>
        <w:trPr/>
        <w:tc>
          <w:tcPr>
            <w:tcW w:w="10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EMG Seller 6</w:t>
            </w:r>
          </w:p>
        </w:tc>
        <w:tc>
          <w:tcPr>
            <w:tcW w:w="79" w:type="dxa"/>
            <w:tcBorders/>
            <w:shd w:fill="CCEEFF" w:val="clear"/>
          </w:tcPr>
          <w:p>
            <w:pPr>
              <w:pStyle w:val="TableContents"/>
              <w:spacing w:before="0" w:after="0"/>
              <w:ind w:left="0" w:right="0" w:hanging="0"/>
              <w:rPr/>
            </w:pPr>
            <w:r>
              <w:rPr/>
              <w:t> </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CCEEFF" w:val="clear"/>
          </w:tcPr>
          <w:p>
            <w:pPr>
              <w:pStyle w:val="TableContents"/>
              <w:spacing w:before="0" w:after="0"/>
              <w:ind w:left="0" w:right="0" w:hanging="0"/>
              <w:rPr/>
            </w:pPr>
            <w:r>
              <w:rPr/>
              <w:t> </w:t>
            </w:r>
          </w:p>
        </w:tc>
        <w:tc>
          <w:tcPr>
            <w:tcW w:w="2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CCEEFF"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CCEEFF" w:val="clear"/>
          </w:tcPr>
          <w:p>
            <w:pPr>
              <w:pStyle w:val="TableContents"/>
              <w:spacing w:before="0" w:after="0"/>
              <w:ind w:left="0" w:right="0" w:hanging="0"/>
              <w:rPr/>
            </w:pPr>
            <w:r>
              <w:rPr/>
              <w:t> </w:t>
            </w:r>
          </w:p>
        </w:tc>
        <w:tc>
          <w:tcPr>
            <w:tcW w:w="779"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CCEEFF" w:val="clear"/>
          </w:tcPr>
          <w:p>
            <w:pPr>
              <w:pStyle w:val="TableContents"/>
              <w:spacing w:before="0" w:after="0"/>
              <w:ind w:left="0" w:right="0" w:hanging="0"/>
              <w:rPr/>
            </w:pPr>
            <w:r>
              <w:rPr/>
              <w:t> </w:t>
            </w:r>
          </w:p>
        </w:tc>
        <w:tc>
          <w:tcPr>
            <w:tcW w:w="861"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CCEEFF" w:val="clear"/>
          </w:tcPr>
          <w:p>
            <w:pPr>
              <w:pStyle w:val="TableContents"/>
              <w:spacing w:before="0" w:after="0"/>
              <w:ind w:left="0" w:right="0" w:hanging="0"/>
              <w:rPr/>
            </w:pPr>
            <w:r>
              <w:rPr/>
              <w:t> </w:t>
            </w:r>
          </w:p>
        </w:tc>
      </w:tr>
      <w:tr>
        <w:trPr/>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EMG Seller 7</w:t>
            </w:r>
          </w:p>
        </w:tc>
        <w:tc>
          <w:tcPr>
            <w:tcW w:w="79" w:type="dxa"/>
            <w:tcBorders/>
            <w:shd w:fill="auto" w:val="clear"/>
          </w:tcPr>
          <w:p>
            <w:pPr>
              <w:pStyle w:val="TableContents"/>
              <w:spacing w:before="0" w:after="0"/>
              <w:ind w:left="0" w:right="0" w:hanging="0"/>
              <w:rPr/>
            </w:pPr>
            <w:r>
              <w:rPr/>
              <w:t> </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auto" w:val="clear"/>
          </w:tcPr>
          <w:p>
            <w:pPr>
              <w:pStyle w:val="TableContents"/>
              <w:spacing w:before="0" w:after="0"/>
              <w:ind w:left="0" w:right="0" w:hanging="0"/>
              <w:rPr/>
            </w:pPr>
            <w:r>
              <w:rPr/>
              <w:t> </w:t>
            </w:r>
          </w:p>
        </w:tc>
        <w:tc>
          <w:tcPr>
            <w:tcW w:w="2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auto"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auto" w:val="clear"/>
          </w:tcPr>
          <w:p>
            <w:pPr>
              <w:pStyle w:val="TableContents"/>
              <w:spacing w:before="0" w:after="0"/>
              <w:ind w:left="0" w:right="0" w:hanging="0"/>
              <w:rPr/>
            </w:pPr>
            <w:r>
              <w:rPr/>
              <w:t> </w:t>
            </w:r>
          </w:p>
        </w:tc>
        <w:tc>
          <w:tcPr>
            <w:tcW w:w="779"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auto" w:val="clear"/>
          </w:tcPr>
          <w:p>
            <w:pPr>
              <w:pStyle w:val="TableContents"/>
              <w:spacing w:before="0" w:after="0"/>
              <w:ind w:left="0" w:right="0" w:hanging="0"/>
              <w:rPr/>
            </w:pPr>
            <w:r>
              <w:rPr/>
              <w:t> </w:t>
            </w:r>
          </w:p>
        </w:tc>
        <w:tc>
          <w:tcPr>
            <w:tcW w:w="861"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auto" w:val="clear"/>
          </w:tcPr>
          <w:p>
            <w:pPr>
              <w:pStyle w:val="TableContents"/>
              <w:spacing w:before="0" w:after="0"/>
              <w:ind w:left="0" w:right="0" w:hanging="0"/>
              <w:rPr/>
            </w:pPr>
            <w:r>
              <w:rPr/>
              <w:t> </w:t>
            </w:r>
          </w:p>
        </w:tc>
      </w:tr>
      <w:tr>
        <w:trPr/>
        <w:tc>
          <w:tcPr>
            <w:tcW w:w="10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EMG Seller 8</w:t>
            </w:r>
          </w:p>
        </w:tc>
        <w:tc>
          <w:tcPr>
            <w:tcW w:w="79" w:type="dxa"/>
            <w:tcBorders/>
            <w:shd w:fill="CCEEFF" w:val="clear"/>
          </w:tcPr>
          <w:p>
            <w:pPr>
              <w:pStyle w:val="TableContents"/>
              <w:spacing w:before="0" w:after="0"/>
              <w:ind w:left="0" w:right="0" w:hanging="0"/>
              <w:rPr/>
            </w:pPr>
            <w:r>
              <w:rPr/>
              <w:t> </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CCEEFF" w:val="clear"/>
          </w:tcPr>
          <w:p>
            <w:pPr>
              <w:pStyle w:val="TableContents"/>
              <w:spacing w:before="0" w:after="0"/>
              <w:ind w:left="0" w:right="0" w:hanging="0"/>
              <w:rPr/>
            </w:pPr>
            <w:r>
              <w:rPr/>
              <w:t> </w:t>
            </w:r>
          </w:p>
        </w:tc>
        <w:tc>
          <w:tcPr>
            <w:tcW w:w="2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CCEEFF"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CCEEFF" w:val="clear"/>
          </w:tcPr>
          <w:p>
            <w:pPr>
              <w:pStyle w:val="TableContents"/>
              <w:spacing w:before="0" w:after="0"/>
              <w:ind w:left="0" w:right="0" w:hanging="0"/>
              <w:rPr/>
            </w:pPr>
            <w:r>
              <w:rPr/>
              <w:t> </w:t>
            </w:r>
          </w:p>
        </w:tc>
        <w:tc>
          <w:tcPr>
            <w:tcW w:w="779"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CCEEFF" w:val="clear"/>
          </w:tcPr>
          <w:p>
            <w:pPr>
              <w:pStyle w:val="TableContents"/>
              <w:spacing w:before="0" w:after="0"/>
              <w:ind w:left="0" w:right="0" w:hanging="0"/>
              <w:rPr/>
            </w:pPr>
            <w:r>
              <w:rPr/>
              <w:t> </w:t>
            </w:r>
          </w:p>
        </w:tc>
        <w:tc>
          <w:tcPr>
            <w:tcW w:w="861"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CCEEFF" w:val="clear"/>
          </w:tcPr>
          <w:p>
            <w:pPr>
              <w:pStyle w:val="TableContents"/>
              <w:spacing w:before="0" w:after="0"/>
              <w:ind w:left="0" w:right="0" w:hanging="0"/>
              <w:rPr/>
            </w:pPr>
            <w:r>
              <w:rPr/>
              <w:t> </w:t>
            </w:r>
          </w:p>
        </w:tc>
      </w:tr>
      <w:tr>
        <w:trPr/>
        <w:tc>
          <w:tcPr>
            <w:tcW w:w="10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EMG Seller 9</w:t>
            </w:r>
          </w:p>
        </w:tc>
        <w:tc>
          <w:tcPr>
            <w:tcW w:w="79" w:type="dxa"/>
            <w:tcBorders/>
            <w:shd w:fill="auto" w:val="clear"/>
          </w:tcPr>
          <w:p>
            <w:pPr>
              <w:pStyle w:val="TableContents"/>
              <w:spacing w:before="0" w:after="0"/>
              <w:ind w:left="0" w:right="0" w:hanging="0"/>
              <w:rPr/>
            </w:pPr>
            <w:r>
              <w:rPr/>
              <w:t> </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auto" w:val="clear"/>
          </w:tcPr>
          <w:p>
            <w:pPr>
              <w:pStyle w:val="TableContents"/>
              <w:spacing w:before="0" w:after="0"/>
              <w:ind w:left="0" w:right="0" w:hanging="0"/>
              <w:jc w:val="center"/>
              <w:rPr/>
            </w:pPr>
            <w:r>
              <w:rPr/>
              <w:t> </w:t>
            </w:r>
          </w:p>
        </w:tc>
        <w:tc>
          <w:tcPr>
            <w:tcW w:w="848"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auto" w:val="clear"/>
          </w:tcPr>
          <w:p>
            <w:pPr>
              <w:pStyle w:val="TableContents"/>
              <w:spacing w:before="0" w:after="0"/>
              <w:ind w:left="0" w:right="0" w:hanging="0"/>
              <w:jc w:val="center"/>
              <w:rPr/>
            </w:pPr>
            <w:r>
              <w:rPr/>
              <w:t> </w:t>
            </w:r>
          </w:p>
        </w:tc>
        <w:tc>
          <w:tcPr>
            <w:tcW w:w="670"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auto" w:val="clear"/>
          </w:tcPr>
          <w:p>
            <w:pPr>
              <w:pStyle w:val="TableContents"/>
              <w:spacing w:before="0" w:after="0"/>
              <w:ind w:left="0" w:right="0" w:hanging="0"/>
              <w:rPr/>
            </w:pPr>
            <w:r>
              <w:rPr/>
              <w:t> </w:t>
            </w:r>
          </w:p>
        </w:tc>
        <w:tc>
          <w:tcPr>
            <w:tcW w:w="2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auto"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auto" w:val="clear"/>
          </w:tcPr>
          <w:p>
            <w:pPr>
              <w:pStyle w:val="TableContents"/>
              <w:spacing w:before="0" w:after="0"/>
              <w:ind w:left="0" w:right="0" w:hanging="0"/>
              <w:rPr/>
            </w:pPr>
            <w:r>
              <w:rPr/>
              <w:t> </w:t>
            </w:r>
          </w:p>
        </w:tc>
        <w:tc>
          <w:tcPr>
            <w:tcW w:w="779" w:type="dxa"/>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auto" w:val="clear"/>
          </w:tcPr>
          <w:p>
            <w:pPr>
              <w:pStyle w:val="TableContents"/>
              <w:spacing w:before="0" w:after="0"/>
              <w:ind w:left="0" w:right="0" w:hanging="0"/>
              <w:rPr/>
            </w:pPr>
            <w:r>
              <w:rPr/>
              <w:t> </w:t>
            </w:r>
          </w:p>
        </w:tc>
        <w:tc>
          <w:tcPr>
            <w:tcW w:w="861" w:type="dxa"/>
            <w:tcBorders/>
            <w:shd w:fill="auto" w:val="clear"/>
          </w:tcPr>
          <w:p>
            <w:pPr>
              <w:pStyle w:val="TableContents"/>
              <w:spacing w:before="0" w:after="0"/>
              <w:ind w:left="0" w:right="0" w:hanging="0"/>
              <w:jc w:val="right"/>
              <w:rPr/>
            </w:pPr>
            <w:r>
              <w:rPr/>
              <w:t> </w:t>
            </w:r>
          </w:p>
        </w:tc>
        <w:tc>
          <w:tcPr>
            <w:tcW w:w="1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auto" w:val="clear"/>
          </w:tcPr>
          <w:p>
            <w:pPr>
              <w:pStyle w:val="TableContents"/>
              <w:spacing w:before="0" w:after="0"/>
              <w:ind w:left="0" w:right="0" w:hanging="0"/>
              <w:rPr/>
            </w:pPr>
            <w:r>
              <w:rPr/>
              <w:t> </w:t>
            </w:r>
          </w:p>
        </w:tc>
      </w:tr>
      <w:tr>
        <w:trPr/>
        <w:tc>
          <w:tcPr>
            <w:tcW w:w="10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EMG Seller 10</w:t>
            </w:r>
          </w:p>
        </w:tc>
        <w:tc>
          <w:tcPr>
            <w:tcW w:w="79" w:type="dxa"/>
            <w:tcBorders/>
            <w:shd w:fill="CCEEFF" w:val="clear"/>
          </w:tcPr>
          <w:p>
            <w:pPr>
              <w:pStyle w:val="TableContents"/>
              <w:spacing w:before="0" w:after="0"/>
              <w:ind w:left="0" w:right="0" w:hanging="0"/>
              <w:rPr/>
            </w:pPr>
            <w:r>
              <w:rPr/>
              <w:t> </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09"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103" w:type="dxa"/>
            <w:tcBorders/>
            <w:shd w:fill="CCEEFF" w:val="clear"/>
          </w:tcPr>
          <w:p>
            <w:pPr>
              <w:pStyle w:val="TableContents"/>
              <w:spacing w:before="0" w:after="0"/>
              <w:ind w:left="0" w:right="0" w:hanging="0"/>
              <w:jc w:val="center"/>
              <w:rPr/>
            </w:pPr>
            <w:r>
              <w:rPr/>
              <w:t> </w:t>
            </w:r>
          </w:p>
        </w:tc>
        <w:tc>
          <w:tcPr>
            <w:tcW w:w="848"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103" w:type="dxa"/>
            <w:tcBorders/>
            <w:shd w:fill="CCEEFF" w:val="clear"/>
          </w:tcPr>
          <w:p>
            <w:pPr>
              <w:pStyle w:val="TableContents"/>
              <w:spacing w:before="0" w:after="0"/>
              <w:ind w:left="0" w:right="0" w:hanging="0"/>
              <w:jc w:val="center"/>
              <w:rPr/>
            </w:pPr>
            <w:r>
              <w:rPr/>
              <w:t> </w:t>
            </w:r>
          </w:p>
        </w:tc>
        <w:tc>
          <w:tcPr>
            <w:tcW w:w="670"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103" w:type="dxa"/>
            <w:tcBorders/>
            <w:shd w:fill="CCEEFF" w:val="clear"/>
          </w:tcPr>
          <w:p>
            <w:pPr>
              <w:pStyle w:val="TableContents"/>
              <w:spacing w:before="0" w:after="0"/>
              <w:ind w:left="0" w:right="0" w:hanging="0"/>
              <w:rPr/>
            </w:pPr>
            <w:r>
              <w:rPr/>
              <w:t> </w:t>
            </w:r>
          </w:p>
        </w:tc>
        <w:tc>
          <w:tcPr>
            <w:tcW w:w="28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7" w:type="dxa"/>
            <w:tcBorders/>
            <w:shd w:fill="CCEEFF"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103" w:type="dxa"/>
            <w:tcBorders/>
            <w:shd w:fill="CCEEFF" w:val="clear"/>
          </w:tcPr>
          <w:p>
            <w:pPr>
              <w:pStyle w:val="TableContents"/>
              <w:spacing w:before="0" w:after="0"/>
              <w:ind w:left="0" w:right="0" w:hanging="0"/>
              <w:rPr/>
            </w:pPr>
            <w:r>
              <w:rPr/>
              <w:t> </w:t>
            </w:r>
          </w:p>
        </w:tc>
        <w:tc>
          <w:tcPr>
            <w:tcW w:w="779" w:type="dxa"/>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103" w:type="dxa"/>
            <w:tcBorders/>
            <w:shd w:fill="CCEEFF" w:val="clear"/>
          </w:tcPr>
          <w:p>
            <w:pPr>
              <w:pStyle w:val="TableContents"/>
              <w:spacing w:before="0" w:after="0"/>
              <w:ind w:left="0" w:right="0" w:hanging="0"/>
              <w:rPr/>
            </w:pPr>
            <w:r>
              <w:rPr/>
              <w:t> </w:t>
            </w:r>
          </w:p>
        </w:tc>
        <w:tc>
          <w:tcPr>
            <w:tcW w:w="861" w:type="dxa"/>
            <w:tcBorders/>
            <w:shd w:fill="CCEEFF" w:val="clear"/>
          </w:tcPr>
          <w:p>
            <w:pPr>
              <w:pStyle w:val="TableContents"/>
              <w:spacing w:before="0" w:after="0"/>
              <w:ind w:left="0" w:right="0" w:hanging="0"/>
              <w:jc w:val="right"/>
              <w:rPr/>
            </w:pPr>
            <w:r>
              <w:rPr/>
              <w:t> </w:t>
            </w:r>
          </w:p>
        </w:tc>
        <w:tc>
          <w:tcPr>
            <w:tcW w:w="1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 w:type="dxa"/>
            <w:tcBorders/>
            <w:shd w:fill="CCEEFF"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1100"/>
        <w:gridCol w:w="68"/>
        <w:gridCol w:w="850"/>
        <w:gridCol w:w="160"/>
        <w:gridCol w:w="850"/>
        <w:gridCol w:w="160"/>
        <w:gridCol w:w="602"/>
        <w:gridCol w:w="80"/>
        <w:gridCol w:w="789"/>
        <w:gridCol w:w="79"/>
        <w:gridCol w:w="789"/>
        <w:gridCol w:w="80"/>
        <w:gridCol w:w="1020"/>
        <w:gridCol w:w="80"/>
        <w:gridCol w:w="284"/>
        <w:gridCol w:w="292"/>
        <w:gridCol w:w="80"/>
        <w:gridCol w:w="861"/>
        <w:gridCol w:w="80"/>
        <w:gridCol w:w="803"/>
        <w:gridCol w:w="159"/>
        <w:gridCol w:w="861"/>
        <w:gridCol w:w="78"/>
      </w:tblGrid>
      <w:tr>
        <w:trPr/>
        <w:tc>
          <w:tcPr>
            <w:tcW w:w="110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Existing Owner/Seller</w:t>
            </w:r>
          </w:p>
        </w:tc>
        <w:tc>
          <w:tcPr>
            <w:tcW w:w="68" w:type="dxa"/>
            <w:tcBorders/>
            <w:shd w:fill="auto" w:val="clear"/>
            <w:tcMar>
              <w:bottom w:w="0" w:type="dxa"/>
            </w:tcMar>
            <w:vAlign w:val="bottom"/>
          </w:tcPr>
          <w:p>
            <w:pPr>
              <w:pStyle w:val="TableContents"/>
              <w:spacing w:before="0" w:after="0"/>
              <w:ind w:left="0" w:right="0" w:hanging="0"/>
              <w:jc w:val="center"/>
              <w:rPr/>
            </w:pPr>
            <w:r>
              <w:rPr/>
              <w:t> </w:t>
            </w:r>
          </w:p>
        </w:tc>
        <w:tc>
          <w:tcPr>
            <w:tcW w:w="85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Pre-Closing</w:t>
              <w:br/>
              <w:t>Percentage</w:t>
              <w:br/>
              <w:t>Ownership of</w:t>
              <w:br/>
              <w:t>AAP Units</w:t>
            </w:r>
          </w:p>
        </w:tc>
        <w:tc>
          <w:tcPr>
            <w:tcW w:w="160" w:type="dxa"/>
            <w:tcBorders/>
            <w:shd w:fill="auto" w:val="clear"/>
            <w:tcMar>
              <w:bottom w:w="0" w:type="dxa"/>
            </w:tcMar>
            <w:vAlign w:val="bottom"/>
          </w:tcPr>
          <w:p>
            <w:pPr>
              <w:pStyle w:val="TableContents"/>
              <w:spacing w:before="0" w:after="0"/>
              <w:ind w:left="0" w:right="0" w:hanging="0"/>
              <w:jc w:val="center"/>
              <w:rPr/>
            </w:pPr>
            <w:r>
              <w:rPr/>
              <w:t> </w:t>
            </w:r>
          </w:p>
        </w:tc>
        <w:tc>
          <w:tcPr>
            <w:tcW w:w="85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Pre-Closing</w:t>
              <w:br/>
              <w:t>Percentage</w:t>
              <w:br/>
              <w:t>Ownership of</w:t>
              <w:br/>
              <w:t>GP LLC</w:t>
            </w:r>
          </w:p>
        </w:tc>
        <w:tc>
          <w:tcPr>
            <w:tcW w:w="160" w:type="dxa"/>
            <w:tcBorders/>
            <w:shd w:fill="auto" w:val="clear"/>
            <w:tcMar>
              <w:bottom w:w="0" w:type="dxa"/>
            </w:tcMar>
            <w:vAlign w:val="bottom"/>
          </w:tcPr>
          <w:p>
            <w:pPr>
              <w:pStyle w:val="TableContents"/>
              <w:spacing w:before="0" w:after="0"/>
              <w:ind w:left="0" w:right="0" w:hanging="0"/>
              <w:jc w:val="center"/>
              <w:rPr/>
            </w:pPr>
            <w:r>
              <w:rPr/>
              <w:t> </w:t>
            </w:r>
          </w:p>
        </w:tc>
        <w:tc>
          <w:tcPr>
            <w:tcW w:w="60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GP Units</w:t>
              <w:br/>
              <w:t>Received</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78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AAP Units</w:t>
              <w:br/>
              <w:t>Contributed</w:t>
            </w:r>
          </w:p>
        </w:tc>
        <w:tc>
          <w:tcPr>
            <w:tcW w:w="79" w:type="dxa"/>
            <w:tcBorders/>
            <w:shd w:fill="auto" w:val="clear"/>
            <w:tcMar>
              <w:bottom w:w="0" w:type="dxa"/>
            </w:tcMar>
            <w:vAlign w:val="bottom"/>
          </w:tcPr>
          <w:p>
            <w:pPr>
              <w:pStyle w:val="TableContents"/>
              <w:spacing w:before="0" w:after="0"/>
              <w:ind w:left="0" w:right="0" w:hanging="0"/>
              <w:jc w:val="center"/>
              <w:rPr/>
            </w:pPr>
            <w:r>
              <w:rPr/>
              <w:t> </w:t>
            </w:r>
          </w:p>
        </w:tc>
        <w:tc>
          <w:tcPr>
            <w:tcW w:w="78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GP Units</w:t>
              <w:br/>
              <w:t>Contributed</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102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PAGP Class B</w:t>
              <w:br/>
              <w:t>Shares Received</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57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Cash</w:t>
              <w:br/>
              <w:t>Payment</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Resulting</w:t>
              <w:br/>
              <w:t>Ownership of</w:t>
              <w:br/>
              <w:t>AAP Units</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8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Resulting</w:t>
              <w:br/>
              <w:t>Membership</w:t>
              <w:br/>
              <w:t>Interest in</w:t>
              <w:br/>
              <w:t>PAGP GP</w:t>
            </w:r>
          </w:p>
        </w:tc>
        <w:tc>
          <w:tcPr>
            <w:tcW w:w="159" w:type="dxa"/>
            <w:tcBorders/>
            <w:shd w:fill="auto" w:val="clear"/>
            <w:tcMar>
              <w:bottom w:w="0" w:type="dxa"/>
            </w:tcM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Participation</w:t>
              <w:br/>
              <w:t>in</w:t>
              <w:br/>
              <w:t>Redemption</w:t>
              <w:br/>
              <w:t>Following</w:t>
              <w:br/>
              <w:t>Exercise of</w:t>
              <w:br/>
              <w:t>Option(1)</w:t>
            </w:r>
          </w:p>
        </w:tc>
        <w:tc>
          <w:tcPr>
            <w:tcW w:w="78" w:type="dxa"/>
            <w:tcBorders/>
            <w:shd w:fill="auto" w:val="clear"/>
            <w:tcMar>
              <w:bottom w:w="0" w:type="dxa"/>
            </w:tcMar>
            <w:vAlign w:val="bottom"/>
          </w:tcPr>
          <w:p>
            <w:pPr>
              <w:pStyle w:val="TableContents"/>
              <w:spacing w:before="0" w:after="0"/>
              <w:ind w:left="0" w:right="0" w:hanging="0"/>
              <w:jc w:val="center"/>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Seller 11</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r>
          </w:p>
          <w:p>
            <w:pPr>
              <w:pStyle w:val="TableContents"/>
              <w:spacing w:before="0" w:after="0"/>
              <w:ind w:left="0" w:right="0" w:hanging="0"/>
              <w:jc w:val="center"/>
              <w:rPr>
                <w:rFonts w:ascii="Times New Roman" w:hAnsi="Times New Roman"/>
                <w:sz w:val="17"/>
              </w:rPr>
            </w:pPr>
            <w:r>
              <w:rPr>
                <w:rFonts w:ascii="Times New Roman" w:hAnsi="Times New Roman"/>
                <w:sz w:val="17"/>
              </w:rP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top w:val="single" w:sz="8" w:space="0" w:color="000000"/>
            </w:tcBorders>
            <w:shd w:fill="CCEEFF" w:val="clear"/>
            <w:tcMar>
              <w:top w:w="28" w:type="dxa"/>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Seller 12</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Seller 13</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Seller 14</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Seller 15</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Seller 16</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Seller 17</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Seller 18</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r>
          </w:p>
          <w:p>
            <w:pPr>
              <w:pStyle w:val="TableContents"/>
              <w:spacing w:before="0" w:after="0"/>
              <w:ind w:left="0" w:right="0" w:hanging="0"/>
              <w:jc w:val="center"/>
              <w:rPr>
                <w:rFonts w:ascii="Times New Roman" w:hAnsi="Times New Roman"/>
                <w:sz w:val="17"/>
              </w:rPr>
            </w:pPr>
            <w:r>
              <w:rPr>
                <w:rFonts w:ascii="Times New Roman" w:hAnsi="Times New Roman"/>
                <w:sz w:val="17"/>
              </w:rP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EMG Seller 19</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KAFU Holdings, L.P.</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 First Reserve XII, LLC</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KAFU Holdings II, L.P.</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MLP Investment Company</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Energy Development Company</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Kayne Anderson Midstream/ Energy Fund, Inc.</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Class B </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w:t>
              <w:br/>
              <w:t>Units (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100"/>
        <w:gridCol w:w="68"/>
        <w:gridCol w:w="850"/>
        <w:gridCol w:w="160"/>
        <w:gridCol w:w="850"/>
        <w:gridCol w:w="160"/>
        <w:gridCol w:w="602"/>
        <w:gridCol w:w="80"/>
        <w:gridCol w:w="789"/>
        <w:gridCol w:w="79"/>
        <w:gridCol w:w="789"/>
        <w:gridCol w:w="80"/>
        <w:gridCol w:w="1020"/>
        <w:gridCol w:w="80"/>
        <w:gridCol w:w="284"/>
        <w:gridCol w:w="292"/>
        <w:gridCol w:w="80"/>
        <w:gridCol w:w="861"/>
        <w:gridCol w:w="80"/>
        <w:gridCol w:w="803"/>
        <w:gridCol w:w="159"/>
        <w:gridCol w:w="861"/>
        <w:gridCol w:w="78"/>
      </w:tblGrid>
      <w:tr>
        <w:trPr/>
        <w:tc>
          <w:tcPr>
            <w:tcW w:w="1100"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Existing Owner/Seller</w:t>
            </w:r>
          </w:p>
        </w:tc>
        <w:tc>
          <w:tcPr>
            <w:tcW w:w="68" w:type="dxa"/>
            <w:tcBorders/>
            <w:shd w:fill="auto" w:val="clear"/>
            <w:tcMar>
              <w:bottom w:w="0" w:type="dxa"/>
            </w:tcMar>
            <w:vAlign w:val="bottom"/>
          </w:tcPr>
          <w:p>
            <w:pPr>
              <w:pStyle w:val="TableContents"/>
              <w:spacing w:before="0" w:after="0"/>
              <w:ind w:left="0" w:right="0" w:hanging="0"/>
              <w:jc w:val="center"/>
              <w:rPr/>
            </w:pPr>
            <w:r>
              <w:rPr/>
              <w:t> </w:t>
            </w:r>
          </w:p>
        </w:tc>
        <w:tc>
          <w:tcPr>
            <w:tcW w:w="85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Pre-Closing</w:t>
              <w:br/>
              <w:t>Percentage</w:t>
              <w:br/>
              <w:t>Ownership of</w:t>
              <w:br/>
              <w:t>AAP Units</w:t>
            </w:r>
          </w:p>
        </w:tc>
        <w:tc>
          <w:tcPr>
            <w:tcW w:w="160" w:type="dxa"/>
            <w:tcBorders/>
            <w:shd w:fill="auto" w:val="clear"/>
            <w:tcMar>
              <w:bottom w:w="0" w:type="dxa"/>
            </w:tcMar>
            <w:vAlign w:val="bottom"/>
          </w:tcPr>
          <w:p>
            <w:pPr>
              <w:pStyle w:val="TableContents"/>
              <w:spacing w:before="0" w:after="0"/>
              <w:ind w:left="0" w:right="0" w:hanging="0"/>
              <w:jc w:val="center"/>
              <w:rPr/>
            </w:pPr>
            <w:r>
              <w:rPr/>
              <w:t> </w:t>
            </w:r>
          </w:p>
        </w:tc>
        <w:tc>
          <w:tcPr>
            <w:tcW w:w="85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Pre-Closing</w:t>
              <w:br/>
              <w:t>Percentage</w:t>
              <w:br/>
              <w:t>Ownership of</w:t>
              <w:br/>
              <w:t>GP LLC</w:t>
            </w:r>
          </w:p>
        </w:tc>
        <w:tc>
          <w:tcPr>
            <w:tcW w:w="160" w:type="dxa"/>
            <w:tcBorders/>
            <w:shd w:fill="auto" w:val="clear"/>
            <w:tcMar>
              <w:bottom w:w="0" w:type="dxa"/>
            </w:tcMar>
            <w:vAlign w:val="bottom"/>
          </w:tcPr>
          <w:p>
            <w:pPr>
              <w:pStyle w:val="TableContents"/>
              <w:spacing w:before="0" w:after="0"/>
              <w:ind w:left="0" w:right="0" w:hanging="0"/>
              <w:jc w:val="center"/>
              <w:rPr/>
            </w:pPr>
            <w:r>
              <w:rPr/>
              <w:t> </w:t>
            </w:r>
          </w:p>
        </w:tc>
        <w:tc>
          <w:tcPr>
            <w:tcW w:w="60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GP Units</w:t>
              <w:br/>
              <w:t>Received</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78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AAP Units</w:t>
              <w:br/>
              <w:t>Contributed</w:t>
            </w:r>
          </w:p>
        </w:tc>
        <w:tc>
          <w:tcPr>
            <w:tcW w:w="79" w:type="dxa"/>
            <w:tcBorders/>
            <w:shd w:fill="auto" w:val="clear"/>
            <w:tcMar>
              <w:bottom w:w="0" w:type="dxa"/>
            </w:tcMar>
            <w:vAlign w:val="bottom"/>
          </w:tcPr>
          <w:p>
            <w:pPr>
              <w:pStyle w:val="TableContents"/>
              <w:spacing w:before="0" w:after="0"/>
              <w:ind w:left="0" w:right="0" w:hanging="0"/>
              <w:jc w:val="center"/>
              <w:rPr/>
            </w:pPr>
            <w:r>
              <w:rPr/>
              <w:t> </w:t>
            </w:r>
          </w:p>
        </w:tc>
        <w:tc>
          <w:tcPr>
            <w:tcW w:w="78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GP Units</w:t>
              <w:br/>
              <w:t>Contributed</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102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PAGP Class B</w:t>
              <w:br/>
              <w:t>Shares Received</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576"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Cash</w:t>
              <w:br/>
              <w:t>Payment</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Resulting</w:t>
              <w:br/>
              <w:t>Ownership of</w:t>
              <w:br/>
              <w:t>AAP Units</w:t>
            </w:r>
          </w:p>
        </w:tc>
        <w:tc>
          <w:tcPr>
            <w:tcW w:w="80" w:type="dxa"/>
            <w:tcBorders/>
            <w:shd w:fill="auto" w:val="clear"/>
            <w:tcMar>
              <w:bottom w:w="0" w:type="dxa"/>
            </w:tcMar>
            <w:vAlign w:val="bottom"/>
          </w:tcPr>
          <w:p>
            <w:pPr>
              <w:pStyle w:val="TableContents"/>
              <w:spacing w:before="0" w:after="0"/>
              <w:ind w:left="0" w:right="0" w:hanging="0"/>
              <w:jc w:val="center"/>
              <w:rPr/>
            </w:pPr>
            <w:r>
              <w:rPr/>
              <w:t> </w:t>
            </w:r>
          </w:p>
        </w:tc>
        <w:tc>
          <w:tcPr>
            <w:tcW w:w="8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Resulting</w:t>
              <w:br/>
              <w:t>Membership</w:t>
              <w:br/>
              <w:t>Interest in</w:t>
              <w:br/>
              <w:t>PAGP GP</w:t>
            </w:r>
          </w:p>
        </w:tc>
        <w:tc>
          <w:tcPr>
            <w:tcW w:w="159" w:type="dxa"/>
            <w:tcBorders/>
            <w:shd w:fill="auto" w:val="clear"/>
            <w:tcMar>
              <w:bottom w:w="0" w:type="dxa"/>
            </w:tcMar>
            <w:vAlign w:val="bottom"/>
          </w:tcPr>
          <w:p>
            <w:pPr>
              <w:pStyle w:val="TableContents"/>
              <w:spacing w:before="0" w:after="0"/>
              <w:ind w:left="0" w:right="0" w:hanging="0"/>
              <w:jc w:val="center"/>
              <w:rPr/>
            </w:pPr>
            <w:r>
              <w:rPr/>
              <w:t> </w:t>
            </w:r>
          </w:p>
        </w:tc>
        <w:tc>
          <w:tcPr>
            <w:tcW w:w="86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Participation</w:t>
              <w:br/>
              <w:t>in</w:t>
              <w:br/>
              <w:t>Redemption</w:t>
              <w:br/>
              <w:t>Following</w:t>
              <w:br/>
              <w:t>Exercise of</w:t>
              <w:br/>
              <w:t>Option(1)</w:t>
            </w:r>
          </w:p>
        </w:tc>
        <w:tc>
          <w:tcPr>
            <w:tcW w:w="78" w:type="dxa"/>
            <w:tcBorders/>
            <w:shd w:fill="auto" w:val="clear"/>
            <w:tcMar>
              <w:bottom w:w="0" w:type="dxa"/>
            </w:tcMar>
            <w:vAlign w:val="bottom"/>
          </w:tcPr>
          <w:p>
            <w:pPr>
              <w:pStyle w:val="TableContents"/>
              <w:spacing w:before="0" w:after="0"/>
              <w:ind w:left="0" w:right="0" w:hanging="0"/>
              <w:jc w:val="center"/>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Management, L.P.</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top w:val="single" w:sz="8" w:space="0" w:color="000000"/>
            </w:tcBorders>
            <w:shd w:fill="CCEEFF" w:val="clear"/>
            <w:tcMar>
              <w:top w:w="28" w:type="dxa"/>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Mark E. Strome Living Trust</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Strome PAA, L.P.</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Windy, L.L.C.</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Lynx Holdings I, LLC</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Jay M. Chernosky</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Kipp PAA Trust</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Paul N. Riddle</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Russell T. Clingman</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CCEEFF" w:val="clear"/>
            <w:tcMar>
              <w:bottom w:w="0" w:type="dxa"/>
            </w:tcM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CCEEFF"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shd w:fill="CCEEFF"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shd w:fill="CCEEFF" w:val="clear"/>
            <w:tcMar>
              <w:bottom w:w="0" w:type="dxa"/>
            </w:tcM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David E. Humphreys</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shd w:fill="auto" w:val="clear"/>
            <w:tcMar>
              <w:bottom w:w="0" w:type="dxa"/>
            </w:tcMar>
          </w:tcPr>
          <w:p>
            <w:pPr>
              <w:pStyle w:val="TableContents"/>
              <w:spacing w:before="0" w:after="0"/>
              <w:ind w:left="0" w:right="0" w:hanging="0"/>
              <w:jc w:val="right"/>
              <w:rPr/>
            </w:pPr>
            <w:r>
              <w:rPr/>
              <w:t> </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shd w:fill="auto" w:val="clear"/>
            <w:tcMar>
              <w:bottom w:w="0" w:type="dxa"/>
            </w:tcM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shd w:fill="auto" w:val="clear"/>
            <w:tcMar>
              <w:bottom w:w="0" w:type="dxa"/>
            </w:tcM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shd w:fill="auto" w:val="clear"/>
            <w:tcMar>
              <w:bottom w:w="0" w:type="dxa"/>
            </w:tcMar>
          </w:tcPr>
          <w:p>
            <w:pPr>
              <w:pStyle w:val="TableContents"/>
              <w:spacing w:before="0" w:after="0"/>
              <w:ind w:left="0" w:right="0" w:hanging="0"/>
              <w:jc w:val="right"/>
              <w:rPr/>
            </w:pPr>
            <w:r>
              <w:rPr/>
              <w:t> </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auto" w:val="clear"/>
            <w:tcMar>
              <w:bottom w:w="0" w:type="dxa"/>
            </w:tcMar>
          </w:tcPr>
          <w:p>
            <w:pPr>
              <w:pStyle w:val="TableContents"/>
              <w:spacing w:before="0" w:after="0"/>
              <w:ind w:left="0" w:right="0" w:hanging="0"/>
              <w:rPr/>
            </w:pPr>
            <w:r>
              <w:rPr/>
              <w:t> </w:t>
            </w:r>
          </w:p>
        </w:tc>
      </w:tr>
      <w:tr>
        <w:trPr/>
        <w:tc>
          <w:tcPr>
            <w:tcW w:w="110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Phillip J. Trinder</w:t>
            </w:r>
            <w:r>
              <w:rPr>
                <w:rFonts w:ascii="Times New Roman" w:hAnsi="Times New Roman"/>
                <w:sz w:val="17"/>
                <w:u w:val="single"/>
              </w:rPr>
              <w:t xml:space="preserve"> </w:t>
            </w:r>
          </w:p>
        </w:tc>
        <w:tc>
          <w:tcPr>
            <w:tcW w:w="68" w:type="dxa"/>
            <w:tcBorders/>
            <w:shd w:fill="CCEEFF" w:val="clear"/>
            <w:tcMar>
              <w:bottom w:w="0" w:type="dxa"/>
            </w:tcMar>
          </w:tcPr>
          <w:p>
            <w:pPr>
              <w:pStyle w:val="TableContents"/>
              <w:spacing w:before="0" w:after="0"/>
              <w:ind w:left="0" w:right="0" w:hanging="0"/>
              <w:rPr/>
            </w:pPr>
            <w:r>
              <w:rPr/>
              <w:t> </w:t>
            </w:r>
          </w:p>
        </w:tc>
        <w:tc>
          <w:tcPr>
            <w:tcW w:w="850" w:type="dxa"/>
            <w:tcBorders>
              <w:bottom w:val="single" w:sz="8" w:space="0" w:color="000000"/>
            </w:tcBorders>
            <w:shd w:fill="CCEEFF" w:val="cle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bottom w:val="single" w:sz="8" w:space="0" w:color="000000"/>
            </w:tcBorders>
            <w:shd w:fill="CCEEFF" w:val="clear"/>
          </w:tcPr>
          <w:p>
            <w:pPr>
              <w:pStyle w:val="TableContents"/>
              <w:spacing w:before="0" w:after="0"/>
              <w:ind w:left="0" w:right="0" w:hanging="0"/>
              <w:jc w:val="right"/>
              <w:rPr/>
            </w:pPr>
            <w:r>
              <w:rPr/>
              <w:t> </w:t>
            </w:r>
          </w:p>
        </w:tc>
        <w:tc>
          <w:tcPr>
            <w:tcW w:w="16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bottom w:val="single" w:sz="8" w:space="0" w:color="000000"/>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789" w:type="dxa"/>
            <w:tcBorders>
              <w:bottom w:val="single" w:sz="8" w:space="0" w:color="000000"/>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CCEEFF" w:val="clear"/>
            <w:tcMar>
              <w:bottom w:w="0" w:type="dxa"/>
            </w:tcMar>
          </w:tcPr>
          <w:p>
            <w:pPr>
              <w:pStyle w:val="TableContents"/>
              <w:spacing w:before="0" w:after="0"/>
              <w:ind w:left="0" w:right="0" w:hanging="0"/>
              <w:jc w:val="center"/>
              <w:rPr/>
            </w:pPr>
            <w:r>
              <w:rPr/>
              <w:t> </w:t>
            </w:r>
          </w:p>
        </w:tc>
        <w:tc>
          <w:tcPr>
            <w:tcW w:w="789" w:type="dxa"/>
            <w:tcBorders>
              <w:bottom w:val="single" w:sz="8" w:space="0" w:color="000000"/>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CCEEFF" w:val="clear"/>
            <w:tcMar>
              <w:bottom w:w="0" w:type="dxa"/>
            </w:tcMar>
          </w:tcPr>
          <w:p>
            <w:pPr>
              <w:pStyle w:val="TableContents"/>
              <w:spacing w:before="0" w:after="0"/>
              <w:ind w:left="0" w:right="0" w:hanging="0"/>
              <w:jc w:val="center"/>
              <w:rPr/>
            </w:pPr>
            <w:r>
              <w:rPr/>
              <w:t> </w:t>
            </w:r>
          </w:p>
        </w:tc>
        <w:tc>
          <w:tcPr>
            <w:tcW w:w="1020" w:type="dxa"/>
            <w:tcBorders>
              <w:bottom w:val="single" w:sz="8" w:space="0" w:color="000000"/>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    %)</w:t>
            </w:r>
          </w:p>
        </w:tc>
        <w:tc>
          <w:tcPr>
            <w:tcW w:w="80" w:type="dxa"/>
            <w:tcBorders/>
            <w:shd w:fill="CCEEFF" w:val="clear"/>
            <w:tcMar>
              <w:bottom w:w="0" w:type="dxa"/>
            </w:tcMar>
          </w:tcPr>
          <w:p>
            <w:pPr>
              <w:pStyle w:val="TableContents"/>
              <w:spacing w:before="0" w:after="0"/>
              <w:ind w:left="0" w:right="0" w:hanging="0"/>
              <w:rPr/>
            </w:pPr>
            <w:r>
              <w:rPr/>
              <w:t> </w:t>
            </w:r>
          </w:p>
        </w:tc>
        <w:tc>
          <w:tcPr>
            <w:tcW w:w="284" w:type="dxa"/>
            <w:tcBorders>
              <w:bottom w:val="single" w:sz="8" w:space="0" w:color="000000"/>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bottom w:val="single" w:sz="8" w:space="0" w:color="000000"/>
            </w:tcBorders>
            <w:shd w:fill="CCEEFF"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CCEEFF" w:val="clear"/>
            <w:tcMar>
              <w:bottom w:w="0" w:type="dxa"/>
            </w:tcMar>
          </w:tcPr>
          <w:p>
            <w:pPr>
              <w:pStyle w:val="TableContents"/>
              <w:spacing w:before="0" w:after="0"/>
              <w:ind w:left="0" w:right="0" w:hanging="0"/>
              <w:rPr/>
            </w:pPr>
            <w:r>
              <w:rPr/>
              <w:t> </w:t>
            </w:r>
          </w:p>
        </w:tc>
        <w:tc>
          <w:tcPr>
            <w:tcW w:w="861" w:type="dxa"/>
            <w:tcBorders>
              <w:bottom w:val="single" w:sz="8" w:space="0" w:color="000000"/>
            </w:tcBorders>
            <w:shd w:fill="CCEEFF"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80" w:type="dxa"/>
            <w:tcBorders/>
            <w:shd w:fill="CCEEFF" w:val="clear"/>
            <w:tcMar>
              <w:bottom w:w="0" w:type="dxa"/>
            </w:tcMar>
          </w:tcPr>
          <w:p>
            <w:pPr>
              <w:pStyle w:val="TableContents"/>
              <w:spacing w:before="0" w:after="0"/>
              <w:ind w:left="0" w:right="0" w:hanging="0"/>
              <w:rPr/>
            </w:pPr>
            <w:r>
              <w:rPr/>
              <w:t> </w:t>
            </w:r>
          </w:p>
        </w:tc>
        <w:tc>
          <w:tcPr>
            <w:tcW w:w="803" w:type="dxa"/>
            <w:tcBorders>
              <w:bottom w:val="single" w:sz="8" w:space="0" w:color="000000"/>
            </w:tcBorders>
            <w:shd w:fill="CCEEFF" w:val="clear"/>
          </w:tcPr>
          <w:p>
            <w:pPr>
              <w:pStyle w:val="TableContents"/>
              <w:spacing w:before="0" w:after="0"/>
              <w:ind w:left="0" w:right="0" w:hanging="0"/>
              <w:jc w:val="right"/>
              <w:rPr/>
            </w:pPr>
            <w:r>
              <w:rPr/>
              <w:t> </w:t>
            </w:r>
          </w:p>
        </w:tc>
        <w:tc>
          <w:tcPr>
            <w:tcW w:w="15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bottom w:val="single" w:sz="8" w:space="0" w:color="000000"/>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78" w:type="dxa"/>
            <w:tcBorders/>
            <w:shd w:fill="CCEEFF" w:val="clear"/>
            <w:tcMar>
              <w:bottom w:w="0" w:type="dxa"/>
            </w:tcMar>
          </w:tcPr>
          <w:p>
            <w:pPr>
              <w:pStyle w:val="TableContents"/>
              <w:spacing w:before="0" w:after="0"/>
              <w:ind w:left="0" w:right="0" w:hanging="0"/>
              <w:rPr/>
            </w:pPr>
            <w:r>
              <w:rPr/>
              <w:t> </w:t>
            </w:r>
          </w:p>
        </w:tc>
      </w:tr>
      <w:tr>
        <w:trPr/>
        <w:tc>
          <w:tcPr>
            <w:tcW w:w="110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68" w:type="dxa"/>
            <w:tcBorders/>
            <w:shd w:fill="auto" w:val="clear"/>
            <w:tcMar>
              <w:bottom w:w="0" w:type="dxa"/>
            </w:tcMar>
          </w:tcPr>
          <w:p>
            <w:pPr>
              <w:pStyle w:val="TableContents"/>
              <w:spacing w:before="0" w:after="0"/>
              <w:ind w:left="0" w:right="0" w:hanging="0"/>
              <w:rPr/>
            </w:pPr>
            <w:r>
              <w:rPr/>
              <w:t> </w:t>
            </w:r>
          </w:p>
        </w:tc>
        <w:tc>
          <w:tcPr>
            <w:tcW w:w="850" w:type="dxa"/>
            <w:tcBorders>
              <w:bottom w:val="double" w:sz="6" w:space="0" w:color="000000"/>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0" w:type="dxa"/>
            <w:tcBorders>
              <w:bottom w:val="double" w:sz="6" w:space="0" w:color="000000"/>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6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2" w:type="dxa"/>
            <w:tcBorders>
              <w:bottom w:val="double" w:sz="6" w:space="0" w:color="000000"/>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789" w:type="dxa"/>
            <w:tcBorders>
              <w:bottom w:val="double" w:sz="6" w:space="0" w:color="000000"/>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    %)</w:t>
            </w:r>
          </w:p>
        </w:tc>
        <w:tc>
          <w:tcPr>
            <w:tcW w:w="79" w:type="dxa"/>
            <w:tcBorders/>
            <w:shd w:fill="auto" w:val="clear"/>
            <w:tcMar>
              <w:bottom w:w="0" w:type="dxa"/>
            </w:tcMar>
          </w:tcPr>
          <w:p>
            <w:pPr>
              <w:pStyle w:val="TableContents"/>
              <w:spacing w:before="0" w:after="0"/>
              <w:ind w:left="0" w:right="0" w:hanging="0"/>
              <w:jc w:val="center"/>
              <w:rPr/>
            </w:pPr>
            <w:r>
              <w:rPr/>
              <w:t> </w:t>
            </w:r>
          </w:p>
        </w:tc>
        <w:tc>
          <w:tcPr>
            <w:tcW w:w="789" w:type="dxa"/>
            <w:tcBorders>
              <w:bottom w:val="double" w:sz="6" w:space="0" w:color="000000"/>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GP Units </w:t>
              <w:br/>
              <w:t>(    %)</w:t>
            </w:r>
          </w:p>
        </w:tc>
        <w:tc>
          <w:tcPr>
            <w:tcW w:w="80" w:type="dxa"/>
            <w:tcBorders/>
            <w:shd w:fill="auto" w:val="clear"/>
            <w:tcMar>
              <w:bottom w:w="0" w:type="dxa"/>
            </w:tcMar>
          </w:tcPr>
          <w:p>
            <w:pPr>
              <w:pStyle w:val="TableContents"/>
              <w:spacing w:before="0" w:after="0"/>
              <w:ind w:left="0" w:right="0" w:hanging="0"/>
              <w:jc w:val="center"/>
              <w:rPr/>
            </w:pPr>
            <w:r>
              <w:rPr/>
              <w:t> </w:t>
            </w:r>
          </w:p>
        </w:tc>
        <w:tc>
          <w:tcPr>
            <w:tcW w:w="1020" w:type="dxa"/>
            <w:tcBorders>
              <w:bottom w:val="double" w:sz="6" w:space="0" w:color="000000"/>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Class B</w:t>
              <w:br/>
              <w:t>Shares (100%)</w:t>
            </w:r>
          </w:p>
        </w:tc>
        <w:tc>
          <w:tcPr>
            <w:tcW w:w="80" w:type="dxa"/>
            <w:tcBorders/>
            <w:shd w:fill="auto" w:val="clear"/>
            <w:tcMar>
              <w:bottom w:w="0" w:type="dxa"/>
            </w:tcMar>
          </w:tcPr>
          <w:p>
            <w:pPr>
              <w:pStyle w:val="TableContents"/>
              <w:spacing w:before="0" w:after="0"/>
              <w:ind w:left="0" w:right="0" w:hanging="0"/>
              <w:rPr/>
            </w:pPr>
            <w:r>
              <w:rPr/>
              <w:t> </w:t>
            </w:r>
          </w:p>
        </w:tc>
        <w:tc>
          <w:tcPr>
            <w:tcW w:w="284" w:type="dxa"/>
            <w:tcBorders>
              <w:bottom w:val="double" w:sz="6"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92" w:type="dxa"/>
            <w:tcBorders>
              <w:bottom w:val="double" w:sz="6" w:space="0" w:color="000000"/>
            </w:tcBorders>
            <w:shd w:fill="auto" w:val="clear"/>
          </w:tcPr>
          <w:p>
            <w:pPr>
              <w:pStyle w:val="TableContents"/>
              <w:spacing w:before="0" w:after="0"/>
              <w:ind w:left="0" w:right="0" w:hanging="0"/>
              <w:jc w:val="right"/>
              <w:rPr/>
            </w:pPr>
            <w:r>
              <w:rPr>
                <w:rFonts w:ascii="Times New Roman" w:hAnsi="Times New Roman"/>
                <w:sz w:val="17"/>
              </w:rPr>
              <w:t>[</w:t>
            </w:r>
            <w:r>
              <w:rPr>
                <w:rFonts w:ascii="Symbol" w:hAnsi="Symbol"/>
                <w:sz w:val="17"/>
              </w:rPr>
              <w:t>·</w:t>
            </w:r>
            <w:r>
              <w:rPr>
                <w:sz w:val="17"/>
              </w:rPr>
              <w:t>]</w:t>
            </w:r>
          </w:p>
        </w:tc>
        <w:tc>
          <w:tcPr>
            <w:tcW w:w="80" w:type="dxa"/>
            <w:tcBorders/>
            <w:shd w:fill="auto" w:val="clear"/>
            <w:tcMar>
              <w:bottom w:w="0" w:type="dxa"/>
            </w:tcMar>
          </w:tcPr>
          <w:p>
            <w:pPr>
              <w:pStyle w:val="TableContents"/>
              <w:spacing w:before="0" w:after="0"/>
              <w:ind w:left="0" w:right="0" w:hanging="0"/>
              <w:rPr/>
            </w:pPr>
            <w:r>
              <w:rPr/>
              <w:t> </w:t>
            </w:r>
          </w:p>
        </w:tc>
        <w:tc>
          <w:tcPr>
            <w:tcW w:w="861" w:type="dxa"/>
            <w:tcBorders>
              <w:bottom w:val="double" w:sz="6" w:space="0" w:color="000000"/>
            </w:tcBorders>
            <w:shd w:fill="auto" w:val="clear"/>
          </w:tcPr>
          <w:p>
            <w:pPr>
              <w:pStyle w:val="TableContents"/>
              <w:spacing w:before="0" w:after="0"/>
              <w:ind w:left="0" w:right="0" w:hanging="0"/>
              <w:jc w:val="center"/>
              <w:rPr/>
            </w:pPr>
            <w:r>
              <w:rPr>
                <w:rFonts w:ascii="Times New Roman" w:hAnsi="Times New Roman"/>
                <w:b/>
                <w:sz w:val="17"/>
              </w:rPr>
              <w:t>[</w:t>
            </w:r>
            <w:r>
              <w:rPr>
                <w:rFonts w:ascii="Symbol" w:hAnsi="Symbol"/>
                <w:sz w:val="17"/>
              </w:rPr>
              <w:t>·</w:t>
            </w:r>
            <w:r>
              <w:rPr>
                <w:b/>
                <w:sz w:val="17"/>
              </w:rPr>
              <w:t xml:space="preserve">] </w:t>
            </w:r>
            <w:r>
              <w:rPr>
                <w:sz w:val="17"/>
              </w:rPr>
              <w:t xml:space="preserve">AAP Units </w:t>
              <w:br/>
              <w:t>(100%)</w:t>
            </w:r>
          </w:p>
        </w:tc>
        <w:tc>
          <w:tcPr>
            <w:tcW w:w="80" w:type="dxa"/>
            <w:tcBorders/>
            <w:shd w:fill="auto" w:val="clear"/>
            <w:tcMar>
              <w:bottom w:w="0" w:type="dxa"/>
            </w:tcMar>
          </w:tcPr>
          <w:p>
            <w:pPr>
              <w:pStyle w:val="TableContents"/>
              <w:spacing w:before="0" w:after="0"/>
              <w:ind w:left="0" w:right="0" w:hanging="0"/>
              <w:rPr/>
            </w:pPr>
            <w:r>
              <w:rPr/>
              <w:t> </w:t>
            </w:r>
          </w:p>
        </w:tc>
        <w:tc>
          <w:tcPr>
            <w:tcW w:w="803" w:type="dxa"/>
            <w:tcBorders>
              <w:bottom w:val="double" w:sz="6" w:space="0" w:color="000000"/>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5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1" w:type="dxa"/>
            <w:tcBorders>
              <w:bottom w:val="double" w:sz="6" w:space="0" w:color="000000"/>
            </w:tcBorders>
            <w:shd w:fill="auto" w:val="clear"/>
          </w:tcPr>
          <w:p>
            <w:pPr>
              <w:pStyle w:val="TableContents"/>
              <w:spacing w:before="0" w:after="0"/>
              <w:ind w:left="0" w:right="0" w:hanging="0"/>
              <w:jc w:val="center"/>
              <w:rPr/>
            </w:pPr>
            <w:r>
              <w:rPr>
                <w:rFonts w:ascii="Times New Roman" w:hAnsi="Times New Roman"/>
                <w:sz w:val="17"/>
              </w:rPr>
              <w:t>[</w:t>
            </w:r>
            <w:r>
              <w:rPr>
                <w:rFonts w:ascii="Symbol" w:hAnsi="Symbol"/>
                <w:sz w:val="17"/>
              </w:rPr>
              <w:t>·</w:t>
            </w:r>
            <w:r>
              <w:rPr>
                <w:sz w:val="17"/>
              </w:rPr>
              <w:t>] Class B</w:t>
              <w:br/>
              <w:t>Shares</w:t>
            </w:r>
          </w:p>
        </w:tc>
        <w:tc>
          <w:tcPr>
            <w:tcW w:w="78"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Presentation assumes full exercise of Option by the Underwriters.</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B</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NON-FOREIGN STATUS (INDIVIDUAL)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Section 1445 of the Internal Revenue Code provides that a transferee of a United States real property interest must withhold tax if the transferor is a foreign person.  To inform the transferee, Plains GP Holdings, L.P. (</w:t>
      </w:r>
      <w:r>
        <w:rPr>
          <w:rFonts w:ascii="Times New Roman" w:hAnsi="Times New Roman"/>
          <w:b/>
          <w:i/>
          <w:sz w:val="17"/>
        </w:rPr>
        <w:t>Transferee</w:t>
      </w:r>
      <w:r>
        <w:rPr>
          <w:rFonts w:ascii="Times New Roman" w:hAnsi="Times New Roman"/>
          <w:sz w:val="17"/>
        </w:rPr>
        <w:t>), that withholding of tax is not required upon my disposition of a United States real property interest, I,                                           , hereby certify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am not a nonresident alien for purposes of U.S. federal income taxation;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My U.S. taxpayer identifying number is       -    -        ;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My home address is: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understand that this Certification may be disclosed to the Internal Revenue Service by Transferee and that any false statement I have made herein could be punished by fine, imprisonment, or both.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penalties of perjury I declare that I have examined this Certification and to the best of my knowledge and belief it is true, correct and complete.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72"/>
        <w:gridCol w:w="516"/>
        <w:gridCol w:w="585"/>
        <w:gridCol w:w="3932"/>
      </w:tblGrid>
      <w:tr>
        <w:trPr/>
        <w:tc>
          <w:tcPr>
            <w:tcW w:w="5172" w:type="dxa"/>
            <w:tcBorders/>
            <w:shd w:fill="auto" w:val="clear"/>
          </w:tcPr>
          <w:p>
            <w:pPr>
              <w:pStyle w:val="TableContents"/>
              <w:spacing w:before="0" w:after="0"/>
              <w:ind w:left="0" w:right="0" w:hanging="0"/>
              <w:rPr/>
            </w:pPr>
            <w:r>
              <w:rPr/>
              <w:t> </w:t>
            </w:r>
          </w:p>
        </w:tc>
        <w:tc>
          <w:tcPr>
            <w:tcW w:w="5033" w:type="dxa"/>
            <w:gridSpan w:val="3"/>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72" w:type="dxa"/>
            <w:tcBorders/>
            <w:shd w:fill="auto" w:val="clear"/>
          </w:tcPr>
          <w:p>
            <w:pPr>
              <w:pStyle w:val="TableContents"/>
              <w:spacing w:before="0" w:after="0"/>
              <w:ind w:left="0" w:right="0" w:hanging="0"/>
              <w:rPr/>
            </w:pPr>
            <w:r>
              <w:rPr/>
              <w:t> </w:t>
            </w:r>
          </w:p>
        </w:tc>
        <w:tc>
          <w:tcPr>
            <w:tcW w:w="5033"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Signature</w:t>
            </w:r>
          </w:p>
        </w:tc>
      </w:tr>
      <w:tr>
        <w:trPr/>
        <w:tc>
          <w:tcPr>
            <w:tcW w:w="5172" w:type="dxa"/>
            <w:tcBorders/>
            <w:shd w:fill="auto" w:val="clear"/>
          </w:tcPr>
          <w:p>
            <w:pPr>
              <w:pStyle w:val="TableContents"/>
              <w:spacing w:before="0" w:after="0"/>
              <w:ind w:left="0" w:right="0" w:hanging="0"/>
              <w:rPr/>
            </w:pPr>
            <w:r>
              <w:rPr/>
              <w:t> </w:t>
            </w:r>
          </w:p>
        </w:tc>
        <w:tc>
          <w:tcPr>
            <w:tcW w:w="5033" w:type="dxa"/>
            <w:gridSpan w:val="3"/>
            <w:tcBorders/>
            <w:shd w:fill="auto" w:val="clear"/>
          </w:tcPr>
          <w:p>
            <w:pPr>
              <w:pStyle w:val="TableContents"/>
              <w:spacing w:before="0" w:after="0"/>
              <w:ind w:left="0" w:right="0" w:hanging="0"/>
              <w:rPr/>
            </w:pPr>
            <w:r>
              <w:rPr/>
              <w:t> </w:t>
            </w:r>
          </w:p>
        </w:tc>
      </w:tr>
      <w:tr>
        <w:trPr/>
        <w:tc>
          <w:tcPr>
            <w:tcW w:w="5172" w:type="dxa"/>
            <w:tcBorders/>
            <w:shd w:fill="auto" w:val="clear"/>
          </w:tcPr>
          <w:p>
            <w:pPr>
              <w:pStyle w:val="TableContents"/>
              <w:spacing w:before="0" w:after="0"/>
              <w:ind w:left="0" w:right="0" w:hanging="0"/>
              <w:rPr/>
            </w:pPr>
            <w:r>
              <w:rPr/>
              <w:t> </w:t>
            </w:r>
          </w:p>
        </w:tc>
        <w:tc>
          <w:tcPr>
            <w:tcW w:w="110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Printed Name:</w:t>
            </w:r>
          </w:p>
        </w:tc>
        <w:tc>
          <w:tcPr>
            <w:tcW w:w="3932"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72" w:type="dxa"/>
            <w:tcBorders/>
            <w:shd w:fill="auto" w:val="clear"/>
          </w:tcPr>
          <w:p>
            <w:pPr>
              <w:pStyle w:val="TableContents"/>
              <w:spacing w:before="0" w:after="0"/>
              <w:ind w:left="0" w:right="0" w:hanging="0"/>
              <w:rPr/>
            </w:pPr>
            <w:r>
              <w:rPr/>
              <w:t> </w:t>
            </w:r>
          </w:p>
        </w:tc>
        <w:tc>
          <w:tcPr>
            <w:tcW w:w="5033" w:type="dxa"/>
            <w:gridSpan w:val="3"/>
            <w:tcBorders/>
            <w:shd w:fill="auto" w:val="clear"/>
          </w:tcPr>
          <w:p>
            <w:pPr>
              <w:pStyle w:val="TableContents"/>
              <w:spacing w:before="0" w:after="0"/>
              <w:ind w:left="0" w:right="0" w:hanging="0"/>
              <w:rPr/>
            </w:pPr>
            <w:r>
              <w:rPr/>
              <w:t> </w:t>
            </w:r>
          </w:p>
        </w:tc>
      </w:tr>
      <w:tr>
        <w:trPr/>
        <w:tc>
          <w:tcPr>
            <w:tcW w:w="5172"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w:t>
            </w:r>
          </w:p>
        </w:tc>
        <w:tc>
          <w:tcPr>
            <w:tcW w:w="4517"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172"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393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 NON-FOREIGN STATUS (ENTITY)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Section 1445 of the Internal Revenue Code provides that a transferee of a United States real property interest must withhold tax if the transferor is a foreign person. For U.S. federal income tax purposes (including Section 1445), the owner of a disregarded entity (which has legal title to a United States real property interest under local law) will be the transferor of the property and not the disregarded entity.  To inform the transferee, Plains GP Holdings, L.P. (</w:t>
      </w:r>
      <w:r>
        <w:rPr>
          <w:rFonts w:ascii="Times New Roman" w:hAnsi="Times New Roman"/>
          <w:b/>
          <w:i/>
          <w:sz w:val="17"/>
        </w:rPr>
        <w:t>Transferee</w:t>
      </w:r>
      <w:r>
        <w:rPr>
          <w:rFonts w:ascii="Times New Roman" w:hAnsi="Times New Roman"/>
          <w:sz w:val="17"/>
        </w:rPr>
        <w:t>), that withholding of tax is not required upon the disposition of a United States real property interest by                                            (</w:t>
      </w:r>
      <w:r>
        <w:rPr>
          <w:rFonts w:ascii="Times New Roman" w:hAnsi="Times New Roman"/>
          <w:b/>
          <w:i/>
          <w:sz w:val="17"/>
        </w:rPr>
        <w:t>Transferor</w:t>
      </w:r>
      <w:r>
        <w:rPr>
          <w:rFonts w:ascii="Times New Roman" w:hAnsi="Times New Roman"/>
          <w:sz w:val="17"/>
        </w:rPr>
        <w:t>), the undersigned hereby certifies the following on behalf of Transferor: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Transferor is not a foreign corporation, foreign partnership, foreign trust or foreign estate (as those terms are defined in the Internal Revenue Code and Income Tax Regulations);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Transferor is not a disregarded entity as defined in Section 1.1445-2(b)(2)(iii) of the Income Tax Regulations;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Transferors U.S. employer identification number is     </w:t>
      </w:r>
      <w:r>
        <w:rPr>
          <w:rFonts w:ascii="Times New Roman" w:hAnsi="Times New Roman"/>
          <w:b/>
          <w:sz w:val="17"/>
        </w:rPr>
        <w:t>-              </w:t>
      </w:r>
      <w:r>
        <w:rPr>
          <w:rFonts w:ascii="Times New Roman" w:hAnsi="Times New Roman"/>
          <w:sz w:val="17"/>
        </w:rPr>
        <w:t>;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Transferors office address is: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Transferor understands that this Certification may be disclosed to the Internal Revenue Service by Transferee and that any false statement contained herein could be punished by fine, imprisonment or both.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Under penalties of perjury, I declare that I have examined this Certification and to the best of my knowledge and belief it is true, correct and complete, and I further declare that I have authority to sign this document on behalf of Transferor.</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19"/>
        <w:gridCol w:w="313"/>
        <w:gridCol w:w="105"/>
        <w:gridCol w:w="105"/>
        <w:gridCol w:w="495"/>
        <w:gridCol w:w="3968"/>
      </w:tblGrid>
      <w:tr>
        <w:trPr/>
        <w:tc>
          <w:tcPr>
            <w:tcW w:w="5219" w:type="dxa"/>
            <w:tcBorders/>
            <w:shd w:fill="auto" w:val="clear"/>
          </w:tcPr>
          <w:p>
            <w:pPr>
              <w:pStyle w:val="TableContents"/>
              <w:spacing w:before="0" w:after="0"/>
              <w:ind w:left="0" w:right="0" w:hanging="0"/>
              <w:rPr/>
            </w:pPr>
            <w:r>
              <w:rPr/>
              <w:t> </w:t>
            </w:r>
          </w:p>
        </w:tc>
        <w:tc>
          <w:tcPr>
            <w:tcW w:w="523"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63"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219" w:type="dxa"/>
            <w:tcBorders/>
            <w:shd w:fill="auto" w:val="clear"/>
          </w:tcPr>
          <w:p>
            <w:pPr>
              <w:pStyle w:val="TableContents"/>
              <w:spacing w:before="0" w:after="0"/>
              <w:ind w:left="0" w:right="0" w:hanging="0"/>
              <w:rPr/>
            </w:pPr>
            <w:r>
              <w:rPr/>
              <w:t> </w:t>
            </w:r>
          </w:p>
        </w:tc>
        <w:tc>
          <w:tcPr>
            <w:tcW w:w="4986" w:type="dxa"/>
            <w:gridSpan w:val="5"/>
            <w:tcBorders/>
            <w:shd w:fill="auto" w:val="clear"/>
          </w:tcPr>
          <w:p>
            <w:pPr>
              <w:pStyle w:val="TableContents"/>
              <w:spacing w:before="0" w:after="0"/>
              <w:ind w:left="0" w:right="0" w:hanging="0"/>
              <w:rPr/>
            </w:pPr>
            <w:r>
              <w:rPr/>
              <w:t> </w:t>
            </w:r>
          </w:p>
        </w:tc>
      </w:tr>
      <w:tr>
        <w:trPr/>
        <w:tc>
          <w:tcPr>
            <w:tcW w:w="5219" w:type="dxa"/>
            <w:tcBorders/>
            <w:shd w:fill="auto" w:val="clear"/>
          </w:tcPr>
          <w:p>
            <w:pPr>
              <w:pStyle w:val="TableContents"/>
              <w:spacing w:before="0" w:after="0"/>
              <w:ind w:left="0" w:right="0" w:hanging="0"/>
              <w:rPr/>
            </w:pPr>
            <w:r>
              <w:rPr/>
              <w:t> </w:t>
            </w:r>
          </w:p>
        </w:tc>
        <w:tc>
          <w:tcPr>
            <w:tcW w:w="3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73" w:type="dxa"/>
            <w:gridSpan w:val="4"/>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219" w:type="dxa"/>
            <w:tcBorders/>
            <w:shd w:fill="auto" w:val="clear"/>
          </w:tcPr>
          <w:p>
            <w:pPr>
              <w:pStyle w:val="TableContents"/>
              <w:spacing w:before="0" w:after="0"/>
              <w:ind w:left="0" w:right="0" w:hanging="0"/>
              <w:rPr/>
            </w:pPr>
            <w:r>
              <w:rPr/>
              <w:t> </w:t>
            </w:r>
          </w:p>
        </w:tc>
        <w:tc>
          <w:tcPr>
            <w:tcW w:w="4986" w:type="dxa"/>
            <w:gridSpan w:val="5"/>
            <w:tcBorders/>
            <w:shd w:fill="auto" w:val="clear"/>
          </w:tcPr>
          <w:p>
            <w:pPr>
              <w:pStyle w:val="TableContents"/>
              <w:spacing w:before="0" w:after="0"/>
              <w:ind w:left="0" w:right="0" w:hanging="0"/>
              <w:rPr/>
            </w:pPr>
            <w:r>
              <w:rPr/>
              <w:t> </w:t>
            </w:r>
          </w:p>
        </w:tc>
      </w:tr>
      <w:tr>
        <w:trPr/>
        <w:tc>
          <w:tcPr>
            <w:tcW w:w="5219" w:type="dxa"/>
            <w:tcBorders/>
            <w:shd w:fill="auto" w:val="clear"/>
          </w:tcPr>
          <w:p>
            <w:pPr>
              <w:pStyle w:val="TableContents"/>
              <w:spacing w:before="0" w:after="0"/>
              <w:ind w:left="0" w:right="0" w:hanging="0"/>
              <w:rPr/>
            </w:pPr>
            <w:r>
              <w:rPr/>
              <w:t> </w:t>
            </w:r>
          </w:p>
        </w:tc>
        <w:tc>
          <w:tcPr>
            <w:tcW w:w="1018" w:type="dxa"/>
            <w:gridSpan w:val="4"/>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Printed Name:</w:t>
            </w:r>
          </w:p>
        </w:tc>
        <w:tc>
          <w:tcPr>
            <w:tcW w:w="3968"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219" w:type="dxa"/>
            <w:tcBorders/>
            <w:shd w:fill="auto" w:val="clear"/>
          </w:tcPr>
          <w:p>
            <w:pPr>
              <w:pStyle w:val="TableContents"/>
              <w:spacing w:before="0" w:after="0"/>
              <w:ind w:left="0" w:right="0" w:hanging="0"/>
              <w:rPr/>
            </w:pPr>
            <w:r>
              <w:rPr/>
              <w:t> </w:t>
            </w:r>
          </w:p>
        </w:tc>
        <w:tc>
          <w:tcPr>
            <w:tcW w:w="4986" w:type="dxa"/>
            <w:gridSpan w:val="5"/>
            <w:tcBorders/>
            <w:shd w:fill="auto" w:val="clear"/>
          </w:tcPr>
          <w:p>
            <w:pPr>
              <w:pStyle w:val="TableContents"/>
              <w:spacing w:before="0" w:after="0"/>
              <w:ind w:left="0" w:right="0" w:hanging="0"/>
              <w:rPr/>
            </w:pPr>
            <w:r>
              <w:rPr/>
              <w:t> </w:t>
            </w:r>
          </w:p>
        </w:tc>
      </w:tr>
      <w:tr>
        <w:trPr/>
        <w:tc>
          <w:tcPr>
            <w:tcW w:w="5219" w:type="dxa"/>
            <w:tcBorders/>
            <w:shd w:fill="auto" w:val="clear"/>
          </w:tcPr>
          <w:p>
            <w:pPr>
              <w:pStyle w:val="TableContents"/>
              <w:spacing w:before="0" w:after="0"/>
              <w:ind w:left="0" w:right="0" w:hanging="0"/>
              <w:rPr/>
            </w:pPr>
            <w:r>
              <w:rPr/>
              <w:t> </w:t>
            </w:r>
          </w:p>
        </w:tc>
        <w:tc>
          <w:tcPr>
            <w:tcW w:w="41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68" w:type="dxa"/>
            <w:gridSpan w:val="3"/>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219" w:type="dxa"/>
            <w:tcBorders/>
            <w:shd w:fill="auto" w:val="clear"/>
          </w:tcPr>
          <w:p>
            <w:pPr>
              <w:pStyle w:val="TableContents"/>
              <w:spacing w:before="0" w:after="0"/>
              <w:ind w:left="0" w:right="0" w:hanging="0"/>
              <w:rPr/>
            </w:pPr>
            <w:r>
              <w:rPr/>
              <w:t> </w:t>
            </w:r>
          </w:p>
        </w:tc>
        <w:tc>
          <w:tcPr>
            <w:tcW w:w="4986" w:type="dxa"/>
            <w:gridSpan w:val="5"/>
            <w:tcBorders/>
            <w:shd w:fill="auto" w:val="clear"/>
          </w:tcPr>
          <w:p>
            <w:pPr>
              <w:pStyle w:val="TableContents"/>
              <w:spacing w:before="0" w:after="0"/>
              <w:ind w:left="0" w:right="0" w:hanging="0"/>
              <w:rPr/>
            </w:pPr>
            <w:r>
              <w:rPr/>
              <w:t> </w:t>
            </w:r>
          </w:p>
        </w:tc>
      </w:tr>
      <w:tr>
        <w:trPr/>
        <w:tc>
          <w:tcPr>
            <w:tcW w:w="5219" w:type="dxa"/>
            <w:tcBorders/>
            <w:shd w:fill="auto" w:val="clear"/>
          </w:tcPr>
          <w:p>
            <w:pPr>
              <w:pStyle w:val="TableContents"/>
              <w:spacing w:before="0" w:after="0"/>
              <w:ind w:left="0" w:right="0" w:hanging="0"/>
              <w:rPr/>
            </w:pPr>
            <w:r>
              <w:rPr/>
              <w:t> </w:t>
            </w:r>
          </w:p>
        </w:tc>
        <w:tc>
          <w:tcPr>
            <w:tcW w:w="41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w:t>
            </w:r>
          </w:p>
        </w:tc>
        <w:tc>
          <w:tcPr>
            <w:tcW w:w="4568" w:type="dxa"/>
            <w:gridSpan w:val="3"/>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21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396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[Seventh Amended and Restated LPA  AAP]</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[Sixth Amended and Restated LLC Agreement  GP LLC]</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[Amended and Restated LLC Agreement  PAGP GP]</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21" w:name="a2216857zex-10_50.htm"/>
      <w:bookmarkStart w:id="322" w:name="ksa2216857zex10_50"/>
      <w:bookmarkStart w:id="323" w:name="a2216857zex-10_50.htm"/>
      <w:bookmarkStart w:id="324" w:name="ksa2216857zex10_50"/>
      <w:bookmarkEnd w:id="323"/>
      <w:bookmarkEnd w:id="324"/>
    </w:p>
    <w:p>
      <w:pPr>
        <w:pStyle w:val="TextBody"/>
        <w:spacing w:before="0" w:after="0"/>
        <w:ind w:left="0" w:right="0" w:hanging="0"/>
        <w:jc w:val="right"/>
        <w:rPr>
          <w:rFonts w:ascii="Times New Roman" w:hAnsi="Times New Roman"/>
          <w:b/>
          <w:sz w:val="17"/>
        </w:rPr>
      </w:pPr>
      <w:r>
        <w:rPr>
          <w:rFonts w:ascii="Times New Roman" w:hAnsi="Times New Roman"/>
          <w:b/>
          <w:sz w:val="17"/>
        </w:rPr>
        <w:t>Exhibit 10.50</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FORM OF WAIVER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WAIVER AGREEMENT (this </w:t>
      </w:r>
      <w:r>
        <w:rPr>
          <w:rFonts w:ascii="Times New Roman" w:hAnsi="Times New Roman"/>
          <w:b/>
          <w:i/>
          <w:sz w:val="17"/>
        </w:rPr>
        <w:t>Waiver Agreement</w:t>
      </w:r>
      <w:r>
        <w:rPr>
          <w:rFonts w:ascii="Times New Roman" w:hAnsi="Times New Roman"/>
          <w:sz w:val="17"/>
        </w:rPr>
        <w:t>), dated as of [</w:t>
      </w:r>
      <w:r>
        <w:rPr>
          <w:rFonts w:ascii="Symbol" w:hAnsi="Symbol"/>
          <w:sz w:val="17"/>
        </w:rPr>
        <w:t>·</w:t>
      </w:r>
      <w:r>
        <w:rPr>
          <w:rFonts w:ascii="Times New Roman" w:hAnsi="Times New Roman"/>
          <w:sz w:val="17"/>
        </w:rPr>
        <w:t>], 2013, with respect to the AMENDED AND RESTATED EMPLOYMENT AGREEMENT dated as of June 30, 2001, as amended (the </w:t>
      </w:r>
      <w:r>
        <w:rPr>
          <w:rFonts w:ascii="Times New Roman" w:hAnsi="Times New Roman"/>
          <w:b/>
          <w:i/>
          <w:sz w:val="17"/>
        </w:rPr>
        <w:t>Agreement</w:t>
      </w:r>
      <w:r>
        <w:rPr>
          <w:rFonts w:ascii="Times New Roman" w:hAnsi="Times New Roman"/>
          <w:sz w:val="17"/>
        </w:rPr>
        <w:t>), between Plains All American GP LLC, a Delaware limited liability company (the </w:t>
      </w:r>
      <w:r>
        <w:rPr>
          <w:rFonts w:ascii="Times New Roman" w:hAnsi="Times New Roman"/>
          <w:b/>
          <w:i/>
          <w:sz w:val="17"/>
        </w:rPr>
        <w:t>Company</w:t>
      </w:r>
      <w:r>
        <w:rPr>
          <w:rFonts w:ascii="Times New Roman" w:hAnsi="Times New Roman"/>
          <w:sz w:val="17"/>
        </w:rPr>
        <w:t>), and Greg L. Armstrong (the </w:t>
      </w:r>
      <w:r>
        <w:rPr>
          <w:rFonts w:ascii="Times New Roman" w:hAnsi="Times New Roman"/>
          <w:b/>
          <w:i/>
          <w:sz w:val="17"/>
        </w:rPr>
        <w:t>Employee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RECITALS: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Capitalized terms not otherwise defined in this Waiver Agreement are used with the meanings ascribed to such terms in the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Section 8(d)(ii) of the Agreement provides that if the Employee shall terminate his employment upon a Change in Control of the Company pursuant to clause (D) of Section 7(d)(i) of the Agreement, then the Employee will be paid a lump sum amount, and further, pursuant to Section 8(f) of the Agreement, if the Employee shall terminate his employment under such circumstances, then the Employee will be entitled to continue to participate in certain health-and-accident plans or arrangements of the Company (such entitlement to a lump sum amount and continued participation in such plans or arrangements referred to collectively as the </w:t>
      </w:r>
      <w:r>
        <w:rPr>
          <w:rFonts w:ascii="Times New Roman" w:hAnsi="Times New Roman"/>
          <w:b/>
          <w:i/>
          <w:sz w:val="17"/>
        </w:rPr>
        <w:t>Separation Benefit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Plains GP Holdings, L.P., a Delaware limited partnership (</w:t>
      </w:r>
      <w:r>
        <w:rPr>
          <w:rFonts w:ascii="Times New Roman" w:hAnsi="Times New Roman"/>
          <w:b/>
          <w:i/>
          <w:sz w:val="17"/>
        </w:rPr>
        <w:t>PAGP</w:t>
      </w:r>
      <w:r>
        <w:rPr>
          <w:rFonts w:ascii="Times New Roman" w:hAnsi="Times New Roman"/>
          <w:sz w:val="17"/>
        </w:rPr>
        <w:t>), was formed in July 2013, the existing owners of the Company intend to contribute all of the membership interests in the Company to the general partner of PAGP (the </w:t>
      </w:r>
      <w:r>
        <w:rPr>
          <w:rFonts w:ascii="Times New Roman" w:hAnsi="Times New Roman"/>
          <w:b/>
          <w:i/>
          <w:sz w:val="17"/>
        </w:rPr>
        <w:t>Initial Contribution</w:t>
      </w:r>
      <w:r>
        <w:rPr>
          <w:rFonts w:ascii="Times New Roman" w:hAnsi="Times New Roman"/>
          <w:sz w:val="17"/>
        </w:rPr>
        <w:t>), and the general partner of PAGP intends to contribute such interests to PAGP (such contribution, together with the Initial Contribution, referred to collectively as the </w:t>
      </w:r>
      <w:r>
        <w:rPr>
          <w:rFonts w:ascii="Times New Roman" w:hAnsi="Times New Roman"/>
          <w:b/>
          <w:i/>
          <w:sz w:val="17"/>
        </w:rPr>
        <w:t>Membership Interest Contribution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The parties anticipate that PAGP will effect an initial public offering (the </w:t>
      </w:r>
      <w:r>
        <w:rPr>
          <w:rFonts w:ascii="Times New Roman" w:hAnsi="Times New Roman"/>
          <w:b/>
          <w:i/>
          <w:sz w:val="17"/>
        </w:rPr>
        <w:t>IPO</w:t>
      </w:r>
      <w:r>
        <w:rPr>
          <w:rFonts w:ascii="Times New Roman" w:hAnsi="Times New Roman"/>
          <w:sz w:val="17"/>
        </w:rPr>
        <w:t>) of its Class A shares.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        The Company and the Employee desire to enter this Waiver Agreement to ensure that the Membership Interest Contribution and the IPO do not constitute a Change in Control of the Company for purposes of the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WAIVER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that regard, for good and valuable consideration, the receipt and sufficiency of which are hereby acknowledged, the Company and the Employee hereby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1.             </w:t>
      </w:r>
      <w:r>
        <w:rPr>
          <w:rFonts w:ascii="Times New Roman" w:hAnsi="Times New Roman"/>
          <w:sz w:val="17"/>
          <w:u w:val="single"/>
        </w:rPr>
        <w:t>Acknowledgement and Waiver</w:t>
      </w:r>
      <w:r>
        <w:rPr>
          <w:rFonts w:ascii="Times New Roman" w:hAnsi="Times New Roman"/>
          <w:sz w:val="17"/>
        </w:rPr>
        <w:t>.  The Company and the Employee both acknowledge that the Membership Interest Contribution and/or the IPO will constitute a Change in Control of the Company, and that without this Waiver Agreement, if a Change in Control of the Company occurred, the Employee would have the power under Section 7(d) of the Agreement to terminate his employment (the </w:t>
      </w:r>
      <w:r>
        <w:rPr>
          <w:rFonts w:ascii="Times New Roman" w:hAnsi="Times New Roman"/>
          <w:b/>
          <w:i/>
          <w:sz w:val="17"/>
        </w:rPr>
        <w:t>Termination Power</w:t>
      </w:r>
      <w:r>
        <w:rPr>
          <w:rFonts w:ascii="Times New Roman" w:hAnsi="Times New Roman"/>
          <w:sz w:val="17"/>
        </w:rPr>
        <w:t>) and, having done so, would have the right to the Separation Benefit (the </w:t>
      </w:r>
      <w:r>
        <w:rPr>
          <w:rFonts w:ascii="Times New Roman" w:hAnsi="Times New Roman"/>
          <w:b/>
          <w:i/>
          <w:sz w:val="17"/>
        </w:rPr>
        <w:t>Benefit Right</w:t>
      </w:r>
      <w:r>
        <w:rPr>
          <w:rFonts w:ascii="Times New Roman" w:hAnsi="Times New Roman"/>
          <w:sz w:val="17"/>
        </w:rPr>
        <w: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2.             </w:t>
      </w:r>
      <w:r>
        <w:rPr>
          <w:rFonts w:ascii="Times New Roman" w:hAnsi="Times New Roman"/>
          <w:sz w:val="17"/>
          <w:u w:val="single"/>
        </w:rPr>
        <w:t>Waiver</w:t>
      </w:r>
      <w:r>
        <w:rPr>
          <w:rFonts w:ascii="Times New Roman" w:hAnsi="Times New Roman"/>
          <w:sz w:val="17"/>
        </w:rPr>
        <w:t>.  Subject to the terms and conditions contained herein, the Employee waives his Termination Power and the Benefit Right, in each case only with respect to the Membership Interest Contribution and the IPO (the </w:t>
      </w:r>
      <w:r>
        <w:rPr>
          <w:rFonts w:ascii="Times New Roman" w:hAnsi="Times New Roman"/>
          <w:b/>
          <w:i/>
          <w:sz w:val="17"/>
        </w:rPr>
        <w:t>Waiver</w:t>
      </w:r>
      <w:r>
        <w:rPr>
          <w:rFonts w:ascii="Times New Roman" w:hAnsi="Times New Roman"/>
          <w:sz w:val="17"/>
        </w:rPr>
        <w:t>).  The Waiver is limited to the effects under the Agreement of the Membership Interest Contribution and the IPO, and does not waive any other provisions of the Agreement nor the effects of any past, present or future transaction constituting a Change in Control of the Company (or any other Good Reason).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3.             </w:t>
      </w:r>
      <w:r>
        <w:rPr>
          <w:rFonts w:ascii="Times New Roman" w:hAnsi="Times New Roman"/>
          <w:sz w:val="17"/>
          <w:u w:val="single"/>
        </w:rPr>
        <w:t>Change in Control of the Company Definition; No other Changes to Agreement</w:t>
      </w:r>
      <w:r>
        <w:rPr>
          <w:rFonts w:ascii="Times New Roman" w:hAnsi="Times New Roman"/>
          <w:sz w:val="17"/>
        </w:rPr>
        <w:t>.  Effective upon the closing of the IPO, the definition of Change in Control of the Company in the Agreement shall be modified as follows: A Change in Control of the Company shall conclusively be deemed to have occurred at any time following the closing of the initial public offering of Plains GP Holdings, L.P. if (i) any person, including any partnership, limited partnership, syndicate or other group deemed a person for purposes of Section 13(d) or 14(d) of the Securities Exchange Act of 1934, as amended, becomes the beneficial owner, directly or indirectly, of 50% or more of the membership interest in the Company, (ii) any person,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a Delaware limited liability company (PAGP GP), (iii) Plains GP Holdings, L.P. ceases to beneficially own, directly or indirectly, more than 50% of the membership interest in the Company or (iv) the persons who own membership interests in PAGP GP as of [</w:t>
      </w:r>
      <w:r>
        <w:rPr>
          <w:rFonts w:ascii="Symbol" w:hAnsi="Symbol"/>
          <w:sz w:val="17"/>
        </w:rPr>
        <w:t>·</w:t>
      </w:r>
      <w:r>
        <w:rPr>
          <w:rFonts w:ascii="Times New Roman" w:hAnsi="Times New Roman"/>
          <w:sz w:val="17"/>
        </w:rPr>
        <w:t>], 2013 cease to beneficially own, directly or indirectly, more than 50% of the membership interest in PAGP GP.  Other than the modification of the Change in Control of the Company definition or the Waiver as described herein, the Agreement remains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4.             </w:t>
      </w:r>
      <w:r>
        <w:rPr>
          <w:rFonts w:ascii="Times New Roman" w:hAnsi="Times New Roman"/>
          <w:sz w:val="17"/>
          <w:u w:val="single"/>
        </w:rPr>
        <w:t>Miscellaneous</w:t>
      </w:r>
      <w:r>
        <w:rPr>
          <w:rFonts w:ascii="Times New Roman" w:hAnsi="Times New Roman"/>
          <w:sz w:val="17"/>
        </w:rPr>
        <w:t>.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5.             </w:t>
      </w:r>
      <w:r>
        <w:rPr>
          <w:rFonts w:ascii="Times New Roman" w:hAnsi="Times New Roman"/>
          <w:sz w:val="17"/>
          <w:u w:val="single"/>
        </w:rPr>
        <w:t>Entire Agreement</w:t>
      </w:r>
      <w:r>
        <w:rPr>
          <w:rFonts w:ascii="Times New Roman" w:hAnsi="Times New Roman"/>
          <w:sz w:val="17"/>
        </w:rPr>
        <w:t>.  This Waiver Agreement contains the entire understanding of the parties in respect of its subject matter and supersedes all prior oral and written agreements and understandings between the parties with respect to such subject matter.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 follows</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25" w:name="15636-2-KO_PB_2_085952_7056"/>
      <w:bookmarkEnd w:id="32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executed this Waiver Agreement as of the date first above written.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62"/>
        <w:gridCol w:w="950"/>
        <w:gridCol w:w="4293"/>
      </w:tblGrid>
      <w:tr>
        <w:trPr/>
        <w:tc>
          <w:tcPr>
            <w:tcW w:w="4962" w:type="dxa"/>
            <w:tcBorders/>
            <w:shd w:fill="auto" w:val="clear"/>
          </w:tcPr>
          <w:p>
            <w:pPr>
              <w:pStyle w:val="TableContents"/>
              <w:spacing w:before="0" w:after="0"/>
              <w:ind w:left="0" w:right="0" w:hanging="0"/>
              <w:rPr/>
            </w:pPr>
            <w:r>
              <w:rPr/>
              <w:t> </w:t>
            </w:r>
          </w:p>
        </w:tc>
        <w:tc>
          <w:tcPr>
            <w:tcW w:w="524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4962" w:type="dxa"/>
            <w:tcBorders/>
            <w:shd w:fill="auto" w:val="clear"/>
          </w:tcPr>
          <w:p>
            <w:pPr>
              <w:pStyle w:val="TableContents"/>
              <w:spacing w:before="0" w:after="0"/>
              <w:ind w:left="0" w:right="0" w:hanging="0"/>
              <w:rPr/>
            </w:pPr>
            <w:r>
              <w:rPr/>
              <w:t> </w:t>
            </w:r>
          </w:p>
        </w:tc>
        <w:tc>
          <w:tcPr>
            <w:tcW w:w="5243" w:type="dxa"/>
            <w:gridSpan w:val="2"/>
            <w:tcBorders/>
            <w:shd w:fill="auto" w:val="cle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950" w:type="dxa"/>
            <w:tcBorders/>
            <w:shd w:fill="auto" w:val="clear"/>
          </w:tcPr>
          <w:p>
            <w:pPr>
              <w:pStyle w:val="TableContents"/>
              <w:spacing w:before="0" w:after="0"/>
              <w:ind w:left="0" w:right="0" w:hanging="0"/>
              <w:rPr/>
            </w:pPr>
            <w:r>
              <w:rPr/>
              <w:t> </w:t>
            </w:r>
          </w:p>
        </w:tc>
        <w:tc>
          <w:tcPr>
            <w:tcW w:w="4293" w:type="dxa"/>
            <w:tcBorders/>
            <w:shd w:fill="auto" w:val="cle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9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29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9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29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95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293"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5243" w:type="dxa"/>
            <w:gridSpan w:val="2"/>
            <w:tcBorders/>
            <w:shd w:fill="auto" w:val="cle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5243" w:type="dxa"/>
            <w:gridSpan w:val="2"/>
            <w:tcBorders/>
            <w:shd w:fill="auto" w:val="cle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524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4962" w:type="dxa"/>
            <w:tcBorders/>
            <w:shd w:fill="auto" w:val="clear"/>
          </w:tcPr>
          <w:p>
            <w:pPr>
              <w:pStyle w:val="TableContents"/>
              <w:spacing w:before="0" w:after="0"/>
              <w:ind w:left="0" w:right="0" w:hanging="0"/>
              <w:rPr/>
            </w:pPr>
            <w:r>
              <w:rPr/>
              <w:t> </w:t>
            </w:r>
          </w:p>
        </w:tc>
        <w:tc>
          <w:tcPr>
            <w:tcW w:w="5243" w:type="dxa"/>
            <w:gridSpan w:val="2"/>
            <w:tcBorders/>
            <w:shd w:fill="auto" w:val="cle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5243" w:type="dxa"/>
            <w:gridSpan w:val="2"/>
            <w:tcBorders/>
            <w:shd w:fill="auto" w:val="cle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5243"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4962" w:type="dxa"/>
            <w:tcBorders/>
            <w:shd w:fill="auto" w:val="clear"/>
          </w:tcPr>
          <w:p>
            <w:pPr>
              <w:pStyle w:val="TableContents"/>
              <w:spacing w:before="0" w:after="0"/>
              <w:ind w:left="0" w:right="0" w:hanging="0"/>
              <w:rPr/>
            </w:pPr>
            <w:r>
              <w:rPr/>
              <w:t> </w:t>
            </w:r>
          </w:p>
        </w:tc>
        <w:tc>
          <w:tcPr>
            <w:tcW w:w="524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Waiver Agreement]</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rPr/>
      </w:pPr>
      <w:r>
        <w:rPr/>
      </w:r>
      <w:r>
        <w:br w:type="page"/>
      </w:r>
    </w:p>
    <w:p>
      <w:pPr>
        <w:pStyle w:val="TextBody"/>
        <w:rPr/>
      </w:pPr>
      <w:r>
        <w:rPr/>
      </w:r>
      <w:bookmarkStart w:id="326" w:name="a2216857zex-10_51.htm"/>
      <w:bookmarkStart w:id="327" w:name="ksa2216857zex10_51"/>
      <w:bookmarkStart w:id="328" w:name="a2216857zex-10_51.htm"/>
      <w:bookmarkStart w:id="329" w:name="ksa2216857zex10_51"/>
      <w:bookmarkEnd w:id="328"/>
      <w:bookmarkEnd w:id="329"/>
    </w:p>
    <w:p>
      <w:pPr>
        <w:pStyle w:val="TextBody"/>
        <w:spacing w:before="0" w:after="0"/>
        <w:ind w:left="0" w:right="0" w:hanging="0"/>
        <w:jc w:val="right"/>
        <w:rPr>
          <w:rFonts w:ascii="Times New Roman" w:hAnsi="Times New Roman"/>
          <w:b/>
          <w:sz w:val="17"/>
        </w:rPr>
      </w:pPr>
      <w:r>
        <w:rPr>
          <w:rFonts w:ascii="Times New Roman" w:hAnsi="Times New Roman"/>
          <w:b/>
          <w:sz w:val="17"/>
        </w:rPr>
        <w:t>Exhibit 10.51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FORM OF WAIVER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WAIVER AGREEMENT (this </w:t>
      </w:r>
      <w:r>
        <w:rPr>
          <w:rFonts w:ascii="Times New Roman" w:hAnsi="Times New Roman"/>
          <w:b/>
          <w:i/>
          <w:sz w:val="17"/>
        </w:rPr>
        <w:t>Waiver Agreement</w:t>
      </w:r>
      <w:r>
        <w:rPr>
          <w:rFonts w:ascii="Times New Roman" w:hAnsi="Times New Roman"/>
          <w:sz w:val="17"/>
        </w:rPr>
        <w:t>), dated as of [</w:t>
      </w:r>
      <w:r>
        <w:rPr>
          <w:rFonts w:ascii="Symbol" w:hAnsi="Symbol"/>
          <w:sz w:val="17"/>
        </w:rPr>
        <w:t>·</w:t>
      </w:r>
      <w:r>
        <w:rPr>
          <w:rFonts w:ascii="Times New Roman" w:hAnsi="Times New Roman"/>
          <w:sz w:val="17"/>
        </w:rPr>
        <w:t>], 2013, with respect to the AMENDED AND RESTATED EMPLOYMENT AGREEMENT dated as of June 30, 2001, as amended (the </w:t>
      </w:r>
      <w:r>
        <w:rPr>
          <w:rFonts w:ascii="Times New Roman" w:hAnsi="Times New Roman"/>
          <w:b/>
          <w:i/>
          <w:sz w:val="17"/>
        </w:rPr>
        <w:t>Agreement</w:t>
      </w:r>
      <w:r>
        <w:rPr>
          <w:rFonts w:ascii="Times New Roman" w:hAnsi="Times New Roman"/>
          <w:sz w:val="17"/>
        </w:rPr>
        <w:t>), between Plains All American GP LLC, a Delaware limited liability company (the </w:t>
      </w:r>
      <w:r>
        <w:rPr>
          <w:rFonts w:ascii="Times New Roman" w:hAnsi="Times New Roman"/>
          <w:b/>
          <w:i/>
          <w:sz w:val="17"/>
        </w:rPr>
        <w:t>Company</w:t>
      </w:r>
      <w:r>
        <w:rPr>
          <w:rFonts w:ascii="Times New Roman" w:hAnsi="Times New Roman"/>
          <w:sz w:val="17"/>
        </w:rPr>
        <w:t>), and Harry N. Pefanis (the </w:t>
      </w:r>
      <w:r>
        <w:rPr>
          <w:rFonts w:ascii="Times New Roman" w:hAnsi="Times New Roman"/>
          <w:b/>
          <w:i/>
          <w:sz w:val="17"/>
        </w:rPr>
        <w:t>Employee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RECITALS: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Capitalized terms not otherwise defined in this Waiver Agreement are used with the meanings ascribed to such terms in the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Section 8(d)(ii) of the Agreement provides that if the Employee shall terminate his employment upon a Change in Control of the Company pursuant to clause (D) of Section 7(d)(i) of the Agreement, then the Employee will be paid a lump sum amount, and further, pursuant to Section 8(f) of the Agreement, if the Employee shall terminate his employment under such circumstances, then the Employee will be entitled to continue to participate in certain health-and-accident plans or arrangements of the Company (such entitlement to a lump sum amount and continued participation in such plans or arrangements referred to collectively as the </w:t>
      </w:r>
      <w:r>
        <w:rPr>
          <w:rFonts w:ascii="Times New Roman" w:hAnsi="Times New Roman"/>
          <w:b/>
          <w:i/>
          <w:sz w:val="17"/>
        </w:rPr>
        <w:t>Separation Benefit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Plains GP Holdings, L.P., a Delaware limited partnership (</w:t>
      </w:r>
      <w:r>
        <w:rPr>
          <w:rFonts w:ascii="Times New Roman" w:hAnsi="Times New Roman"/>
          <w:b/>
          <w:i/>
          <w:sz w:val="17"/>
        </w:rPr>
        <w:t>PAGP</w:t>
      </w:r>
      <w:r>
        <w:rPr>
          <w:rFonts w:ascii="Times New Roman" w:hAnsi="Times New Roman"/>
          <w:sz w:val="17"/>
        </w:rPr>
        <w:t>), was formed in July 2013, the existing owners of the Company intend to contribute all of the membership interests in the Company to the general partner of PAGP (the </w:t>
      </w:r>
      <w:r>
        <w:rPr>
          <w:rFonts w:ascii="Times New Roman" w:hAnsi="Times New Roman"/>
          <w:b/>
          <w:i/>
          <w:sz w:val="17"/>
        </w:rPr>
        <w:t>Initial Contribution</w:t>
      </w:r>
      <w:r>
        <w:rPr>
          <w:rFonts w:ascii="Times New Roman" w:hAnsi="Times New Roman"/>
          <w:sz w:val="17"/>
        </w:rPr>
        <w:t>), and the general partner of PAGP intends to contribute such interests to PAGP (such contribution, together with the Initial Contribution, referred to collectively as the </w:t>
      </w:r>
      <w:r>
        <w:rPr>
          <w:rFonts w:ascii="Times New Roman" w:hAnsi="Times New Roman"/>
          <w:b/>
          <w:i/>
          <w:sz w:val="17"/>
        </w:rPr>
        <w:t>Membership Interest Contribution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The parties anticipate that PAGP will effect an initial public offering (the </w:t>
      </w:r>
      <w:r>
        <w:rPr>
          <w:rFonts w:ascii="Times New Roman" w:hAnsi="Times New Roman"/>
          <w:b/>
          <w:i/>
          <w:sz w:val="17"/>
        </w:rPr>
        <w:t>IPO</w:t>
      </w:r>
      <w:r>
        <w:rPr>
          <w:rFonts w:ascii="Times New Roman" w:hAnsi="Times New Roman"/>
          <w:sz w:val="17"/>
        </w:rPr>
        <w:t>) of its Class A shares.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        The Company and the Employee desire to enter this Waiver Agreement to ensure that the Membership Interest Contribution and the IPO do not constitute a Change in Control of the Company for purposes of the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WAIVER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that regard, for good and valuable consideration, the receipt and sufficiency of which are hereby acknowledged, the Company and the Employee hereby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1.             </w:t>
      </w:r>
      <w:r>
        <w:rPr>
          <w:rFonts w:ascii="Times New Roman" w:hAnsi="Times New Roman"/>
          <w:sz w:val="17"/>
          <w:u w:val="single"/>
        </w:rPr>
        <w:t>Acknowledgement and Waiver</w:t>
      </w:r>
      <w:r>
        <w:rPr>
          <w:rFonts w:ascii="Times New Roman" w:hAnsi="Times New Roman"/>
          <w:sz w:val="17"/>
        </w:rPr>
        <w:t>.  The Company and the Employee both acknowledge that the Membership Interest Contribution and/or the IPO will constitute a Change in Control of the Company, and that without this Waiver Agreement, if a Change in Control of the Company occurred, the Employee would have the power under Section 7(d) of the Agreement to terminate his employment (the </w:t>
      </w:r>
      <w:r>
        <w:rPr>
          <w:rFonts w:ascii="Times New Roman" w:hAnsi="Times New Roman"/>
          <w:b/>
          <w:i/>
          <w:sz w:val="17"/>
        </w:rPr>
        <w:t>Termination Power</w:t>
      </w:r>
      <w:r>
        <w:rPr>
          <w:rFonts w:ascii="Times New Roman" w:hAnsi="Times New Roman"/>
          <w:sz w:val="17"/>
        </w:rPr>
        <w:t>) and, having done so, would have the right to the Separation Benefit (the </w:t>
      </w:r>
      <w:r>
        <w:rPr>
          <w:rFonts w:ascii="Times New Roman" w:hAnsi="Times New Roman"/>
          <w:b/>
          <w:i/>
          <w:sz w:val="17"/>
        </w:rPr>
        <w:t>Benefit Right</w:t>
      </w:r>
      <w:r>
        <w:rPr>
          <w:rFonts w:ascii="Times New Roman" w:hAnsi="Times New Roman"/>
          <w:sz w:val="17"/>
        </w:rPr>
        <w: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2.             </w:t>
      </w:r>
      <w:r>
        <w:rPr>
          <w:rFonts w:ascii="Times New Roman" w:hAnsi="Times New Roman"/>
          <w:sz w:val="17"/>
          <w:u w:val="single"/>
        </w:rPr>
        <w:t>Waiver</w:t>
      </w:r>
      <w:r>
        <w:rPr>
          <w:rFonts w:ascii="Times New Roman" w:hAnsi="Times New Roman"/>
          <w:sz w:val="17"/>
        </w:rPr>
        <w:t>.  Subject to the terms and conditions contained herein, the Employee waives his Termination Power and the Benefit Right, in each case only with respect to the Membership Interest Contribution and the IPO (the </w:t>
      </w:r>
      <w:r>
        <w:rPr>
          <w:rFonts w:ascii="Times New Roman" w:hAnsi="Times New Roman"/>
          <w:b/>
          <w:i/>
          <w:sz w:val="17"/>
        </w:rPr>
        <w:t>Waiver</w:t>
      </w:r>
      <w:r>
        <w:rPr>
          <w:rFonts w:ascii="Times New Roman" w:hAnsi="Times New Roman"/>
          <w:sz w:val="17"/>
        </w:rPr>
        <w:t>).  The Waiver is limited to the effects under the Agreement of the Membership Interest Contribution and the IPO, and does not waive any other provisions of the Agreement nor the effects of any past, present or future transaction constituting a Change in Control of the Company (or any other Good Reason).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3.             </w:t>
      </w:r>
      <w:r>
        <w:rPr>
          <w:rFonts w:ascii="Times New Roman" w:hAnsi="Times New Roman"/>
          <w:sz w:val="17"/>
          <w:u w:val="single"/>
        </w:rPr>
        <w:t>Change in Control of the Company Definition; No other Changes to Agreement</w:t>
      </w:r>
      <w:r>
        <w:rPr>
          <w:rFonts w:ascii="Times New Roman" w:hAnsi="Times New Roman"/>
          <w:sz w:val="17"/>
        </w:rPr>
        <w:t>.  Effective upon the closing of the IPO, the definition of Change in Control of the Company in the Agreement shall be modified as follows: A Change in Control of the Company shall conclusively be deemed to have occurred at any time following the closing of the initial public offering of Plains GP Holdings, L.P. if (i) any person, including any partnership, limited partnership, syndicate or other group deemed a person for purposes of Section 13(d) or 14(d) of the Securities Exchange Act of 1934, as amended, becomes the beneficial owner, directly or indirectly, of 50% or more of the membership interest in the Company, (ii) any person,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a Delaware limited liability company (PAGP GP), (iii) Plains GP Holdings, L.P. ceases to beneficially own, directly or indirectly, more than 50% of the membership interest in the Company or (iv) the persons who own membership interests in PAGP GP as of [</w:t>
      </w:r>
      <w:r>
        <w:rPr>
          <w:rFonts w:ascii="Symbol" w:hAnsi="Symbol"/>
          <w:sz w:val="17"/>
        </w:rPr>
        <w:t>·</w:t>
      </w:r>
      <w:r>
        <w:rPr>
          <w:rFonts w:ascii="Times New Roman" w:hAnsi="Times New Roman"/>
          <w:sz w:val="17"/>
        </w:rPr>
        <w:t>], 2013 cease to beneficially own, directly or indirectly, more than 50% of the membership interest in PAGP GP.  Other than the modification of the Change in Control of the Company definition or the Waiver as described herein, the Agreement remains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4.             </w:t>
      </w:r>
      <w:r>
        <w:rPr>
          <w:rFonts w:ascii="Times New Roman" w:hAnsi="Times New Roman"/>
          <w:sz w:val="17"/>
          <w:u w:val="single"/>
        </w:rPr>
        <w:t>Miscellaneous</w:t>
      </w:r>
      <w:r>
        <w:rPr>
          <w:rFonts w:ascii="Times New Roman" w:hAnsi="Times New Roman"/>
          <w:sz w:val="17"/>
        </w:rPr>
        <w:t>.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5.             </w:t>
      </w:r>
      <w:r>
        <w:rPr>
          <w:rFonts w:ascii="Times New Roman" w:hAnsi="Times New Roman"/>
          <w:sz w:val="17"/>
          <w:u w:val="single"/>
        </w:rPr>
        <w:t>Entire Agreement</w:t>
      </w:r>
      <w:r>
        <w:rPr>
          <w:rFonts w:ascii="Times New Roman" w:hAnsi="Times New Roman"/>
          <w:sz w:val="17"/>
        </w:rPr>
        <w:t>.  This Waiver Agreement contains the entire understanding of the parties in respect of its subject matter and supersedes all prior oral and written agreements and understandings between the parties with respect to such subject matter.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 follows</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30" w:name="15636-2-KS_PB_2_090213_5335"/>
      <w:bookmarkEnd w:id="33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executed this Waiver Agreement as of the date first above written.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37"/>
        <w:gridCol w:w="817"/>
        <w:gridCol w:w="4351"/>
      </w:tblGrid>
      <w:tr>
        <w:trPr/>
        <w:tc>
          <w:tcPr>
            <w:tcW w:w="5037" w:type="dxa"/>
            <w:tcBorders/>
            <w:shd w:fill="auto" w:val="clear"/>
          </w:tcPr>
          <w:p>
            <w:pPr>
              <w:pStyle w:val="TableContents"/>
              <w:spacing w:before="0" w:after="0"/>
              <w:ind w:left="0" w:right="0" w:hanging="0"/>
              <w:rPr/>
            </w:pPr>
            <w:r>
              <w:rPr/>
              <w:t> </w:t>
            </w:r>
          </w:p>
        </w:tc>
        <w:tc>
          <w:tcPr>
            <w:tcW w:w="516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037" w:type="dxa"/>
            <w:tcBorders/>
            <w:shd w:fill="auto" w:val="clear"/>
          </w:tcPr>
          <w:p>
            <w:pPr>
              <w:pStyle w:val="TableContents"/>
              <w:spacing w:before="0" w:after="0"/>
              <w:ind w:left="0" w:right="0" w:hanging="0"/>
              <w:rPr/>
            </w:pPr>
            <w:r>
              <w:rPr/>
              <w:t> </w:t>
            </w:r>
          </w:p>
        </w:tc>
        <w:tc>
          <w:tcPr>
            <w:tcW w:w="5168" w:type="dxa"/>
            <w:gridSpan w:val="2"/>
            <w:tcBorders/>
            <w:shd w:fill="auto" w:val="cle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817" w:type="dxa"/>
            <w:tcBorders/>
            <w:shd w:fill="auto" w:val="clear"/>
          </w:tcPr>
          <w:p>
            <w:pPr>
              <w:pStyle w:val="TableContents"/>
              <w:spacing w:before="0" w:after="0"/>
              <w:ind w:left="0" w:right="0" w:hanging="0"/>
              <w:rPr/>
            </w:pPr>
            <w:r>
              <w:rPr/>
              <w:t> </w:t>
            </w:r>
          </w:p>
        </w:tc>
        <w:tc>
          <w:tcPr>
            <w:tcW w:w="4351" w:type="dxa"/>
            <w:tcBorders/>
            <w:shd w:fill="auto" w:val="cle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8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5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8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5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8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51" w:type="dxa"/>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5168" w:type="dxa"/>
            <w:gridSpan w:val="2"/>
            <w:tcBorders/>
            <w:shd w:fill="auto" w:val="cle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5168" w:type="dxa"/>
            <w:gridSpan w:val="2"/>
            <w:tcBorders/>
            <w:shd w:fill="auto" w:val="cle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516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037" w:type="dxa"/>
            <w:tcBorders/>
            <w:shd w:fill="auto" w:val="clear"/>
          </w:tcPr>
          <w:p>
            <w:pPr>
              <w:pStyle w:val="TableContents"/>
              <w:spacing w:before="0" w:after="0"/>
              <w:ind w:left="0" w:right="0" w:hanging="0"/>
              <w:rPr/>
            </w:pPr>
            <w:r>
              <w:rPr/>
              <w:t> </w:t>
            </w:r>
          </w:p>
        </w:tc>
        <w:tc>
          <w:tcPr>
            <w:tcW w:w="5168" w:type="dxa"/>
            <w:gridSpan w:val="2"/>
            <w:tcBorders/>
            <w:shd w:fill="auto" w:val="cle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5168" w:type="dxa"/>
            <w:gridSpan w:val="2"/>
            <w:tcBorders/>
            <w:shd w:fill="auto" w:val="cle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5168"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r>
      <w:tr>
        <w:trPr/>
        <w:tc>
          <w:tcPr>
            <w:tcW w:w="5037" w:type="dxa"/>
            <w:tcBorders/>
            <w:shd w:fill="auto" w:val="clear"/>
          </w:tcPr>
          <w:p>
            <w:pPr>
              <w:pStyle w:val="TableContents"/>
              <w:spacing w:before="0" w:after="0"/>
              <w:ind w:left="0" w:right="0" w:hanging="0"/>
              <w:rPr/>
            </w:pPr>
            <w:r>
              <w:rPr/>
              <w:t> </w:t>
            </w:r>
          </w:p>
        </w:tc>
        <w:tc>
          <w:tcPr>
            <w:tcW w:w="516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Waiver Agreement]</w:t>
      </w:r>
    </w:p>
    <w:p>
      <w:pPr>
        <w:pStyle w:val="TextBody"/>
        <w:spacing w:before="0" w:after="0"/>
        <w:ind w:left="0" w:right="0" w:hanging="0"/>
        <w:rPr/>
      </w:pPr>
      <w:r>
        <w:rPr/>
        <w:t> </w:t>
      </w:r>
    </w:p>
    <w:p>
      <w:pPr>
        <w:pStyle w:val="HorizontalLine"/>
        <w:pBdr>
          <w:bottom w:val="single" w:sz="18" w:space="0" w:color="010101"/>
        </w:pBdr>
        <w:spacing w:before="0" w:after="0"/>
        <w:rPr/>
      </w:pPr>
      <w:r>
        <w:rPr/>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WINGDINGS">
    <w:charset w:val="00"/>
    <w:family w:val="auto"/>
    <w:pitch w:val="default"/>
  </w:font>
  <w:font w:name="Times New Roman">
    <w:charset w:val="00"/>
    <w:family w:val="auto"/>
    <w:pitch w:val="default"/>
  </w:font>
  <w:font w:name="Symbol">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320</Pages>
  <Words>135397</Words>
  <CharactersWithSpaces>858610</CharactersWithSpaces>
  <Paragraphs>12971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