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May 21,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9"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00" w:space="720"/>
            <w:col w:w="3080"/>
          </w:cols>
          <w:pgMar w:left="320" w:top="779"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79"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3"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2025 annual meeting of Class A, Class B and Class C shareholders (collectively, the “Shareholders”) of Plains GP Holdings, L.P. (“PAGP” or the “Partnership”) was held on May 21, 2025. At the annual meeting, the Shareholders considered and voted on the following matters, each of which is described in greater detail in PAGP’s Proxy Statement dated April 11, 2025 (the “Proxy Statement”): (i) the election of four Class II directors to serve on the board of directors of PAA GP Holdings LLC until the 2028 annual meeting; (ii) the ratification of the appointment of PricewaterhouseCoopers LLP as PAGP’s and Plains All American Pipeline, L.P.’s (“PAA”) independent registered public accounting firm for the fiscal year ending December 31, 2025; and (iii) the approval, on a non-binding advisory basis, of our 2024 named executive officer compensation.</w:t>
      </w:r>
    </w:p>
    <w:p>
      <w:pPr>
        <w:spacing w:after="0" w:line="187" w:lineRule="exact"/>
        <w:rPr>
          <w:sz w:val="20"/>
          <w:szCs w:val="20"/>
          <w:color w:val="auto"/>
        </w:rPr>
      </w:pPr>
    </w:p>
    <w:p>
      <w:pPr>
        <w:ind w:right="180" w:firstLine="324"/>
        <w:spacing w:after="0" w:line="312" w:lineRule="auto"/>
        <w:rPr>
          <w:sz w:val="20"/>
          <w:szCs w:val="20"/>
          <w:color w:val="auto"/>
        </w:rPr>
      </w:pPr>
      <w:r>
        <w:rPr>
          <w:rFonts w:ascii="Times New Roman" w:cs="Times New Roman" w:eastAsia="Times New Roman" w:hAnsi="Times New Roman"/>
          <w:sz w:val="17"/>
          <w:szCs w:val="17"/>
          <w:color w:val="auto"/>
        </w:rPr>
        <w:t>Out of the 762,187,858 Class A, Class B and Class C shares entitled to vote on Items 1, 2 and 3, approximately 83.2%, or 633,846,374 shares, were represented in person or by proxy at the PAGP annual meeting. The voting results for each matter presented at the PAGP annual meeting were as follows:</w:t>
      </w:r>
    </w:p>
    <w:p>
      <w:pPr>
        <w:spacing w:after="0" w:line="140" w:lineRule="exact"/>
        <w:rPr>
          <w:sz w:val="20"/>
          <w:szCs w:val="20"/>
          <w:color w:val="auto"/>
        </w:rPr>
      </w:pPr>
    </w:p>
    <w:p>
      <w:pPr>
        <w:ind w:left="1260" w:right="280" w:hanging="240"/>
        <w:spacing w:after="0" w:line="282" w:lineRule="auto"/>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Class B and Class C shareholders voted on the election of four Class II directors to serve on the board of directors of PAA GP Holdings LLC until the 2028 annual meeting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Percentage of Votes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36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Cast FOR</w:t>
            </w: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 Burk</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463,285,481</w:t>
            </w:r>
          </w:p>
        </w:tc>
        <w:tc>
          <w:tcPr>
            <w:tcW w:w="3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5,301,585</w:t>
            </w:r>
          </w:p>
        </w:tc>
        <w:tc>
          <w:tcPr>
            <w:tcW w:w="3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98.9%</w:t>
            </w:r>
          </w:p>
        </w:tc>
        <w:tc>
          <w:tcPr>
            <w:tcW w:w="3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165,259,308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Kevin McCarthy</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401,583,352</w:t>
            </w:r>
          </w:p>
        </w:tc>
        <w:tc>
          <w:tcPr>
            <w:tcW w:w="340" w:type="dxa"/>
            <w:vAlign w:val="bottom"/>
          </w:tcPr>
          <w:p>
            <w:pPr>
              <w:spacing w:after="0"/>
              <w:rPr>
                <w:sz w:val="18"/>
                <w:szCs w:val="18"/>
                <w:color w:val="auto"/>
              </w:rPr>
            </w:pPr>
          </w:p>
        </w:tc>
        <w:tc>
          <w:tcPr>
            <w:tcW w:w="1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67,003,714</w:t>
            </w:r>
          </w:p>
        </w:tc>
        <w:tc>
          <w:tcPr>
            <w:tcW w:w="320" w:type="dxa"/>
            <w:vAlign w:val="bottom"/>
          </w:tcPr>
          <w:p>
            <w:pPr>
              <w:spacing w:after="0"/>
              <w:rPr>
                <w:sz w:val="18"/>
                <w:szCs w:val="18"/>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85.7%</w:t>
            </w:r>
          </w:p>
        </w:tc>
        <w:tc>
          <w:tcPr>
            <w:tcW w:w="320" w:type="dxa"/>
            <w:vAlign w:val="bottom"/>
          </w:tcPr>
          <w:p>
            <w:pPr>
              <w:spacing w:after="0"/>
              <w:rPr>
                <w:sz w:val="18"/>
                <w:szCs w:val="18"/>
                <w:color w:val="auto"/>
              </w:rPr>
            </w:pP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165,259,308</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Harry Pefanis</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463,750,670</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4,836,396</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99.0%</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165,259,308</w:t>
            </w:r>
          </w:p>
        </w:tc>
        <w:tc>
          <w:tcPr>
            <w:tcW w:w="100" w:type="dxa"/>
            <w:vAlign w:val="bottom"/>
            <w:shd w:val="clear" w:color="auto" w:fill="CCEEFF"/>
          </w:tcPr>
          <w:p>
            <w:pPr>
              <w:spacing w:after="0"/>
              <w:rPr>
                <w:sz w:val="18"/>
                <w:szCs w:val="18"/>
                <w:color w:val="auto"/>
              </w:rPr>
            </w:pPr>
          </w:p>
        </w:tc>
      </w:t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Petersen</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434,861,296</w:t>
            </w:r>
          </w:p>
        </w:tc>
        <w:tc>
          <w:tcPr>
            <w:tcW w:w="340" w:type="dxa"/>
            <w:vAlign w:val="bottom"/>
          </w:tcPr>
          <w:p>
            <w:pPr>
              <w:spacing w:after="0"/>
              <w:rPr>
                <w:sz w:val="20"/>
                <w:szCs w:val="20"/>
                <w:color w:val="auto"/>
              </w:rPr>
            </w:pPr>
          </w:p>
        </w:tc>
        <w:tc>
          <w:tcPr>
            <w:tcW w:w="1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33,725,770</w:t>
            </w:r>
          </w:p>
        </w:tc>
        <w:tc>
          <w:tcPr>
            <w:tcW w:w="320" w:type="dxa"/>
            <w:vAlign w:val="bottom"/>
          </w:tcPr>
          <w:p>
            <w:pPr>
              <w:spacing w:after="0"/>
              <w:rPr>
                <w:sz w:val="20"/>
                <w:szCs w:val="20"/>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92.8%</w:t>
            </w:r>
          </w:p>
        </w:tc>
        <w:tc>
          <w:tcPr>
            <w:tcW w:w="320" w:type="dxa"/>
            <w:vAlign w:val="bottom"/>
          </w:tcPr>
          <w:p>
            <w:pPr>
              <w:spacing w:after="0"/>
              <w:rPr>
                <w:sz w:val="20"/>
                <w:szCs w:val="20"/>
                <w:color w:val="auto"/>
              </w:rPr>
            </w:pP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165,259,308</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1260" w:right="260" w:hanging="240"/>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Class B and Class C shareholders voted on the ratification of the appointment of PricewaterhouseCoopers LLP as PAGP’s and PAA’s independent registered public accounting firm for the fiscal year ending December 31, 2025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Percentage of Votes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40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Cast FOR</w:t>
            </w:r>
          </w:p>
        </w:tc>
        <w:tc>
          <w:tcPr>
            <w:tcW w:w="20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04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627,785,715</w:t>
            </w:r>
          </w:p>
        </w:tc>
        <w:tc>
          <w:tcPr>
            <w:tcW w:w="3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5,354,227</w:t>
            </w:r>
          </w:p>
        </w:tc>
        <w:tc>
          <w:tcPr>
            <w:tcW w:w="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706,432</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99.0%</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260" w:right="220" w:hanging="240"/>
        <w:spacing w:after="0" w:line="282"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Class B and Class C shareholders voted on the approval, on a non-binding advisory basis, of our 2024 named executive officer compensation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Percentage of Votes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40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Cast FOR</w:t>
            </w:r>
          </w:p>
        </w:tc>
        <w:tc>
          <w:tcPr>
            <w:tcW w:w="20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04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458,605,070</w:t>
            </w:r>
          </w:p>
        </w:tc>
        <w:tc>
          <w:tcPr>
            <w:tcW w:w="3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7,813,288</w:t>
            </w:r>
          </w:p>
        </w:tc>
        <w:tc>
          <w:tcPr>
            <w:tcW w:w="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2,168,707</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97.9%</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165,259,309</w:t>
            </w:r>
          </w:p>
        </w:tc>
        <w:tc>
          <w:tcPr>
            <w:tcW w:w="100" w:type="dxa"/>
            <w:vAlign w:val="bottom"/>
            <w:tcBorders>
              <w:top w:val="single" w:sz="8" w:color="CCEEFF"/>
            </w:tcBorders>
            <w:shd w:val="clear" w:color="auto" w:fill="CCEEFF"/>
          </w:tcPr>
          <w:p>
            <w:pPr>
              <w:spacing w:after="0"/>
              <w:rPr>
                <w:sz w:val="18"/>
                <w:szCs w:val="18"/>
                <w:color w:val="auto"/>
              </w:rPr>
            </w:pPr>
          </w:p>
        </w:tc>
      </w:tr>
      <w:tr>
        <w:trPr>
          <w:trHeight w:val="648"/>
        </w:trPr>
        <w:tc>
          <w:tcPr>
            <w:tcW w:w="2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color w:val="auto"/>
        </w:rPr>
        <w:t>Date: May 22, 2025</w:t>
      </w:r>
      <w:r>
        <w:rPr>
          <w:sz w:val="20"/>
          <w:szCs w:val="20"/>
          <w:color w:val="auto"/>
        </w:rPr>
        <w:tab/>
      </w:r>
      <w:r>
        <w:rPr>
          <w:rFonts w:ascii="Times New Roman" w:cs="Times New Roman" w:eastAsia="Times New Roman" w:hAnsi="Times New Roman"/>
          <w:sz w:val="18"/>
          <w:szCs w:val="18"/>
          <w:color w:val="auto"/>
        </w:rPr>
        <w:t>By: PAA GP Holdings LLC, its general partner</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94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Executive Vice President, General Counsel &amp; Secretary</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2025-05-23T05:09:31Z</dcterms:created>
  <dcterms:modified xsi:type="dcterms:W3CDTF">2025-05-23T05:09:31Z</dcterms:modified>
</cp:coreProperties>
</file>