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333-184137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39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900" w:type="dxa"/>
            <w:vAlign w:val="bottom"/>
            <w:tcBorders>
              <w:right w:val="single" w:sz="8" w:color="auto"/>
            </w:tcBorders>
            <w:vMerge w:val="restart"/>
          </w:tcPr>
          <w:p>
            <w:pPr>
              <w:ind w:left="480"/>
              <w:spacing w:after="0"/>
              <w:rPr>
                <w:sz w:val="20"/>
                <w:szCs w:val="20"/>
                <w:color w:val="auto"/>
              </w:rPr>
            </w:pPr>
            <w:r>
              <w:rPr>
                <w:rFonts w:ascii="Arial" w:cs="Arial" w:eastAsia="Arial" w:hAnsi="Arial"/>
                <w:sz w:val="14"/>
                <w:szCs w:val="14"/>
                <w:b w:val="1"/>
                <w:bCs w:val="1"/>
                <w:color w:val="auto"/>
              </w:rPr>
              <w:t>Class of securities registered</w:t>
            </w: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Amount to</w:t>
            </w: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Offering price</w:t>
            </w:r>
          </w:p>
        </w:tc>
        <w:tc>
          <w:tcPr>
            <w:tcW w:w="16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Aggregate</w:t>
            </w:r>
          </w:p>
        </w:tc>
        <w:tc>
          <w:tcPr>
            <w:tcW w:w="1560" w:type="dxa"/>
            <w:vAlign w:val="bottom"/>
          </w:tcPr>
          <w:p>
            <w:pPr>
              <w:jc w:val="center"/>
              <w:ind w:left="25"/>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900" w:type="dxa"/>
            <w:vAlign w:val="bottom"/>
            <w:tcBorders>
              <w:bottom w:val="single" w:sz="8" w:color="auto"/>
              <w:right w:val="single" w:sz="8" w:color="auto"/>
            </w:tcBorders>
            <w:vMerge w:val="continue"/>
          </w:tcPr>
          <w:p>
            <w:pPr>
              <w:spacing w:after="0"/>
              <w:rPr>
                <w:sz w:val="14"/>
                <w:szCs w:val="14"/>
                <w:color w:val="auto"/>
              </w:rPr>
            </w:pP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be 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per unit</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units representing limited partner interests</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8"/>
              </w:rPr>
              <w:t>24,150,000</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90"/>
              </w:rPr>
              <w:t>$50.00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89"/>
              </w:rPr>
              <w:t>$1,207,500,000</w:t>
            </w:r>
          </w:p>
        </w:tc>
        <w:tc>
          <w:tcPr>
            <w:tcW w:w="1560" w:type="dxa"/>
            <w:vAlign w:val="bottom"/>
            <w:tcBorders>
              <w:bottom w:val="single" w:sz="8" w:color="auto"/>
            </w:tcBorders>
          </w:tcPr>
          <w:p>
            <w:pPr>
              <w:jc w:val="center"/>
              <w:ind w:left="5"/>
              <w:spacing w:after="0"/>
              <w:rPr>
                <w:sz w:val="20"/>
                <w:szCs w:val="20"/>
                <w:color w:val="auto"/>
              </w:rPr>
            </w:pPr>
            <w:r>
              <w:rPr>
                <w:rFonts w:ascii="Arial" w:cs="Arial" w:eastAsia="Arial" w:hAnsi="Arial"/>
                <w:sz w:val="18"/>
                <w:szCs w:val="18"/>
                <w:color w:val="auto"/>
                <w:w w:val="90"/>
              </w:rPr>
              <w:t>$140,312(1)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calculated in accordance with Rule 457(r), has been transmitted to the SEC in connection with the securities offered from Registration Statement File No. 333-184137 by means of this prospectus supplement.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160020</wp:posOffset>
            </wp:positionV>
            <wp:extent cx="2101215" cy="677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21,000,000 Common Units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Representing Limited Partner Interests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$50.00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are selling 21,000,000 of our common units in this offering. Our common units are listed on the New York Stock Exchange (the “NYSE”) under the symbol “PAA.” The last reported sale price of our common units on the NYSE on February 25, 2015 was $52.59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units involves risks. See “</w:t>
      </w:r>
      <w:hyperlink w:anchor="page1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S-5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Common Unit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1,050,000,000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Underwriting Discount</w:t>
            </w:r>
          </w:p>
        </w:tc>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0.41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to Plains All American Pipeline, L.P. (before expenses)</w:t>
            </w:r>
          </w:p>
        </w:tc>
        <w:tc>
          <w:tcPr>
            <w:tcW w:w="16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1,041,390,000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Delivery of the common units is expected to be made on or about March 3, 2015.</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granted the underwriter a 30-day option to purchase up to 3,150,000 additional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February 26, 2015.</w:t>
      </w:r>
    </w:p>
    <w:p>
      <w:pPr>
        <w:sectPr>
          <w:pgSz w:w="11900" w:h="16838" w:orient="portrait"/>
          <w:cols w:equalWidth="0" w:num="1">
            <w:col w:w="11400"/>
          </w:cols>
          <w:pgMar w:left="240" w:top="459"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40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920" w:type="dxa"/>
            <w:vAlign w:val="bottom"/>
          </w:tcPr>
          <w:p>
            <w:pPr>
              <w:spacing w:after="0"/>
              <w:rPr>
                <w:sz w:val="17"/>
                <w:szCs w:val="17"/>
                <w:color w:val="auto"/>
              </w:rPr>
            </w:pPr>
          </w:p>
        </w:tc>
      </w:tr>
      <w:tr>
        <w:trPr>
          <w:trHeight w:val="534"/>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tcPr>
          <w:p>
            <w:pPr>
              <w:spacing w:after="0"/>
              <w:rPr>
                <w:sz w:val="24"/>
                <w:szCs w:val="24"/>
                <w:color w:val="auto"/>
              </w:rPr>
            </w:pPr>
          </w:p>
        </w:tc>
      </w:tr>
      <w:tr>
        <w:trPr>
          <w:trHeight w:val="324"/>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7"/>
              </w:rPr>
              <w:t>Prospectus Supplement</w:t>
            </w:r>
          </w:p>
        </w:tc>
        <w:tc>
          <w:tcPr>
            <w:tcW w:w="1920" w:type="dxa"/>
            <w:vAlign w:val="bottom"/>
          </w:tcPr>
          <w:p>
            <w:pPr>
              <w:spacing w:after="0"/>
              <w:rPr>
                <w:sz w:val="24"/>
                <w:szCs w:val="24"/>
                <w:color w:val="auto"/>
              </w:rPr>
            </w:pPr>
          </w:p>
        </w:tc>
      </w:tr>
      <w:tr>
        <w:trPr>
          <w:trHeight w:val="419"/>
        </w:trPr>
        <w:tc>
          <w:tcPr>
            <w:tcW w:w="78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Important Notice About Information in this Prospectus Supplement and the Accompanying Base Prospectus</w:t>
              </w:r>
            </w:hyperlink>
          </w:p>
        </w:tc>
        <w:tc>
          <w:tcPr>
            <w:tcW w:w="16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20"/>
        </w:trPr>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6960" w:type="dxa"/>
            <w:vAlign w:val="bottom"/>
            <w:gridSpan w:val="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S-3</w:t>
            </w:r>
          </w:p>
        </w:tc>
      </w:tr>
      <w:tr>
        <w:trPr>
          <w:trHeight w:val="196"/>
        </w:trPr>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20" w:type="dxa"/>
            <w:vAlign w:val="bottom"/>
            <w:tcBorders>
              <w:top w:val="single" w:sz="8" w:color="0000EE"/>
            </w:tcBorders>
          </w:tcPr>
          <w:p>
            <w:pPr>
              <w:spacing w:after="0"/>
              <w:rPr>
                <w:sz w:val="17"/>
                <w:szCs w:val="17"/>
                <w:color w:val="auto"/>
              </w:rPr>
            </w:pPr>
          </w:p>
        </w:tc>
        <w:tc>
          <w:tcPr>
            <w:tcW w:w="8460" w:type="dxa"/>
            <w:vAlign w:val="bottom"/>
            <w:gridSpan w:val="1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822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35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Price Range of Common Units and Distributions</w:t>
              </w:r>
            </w:hyperlink>
          </w:p>
        </w:tc>
        <w:tc>
          <w:tcPr>
            <w:tcW w:w="588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104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Capitalization</w:t>
              </w:r>
            </w:hyperlink>
          </w:p>
        </w:tc>
        <w:tc>
          <w:tcPr>
            <w:tcW w:w="8360" w:type="dxa"/>
            <w:vAlign w:val="bottom"/>
            <w:gridSpan w:val="1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Material U.S. Federal Income Tax Consequences</w:t>
              </w:r>
            </w:hyperlink>
          </w:p>
        </w:tc>
        <w:tc>
          <w:tcPr>
            <w:tcW w:w="58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Underwriting</w:t>
              </w:r>
            </w:hyperlink>
          </w:p>
        </w:tc>
        <w:tc>
          <w:tcPr>
            <w:tcW w:w="842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Legal Matters</w:t>
              </w:r>
            </w:hyperlink>
          </w:p>
        </w:tc>
        <w:tc>
          <w:tcPr>
            <w:tcW w:w="838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884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S-14</w:t>
            </w: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2"/>
          </w:tcPr>
          <w:p>
            <w:pPr>
              <w:jc w:val="center"/>
              <w:ind w:right="1500"/>
              <w:spacing w:after="0"/>
              <w:rPr>
                <w:sz w:val="20"/>
                <w:szCs w:val="20"/>
                <w:color w:val="auto"/>
              </w:rPr>
            </w:pPr>
            <w:r>
              <w:rPr>
                <w:rFonts w:ascii="Arial" w:cs="Arial" w:eastAsia="Arial" w:hAnsi="Arial"/>
                <w:sz w:val="18"/>
                <w:szCs w:val="18"/>
                <w:b w:val="1"/>
                <w:bCs w:val="1"/>
                <w:color w:val="auto"/>
                <w:w w:val="85"/>
              </w:rPr>
              <w:t>Prospectus</w:t>
            </w:r>
          </w:p>
        </w:tc>
        <w:tc>
          <w:tcPr>
            <w:tcW w:w="1920" w:type="dxa"/>
            <w:vAlign w:val="bottom"/>
          </w:tcPr>
          <w:p>
            <w:pPr>
              <w:spacing w:after="0"/>
              <w:rPr>
                <w:sz w:val="24"/>
                <w:szCs w:val="24"/>
                <w:color w:val="auto"/>
              </w:rPr>
            </w:pPr>
          </w:p>
        </w:tc>
      </w:tr>
      <w:tr>
        <w:trPr>
          <w:trHeight w:val="419"/>
        </w:trPr>
        <w:tc>
          <w:tcPr>
            <w:tcW w:w="940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About This Prospectus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60" w:type="dxa"/>
            <w:vAlign w:val="bottom"/>
            <w:gridSpan w:val="4"/>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Where You Can Find More Information</w:t>
              </w:r>
            </w:hyperlink>
          </w:p>
        </w:tc>
        <w:tc>
          <w:tcPr>
            <w:tcW w:w="652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Forward-Looking Statements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Who We Are</w:t>
              </w:r>
            </w:hyperlink>
          </w:p>
        </w:tc>
        <w:tc>
          <w:tcPr>
            <w:tcW w:w="1160" w:type="dxa"/>
            <w:vAlign w:val="bottom"/>
            <w:tcBorders>
              <w:top w:val="single" w:sz="8" w:color="0000EE"/>
            </w:tcBorders>
            <w:gridSpan w:val="9"/>
          </w:tcPr>
          <w:p>
            <w:pPr>
              <w:spacing w:after="0"/>
              <w:rPr>
                <w:sz w:val="17"/>
                <w:szCs w:val="17"/>
                <w:color w:val="auto"/>
              </w:rPr>
            </w:pPr>
          </w:p>
        </w:tc>
        <w:tc>
          <w:tcPr>
            <w:tcW w:w="728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8480" w:type="dxa"/>
            <w:vAlign w:val="bottom"/>
            <w:gridSpan w:val="2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Use of Proceeds</w:t>
              </w:r>
            </w:hyperlink>
          </w:p>
        </w:tc>
        <w:tc>
          <w:tcPr>
            <w:tcW w:w="8220" w:type="dxa"/>
            <w:vAlign w:val="bottom"/>
            <w:gridSpan w:val="1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Ratio of Earnings to Fixed Charges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5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Description of Our Debt Securities</w:t>
              </w:r>
            </w:hyperlink>
          </w:p>
        </w:tc>
        <w:tc>
          <w:tcPr>
            <w:tcW w:w="20" w:type="dxa"/>
            <w:vAlign w:val="bottom"/>
            <w:tcBorders>
              <w:top w:val="single" w:sz="8" w:color="0000EE"/>
            </w:tcBorders>
          </w:tcPr>
          <w:p>
            <w:pPr>
              <w:spacing w:after="0"/>
              <w:rPr>
                <w:sz w:val="17"/>
                <w:szCs w:val="17"/>
                <w:color w:val="auto"/>
              </w:rPr>
            </w:pPr>
          </w:p>
        </w:tc>
        <w:tc>
          <w:tcPr>
            <w:tcW w:w="6860" w:type="dxa"/>
            <w:vAlign w:val="bottom"/>
            <w:gridSpan w:val="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39">
              <w:r>
                <w:rPr>
                  <w:rFonts w:ascii="Arial" w:cs="Arial" w:eastAsia="Arial" w:hAnsi="Arial"/>
                  <w:sz w:val="18"/>
                  <w:szCs w:val="18"/>
                  <w:color w:val="0000EE"/>
                  <w:w w:val="92"/>
                </w:rPr>
                <w:t>Description of Our Common Units</w:t>
              </w:r>
            </w:hyperlink>
          </w:p>
        </w:tc>
        <w:tc>
          <w:tcPr>
            <w:tcW w:w="6880" w:type="dxa"/>
            <w:vAlign w:val="bottom"/>
            <w:gridSpan w:val="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400" w:type="dxa"/>
            <w:vAlign w:val="bottom"/>
            <w:gridSpan w:val="2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Cash Distribution Policy</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40" w:type="dxa"/>
            <w:vAlign w:val="bottom"/>
            <w:gridSpan w:val="10"/>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Description of Our Partnership Agreement</w:t>
              </w:r>
            </w:hyperlink>
          </w:p>
        </w:tc>
        <w:tc>
          <w:tcPr>
            <w:tcW w:w="632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Material U.S. Federal Income Tax Consequences</w:t>
              </w:r>
            </w:hyperlink>
          </w:p>
        </w:tc>
        <w:tc>
          <w:tcPr>
            <w:tcW w:w="58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14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Plan of Distribution</w:t>
              </w:r>
            </w:hyperlink>
          </w:p>
        </w:tc>
        <w:tc>
          <w:tcPr>
            <w:tcW w:w="7960" w:type="dxa"/>
            <w:vAlign w:val="bottom"/>
            <w:gridSpan w:val="1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Legal Matters</w:t>
              </w:r>
            </w:hyperlink>
          </w:p>
        </w:tc>
        <w:tc>
          <w:tcPr>
            <w:tcW w:w="838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Experts</w:t>
              </w:r>
            </w:hyperlink>
          </w:p>
        </w:tc>
        <w:tc>
          <w:tcPr>
            <w:tcW w:w="8840" w:type="dxa"/>
            <w:vAlign w:val="bottom"/>
            <w:gridSpan w:val="21"/>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46"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20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common units and additional disclosures that would pertain if at some time in the future we were to offer our common units or our debt securities. Accordingly, the accompanying base prospectus may contain information that does not apply to this offering. Generally, when we refer only to the “prospectus,” we are referring to both parts combined.</w:t>
      </w:r>
    </w:p>
    <w:p>
      <w:pPr>
        <w:spacing w:after="0" w:line="184"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62"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base prospectus or any free writing prospectus relating to this offering of common units. Neither we nor the underwriter have authorized anyone to provide you with different information. Neither we nor the underwriter are making an offer of the common units in any jurisdiction where the offer is not permitted.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56"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95"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130"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30" w:lineRule="exact"/>
        <w:rPr>
          <w:rFonts w:ascii="Arial" w:cs="Arial" w:eastAsia="Arial" w:hAnsi="Arial"/>
          <w:sz w:val="18"/>
          <w:szCs w:val="18"/>
          <w:color w:val="auto"/>
        </w:rPr>
      </w:pPr>
    </w:p>
    <w:p>
      <w:pPr>
        <w:ind w:left="900" w:right="30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occurrence of a natural disaster, catastrophe, terrorist attack or other event, including attacks on our electronic and computer systems;</w:t>
      </w:r>
    </w:p>
    <w:p>
      <w:pPr>
        <w:spacing w:after="0" w:line="142" w:lineRule="exact"/>
        <w:rPr>
          <w:rFonts w:ascii="Arial" w:cs="Arial" w:eastAsia="Arial" w:hAnsi="Arial"/>
          <w:sz w:val="17"/>
          <w:szCs w:val="17"/>
          <w:color w:val="auto"/>
        </w:rPr>
      </w:pPr>
    </w:p>
    <w:p>
      <w:pPr>
        <w:ind w:left="900" w:right="300" w:hanging="325"/>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current and future laws, rulings, governmental regulations, accounting standards and statements, and related interpretations;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our units at the time of vesting under our long-term incentive plans;</w:t>
      </w:r>
    </w:p>
    <w:p>
      <w:pPr>
        <w:spacing w:after="0" w:line="142" w:lineRule="exact"/>
        <w:rPr>
          <w:rFonts w:ascii="Arial" w:cs="Arial" w:eastAsia="Arial" w:hAnsi="Arial"/>
          <w:sz w:val="17"/>
          <w:szCs w:val="17"/>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75"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2014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98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98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200" w:right="60" w:firstLine="443"/>
        <w:spacing w:after="0" w:line="273" w:lineRule="auto"/>
        <w:rPr>
          <w:sz w:val="20"/>
          <w:szCs w:val="20"/>
          <w:color w:val="auto"/>
        </w:rPr>
      </w:pPr>
      <w:r>
        <w:rPr>
          <w:rFonts w:ascii="Arial" w:cs="Arial" w:eastAsia="Arial" w:hAnsi="Arial"/>
          <w:sz w:val="17"/>
          <w:szCs w:val="17"/>
          <w:i w:val="1"/>
          <w:iCs w:val="1"/>
          <w:color w:val="auto"/>
        </w:rPr>
        <w:t>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common units. Please read “Risk Factors” on page S-5 of this prospectus supplement and in our Annual Report on Form 10-K for the fiscal year ended December 31, 2014, which is incorporated by reference herein, for information regarding risks you should consider before investing in our common units.</w:t>
      </w:r>
    </w:p>
    <w:p>
      <w:pPr>
        <w:spacing w:after="0" w:line="178" w:lineRule="exact"/>
        <w:rPr>
          <w:sz w:val="20"/>
          <w:szCs w:val="20"/>
          <w:color w:val="auto"/>
        </w:rPr>
      </w:pPr>
    </w:p>
    <w:p>
      <w:pPr>
        <w:ind w:left="200" w:right="600" w:firstLine="443"/>
        <w:spacing w:after="0" w:line="277" w:lineRule="auto"/>
        <w:rPr>
          <w:sz w:val="20"/>
          <w:szCs w:val="20"/>
          <w:color w:val="auto"/>
        </w:rPr>
      </w:pPr>
      <w:r>
        <w:rPr>
          <w:rFonts w:ascii="Arial" w:cs="Arial" w:eastAsia="Arial" w:hAnsi="Arial"/>
          <w:sz w:val="18"/>
          <w:szCs w:val="18"/>
          <w:i w:val="1"/>
          <w:iCs w:val="1"/>
          <w:color w:val="auto"/>
        </w:rPr>
        <w:t>Except as the context otherwise indicates, the information in this prospectus supplement assumes no exercise of the underwriter’s option to purchase additional common units.</w:t>
      </w:r>
    </w:p>
    <w:p>
      <w:pPr>
        <w:spacing w:after="0" w:line="170" w:lineRule="exact"/>
        <w:rPr>
          <w:sz w:val="20"/>
          <w:szCs w:val="20"/>
          <w:color w:val="auto"/>
        </w:rPr>
      </w:pPr>
    </w:p>
    <w:p>
      <w:pPr>
        <w:ind w:left="200" w:right="220" w:firstLine="443"/>
        <w:spacing w:after="0" w:line="312"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unless the context clearly indicates otherwise, references to “PAA,” the “Partnership,” “we,” “us,” “our” and similar terms refer to Plains All American Pipeline, L.P. and its subsidiaries. References to our “general partner,” as the context requires, include any or all of PAA GP LLC, Plains AAP, L.P. and Plains All American GP LLC.</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Plains All American Pipeline, L.P.</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87" w:lineRule="exact"/>
        <w:rPr>
          <w:sz w:val="20"/>
          <w:szCs w:val="20"/>
          <w:color w:val="auto"/>
        </w:rPr>
      </w:pPr>
    </w:p>
    <w:p>
      <w:pPr>
        <w:ind w:left="200" w:right="180" w:firstLine="443"/>
        <w:spacing w:after="0" w:line="286" w:lineRule="auto"/>
        <w:rPr>
          <w:sz w:val="20"/>
          <w:szCs w:val="20"/>
          <w:color w:val="auto"/>
        </w:rPr>
      </w:pPr>
      <w:r>
        <w:rPr>
          <w:rFonts w:ascii="Arial" w:cs="Arial" w:eastAsia="Arial" w:hAnsi="Arial"/>
          <w:sz w:val="17"/>
          <w:szCs w:val="17"/>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Ongoing Acquisition and Investment Activities</w:t>
      </w:r>
    </w:p>
    <w:p>
      <w:pPr>
        <w:spacing w:after="0" w:line="11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293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2293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Principal Executive Offices</w:t>
      </w:r>
    </w:p>
    <w:p>
      <w:pPr>
        <w:spacing w:after="0" w:line="117" w:lineRule="exact"/>
        <w:rPr>
          <w:sz w:val="20"/>
          <w:szCs w:val="20"/>
          <w:color w:val="auto"/>
        </w:rPr>
      </w:pPr>
    </w:p>
    <w:p>
      <w:pPr>
        <w:jc w:val="both"/>
        <w:ind w:left="200" w:firstLine="443"/>
        <w:spacing w:after="0" w:line="286" w:lineRule="auto"/>
        <w:rPr>
          <w:sz w:val="20"/>
          <w:szCs w:val="20"/>
          <w:color w:val="auto"/>
        </w:rPr>
      </w:pPr>
      <w:r>
        <w:rPr>
          <w:rFonts w:ascii="Arial" w:cs="Arial" w:eastAsia="Arial" w:hAnsi="Arial"/>
          <w:sz w:val="17"/>
          <w:szCs w:val="17"/>
          <w:color w:val="auto"/>
        </w:rPr>
        <w:t xml:space="preserve">Our executive offices are located at 333 Clay Street, Suite 1600, Houston, Texas 77002. Our telephone number is (713) 646-4100. We maintain a website at </w:t>
      </w:r>
      <w:r>
        <w:rPr>
          <w:rFonts w:ascii="Arial" w:cs="Arial" w:eastAsia="Arial" w:hAnsi="Arial"/>
          <w:sz w:val="17"/>
          <w:szCs w:val="17"/>
          <w:i w:val="1"/>
          <w:iCs w:val="1"/>
          <w:color w:val="auto"/>
        </w:rPr>
        <w:t>www.plainsallamerican.com</w:t>
      </w:r>
      <w:r>
        <w:rPr>
          <w:rFonts w:ascii="Arial" w:cs="Arial" w:eastAsia="Arial" w:hAnsi="Arial"/>
          <w:sz w:val="17"/>
          <w:szCs w:val="17"/>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117"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2014, which is incorporated by reference herein.</w:t>
      </w:r>
    </w:p>
    <w:p>
      <w:pPr>
        <w:spacing w:after="0" w:line="28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00"/>
          </w:cols>
          <w:pgMar w:left="240" w:top="459" w:right="5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715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715635"/>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units offered</w:t>
      </w:r>
    </w:p>
    <w:p>
      <w:pPr>
        <w:spacing w:after="0" w:line="347" w:lineRule="exact"/>
        <w:rPr>
          <w:sz w:val="20"/>
          <w:szCs w:val="20"/>
          <w:color w:val="auto"/>
        </w:rPr>
      </w:pPr>
    </w:p>
    <w:p>
      <w:pPr>
        <w:ind w:left="200" w:right="900"/>
        <w:spacing w:after="0" w:line="669" w:lineRule="auto"/>
        <w:rPr>
          <w:sz w:val="20"/>
          <w:szCs w:val="20"/>
          <w:color w:val="auto"/>
        </w:rPr>
      </w:pPr>
      <w:r>
        <w:rPr>
          <w:rFonts w:ascii="Arial" w:cs="Arial" w:eastAsia="Arial" w:hAnsi="Arial"/>
          <w:sz w:val="18"/>
          <w:szCs w:val="18"/>
          <w:color w:val="auto"/>
        </w:rPr>
        <w:t>Units outstanding after this offering 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21,000,000 common units; 24,150,000 common units if the underwriter exercises in full its option to purchase additional common units.</w:t>
      </w:r>
    </w:p>
    <w:p>
      <w:pPr>
        <w:spacing w:after="0" w:line="7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397,241,697 common units (400,391,697 if the underwriter exercises in full its option to purchase additional common units).</w:t>
      </w:r>
    </w:p>
    <w:p>
      <w:pPr>
        <w:spacing w:after="0" w:line="76" w:lineRule="exact"/>
        <w:rPr>
          <w:sz w:val="20"/>
          <w:szCs w:val="20"/>
          <w:color w:val="auto"/>
        </w:rPr>
      </w:pPr>
    </w:p>
    <w:p>
      <w:pPr>
        <w:ind w:right="320"/>
        <w:spacing w:after="0" w:line="285" w:lineRule="auto"/>
        <w:rPr>
          <w:sz w:val="20"/>
          <w:szCs w:val="20"/>
          <w:color w:val="auto"/>
        </w:rPr>
      </w:pPr>
      <w:r>
        <w:rPr>
          <w:rFonts w:ascii="Arial" w:cs="Arial" w:eastAsia="Arial" w:hAnsi="Arial"/>
          <w:sz w:val="16"/>
          <w:szCs w:val="16"/>
          <w:color w:val="auto"/>
        </w:rPr>
        <w:t>We intend to use the net proceeds from this offering of approximately $1.1 billion, including our general partner’s proportionate capital contribution and after deducting the underwriter’s discounts and commissions and estimated offering expenses, to repay outstanding borrowings under our commercial paper program and for general partnership purposes, including acquisitions, joint venture investments and other expansion capital expenditures.</w:t>
      </w:r>
    </w:p>
    <w:p>
      <w:pPr>
        <w:spacing w:after="0" w:line="2" w:lineRule="exact"/>
        <w:rPr>
          <w:sz w:val="20"/>
          <w:szCs w:val="20"/>
          <w:color w:val="auto"/>
        </w:rPr>
      </w:pPr>
    </w:p>
    <w:p>
      <w:pPr>
        <w:ind w:right="460"/>
        <w:spacing w:after="0" w:line="255" w:lineRule="auto"/>
        <w:rPr>
          <w:sz w:val="20"/>
          <w:szCs w:val="20"/>
          <w:color w:val="auto"/>
        </w:rPr>
      </w:pPr>
      <w:r>
        <w:rPr>
          <w:rFonts w:ascii="Arial" w:cs="Arial" w:eastAsia="Arial" w:hAnsi="Arial"/>
          <w:sz w:val="18"/>
          <w:szCs w:val="18"/>
          <w:color w:val="auto"/>
        </w:rPr>
        <w:t>Amounts repaid under our commercial paper program may be reborrowed, as necessary, for general partnership purposes, including acquisitions, joint venture investments and other expansion capital expenditures.</w:t>
      </w:r>
    </w:p>
    <w:p>
      <w:pPr>
        <w:spacing w:after="0" w:line="96" w:lineRule="exact"/>
        <w:rPr>
          <w:sz w:val="20"/>
          <w:szCs w:val="20"/>
          <w:color w:val="auto"/>
        </w:rPr>
      </w:pPr>
    </w:p>
    <w:p>
      <w:pPr>
        <w:sectPr>
          <w:pgSz w:w="11900" w:h="16838" w:orient="portrait"/>
          <w:cols w:equalWidth="0" w:num="2">
            <w:col w:w="3680" w:space="720"/>
            <w:col w:w="7060"/>
          </w:cols>
          <w:pgMar w:left="240" w:top="459" w:right="1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960" w:type="dxa"/>
            <w:vAlign w:val="bottom"/>
          </w:tcPr>
          <w:p>
            <w:pPr>
              <w:ind w:left="200"/>
              <w:spacing w:after="0"/>
              <w:rPr>
                <w:sz w:val="20"/>
                <w:szCs w:val="20"/>
                <w:color w:val="auto"/>
              </w:rPr>
            </w:pPr>
            <w:r>
              <w:rPr>
                <w:rFonts w:ascii="Arial" w:cs="Arial" w:eastAsia="Arial" w:hAnsi="Arial"/>
                <w:sz w:val="18"/>
                <w:szCs w:val="18"/>
                <w:color w:val="auto"/>
              </w:rPr>
              <w:t>Cash distributions</w:t>
            </w: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In accordance with our partnership agreement, we distribute all of our available cash to our</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unitholders within 45 days following the end of each quarter. Available cash generally means,</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for any quarter ending prior to liquidation, all cash on hand at the end of that quarter less the</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amount of cash reserves that are necessary or appropriate in the reasonable discretion of the</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general partner to (i) provide for the proper conduct of our business, (ii) comply with</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applicable law or any partnership debt instrument or other agreement, or (iii) provide funds for</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6"/>
              </w:rPr>
              <w:t>distributions to unitholders and the general partner in respect of any one or more of the next</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four quarters.</w:t>
            </w:r>
          </w:p>
        </w:tc>
      </w:tr>
      <w:tr>
        <w:trPr>
          <w:trHeight w:val="323"/>
        </w:trPr>
        <w:tc>
          <w:tcPr>
            <w:tcW w:w="2960" w:type="dxa"/>
            <w:vAlign w:val="bottom"/>
          </w:tcPr>
          <w:p>
            <w:pPr>
              <w:spacing w:after="0"/>
              <w:rPr>
                <w:sz w:val="24"/>
                <w:szCs w:val="24"/>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In addition to distributions on its 2% general partner interest, our general partner is entitled to</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receive incentive distributions if the amount we distribute with respect to any quarter exceeds</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levels specified in our partnership agreement. Under the quarterly incentive distribution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5"/>
              </w:rPr>
              <w:t>provisions, our general partner is entitled, without duplication and except for the agreed upon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adjustments in connection with our acquisition activities, to 15% of amounts we distribute in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6"/>
              </w:rPr>
              <w:t>excess of $0.2250 per unit, 25% of amounts we distribute in excess of $0.2475 per unit and</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9"/>
              </w:rPr>
              <w:t>50% of amounts we distribute in excess of $0.3375 per unit. For a description of our cash</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distribution policy, please read “Cash Distribution Policy” in the accompanying base</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prospectus.</w:t>
            </w:r>
          </w:p>
        </w:tc>
      </w:tr>
      <w:tr>
        <w:trPr>
          <w:trHeight w:val="323"/>
        </w:trPr>
        <w:tc>
          <w:tcPr>
            <w:tcW w:w="2960" w:type="dxa"/>
            <w:vAlign w:val="bottom"/>
          </w:tcPr>
          <w:p>
            <w:pPr>
              <w:spacing w:after="0"/>
              <w:rPr>
                <w:sz w:val="24"/>
                <w:szCs w:val="24"/>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8"/>
              </w:rPr>
              <w:t>On February 13, 2015, we paid a cash distribution of $0.675 per unit ($2.70 per unit on an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7"/>
              </w:rPr>
              <w:t>annualized basis) to holders of record of such units at the close of business on January 30,</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2015. The distribution represented an increase of approximately 9.8% over the quarterly</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distribution of $0.615 per unit ($2.46 per unit on an annualized basis) we paid in</w:t>
            </w:r>
          </w:p>
        </w:tc>
      </w:tr>
      <w:tr>
        <w:trPr>
          <w:trHeight w:val="216"/>
        </w:trPr>
        <w:tc>
          <w:tcPr>
            <w:tcW w:w="2960" w:type="dxa"/>
            <w:vAlign w:val="bottom"/>
          </w:tcPr>
          <w:p>
            <w:pPr>
              <w:spacing w:after="0"/>
              <w:rPr>
                <w:sz w:val="18"/>
                <w:szCs w:val="18"/>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w w:val="94"/>
              </w:rPr>
              <w:t>February 2014 and an increase of 2.3% over the quarterly distribution of $0.66 per unit ($2.64</w:t>
            </w:r>
          </w:p>
        </w:tc>
      </w:tr>
      <w:tr>
        <w:trPr>
          <w:trHeight w:val="230"/>
        </w:trPr>
        <w:tc>
          <w:tcPr>
            <w:tcW w:w="2960" w:type="dxa"/>
            <w:vAlign w:val="bottom"/>
          </w:tcPr>
          <w:p>
            <w:pPr>
              <w:spacing w:after="0"/>
              <w:rPr>
                <w:sz w:val="20"/>
                <w:szCs w:val="20"/>
                <w:color w:val="auto"/>
              </w:rPr>
            </w:pPr>
          </w:p>
        </w:tc>
        <w:tc>
          <w:tcPr>
            <w:tcW w:w="8500" w:type="dxa"/>
            <w:vAlign w:val="bottom"/>
          </w:tcPr>
          <w:p>
            <w:pPr>
              <w:ind w:left="1440"/>
              <w:spacing w:after="0"/>
              <w:rPr>
                <w:sz w:val="20"/>
                <w:szCs w:val="20"/>
                <w:color w:val="auto"/>
              </w:rPr>
            </w:pPr>
            <w:r>
              <w:rPr>
                <w:rFonts w:ascii="Arial" w:cs="Arial" w:eastAsia="Arial" w:hAnsi="Arial"/>
                <w:sz w:val="18"/>
                <w:szCs w:val="18"/>
                <w:color w:val="auto"/>
              </w:rPr>
              <w:t>per unit on an annualized basis) we paid in November 2014.</w:t>
            </w:r>
          </w:p>
        </w:tc>
      </w:tr>
      <w:tr>
        <w:trPr>
          <w:trHeight w:val="159"/>
        </w:trPr>
        <w:tc>
          <w:tcPr>
            <w:tcW w:w="2960" w:type="dxa"/>
            <w:vAlign w:val="bottom"/>
            <w:tcBorders>
              <w:bottom w:val="single" w:sz="8" w:color="auto"/>
            </w:tcBorders>
          </w:tcPr>
          <w:p>
            <w:pPr>
              <w:spacing w:after="0"/>
              <w:rPr>
                <w:sz w:val="13"/>
                <w:szCs w:val="13"/>
                <w:color w:val="auto"/>
              </w:rPr>
            </w:pPr>
          </w:p>
        </w:tc>
        <w:tc>
          <w:tcPr>
            <w:tcW w:w="8500" w:type="dxa"/>
            <w:vAlign w:val="bottom"/>
            <w:tcBorders>
              <w:bottom w:val="single" w:sz="8" w:color="auto"/>
            </w:tcBorders>
          </w:tcPr>
          <w:p>
            <w:pPr>
              <w:spacing w:after="0"/>
              <w:rPr>
                <w:sz w:val="13"/>
                <w:szCs w:val="13"/>
                <w:color w:val="auto"/>
              </w:rPr>
            </w:pPr>
          </w:p>
        </w:tc>
      </w:tr>
      <w:tr>
        <w:trPr>
          <w:trHeight w:val="361"/>
        </w:trPr>
        <w:tc>
          <w:tcPr>
            <w:tcW w:w="2960" w:type="dxa"/>
            <w:vAlign w:val="bottom"/>
          </w:tcPr>
          <w:p>
            <w:pPr>
              <w:spacing w:after="0"/>
              <w:rPr>
                <w:sz w:val="24"/>
                <w:szCs w:val="24"/>
                <w:color w:val="auto"/>
              </w:rPr>
            </w:pPr>
          </w:p>
        </w:tc>
        <w:tc>
          <w:tcPr>
            <w:tcW w:w="8500" w:type="dxa"/>
            <w:vAlign w:val="bottom"/>
          </w:tcPr>
          <w:p>
            <w:pPr>
              <w:ind w:left="26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4120" w:type="dxa"/>
            <w:vAlign w:val="bottom"/>
            <w:tcBorders>
              <w:top w:val="single" w:sz="8" w:color="auto"/>
              <w:left w:val="single" w:sz="8" w:color="auto"/>
            </w:tcBorders>
          </w:tcPr>
          <w:p>
            <w:pPr>
              <w:ind w:left="280"/>
              <w:spacing w:after="0"/>
              <w:rPr>
                <w:sz w:val="20"/>
                <w:szCs w:val="20"/>
                <w:color w:val="auto"/>
              </w:rPr>
            </w:pPr>
            <w:r>
              <w:rPr>
                <w:rFonts w:ascii="Arial" w:cs="Arial" w:eastAsia="Arial" w:hAnsi="Arial"/>
                <w:sz w:val="18"/>
                <w:szCs w:val="18"/>
                <w:color w:val="auto"/>
                <w:w w:val="98"/>
              </w:rPr>
              <w:t>Estimated ratio of taxable income to distributions</w:t>
            </w:r>
          </w:p>
        </w:tc>
        <w:tc>
          <w:tcPr>
            <w:tcW w:w="734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3"/>
              </w:rPr>
              <w:t>We estimate that if you own the common units you purchase in this offering through the record</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5"/>
              </w:rPr>
              <w:t>date for the distribution for the period ending December 31, 2018, you will be allocated, on a</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7"/>
              </w:rPr>
              <w:t>cumulative basis, an amount of federal taxable income for that period that will be less than</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w w:val="99"/>
              </w:rPr>
              <w:t>20% of the cash distributed to you with respect to that period. Please read “Material U.S.</w:t>
            </w:r>
          </w:p>
        </w:tc>
      </w:tr>
      <w:tr>
        <w:trPr>
          <w:trHeight w:val="216"/>
        </w:trPr>
        <w:tc>
          <w:tcPr>
            <w:tcW w:w="4120" w:type="dxa"/>
            <w:vAlign w:val="bottom"/>
            <w:tcBorders>
              <w:left w:val="single" w:sz="8" w:color="auto"/>
            </w:tcBorders>
          </w:tcPr>
          <w:p>
            <w:pPr>
              <w:spacing w:after="0"/>
              <w:rPr>
                <w:sz w:val="18"/>
                <w:szCs w:val="18"/>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Federal Income Tax Consequences” in this prospectus supplement for the basis of this</w:t>
            </w:r>
          </w:p>
        </w:tc>
      </w:tr>
      <w:tr>
        <w:trPr>
          <w:trHeight w:val="230"/>
        </w:trPr>
        <w:tc>
          <w:tcPr>
            <w:tcW w:w="412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estimate.</w:t>
            </w:r>
          </w:p>
        </w:tc>
      </w:tr>
      <w:tr>
        <w:trPr>
          <w:trHeight w:val="338"/>
        </w:trPr>
        <w:tc>
          <w:tcPr>
            <w:tcW w:w="41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Listing</w:t>
            </w:r>
          </w:p>
        </w:tc>
        <w:tc>
          <w:tcPr>
            <w:tcW w:w="734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Our common units are traded on the NYSE under the symbol “PAA.”</w:t>
            </w:r>
          </w:p>
        </w:tc>
      </w:tr>
      <w:tr>
        <w:trPr>
          <w:trHeight w:val="172"/>
        </w:trPr>
        <w:tc>
          <w:tcPr>
            <w:tcW w:w="4120" w:type="dxa"/>
            <w:vAlign w:val="bottom"/>
            <w:tcBorders>
              <w:left w:val="single" w:sz="8" w:color="auto"/>
              <w:bottom w:val="single" w:sz="8" w:color="auto"/>
            </w:tcBorders>
          </w:tcPr>
          <w:p>
            <w:pPr>
              <w:spacing w:after="0"/>
              <w:rPr>
                <w:sz w:val="14"/>
                <w:szCs w:val="14"/>
                <w:color w:val="auto"/>
              </w:rPr>
            </w:pPr>
          </w:p>
        </w:tc>
        <w:tc>
          <w:tcPr>
            <w:tcW w:w="7340" w:type="dxa"/>
            <w:vAlign w:val="bottom"/>
            <w:tcBorders>
              <w:bottom w:val="single" w:sz="8" w:color="auto"/>
              <w:right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7340" w:type="dxa"/>
            <w:vAlign w:val="bottom"/>
          </w:tcPr>
          <w:p>
            <w:pPr>
              <w:ind w:left="146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Before making an investment in the common units offered hereby, you should carefully consider the risk factors included in Item 1A. “Risk Factors” in our Annual Report on Form 10-K for the fiscal year ended December 31, 2014 (File No. 001-14569), which is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trading price of our common units could decline, and you could lose all or part of your investment.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net proceeds of this offering will be approximately $1.1 billion, including our general partner’s proportionate capital contribution, after deducting the underwriter’s discounts and commissions and estimated offering expenses. If the underwriter exercises in full its option to purchase additional common units, the net proceeds of this offering will be approximately $1.2 billion, including our general partner’s proportionate capital contribution.</w:t>
      </w:r>
    </w:p>
    <w:p>
      <w:pPr>
        <w:spacing w:after="0" w:line="14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intend to use the net proceeds of this offering (as well as the proceeds from any exercise of the underwriter’s option to purchase additional common units) to repay outstanding borrowings under our commercial paper program and for general partnership purposes, including acquisitions, joint venture investments and other expansion capital expenditures. Amounts repaid under our commercial paper program may be reborrowed, as necessary, for general partnership purposes, including acquisitions, joint venture investments and other expansion capital expenditures.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of February 25, 2015, we had approximately $503 million of borrowings outstanding under our commercial paper program with a weighted average interest rate of approximately 0.4%. The outstanding borrowings under our commercial paper program have maturity dates of three days or less. Our commercial paper program is backstopped by our senior secured hedged inventory facility and our senior unsecured revolving credit facility.</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An affiliate of Barclays Capital Inc. is a dealer under our commercial paper program and may hold commercial paper notes thereunder. Accordingly, it may receive a portion of the net proceeds from this offering. Please read “Underwriting — Other Relationships” in this prospectus supplement for further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PRICE RANGE OF COMMON UNITS AND DISTRIBUTIONS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common units are listed and traded on the NYSE under the symbol “PAA.” As of February 25, 2015, the closing market price for our common units was $52.59 per unit and there were approximately 236,000 record holders and beneficial owners (held in street name). As of February 25, 2015, there were 376,241,697 common units outstanding</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table sets forth high and low sales prices for our common units and the cash distributions declared per common unit for the periods indicated.</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Common Unit Price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r>
      <w:tr>
        <w:trPr>
          <w:trHeight w:val="162"/>
        </w:trPr>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8"/>
              </w:rPr>
              <w:t>Range</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Distributions</w:t>
            </w:r>
          </w:p>
        </w:tc>
      </w:tr>
      <w:tr>
        <w:trPr>
          <w:trHeight w:val="142"/>
        </w:trPr>
        <w:tc>
          <w:tcPr>
            <w:tcW w:w="6400" w:type="dxa"/>
            <w:vAlign w:val="bottom"/>
          </w:tcPr>
          <w:p>
            <w:pPr>
              <w:spacing w:after="0"/>
              <w:rPr>
                <w:sz w:val="12"/>
                <w:szCs w:val="12"/>
                <w:color w:val="auto"/>
              </w:rPr>
            </w:pPr>
          </w:p>
        </w:tc>
        <w:tc>
          <w:tcPr>
            <w:tcW w:w="560" w:type="dxa"/>
            <w:vAlign w:val="bottom"/>
            <w:tcBorders>
              <w:top w:val="single" w:sz="8" w:color="auto"/>
            </w:tcBorders>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6"/>
              </w:rPr>
              <w:t>High</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per Unit(1)</w:t>
            </w: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1st Quarter (through February 25, 2015)</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$52.70</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$45.84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4th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$59.75</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$43.61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0.6750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3rd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$61.09</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$55.98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0.6600</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2nd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$60.05</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$54.54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0.6450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1st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$55.30</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$49.25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0.6300</w:t>
            </w: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4th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$53.74</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$47.26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0.6150</w:t>
            </w:r>
          </w:p>
        </w:tc>
      </w:tr>
      <w:tr>
        <w:trPr>
          <w:trHeight w:val="216"/>
        </w:trPr>
        <w:tc>
          <w:tcPr>
            <w:tcW w:w="6400" w:type="dxa"/>
            <w:vAlign w:val="bottom"/>
          </w:tcPr>
          <w:p>
            <w:pPr>
              <w:ind w:left="360"/>
              <w:spacing w:after="0"/>
              <w:rPr>
                <w:sz w:val="20"/>
                <w:szCs w:val="20"/>
                <w:color w:val="auto"/>
              </w:rPr>
            </w:pPr>
            <w:r>
              <w:rPr>
                <w:rFonts w:ascii="Arial" w:cs="Arial" w:eastAsia="Arial" w:hAnsi="Arial"/>
                <w:sz w:val="18"/>
                <w:szCs w:val="18"/>
                <w:color w:val="auto"/>
              </w:rPr>
              <w:t>3rd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$57.72</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$48.86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0.6000</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2nd Quarter</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$59.52</w:t>
            </w:r>
          </w:p>
        </w:tc>
        <w:tc>
          <w:tcPr>
            <w:tcW w:w="1380" w:type="dxa"/>
            <w:vAlign w:val="bottom"/>
            <w:gridSpan w:val="3"/>
            <w:shd w:val="clear" w:color="auto" w:fill="CCEEFF"/>
          </w:tcPr>
          <w:p>
            <w:pPr>
              <w:jc w:val="center"/>
              <w:ind w:left="152"/>
              <w:spacing w:after="0"/>
              <w:rPr>
                <w:sz w:val="20"/>
                <w:szCs w:val="20"/>
                <w:color w:val="auto"/>
              </w:rPr>
            </w:pPr>
            <w:r>
              <w:rPr>
                <w:rFonts w:ascii="Arial" w:cs="Arial" w:eastAsia="Arial" w:hAnsi="Arial"/>
                <w:sz w:val="18"/>
                <w:szCs w:val="18"/>
                <w:color w:val="auto"/>
                <w:w w:val="90"/>
              </w:rPr>
              <w:t>$50.15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0.5875</w:t>
            </w: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1st Quarter</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$57.17</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90"/>
              </w:rPr>
              <w:t>$45.95</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distributions associated with the quarter presented. These distributions were declared and paid in the following calendar quarter.</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distributions in respect of the first quarter of 2015 have not been declared or paid.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December 31, 2014:</w:t>
      </w:r>
    </w:p>
    <w:p>
      <w:pPr>
        <w:spacing w:after="0" w:line="131"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130"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common units offered hereby and the application of the net proceeds therefrom as described under “Use of Proceeds” in this prospectus supplement and our general partner’s proportionate capital contribution, net of offering expenses.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December 31, 2014</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2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Historical</w:t>
            </w: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tcPr>
          <w:p>
            <w:pPr>
              <w:jc w:val="center"/>
              <w:ind w:left="352"/>
              <w:spacing w:after="0" w:line="142" w:lineRule="exact"/>
              <w:rPr>
                <w:sz w:val="20"/>
                <w:szCs w:val="20"/>
                <w:color w:val="auto"/>
              </w:rPr>
            </w:pPr>
            <w:r>
              <w:rPr>
                <w:rFonts w:ascii="Arial" w:cs="Arial" w:eastAsia="Arial" w:hAnsi="Arial"/>
                <w:sz w:val="14"/>
                <w:szCs w:val="14"/>
                <w:b w:val="1"/>
                <w:bCs w:val="1"/>
                <w:color w:val="auto"/>
                <w:w w:val="96"/>
              </w:rPr>
              <w:t>(In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
        </w:trPr>
        <w:tc>
          <w:tcPr>
            <w:tcW w:w="894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rPr>
              <w:t>SHORT-TERM DEBT(1)(2)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PAA commercial paper notes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tcPr>
          <w:p>
            <w:pPr>
              <w:ind w:left="360"/>
              <w:spacing w:after="0"/>
              <w:rPr>
                <w:sz w:val="20"/>
                <w:szCs w:val="20"/>
                <w:color w:val="auto"/>
              </w:rPr>
            </w:pPr>
            <w:r>
              <w:rPr>
                <w:rFonts w:ascii="Arial" w:cs="Arial" w:eastAsia="Arial" w:hAnsi="Arial"/>
                <w:sz w:val="18"/>
                <w:szCs w:val="18"/>
                <w:color w:val="auto"/>
              </w:rPr>
              <w:t>PAA senior notes: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5.25% senior notes due June 2015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3.95% senior notes due September 2015</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tcPr>
          <w:p>
            <w:pPr>
              <w:ind w:left="360"/>
              <w:spacing w:after="0"/>
              <w:rPr>
                <w:sz w:val="20"/>
                <w:szCs w:val="20"/>
                <w:color w:val="auto"/>
              </w:rPr>
            </w:pPr>
            <w:r>
              <w:rPr>
                <w:rFonts w:ascii="Arial" w:cs="Arial" w:eastAsia="Arial" w:hAnsi="Arial"/>
                <w:sz w:val="18"/>
                <w:szCs w:val="18"/>
                <w:color w:val="auto"/>
              </w:rPr>
              <w:t>Senior notes, net of unamortized discounts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8,757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tcPr>
          <w:p>
            <w:pPr>
              <w:ind w:left="360"/>
              <w:spacing w:after="0"/>
              <w:rPr>
                <w:sz w:val="20"/>
                <w:szCs w:val="20"/>
                <w:color w:val="auto"/>
              </w:rPr>
            </w:pPr>
            <w:r>
              <w:rPr>
                <w:rFonts w:ascii="Arial" w:cs="Arial" w:eastAsia="Arial" w:hAnsi="Arial"/>
                <w:sz w:val="18"/>
                <w:szCs w:val="18"/>
                <w:color w:val="auto"/>
              </w:rPr>
              <w:t>Common unitholders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7,793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8,834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Total partners’ capital excluding noncontrolling interests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8,133</w:t>
            </w: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780" w:type="dxa"/>
            <w:vAlign w:val="bottom"/>
          </w:tcPr>
          <w:p>
            <w:pPr>
              <w:ind w:left="20"/>
              <w:spacing w:after="0"/>
              <w:rPr>
                <w:sz w:val="20"/>
                <w:szCs w:val="20"/>
                <w:color w:val="auto"/>
              </w:rPr>
            </w:pPr>
            <w:r>
              <w:rPr>
                <w:rFonts w:ascii="Arial" w:cs="Arial" w:eastAsia="Arial" w:hAnsi="Arial"/>
                <w:sz w:val="18"/>
                <w:szCs w:val="18"/>
                <w:color w:val="auto"/>
              </w:rPr>
              <w:t>Total partners’ capital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8,191</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16,953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18,015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7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line="26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December 31, 2014, we classified all of the borrowings under the commercial paper program as short-term. These borrowings are primarily designated as working capital borrowings, must be repaid within one year and are primarily for hedged NGL and crude oil inventory and NYMEX and ICE margin deposits.</w:t>
      </w:r>
    </w:p>
    <w:p>
      <w:pPr>
        <w:spacing w:after="0" w:line="3" w:lineRule="exact"/>
        <w:rPr>
          <w:rFonts w:ascii="Arial" w:cs="Arial" w:eastAsia="Arial" w:hAnsi="Arial"/>
          <w:sz w:val="17"/>
          <w:szCs w:val="17"/>
          <w:color w:val="auto"/>
        </w:rPr>
      </w:pPr>
    </w:p>
    <w:p>
      <w:pPr>
        <w:ind w:left="460" w:right="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Canadian subsidiary, Plains Midstream Canada ULC (“PMCULC”), is an obligor of our commercial paper program; however, on a historical and on an as adjusted basis as of December 31, 2014, no amounts are outstanding for PMCULC. As of February 25, 2015, we had approximately $503 million of borrowings outstanding under our commercial paper program and no borrowings outstanding under our senior secured hedged inventory facility or our senior unsecured revolving credit facility.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80"/>
          </w:cols>
          <w:pgMar w:left="240" w:top="459" w:right="3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tax consequences to you of an investment in our common units will depend in part on your own tax circumstances. For a discussion of the material U.S. federal income tax consequences associated with our operations and the purchase, ownership and disposition of our common units, please read the risk factors included under the caption “Tax Risks to Common Unitholders” in our most recent Annual Report on Form 10-K and “Material U.S. Federal Income Tax Consequences” in the accompanying base prospectus, as updated and supplemented by the discussion included herein. You are urged to consult with, and depend upon, your own tax advisor about the federal, state, local and foreign tax consequences particular to your circumstances.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12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b w:val="1"/>
          <w:bCs w:val="1"/>
          <w:i w:val="1"/>
          <w:iCs w:val="1"/>
          <w:color w:val="auto"/>
        </w:rPr>
        <w:t>Ratio of Taxable Income to Distributions</w:t>
      </w:r>
      <w:r>
        <w:rPr>
          <w:rFonts w:ascii="Arial" w:cs="Arial" w:eastAsia="Arial" w:hAnsi="Arial"/>
          <w:sz w:val="17"/>
          <w:szCs w:val="17"/>
          <w:color w:val="auto"/>
        </w:rPr>
        <w:t>. We estimate that a purchaser of common units in this offering who owns those common units from the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closing of this offering through the record date for the period ending December 31, 2018 will be allocated, on a cumulative basis, an amount of federal taxable income that will be 20% or less of the cash distributed to the unitholder with respect to that period. These estimates are based upon the assumption that earnings from operations will approximate the amount required to make the current quarterly distribution on all units and other assumptions with respect to capital expenditures, cash flow, net working capital and anticipated cash distributions. These estimates and assumptions are subject to, among other things, numerous business, economic, regulatory, legislative, competitive and political uncertainties beyond our control. Further, the estimates are based on current tax law and tax reporting positions that we will adopt and which could change or with which the Internal Revenue Service could disagree. Accordingly, we cannot assure you that these estimates will prove to be correct. The ratio of taxable income to distributions could be higher or lower than expected, and any differences could be material and could materially affect the value of the common units. For example, the ratio of taxable income to cash distributions to a purchaser of common units in this offering would be higher, and perhaps substantially higher, than our estimate with respect to the period described above if we:</w:t>
      </w:r>
    </w:p>
    <w:p>
      <w:pPr>
        <w:spacing w:after="0" w:line="8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distribute less cash than we have assumed in making this projection; or</w:t>
      </w:r>
    </w:p>
    <w:p>
      <w:pPr>
        <w:spacing w:after="0" w:line="13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 future offering of common units and use the proceeds of the offering in a manner that does not produce additional deductions during the period described above, such as to repay indebtedness outstanding at the time of this offering or to acquire property that is not eligible for depreciation or amortization for federal income tax purposes or that is depreciable or amortizable at a rate significantly slower than the rate applicable to our assets at the time of this offering.</w:t>
      </w:r>
    </w:p>
    <w:p>
      <w:pPr>
        <w:spacing w:after="0" w:line="18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Legislative Changes</w:t>
      </w:r>
      <w:r>
        <w:rPr>
          <w:rFonts w:ascii="Arial" w:cs="Arial" w:eastAsia="Arial" w:hAnsi="Arial"/>
          <w:sz w:val="18"/>
          <w:szCs w:val="18"/>
          <w:color w:val="auto"/>
        </w:rPr>
        <w:t>. The present U.S. federal income tax treatment of publicly traded partnerships, including us, or an investment in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units may be modified by administrative, legislative or judicial changes or differing interpretations at any time. For example, the Obama administration’s budget proposal for fiscal year 2016 recommends that certain publicly traded partnerships earning income from activities related to fossil fuels be taxed as corporations beginning in 2021. From time to time, members of Congress propose and consider such substantive changes to the existing federal income tax laws that affect publicly traded partnerships. If successful, the Obama administration’s proposal or other similar proposals could eliminate the qualifying income exception to the treatment of all publicly-traded partnerships as corporations upon which we rely for our treatment as a partnership for U.S. federal income tax purposes.</w:t>
      </w:r>
    </w:p>
    <w:p>
      <w:pPr>
        <w:spacing w:after="0" w:line="18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Any modification to the U.S. federal income tax laws may be applied retroactively and could make it more difficult or impossible for us to meet the exception for certain publicly traded partnerships to be treated as partnerships for U.S. federal income tax purposes. We are unable to predict whether any of these changes or other proposals will ultimately be enacted. Any such changes could negatively impact the value of an investment in our common units.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Tax Rates</w:t>
      </w:r>
      <w:r>
        <w:rPr>
          <w:rFonts w:ascii="Arial" w:cs="Arial" w:eastAsia="Arial" w:hAnsi="Arial"/>
          <w:sz w:val="18"/>
          <w:szCs w:val="18"/>
          <w:color w:val="auto"/>
        </w:rPr>
        <w:t>. Under current law, the highest marginal federal income tax rates for individuals applicable to ordinary income and long-term capital gains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gains from the sale or exchange of certain investment assets held for more than one year) are 39.6% and 20%, respectively. These rates are subject to change by new legislation at any time.</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r>
        <w:rPr>
          <w:rFonts w:ascii="Arial" w:cs="Arial" w:eastAsia="Arial" w:hAnsi="Arial"/>
          <w:sz w:val="18"/>
          <w:szCs w:val="18"/>
          <w:color w:val="auto"/>
        </w:rPr>
        <w:t>. Persons who hold an interest in us as a nominee for another person are required to furnish to us:</w:t>
      </w:r>
    </w:p>
    <w:p>
      <w:pPr>
        <w:spacing w:after="0" w:line="117" w:lineRule="exact"/>
        <w:rPr>
          <w:sz w:val="20"/>
          <w:szCs w:val="20"/>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17" w:lineRule="exact"/>
        <w:rPr>
          <w:rFonts w:ascii="Arial" w:cs="Arial" w:eastAsia="Arial" w:hAnsi="Arial"/>
          <w:sz w:val="18"/>
          <w:szCs w:val="18"/>
          <w:color w:val="auto"/>
        </w:rPr>
      </w:pPr>
    </w:p>
    <w:p>
      <w:pPr>
        <w:ind w:left="1480" w:hanging="139"/>
        <w:spacing w:after="0"/>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person that is not a U.S. person;</w:t>
      </w:r>
    </w:p>
    <w:p>
      <w:pPr>
        <w:spacing w:after="0" w:line="117" w:lineRule="exact"/>
        <w:rPr>
          <w:rFonts w:ascii="Arial" w:cs="Arial" w:eastAsia="Arial" w:hAnsi="Arial"/>
          <w:sz w:val="18"/>
          <w:szCs w:val="18"/>
          <w:color w:val="auto"/>
        </w:rPr>
      </w:pPr>
    </w:p>
    <w:p>
      <w:pPr>
        <w:ind w:left="1540" w:hanging="199"/>
        <w:spacing w:after="0"/>
        <w:tabs>
          <w:tab w:leader="none" w:pos="15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 foreign government, an international organization or any wholly-owned agency or instrumentality of either of the foregoing; or</w:t>
      </w:r>
    </w:p>
    <w:p>
      <w:pPr>
        <w:spacing w:after="0" w:line="128" w:lineRule="exact"/>
        <w:rPr>
          <w:rFonts w:ascii="Arial" w:cs="Arial" w:eastAsia="Arial" w:hAnsi="Arial"/>
          <w:sz w:val="17"/>
          <w:szCs w:val="17"/>
          <w:color w:val="auto"/>
        </w:rPr>
      </w:pPr>
    </w:p>
    <w:p>
      <w:pPr>
        <w:ind w:left="1580" w:hanging="239"/>
        <w:spacing w:after="0"/>
        <w:tabs>
          <w:tab w:leader="none" w:pos="1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description of common units held, acquired or transferred for the beneficial owner; and</w:t>
      </w:r>
    </w:p>
    <w:p>
      <w:pPr>
        <w:spacing w:after="0" w:line="117" w:lineRule="exact"/>
        <w:rPr>
          <w:rFonts w:ascii="Arial" w:cs="Arial" w:eastAsia="Arial" w:hAnsi="Arial"/>
          <w:sz w:val="18"/>
          <w:szCs w:val="18"/>
          <w:color w:val="auto"/>
        </w:rPr>
      </w:pPr>
    </w:p>
    <w:p>
      <w:pPr>
        <w:ind w:left="460" w:right="100" w:firstLine="443"/>
        <w:spacing w:after="0" w:line="277" w:lineRule="auto"/>
        <w:tabs>
          <w:tab w:leader="none" w:pos="1153"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Brokers and financial institutions are required to furnish additional information, including whether they are U.S. persons and specific information on common units they acquire, hold or transfer for their own account. A penalty of $100 per failure, up to a maximum of $1,500,000 per calendar year, is imposed by the Internal Revenue Code of 1986, as amended, for failure to report that information to us. The nominee is required to supply the beneficial owner of the common units with the information furnished by us.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Tax-Exempt Organizations and Other Investors</w:t>
      </w:r>
      <w:r>
        <w:rPr>
          <w:rFonts w:ascii="Arial" w:cs="Arial" w:eastAsia="Arial" w:hAnsi="Arial"/>
          <w:sz w:val="18"/>
          <w:szCs w:val="18"/>
          <w:color w:val="auto"/>
        </w:rPr>
        <w:t>. Ownership of common units by tax-exempt entities and non-U.S. investors raises issues unique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persons. Tax-exempt entities and non-U.S. investors are encouraged to consult with your own tax advisor about the federal, state, local and foreign tax consequences particular to your circumstances before investing. Please read “Material U.S. Federal Income Tax Consequences — Tax-Exempt Organizations and Other Investors” in the accompanying base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Accuracy-Related Penalties. </w:t>
      </w:r>
      <w:r>
        <w:rPr>
          <w:rFonts w:ascii="Arial" w:cs="Arial" w:eastAsia="Arial" w:hAnsi="Arial"/>
          <w:sz w:val="18"/>
          <w:szCs w:val="18"/>
          <w:color w:val="auto"/>
        </w:rPr>
        <w:t>The 20% accuracy-related penalty applies to any portion of an underpayment of tax that is attributable to transactions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lacking economic substance. To the extent that such transactions are not disclosed, the penalty imposed is increased to 40%. Additionally, there is no reasonable cause defense to the imposition of this penalty to such transactions.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Subject to the terms and conditions set forth in an underwriting agreement between us and Barclays Capital Inc. (the “underwriter”), we have agreed to sell to the underwriter and the underwriter has agreed to purchase all of the common units included in this offering.</w:t>
      </w:r>
    </w:p>
    <w:p>
      <w:pPr>
        <w:spacing w:after="0" w:line="170"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The underwriting agreement provides that the obligations of the underwriter to purchase the common units included in this offering are subject to approval of legal matters by counsel and to other conditions. Under the terms of the underwriting agreement, the underwriter is committed to purchase all of the common units (other than those covered by the underwriter’s option to purchase additional common units described below).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The following table shows the underwriting discounts and commissions that we are to pay to the underwriter in connection with this offering. These amounts are shown assuming both no exercise and full exercise of the underwriter’s option to purchase additional common units.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No Exercise</w:t>
            </w:r>
          </w:p>
        </w:tc>
        <w:tc>
          <w:tcPr>
            <w:tcW w:w="6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Common Unit</w:t>
            </w:r>
          </w:p>
        </w:tc>
        <w:tc>
          <w:tcPr>
            <w:tcW w:w="2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top w:val="single" w:sz="8" w:color="CCEEFF"/>
            </w:tcBorders>
            <w:shd w:val="clear" w:color="auto" w:fill="CCEEFF"/>
          </w:tcPr>
          <w:p>
            <w:pPr>
              <w:spacing w:after="0"/>
              <w:rPr>
                <w:sz w:val="18"/>
                <w:szCs w:val="18"/>
                <w:color w:val="auto"/>
              </w:rPr>
            </w:pPr>
          </w:p>
        </w:tc>
      </w:tr>
      <w:tr>
        <w:trPr>
          <w:trHeight w:val="230"/>
        </w:trPr>
        <w:tc>
          <w:tcPr>
            <w:tcW w:w="3780" w:type="dxa"/>
            <w:vAlign w:val="bottom"/>
          </w:tcPr>
          <w:p>
            <w:pPr>
              <w:ind w:left="360"/>
              <w:spacing w:after="0"/>
              <w:rPr>
                <w:sz w:val="20"/>
                <w:szCs w:val="20"/>
                <w:color w:val="auto"/>
              </w:rPr>
            </w:pPr>
            <w:r>
              <w:rPr>
                <w:rFonts w:ascii="Arial" w:cs="Arial" w:eastAsia="Arial" w:hAnsi="Arial"/>
                <w:sz w:val="18"/>
                <w:szCs w:val="18"/>
                <w:color w:val="auto"/>
              </w:rPr>
              <w:t>Total</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8,610,000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9,901,500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underwriter has advised us that it proposes to offer some of the common units directly to the public at the public offering price set forth on the cover page of this prospectus supplement and some of the common units to dealers at the public offering price less a concession not to exceed $0.25 per common unit. If all of the common units are not sold at the initial offering price, the underwriter may change the public offering price and the other selling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Units</w:t>
      </w:r>
    </w:p>
    <w:p>
      <w:pPr>
        <w:spacing w:after="0" w:line="12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We have granted to the underwriter an option, exercisable for 30 days from the date of this prospectus supplement, to purchase up to 3,150,000 additional common units at the public offering price less the underwriting discount.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our general partner, certain officers and directors of our general partner and certain of their affiliates have agreed that, for a period of 45 days from the date of this prospectus supplement, we and they will not, without the prior written consent of Barclays Capital Inc., offer, sell, contract to sell, pledge or otherwise dispose of any common units or any securities convertible into, or exercisable or exchangeable for or that represent the right to receive common units or any securities that are senior to or pari passu with common units, including the grant of any options or warrants to purchase common units. Certain Kayne Anderson entities, which collectively own approximately 12.3 million common units and which are affiliated with Robert V. Sinnott, a director of our general partner, are not subject to this agreement and may sell some or all of their common units during the lock-up period. This agreement also will not apply to (i) grants under existing employee benefit plans (including long-term incentive plans adopted by our general partner, Plains AAP, L.P. or Plains All American GP LLC), (ii) issuances of common units or any securities convertible or exchangeable into common units as payment of any part of the purchase price in connection with acquisitions by us and our affiliates or any third parties (with any transferees in such acquisitions agreeing to be bound by the lock-up agreement for the remainder of the term), (iii) certain sales of common units by the officers or directors of the company that controls our general partner to pay tax liabilities associated with the vesting of units, (iv) transfers of common units by the officers and directors of our general partner in connection with gifts or charitable donations or (v) issuances or deliveries of common units in connection with the conversion, vesting or exercise of securities (including long-term incentive plan awards) currently outstanding. Barclays Capital Inc., in its sole discretion, may release any of the common units subject to these lock-up agreements at any time without notice.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units are listed on the NYSE under the symbol “PAA.”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Stabilizations, Short Positions and Penalty Bids</w:t>
      </w:r>
    </w:p>
    <w:p>
      <w:pPr>
        <w:spacing w:after="0" w:line="12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connection with the offering, the underwriter may purchase and sell common units in the open market. These transactions may include short sales, syndicate covering transactions and stabilizing transactions. Short sales involve syndicate sales of common units in excess of the number of common units to be purchased by the underwriter in the offering, which creates a syndicate short position. “Covered” short sales are sales of common units made in an amount up to the number of common units represented by the underwriter’s option to purchase additional common units. In determining the source of common units to close out the covered syndicate short position, the underwriter will consider, among other things, the price of common units available for purchase in the open market as compared to the price at which it may purchase units through the option to purchase additional common units. Transactions to close out the covered syndicate short position involve either purchases of the common units in the open market after the distribution has been completed or the exercise of the option to purchase additional common units. The underwriter may also make “naked” short sales of common units in excess of the option to purchase additional common units. The underwriter must close out any naked short position by purchasing common units in the open market. A naked short position is more likely to be created if the underwriter is concerned that there may be downward pressure on the price of the common units in the open market after pricing that could adversely affect investors who purchase in the offering. Stabilizing transactions consist of bids for or purchases of common units in the open market while the offering is in progress.</w:t>
      </w:r>
    </w:p>
    <w:p>
      <w:pPr>
        <w:spacing w:after="0" w:line="18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The underwriter also may impose a penalty bid. Penalty bids permit the underwriter to reclaim a selling concession from a syndicate member when the representatives repurchase common units originally sold by that syndicate member in order to cover syndicate short positions or make stabilizing purchases.</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Any of these activities may have the effect of preventing or slowing a decline in the market price of the common units. They may also cause the price of the common units to be higher than the price that would otherwise exist in the open market in the absence of these transactions. The underwriter may conduct these transactions on the NYSE or in the over-the-counter market, or otherwise. If the underwriter commences any of these transactions, it may discontinue them at any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of this offering, excluding underwriting discounts and commissions, will be approximately $450,000.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An affiliate of Barclays Capital Inc. is a dealer under our commercial paper program and may hold commercial paper notes thereunder. Accordingly, it may receive a portion of the net proceeds from this offering. In addition, Barclays Capital Inc. and its affiliates are lenders under our credit facilities and act as a sales agent under our continuous offering program, and as a result receive customary payments, fees and expenses thereunder.</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underwriter and its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w:t>
      </w:r>
    </w:p>
    <w:p>
      <w:pPr>
        <w:spacing w:after="0" w:line="18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In addition, in the ordinary course of their business activities, the underwriter and its affiliates may make or hold a broad array of investments and actively trade debt and equity securities (or related derivative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and financial instruments (including bank loans) for their own account and for the accounts of their customers. Such investments and securities activities may involve securities and/or instruments of ours or our affiliates. If the underwriter or its affiliates has a lending relationship with us, they may hedge their credit exposure to us consistent with their customary risk management policies.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prospectus supplement and the accompanying base prospectus in electronic format may be made available on the website maintained by the underwriter. The underwriter may agree to allocate a number of common units for sale to their online brokerage account holders. The common units will be allocated to the underwriter, which may make Internet distributions on the same basis as other allocations. In addition, common units may be sold by the underwriter to securities dealers who resell common units to online brokerage account holders.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than this prospectus supplement and the accompanying base prospectus in electronic format, information contained in any website maintained by the underwriter is not part of this prospectus supplement or the accompanying base prospectus or registration statement of which the accompanying base prospectus forms a part, has not been endorsed by us and should not be relied on by investors in deciding whether to purchase common units. The underwriter is not responsible for information contained in websites that it does not maintain.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of 1933, as amended, or to contribute to payments the underwriter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FINRA Conduct Rule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Because the Financial Industry Regulatory Authority views our common units as interests in a direct participation program, this offering is being made in compliance with Rule 2310 of the FINRA Rules. Investor suitability with respect to the common units will be judged similarly to the suitability with respect to other securities that are listed for trading on a national securities exchange.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prospectus is being communicated in Switzerland to a small number of selected investors only. Each copy of this prospectus is addressed to a specifically named recipient and may not be copied, reproduced, distributed or passed on to third parties. Our common units are not being offered to the public in Switzerland, and neither this prospectus, nor any other offering materials relating to our common units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common units may not be offered to the public in or from Switzerland, and neither this prospectus, nor any other offering materials relating to our common units may be made available through a public offering in or from Switzerland. Our common units may only be offered and this prospectus may only be distributed in or from Switzerland by way of private placement exclusively to qualified investors (as this term is defined in the CISA and its implementing ordinance).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Certain legal matters in connection with the common units being offered hereby will be passed upon for us by Vinson &amp; Elkins L.L.P., Houston, Texas and for the underwriter by Baker Botts L.L.P., Houston, Texas.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supplement by reference to the Annual Report on Form 10-K for the fiscal year ended December 31, 2014, have been so incorporated in reliance on the report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Securities Exchange Act of 1934 (excluding any information furnished and not filed pursuant to any Current Report on Form 8-K) until the offering and sale of the common units contemplated by this prospectus supplement are complete:</w:t>
      </w:r>
    </w:p>
    <w:p>
      <w:pPr>
        <w:spacing w:after="0" w:line="9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 and</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Reports on Form 8-K filed with the SEC on January 9, 2015 (board composition change) and January 20, 2015 (364-day senior unsecured credit agreement).</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4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 has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2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Arial" w:cs="Arial" w:eastAsia="Arial" w:hAnsi="Arial"/>
          <w:sz w:val="29"/>
          <w:szCs w:val="29"/>
          <w:b w:val="1"/>
          <w:bCs w:val="1"/>
          <w:color w:val="auto"/>
        </w:rPr>
        <w:t>21,000,000 Common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663575</wp:posOffset>
            </wp:positionV>
            <wp:extent cx="15176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6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February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635000</wp:posOffset>
            </wp:positionV>
            <wp:extent cx="1517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Arial" w:cs="Arial" w:eastAsia="Arial" w:hAnsi="Arial"/>
          <w:sz w:val="25"/>
          <w:szCs w:val="25"/>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1718945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1770380</wp:posOffset>
            </wp:positionV>
            <wp:extent cx="72466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lvl w:ilvl="1">
      <w:lvlJc w:val="left"/>
      <w:lvlText w:val="%2."/>
      <w:numFmt w:val="lowerRoman"/>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lowerLetter"/>
      <w:start w:val="1"/>
    </w:lvl>
    <w:lvl w:ilvl="1">
      <w:lvlJc w:val="left"/>
      <w:lvlText w:val="(%2)"/>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1)"/>
      <w:numFmt w:val="decimal"/>
      <w:start w:val="2"/>
    </w:lvl>
  </w:abstractNum>
  <w:abstractNum w:abstractNumId="40">
    <w:nsid w:val="4B588F54"/>
    <w:multiLevelType w:val="hybridMultilevel"/>
    <w:lvl w:ilvl="0">
      <w:lvlJc w:val="left"/>
      <w:lvlText w:val="(%1)"/>
      <w:numFmt w:val="lowerLetter"/>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3"/>
    </w:lvl>
  </w:abstractNum>
  <w:abstractNum w:abstractNumId="47">
    <w:nsid w:val="579478FE"/>
    <w:multiLevelType w:val="hybridMultilevel"/>
    <w:lvl w:ilvl="0">
      <w:lvlJc w:val="left"/>
      <w:lvlText w:val="(%1)"/>
      <w:numFmt w:val="decimal"/>
      <w:start w:val="3"/>
    </w:lvl>
    <w:lvl w:ilvl="1">
      <w:lvlJc w:val="left"/>
      <w:lvlText w:val="%2"/>
      <w:numFmt w:val="lowerLetter"/>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2020-01-22T17:13:26Z</dcterms:created>
  <dcterms:modified xsi:type="dcterms:W3CDTF">2020-01-22T17:13:26Z</dcterms:modified>
</cp:coreProperties>
</file>