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72390</wp:posOffset>
            </wp:positionH>
            <wp:positionV relativeFrom="page">
              <wp:posOffset>235585</wp:posOffset>
            </wp:positionV>
            <wp:extent cx="762508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271780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34" w:lineRule="exact"/>
        <w:rPr>
          <w:sz w:val="24"/>
          <w:szCs w:val="24"/>
          <w:color w:val="auto"/>
        </w:rPr>
      </w:pPr>
    </w:p>
    <w:p>
      <w:pPr>
        <w:jc w:val="center"/>
        <w:ind w:right="-5"/>
        <w:spacing w:after="0"/>
        <w:rPr>
          <w:sz w:val="20"/>
          <w:szCs w:val="20"/>
          <w:color w:val="auto"/>
        </w:rPr>
      </w:pPr>
      <w:r>
        <w:rPr>
          <w:rFonts w:ascii="Arial" w:cs="Arial" w:eastAsia="Arial" w:hAnsi="Arial"/>
          <w:sz w:val="34"/>
          <w:szCs w:val="34"/>
          <w:b w:val="1"/>
          <w:bCs w:val="1"/>
          <w:color w:val="auto"/>
        </w:rPr>
        <w:t>SECURITIES AND EXCHANGE COMMISSION</w:t>
      </w:r>
    </w:p>
    <w:p>
      <w:pPr>
        <w:spacing w:after="0" w:line="1"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Washington, D.C. 20549</w:t>
      </w:r>
    </w:p>
    <w:p>
      <w:pPr>
        <w:spacing w:after="0" w:line="191" w:lineRule="exact"/>
        <w:rPr>
          <w:sz w:val="24"/>
          <w:szCs w:val="24"/>
          <w:color w:val="auto"/>
        </w:rPr>
      </w:pPr>
    </w:p>
    <w:p>
      <w:pPr>
        <w:jc w:val="center"/>
        <w:ind w:right="-5"/>
        <w:spacing w:after="0"/>
        <w:rPr>
          <w:sz w:val="20"/>
          <w:szCs w:val="20"/>
          <w:color w:val="auto"/>
        </w:rPr>
      </w:pPr>
      <w:r>
        <w:rPr>
          <w:rFonts w:ascii="Arial" w:cs="Arial" w:eastAsia="Arial" w:hAnsi="Arial"/>
          <w:sz w:val="34"/>
          <w:szCs w:val="34"/>
          <w:b w:val="1"/>
          <w:bCs w:val="1"/>
          <w:color w:val="auto"/>
        </w:rPr>
        <w:t>FORM 8-K</w:t>
      </w:r>
    </w:p>
    <w:p>
      <w:pPr>
        <w:spacing w:after="0" w:line="248"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CURRENT REPORT</w:t>
      </w:r>
    </w:p>
    <w:p>
      <w:pPr>
        <w:spacing w:after="0" w:line="29"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19" w:lineRule="exact"/>
        <w:rPr>
          <w:sz w:val="24"/>
          <w:szCs w:val="24"/>
          <w:color w:val="auto"/>
        </w:rPr>
      </w:pPr>
    </w:p>
    <w:p>
      <w:pPr>
        <w:jc w:val="center"/>
        <w:ind w:right="-5"/>
        <w:spacing w:after="0"/>
        <w:rPr>
          <w:sz w:val="20"/>
          <w:szCs w:val="20"/>
          <w:color w:val="auto"/>
        </w:rPr>
      </w:pPr>
      <w:r>
        <w:rPr>
          <w:rFonts w:ascii="Arial" w:cs="Arial" w:eastAsia="Arial" w:hAnsi="Arial"/>
          <w:sz w:val="19"/>
          <w:szCs w:val="19"/>
          <w:color w:val="auto"/>
        </w:rPr>
        <w:t xml:space="preserve">Date of Report (Date of earliest event reported) </w:t>
      </w:r>
      <w:r>
        <w:rPr>
          <w:rFonts w:ascii="Arial" w:cs="Arial" w:eastAsia="Arial" w:hAnsi="Arial"/>
          <w:sz w:val="19"/>
          <w:szCs w:val="19"/>
          <w:b w:val="1"/>
          <w:bCs w:val="1"/>
          <w:color w:val="auto"/>
        </w:rPr>
        <w:t>— September 9, 2019</w:t>
      </w:r>
    </w:p>
    <w:p>
      <w:pPr>
        <w:spacing w:after="0" w:line="213" w:lineRule="exact"/>
        <w:rPr>
          <w:sz w:val="24"/>
          <w:szCs w:val="24"/>
          <w:color w:val="auto"/>
        </w:rPr>
      </w:pPr>
    </w:p>
    <w:p>
      <w:pPr>
        <w:jc w:val="center"/>
        <w:ind w:right="-5"/>
        <w:spacing w:after="0"/>
        <w:rPr>
          <w:sz w:val="20"/>
          <w:szCs w:val="20"/>
          <w:color w:val="auto"/>
        </w:rPr>
      </w:pPr>
      <w:r>
        <w:rPr>
          <w:rFonts w:ascii="Arial" w:cs="Arial" w:eastAsia="Arial" w:hAnsi="Arial"/>
          <w:sz w:val="34"/>
          <w:szCs w:val="34"/>
          <w:b w:val="1"/>
          <w:bCs w:val="1"/>
          <w:color w:val="auto"/>
        </w:rPr>
        <w:t>Plains GP Holdings, L.P.</w:t>
      </w:r>
    </w:p>
    <w:p>
      <w:pPr>
        <w:spacing w:after="0" w:line="41" w:lineRule="exact"/>
        <w:rPr>
          <w:sz w:val="24"/>
          <w:szCs w:val="24"/>
          <w:color w:val="auto"/>
        </w:rPr>
      </w:pPr>
    </w:p>
    <w:p>
      <w:pPr>
        <w:jc w:val="center"/>
        <w:ind w:right="-5"/>
        <w:spacing w:after="0"/>
        <w:rPr>
          <w:sz w:val="20"/>
          <w:szCs w:val="20"/>
          <w:color w:val="auto"/>
        </w:rPr>
      </w:pPr>
      <w:r>
        <w:rPr>
          <w:rFonts w:ascii="Arial" w:cs="Arial" w:eastAsia="Arial" w:hAnsi="Arial"/>
          <w:sz w:val="19"/>
          <w:szCs w:val="19"/>
          <w:color w:val="auto"/>
        </w:rPr>
        <w:t>(Exact name of registrant as specified in its charter)</w:t>
      </w:r>
    </w:p>
    <w:p>
      <w:pPr>
        <w:sectPr>
          <w:pgSz w:w="12240" w:h="15840" w:orient="portrait"/>
          <w:cols w:equalWidth="0" w:num="1">
            <w:col w:w="12006"/>
          </w:cols>
          <w:pgMar w:left="114" w:top="624" w:right="120" w:bottom="1440" w:gutter="0" w:footer="0" w:header="0"/>
        </w:sectPr>
      </w:pPr>
    </w:p>
    <w:p>
      <w:pPr>
        <w:spacing w:after="0" w:line="216" w:lineRule="exact"/>
        <w:rPr>
          <w:sz w:val="24"/>
          <w:szCs w:val="24"/>
          <w:color w:val="auto"/>
        </w:rPr>
      </w:pPr>
    </w:p>
    <w:p>
      <w:pPr>
        <w:jc w:val="center"/>
        <w:ind w:right="394"/>
        <w:spacing w:after="0"/>
        <w:rPr>
          <w:sz w:val="20"/>
          <w:szCs w:val="20"/>
          <w:color w:val="auto"/>
        </w:rPr>
      </w:pPr>
      <w:r>
        <w:rPr>
          <w:rFonts w:ascii="Arial" w:cs="Arial" w:eastAsia="Arial" w:hAnsi="Arial"/>
          <w:sz w:val="19"/>
          <w:szCs w:val="19"/>
          <w:b w:val="1"/>
          <w:bCs w:val="1"/>
          <w:color w:val="auto"/>
        </w:rPr>
        <w:t>DELAWARE</w:t>
      </w:r>
    </w:p>
    <w:p>
      <w:pPr>
        <w:spacing w:after="0" w:line="29" w:lineRule="exact"/>
        <w:rPr>
          <w:sz w:val="24"/>
          <w:szCs w:val="24"/>
          <w:color w:val="auto"/>
        </w:rPr>
      </w:pPr>
    </w:p>
    <w:p>
      <w:pPr>
        <w:jc w:val="center"/>
        <w:ind w:right="394"/>
        <w:spacing w:after="0"/>
        <w:rPr>
          <w:sz w:val="20"/>
          <w:szCs w:val="20"/>
          <w:color w:val="auto"/>
        </w:rPr>
      </w:pPr>
      <w:r>
        <w:rPr>
          <w:rFonts w:ascii="Arial" w:cs="Arial" w:eastAsia="Arial" w:hAnsi="Arial"/>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000"/>
        <w:spacing w:after="0"/>
        <w:rPr>
          <w:sz w:val="20"/>
          <w:szCs w:val="20"/>
          <w:color w:val="auto"/>
        </w:rPr>
      </w:pPr>
      <w:r>
        <w:rPr>
          <w:rFonts w:ascii="Arial" w:cs="Arial" w:eastAsia="Arial" w:hAnsi="Arial"/>
          <w:sz w:val="19"/>
          <w:szCs w:val="19"/>
          <w:b w:val="1"/>
          <w:bCs w:val="1"/>
          <w:color w:val="auto"/>
        </w:rPr>
        <w:t>1-36132</w:t>
      </w:r>
    </w:p>
    <w:p>
      <w:pPr>
        <w:spacing w:after="0" w:line="29"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600"/>
        <w:spacing w:after="0"/>
        <w:rPr>
          <w:sz w:val="20"/>
          <w:szCs w:val="20"/>
          <w:color w:val="auto"/>
        </w:rPr>
      </w:pPr>
      <w:r>
        <w:rPr>
          <w:rFonts w:ascii="Arial" w:cs="Arial" w:eastAsia="Arial" w:hAnsi="Arial"/>
          <w:sz w:val="19"/>
          <w:szCs w:val="19"/>
          <w:b w:val="1"/>
          <w:bCs w:val="1"/>
          <w:color w:val="auto"/>
        </w:rPr>
        <w:t>90-1005472</w:t>
      </w:r>
    </w:p>
    <w:p>
      <w:pPr>
        <w:spacing w:after="0" w:line="29"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33" w:lineRule="exact"/>
        <w:rPr>
          <w:sz w:val="24"/>
          <w:szCs w:val="24"/>
          <w:color w:val="auto"/>
        </w:rPr>
      </w:pPr>
    </w:p>
    <w:p>
      <w:pPr>
        <w:sectPr>
          <w:pgSz w:w="12240" w:h="15840" w:orient="portrait"/>
          <w:cols w:equalWidth="0" w:num="3">
            <w:col w:w="4246" w:space="720"/>
            <w:col w:w="3100" w:space="720"/>
            <w:col w:w="3220"/>
          </w:cols>
          <w:pgMar w:left="114" w:top="624" w:right="120" w:bottom="1440" w:gutter="0" w:footer="0" w:header="0"/>
          <w:type w:val="continuous"/>
        </w:sectPr>
      </w:pPr>
    </w:p>
    <w:p>
      <w:pPr>
        <w:ind w:left="1386"/>
        <w:spacing w:after="0"/>
        <w:rPr>
          <w:sz w:val="20"/>
          <w:szCs w:val="20"/>
          <w:color w:val="auto"/>
        </w:rPr>
      </w:pPr>
      <w:r>
        <w:rPr>
          <w:rFonts w:ascii="Arial" w:cs="Arial" w:eastAsia="Arial" w:hAnsi="Arial"/>
          <w:sz w:val="19"/>
          <w:szCs w:val="19"/>
          <w:color w:val="auto"/>
        </w:rPr>
        <w:t>incorporation)</w:t>
      </w:r>
    </w:p>
    <w:p>
      <w:pPr>
        <w:spacing w:after="0" w:line="219" w:lineRule="exact"/>
        <w:rPr>
          <w:sz w:val="24"/>
          <w:szCs w:val="24"/>
          <w:color w:val="auto"/>
        </w:rPr>
      </w:pPr>
    </w:p>
    <w:p>
      <w:pPr>
        <w:ind w:left="3986"/>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52" w:lineRule="exact"/>
        <w:rPr>
          <w:sz w:val="24"/>
          <w:szCs w:val="24"/>
          <w:color w:val="auto"/>
        </w:rPr>
      </w:pPr>
    </w:p>
    <w:p>
      <w:pPr>
        <w:ind w:left="4046"/>
        <w:spacing w:after="0"/>
        <w:rPr>
          <w:sz w:val="20"/>
          <w:szCs w:val="20"/>
          <w:color w:val="auto"/>
        </w:rPr>
      </w:pPr>
      <w:r>
        <w:rPr>
          <w:rFonts w:ascii="Arial" w:cs="Arial" w:eastAsia="Arial" w:hAnsi="Arial"/>
          <w:sz w:val="17"/>
          <w:szCs w:val="17"/>
          <w:color w:val="auto"/>
        </w:rPr>
        <w:t>(Address of principal executive offices) (Zip Code)</w:t>
      </w:r>
    </w:p>
    <w:p>
      <w:pPr>
        <w:spacing w:after="0" w:line="242"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713-646-4100</w:t>
      </w:r>
    </w:p>
    <w:p>
      <w:pPr>
        <w:spacing w:after="0" w:line="29" w:lineRule="exact"/>
        <w:rPr>
          <w:sz w:val="24"/>
          <w:szCs w:val="24"/>
          <w:color w:val="auto"/>
        </w:rPr>
      </w:pPr>
    </w:p>
    <w:p>
      <w:pPr>
        <w:jc w:val="center"/>
        <w:ind w:right="-5"/>
        <w:spacing w:after="0"/>
        <w:rPr>
          <w:sz w:val="20"/>
          <w:szCs w:val="20"/>
          <w:color w:val="auto"/>
        </w:rPr>
      </w:pPr>
      <w:r>
        <w:rPr>
          <w:rFonts w:ascii="Arial" w:cs="Arial" w:eastAsia="Arial" w:hAnsi="Arial"/>
          <w:sz w:val="17"/>
          <w:szCs w:val="17"/>
          <w:color w:val="auto"/>
        </w:rPr>
        <w:t>(Registrant’s telephone number, including area code)</w:t>
      </w:r>
    </w:p>
    <w:p>
      <w:pPr>
        <w:sectPr>
          <w:pgSz w:w="12240" w:h="15840" w:orient="portrait"/>
          <w:cols w:equalWidth="0" w:num="1">
            <w:col w:w="12006"/>
          </w:cols>
          <w:pgMar w:left="114" w:top="624" w:right="120"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jc w:val="center"/>
        <w:ind w:right="-5"/>
        <w:spacing w:after="0"/>
        <w:rPr>
          <w:sz w:val="20"/>
          <w:szCs w:val="20"/>
          <w:color w:val="auto"/>
        </w:rPr>
      </w:pPr>
      <w:r>
        <w:rPr>
          <w:rFonts w:ascii="Arial" w:cs="Arial" w:eastAsia="Arial" w:hAnsi="Arial"/>
          <w:sz w:val="19"/>
          <w:szCs w:val="19"/>
          <w:color w:val="auto"/>
        </w:rPr>
        <w:t>(Former name or former address, if changed since last report.)</w:t>
      </w:r>
    </w:p>
    <w:p>
      <w:pPr>
        <w:spacing w:after="0" w:line="238" w:lineRule="exact"/>
        <w:rPr>
          <w:sz w:val="24"/>
          <w:szCs w:val="24"/>
          <w:color w:val="auto"/>
        </w:rPr>
      </w:pPr>
    </w:p>
    <w:p>
      <w:pPr>
        <w:ind w:left="6" w:right="8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646" w:hanging="646"/>
        <w:spacing w:after="0"/>
        <w:tabs>
          <w:tab w:leader="none" w:pos="64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37" w:lineRule="exact"/>
        <w:rPr>
          <w:rFonts w:ascii="MS PGothic" w:cs="MS PGothic" w:eastAsia="MS PGothic" w:hAnsi="MS PGothic"/>
          <w:sz w:val="19"/>
          <w:szCs w:val="19"/>
          <w:color w:val="auto"/>
        </w:rPr>
      </w:pPr>
    </w:p>
    <w:p>
      <w:pPr>
        <w:ind w:left="646" w:hanging="646"/>
        <w:spacing w:after="0"/>
        <w:tabs>
          <w:tab w:leader="none" w:pos="64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37" w:lineRule="exact"/>
        <w:rPr>
          <w:rFonts w:ascii="MS PGothic" w:cs="MS PGothic" w:eastAsia="MS PGothic" w:hAnsi="MS PGothic"/>
          <w:sz w:val="19"/>
          <w:szCs w:val="19"/>
          <w:color w:val="auto"/>
        </w:rPr>
      </w:pPr>
    </w:p>
    <w:p>
      <w:pPr>
        <w:ind w:left="646" w:hanging="646"/>
        <w:spacing w:after="0"/>
        <w:tabs>
          <w:tab w:leader="none" w:pos="64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37" w:lineRule="exact"/>
        <w:rPr>
          <w:rFonts w:ascii="MS PGothic" w:cs="MS PGothic" w:eastAsia="MS PGothic" w:hAnsi="MS PGothic"/>
          <w:sz w:val="19"/>
          <w:szCs w:val="19"/>
          <w:color w:val="auto"/>
        </w:rPr>
      </w:pPr>
    </w:p>
    <w:p>
      <w:pPr>
        <w:ind w:left="6" w:right="2860" w:hanging="6"/>
        <w:spacing w:after="0" w:line="497" w:lineRule="auto"/>
        <w:tabs>
          <w:tab w:leader="none" w:pos="652"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6" w:type="dxa"/>
        <w:tblCellMar>
          <w:top w:w="0" w:type="dxa"/>
          <w:left w:w="0" w:type="dxa"/>
          <w:bottom w:w="0" w:type="dxa"/>
          <w:right w:w="0" w:type="dxa"/>
        </w:tblCellMar>
      </w:tblPr>
      <w:tr>
        <w:trPr>
          <w:trHeight w:val="248"/>
        </w:trPr>
        <w:tc>
          <w:tcPr>
            <w:tcW w:w="4220" w:type="dxa"/>
            <w:vAlign w:val="bottom"/>
            <w:gridSpan w:val="2"/>
          </w:tcPr>
          <w:p>
            <w:pPr>
              <w:jc w:val="center"/>
              <w:ind w:right="140"/>
              <w:spacing w:after="0"/>
              <w:rPr>
                <w:sz w:val="20"/>
                <w:szCs w:val="20"/>
                <w:color w:val="auto"/>
              </w:rPr>
            </w:pPr>
            <w:r>
              <w:rPr>
                <w:rFonts w:ascii="Arial" w:cs="Arial" w:eastAsia="Arial" w:hAnsi="Arial"/>
                <w:sz w:val="19"/>
                <w:szCs w:val="19"/>
                <w:b w:val="1"/>
                <w:bCs w:val="1"/>
                <w:color w:val="auto"/>
                <w:w w:val="87"/>
              </w:rPr>
              <w:t>Title of each class</w:t>
            </w:r>
          </w:p>
        </w:tc>
        <w:tc>
          <w:tcPr>
            <w:tcW w:w="3940" w:type="dxa"/>
            <w:vAlign w:val="bottom"/>
            <w:gridSpan w:val="2"/>
          </w:tcPr>
          <w:p>
            <w:pPr>
              <w:jc w:val="center"/>
              <w:ind w:right="120"/>
              <w:spacing w:after="0"/>
              <w:rPr>
                <w:sz w:val="20"/>
                <w:szCs w:val="20"/>
                <w:color w:val="auto"/>
              </w:rPr>
            </w:pPr>
            <w:r>
              <w:rPr>
                <w:rFonts w:ascii="Arial" w:cs="Arial" w:eastAsia="Arial" w:hAnsi="Arial"/>
                <w:sz w:val="19"/>
                <w:szCs w:val="19"/>
                <w:b w:val="1"/>
                <w:bCs w:val="1"/>
                <w:color w:val="auto"/>
                <w:w w:val="89"/>
              </w:rPr>
              <w:t>Trading Symbol(s)</w:t>
            </w:r>
          </w:p>
        </w:tc>
        <w:tc>
          <w:tcPr>
            <w:tcW w:w="3840" w:type="dxa"/>
            <w:vAlign w:val="bottom"/>
          </w:tcPr>
          <w:p>
            <w:pPr>
              <w:jc w:val="center"/>
              <w:spacing w:after="0"/>
              <w:rPr>
                <w:sz w:val="20"/>
                <w:szCs w:val="20"/>
                <w:color w:val="auto"/>
              </w:rPr>
            </w:pPr>
            <w:r>
              <w:rPr>
                <w:rFonts w:ascii="Arial" w:cs="Arial" w:eastAsia="Arial" w:hAnsi="Arial"/>
                <w:sz w:val="19"/>
                <w:szCs w:val="19"/>
                <w:b w:val="1"/>
                <w:bCs w:val="1"/>
                <w:color w:val="auto"/>
                <w:w w:val="87"/>
              </w:rPr>
              <w:t>Name of each exchange on which registered</w:t>
            </w:r>
          </w:p>
        </w:tc>
      </w:tr>
      <w:tr>
        <w:trPr>
          <w:trHeight w:val="236"/>
        </w:trPr>
        <w:tc>
          <w:tcPr>
            <w:tcW w:w="40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2"/>
              </w:rPr>
              <w:t>Common Units</w:t>
            </w:r>
          </w:p>
        </w:tc>
        <w:tc>
          <w:tcPr>
            <w:tcW w:w="140" w:type="dxa"/>
            <w:vAlign w:val="bottom"/>
          </w:tcPr>
          <w:p>
            <w:pPr>
              <w:spacing w:after="0"/>
              <w:rPr>
                <w:sz w:val="20"/>
                <w:szCs w:val="20"/>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87"/>
              </w:rPr>
              <w:t>PAGP</w:t>
            </w:r>
          </w:p>
        </w:tc>
        <w:tc>
          <w:tcPr>
            <w:tcW w:w="100" w:type="dxa"/>
            <w:vAlign w:val="bottom"/>
          </w:tcPr>
          <w:p>
            <w:pPr>
              <w:spacing w:after="0"/>
              <w:rPr>
                <w:sz w:val="20"/>
                <w:szCs w:val="20"/>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1"/>
              </w:rPr>
              <w:t>New York Stock Exchange</w:t>
            </w:r>
          </w:p>
        </w:tc>
      </w:tr>
    </w:tbl>
    <w:p>
      <w:pPr>
        <w:spacing w:after="0" w:line="201" w:lineRule="exact"/>
        <w:rPr>
          <w:sz w:val="24"/>
          <w:szCs w:val="24"/>
          <w:color w:val="auto"/>
        </w:rPr>
      </w:pPr>
    </w:p>
    <w:p>
      <w:pPr>
        <w:jc w:val="both"/>
        <w:ind w:left="6" w:right="20"/>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ind w:left="686"/>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73" w:lineRule="exact"/>
        <w:rPr>
          <w:sz w:val="24"/>
          <w:szCs w:val="24"/>
          <w:color w:val="auto"/>
        </w:rPr>
      </w:pPr>
    </w:p>
    <w:p>
      <w:pPr>
        <w:ind w:left="6" w:right="100"/>
        <w:spacing w:after="0" w:line="24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762508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648970</wp:posOffset>
            </wp:positionV>
            <wp:extent cx="7625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6"/>
          </w:cols>
          <w:pgMar w:left="114" w:top="624" w:right="120"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9"/>
          <w:szCs w:val="19"/>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44" w:lineRule="exact"/>
        <w:rPr>
          <w:sz w:val="20"/>
          <w:szCs w:val="20"/>
          <w:color w:val="auto"/>
        </w:rPr>
      </w:pPr>
    </w:p>
    <w:p>
      <w:pPr>
        <w:ind w:right="120" w:firstLine="342"/>
        <w:spacing w:after="0" w:line="256" w:lineRule="auto"/>
        <w:rPr>
          <w:sz w:val="20"/>
          <w:szCs w:val="20"/>
          <w:color w:val="auto"/>
        </w:rPr>
      </w:pPr>
      <w:r>
        <w:rPr>
          <w:rFonts w:ascii="Arial" w:cs="Arial" w:eastAsia="Arial" w:hAnsi="Arial"/>
          <w:sz w:val="19"/>
          <w:szCs w:val="19"/>
          <w:color w:val="auto"/>
        </w:rPr>
        <w:t>On September 9, 2019, the registrant’s consolidated subsidiary, Plains All American Pipeline, L.P. (“PAA”), and PAA Finance Corp. (“PAA Finance,” and together with PAA, the “Issuers”) entered into an underwriting agreement (the “Underwriting Agreement”) with Citigroup Global Markets Inc., Mizuho Securities USA LLC, MUFG Securities Americas Inc. and Scotia Capital (USA) Inc., as representatives of the several underwriters named therein (collectively, the “Underwriters”), relating to the issuance and sale to the Underwriters of $1.0 billion aggregate principal amount of 3.550% Senior Notes due 2029 (the “Notes”), subject to the terms and conditions therein.</w:t>
      </w:r>
    </w:p>
    <w:p>
      <w:pPr>
        <w:spacing w:after="0" w:line="204" w:lineRule="exact"/>
        <w:rPr>
          <w:sz w:val="20"/>
          <w:szCs w:val="20"/>
          <w:color w:val="auto"/>
        </w:rPr>
      </w:pPr>
    </w:p>
    <w:p>
      <w:pPr>
        <w:jc w:val="both"/>
        <w:ind w:right="40" w:firstLine="342"/>
        <w:spacing w:after="0" w:line="263" w:lineRule="auto"/>
        <w:rPr>
          <w:sz w:val="20"/>
          <w:szCs w:val="20"/>
          <w:color w:val="auto"/>
        </w:rPr>
      </w:pPr>
      <w:r>
        <w:rPr>
          <w:rFonts w:ascii="Arial" w:cs="Arial" w:eastAsia="Arial" w:hAnsi="Arial"/>
          <w:sz w:val="19"/>
          <w:szCs w:val="19"/>
          <w:color w:val="auto"/>
        </w:rPr>
        <w:t>The Notes are being offered and sold under the Issuers’ shelf registration statement on Form S-3 (Registration No. 333-227358) filed with the Securities and Exchange Commission on September 14, 2018 (the “Registration Statement”), and are described in a Prospectus Supplement dated September 9, 2019 to the Prospectus dated September 14, 2018, which is included in the Registration Statement.</w:t>
      </w:r>
    </w:p>
    <w:p>
      <w:pPr>
        <w:spacing w:after="0" w:line="194" w:lineRule="exact"/>
        <w:rPr>
          <w:sz w:val="20"/>
          <w:szCs w:val="20"/>
          <w:color w:val="auto"/>
        </w:rPr>
      </w:pPr>
    </w:p>
    <w:p>
      <w:pPr>
        <w:ind w:right="240" w:firstLine="342"/>
        <w:spacing w:after="0" w:line="263" w:lineRule="auto"/>
        <w:rPr>
          <w:sz w:val="20"/>
          <w:szCs w:val="20"/>
          <w:color w:val="auto"/>
        </w:rPr>
      </w:pPr>
      <w:r>
        <w:rPr>
          <w:rFonts w:ascii="Arial" w:cs="Arial" w:eastAsia="Arial" w:hAnsi="Arial"/>
          <w:sz w:val="19"/>
          <w:szCs w:val="19"/>
          <w:color w:val="auto"/>
        </w:rPr>
        <w:t>The Notes will be issued pursuant to a supplemental indenture to be dated September 16, 2019 by and among the Issuers and U.S. Bank National Association (successor to Wachovia Bank, National Association), as trustee (the “Trustee”). The supplemental indenture will be entered into in accordance with the provisions of the Indenture dated September 25, 2002 by and among the Issuers and the Trustee.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closing of the offering of the Notes is expected to occur on September 16, 2019, subject to customary closing conditions.</w:t>
      </w:r>
    </w:p>
    <w:p>
      <w:pPr>
        <w:spacing w:after="0" w:line="238" w:lineRule="exact"/>
        <w:rPr>
          <w:sz w:val="20"/>
          <w:szCs w:val="20"/>
          <w:color w:val="auto"/>
        </w:rPr>
      </w:pPr>
    </w:p>
    <w:p>
      <w:pPr>
        <w:ind w:right="440" w:firstLine="342"/>
        <w:spacing w:after="0" w:line="275" w:lineRule="auto"/>
        <w:rPr>
          <w:sz w:val="20"/>
          <w:szCs w:val="20"/>
          <w:color w:val="auto"/>
        </w:rPr>
      </w:pPr>
      <w:r>
        <w:rPr>
          <w:rFonts w:ascii="Arial" w:cs="Arial" w:eastAsia="Arial" w:hAnsi="Arial"/>
          <w:sz w:val="19"/>
          <w:szCs w:val="19"/>
          <w:color w:val="auto"/>
        </w:rPr>
        <w:t>The Underwriting Agreement is filed as Exhibit 1.1 to PAA’s Current Report on Form 8-K, filed as of the date hereof, and is incorporated herein by reference.</w:t>
      </w:r>
    </w:p>
    <w:p>
      <w:pPr>
        <w:spacing w:after="0" w:line="17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(d)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gridSpan w:val="3"/>
          </w:tcPr>
          <w:p>
            <w:pPr>
              <w:jc w:val="center"/>
              <w:ind w:right="20"/>
              <w:spacing w:after="0"/>
              <w:rPr>
                <w:sz w:val="20"/>
                <w:szCs w:val="20"/>
                <w:color w:val="auto"/>
              </w:rPr>
            </w:pPr>
            <w:r>
              <w:rPr>
                <w:rFonts w:ascii="Arial" w:cs="Arial" w:eastAsia="Arial" w:hAnsi="Arial"/>
                <w:sz w:val="19"/>
                <w:szCs w:val="19"/>
                <w:b w:val="1"/>
                <w:bCs w:val="1"/>
                <w:color w:val="auto"/>
                <w:w w:val="94"/>
              </w:rPr>
              <w:t>Exhibit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8"/>
        </w:trPr>
        <w:tc>
          <w:tcPr>
            <w:tcW w:w="12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9"/>
                <w:szCs w:val="19"/>
                <w:b w:val="1"/>
                <w:bCs w:val="1"/>
                <w:color w:val="auto"/>
                <w:w w:val="94"/>
              </w:rPr>
              <w:t>Number</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7580" w:type="dxa"/>
            <w:vAlign w:val="bottom"/>
            <w:tcBorders>
              <w:bottom w:val="single" w:sz="8" w:color="auto"/>
            </w:tcBorders>
            <w:gridSpan w:val="3"/>
          </w:tcPr>
          <w:p>
            <w:pPr>
              <w:ind w:left="1100"/>
              <w:spacing w:after="0"/>
              <w:rPr>
                <w:sz w:val="20"/>
                <w:szCs w:val="20"/>
                <w:color w:val="auto"/>
              </w:rPr>
            </w:pPr>
            <w:r>
              <w:rPr>
                <w:rFonts w:ascii="Arial" w:cs="Arial" w:eastAsia="Arial" w:hAnsi="Arial"/>
                <w:sz w:val="19"/>
                <w:szCs w:val="19"/>
                <w:b w:val="1"/>
                <w:bCs w:val="1"/>
                <w:color w:val="auto"/>
              </w:rPr>
              <w:t>Description</w:t>
            </w:r>
          </w:p>
        </w:tc>
      </w:tr>
      <w:tr>
        <w:trPr>
          <w:trHeight w:val="180"/>
        </w:trPr>
        <w:tc>
          <w:tcPr>
            <w:tcW w:w="1220" w:type="dxa"/>
            <w:vAlign w:val="bottom"/>
            <w:gridSpan w:val="3"/>
          </w:tcPr>
          <w:p>
            <w:pPr>
              <w:jc w:val="right"/>
              <w:ind w:right="640"/>
              <w:spacing w:after="0" w:line="180" w:lineRule="exact"/>
              <w:rPr>
                <w:rFonts w:ascii="Arial" w:cs="Arial" w:eastAsia="Arial" w:hAnsi="Arial"/>
                <w:sz w:val="19"/>
                <w:szCs w:val="19"/>
                <w:color w:val="0000EE"/>
              </w:rPr>
            </w:pPr>
            <w:hyperlink r:id="rId13">
              <w:r>
                <w:rPr>
                  <w:rFonts w:ascii="Arial" w:cs="Arial" w:eastAsia="Arial" w:hAnsi="Arial"/>
                  <w:sz w:val="19"/>
                  <w:szCs w:val="19"/>
                  <w:color w:val="0000EE"/>
                </w:rPr>
                <w:t>1.</w:t>
              </w:r>
              <w:r>
                <w:rPr>
                  <w:rFonts w:ascii="Arial" w:cs="Arial" w:eastAsia="Arial" w:hAnsi="Arial"/>
                  <w:sz w:val="19"/>
                  <w:szCs w:val="19"/>
                  <w:u w:val="single" w:color="auto"/>
                  <w:color w:val="0000EE"/>
                </w:rPr>
                <w:t>1</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40" w:type="dxa"/>
            <w:vAlign w:val="bottom"/>
            <w:gridSpan w:val="4"/>
          </w:tcPr>
          <w:p>
            <w:pPr>
              <w:spacing w:after="0" w:line="180" w:lineRule="exact"/>
              <w:rPr>
                <w:rFonts w:ascii="Arial" w:cs="Arial" w:eastAsia="Arial" w:hAnsi="Arial"/>
                <w:sz w:val="19"/>
                <w:szCs w:val="19"/>
                <w:color w:val="0000EE"/>
                <w:w w:val="93"/>
              </w:rPr>
            </w:pPr>
            <w:hyperlink r:id="rId13">
              <w:r>
                <w:rPr>
                  <w:rFonts w:ascii="Arial" w:cs="Arial" w:eastAsia="Arial" w:hAnsi="Arial"/>
                  <w:sz w:val="19"/>
                  <w:szCs w:val="19"/>
                  <w:color w:val="0000EE"/>
                  <w:w w:val="93"/>
                </w:rPr>
                <w:t>Underwriting Agreement, dated September 9, 2019, by and among Plains All American Pipeline, L.P., PAA Finance Corp. and Citigroup</w:t>
              </w:r>
            </w:hyperlink>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73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60" w:type="dxa"/>
            <w:vAlign w:val="bottom"/>
            <w:gridSpan w:val="5"/>
          </w:tcPr>
          <w:p>
            <w:pPr>
              <w:spacing w:after="0" w:line="208" w:lineRule="exact"/>
              <w:rPr>
                <w:rFonts w:ascii="Arial" w:cs="Arial" w:eastAsia="Arial" w:hAnsi="Arial"/>
                <w:sz w:val="19"/>
                <w:szCs w:val="19"/>
                <w:color w:val="0000EE"/>
                <w:w w:val="94"/>
              </w:rPr>
            </w:pPr>
            <w:hyperlink r:id="rId13">
              <w:r>
                <w:rPr>
                  <w:rFonts w:ascii="Arial" w:cs="Arial" w:eastAsia="Arial" w:hAnsi="Arial"/>
                  <w:sz w:val="19"/>
                  <w:szCs w:val="19"/>
                  <w:color w:val="0000EE"/>
                  <w:w w:val="94"/>
                </w:rPr>
                <w:t>Global Markets Inc., Mizuho Securities USA LLC, MUFG Securities Americas Inc. and Scotia Capital (USA) Inc., as representatives of</w:t>
              </w:r>
            </w:hyperlink>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7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40" w:type="dxa"/>
            <w:vAlign w:val="bottom"/>
            <w:tcBorders>
              <w:bottom w:val="single" w:sz="8" w:color="0000EE"/>
            </w:tcBorders>
            <w:gridSpan w:val="4"/>
          </w:tcPr>
          <w:p>
            <w:pPr>
              <w:spacing w:after="0" w:line="208" w:lineRule="exact"/>
              <w:rPr>
                <w:rFonts w:ascii="Arial" w:cs="Arial" w:eastAsia="Arial" w:hAnsi="Arial"/>
                <w:sz w:val="19"/>
                <w:szCs w:val="19"/>
                <w:color w:val="0000EE"/>
                <w:w w:val="91"/>
              </w:rPr>
            </w:pPr>
            <w:hyperlink r:id="rId13">
              <w:r>
                <w:rPr>
                  <w:rFonts w:ascii="Arial" w:cs="Arial" w:eastAsia="Arial" w:hAnsi="Arial"/>
                  <w:sz w:val="19"/>
                  <w:szCs w:val="19"/>
                  <w:color w:val="0000EE"/>
                  <w:w w:val="91"/>
                </w:rPr>
                <w:t>the several underwriters named therein (incorporated by reference to Exhibit 1.1 of Plains All American Pipeline, L.P.’s Current Report on</w:t>
              </w:r>
            </w:hyperlink>
          </w:p>
        </w:tc>
        <w:tc>
          <w:tcPr>
            <w:tcW w:w="120" w:type="dxa"/>
            <w:vAlign w:val="bottom"/>
          </w:tcPr>
          <w:p>
            <w:pPr>
              <w:spacing w:after="0"/>
              <w:rPr>
                <w:sz w:val="18"/>
                <w:szCs w:val="18"/>
                <w:color w:val="auto"/>
              </w:rPr>
            </w:pPr>
          </w:p>
        </w:tc>
      </w:tr>
      <w:tr>
        <w:trPr>
          <w:trHeight w:val="208"/>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Borders>
              <w:bottom w:val="single" w:sz="8" w:color="0000EE"/>
            </w:tcBorders>
            <w:gridSpan w:val="2"/>
          </w:tcPr>
          <w:p>
            <w:pPr>
              <w:spacing w:after="0" w:line="208" w:lineRule="exact"/>
              <w:rPr>
                <w:rFonts w:ascii="Arial" w:cs="Arial" w:eastAsia="Arial" w:hAnsi="Arial"/>
                <w:sz w:val="19"/>
                <w:szCs w:val="19"/>
                <w:color w:val="0000EE"/>
                <w:w w:val="91"/>
              </w:rPr>
            </w:pPr>
            <w:hyperlink r:id="rId13">
              <w:r>
                <w:rPr>
                  <w:rFonts w:ascii="Arial" w:cs="Arial" w:eastAsia="Arial" w:hAnsi="Arial"/>
                  <w:sz w:val="19"/>
                  <w:szCs w:val="19"/>
                  <w:color w:val="0000EE"/>
                  <w:w w:val="91"/>
                </w:rPr>
                <w:t>Form 8-K filed on September 11, 2019).</w:t>
              </w:r>
            </w:hyperlink>
          </w:p>
        </w:tc>
        <w:tc>
          <w:tcPr>
            <w:tcW w:w="7580" w:type="dxa"/>
            <w:vAlign w:val="bottom"/>
            <w:gridSpan w:val="3"/>
          </w:tcPr>
          <w:p>
            <w:pPr>
              <w:spacing w:after="0"/>
              <w:rPr>
                <w:sz w:val="18"/>
                <w:szCs w:val="18"/>
                <w:color w:val="auto"/>
              </w:rPr>
            </w:pPr>
          </w:p>
        </w:tc>
      </w:tr>
    </w:tbl>
    <w:p>
      <w:pPr>
        <w:spacing w:after="0" w:line="242" w:lineRule="exact"/>
        <w:rPr>
          <w:sz w:val="20"/>
          <w:szCs w:val="20"/>
          <w:color w:val="auto"/>
        </w:rPr>
      </w:pPr>
    </w:p>
    <w:p>
      <w:pPr>
        <w:ind w:left="5960" w:right="4500" w:hanging="5671"/>
        <w:spacing w:after="0" w:line="777" w:lineRule="auto"/>
        <w:tabs>
          <w:tab w:leader="none" w:pos="1351" w:val="left"/>
        </w:tabs>
        <w:numPr>
          <w:ilvl w:val="0"/>
          <w:numId w:val="2"/>
        </w:numPr>
        <w:rPr>
          <w:rFonts w:ascii="Arial" w:cs="Arial" w:eastAsia="Arial" w:hAnsi="Arial"/>
          <w:sz w:val="19"/>
          <w:szCs w:val="19"/>
          <w:color w:val="auto"/>
        </w:rPr>
      </w:pPr>
      <w:r>
        <w:rPr>
          <w:rFonts w:ascii="Arial" w:cs="Arial" w:eastAsia="Arial" w:hAnsi="Arial"/>
          <w:sz w:val="19"/>
          <w:szCs w:val="19"/>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835" w:right="120"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ind w:right="740" w:firstLine="342"/>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960" w:type="dxa"/>
            <w:vAlign w:val="bottom"/>
          </w:tcPr>
          <w:p>
            <w:pPr>
              <w:spacing w:after="0"/>
              <w:rPr>
                <w:sz w:val="21"/>
                <w:szCs w:val="21"/>
                <w:color w:val="auto"/>
              </w:rPr>
            </w:pPr>
          </w:p>
        </w:tc>
        <w:tc>
          <w:tcPr>
            <w:tcW w:w="8040" w:type="dxa"/>
            <w:vAlign w:val="bottom"/>
            <w:gridSpan w:val="2"/>
          </w:tcPr>
          <w:p>
            <w:pPr>
              <w:ind w:left="2060"/>
              <w:spacing w:after="0"/>
              <w:rPr>
                <w:sz w:val="20"/>
                <w:szCs w:val="20"/>
                <w:color w:val="auto"/>
              </w:rPr>
            </w:pPr>
            <w:r>
              <w:rPr>
                <w:rFonts w:ascii="Arial" w:cs="Arial" w:eastAsia="Arial" w:hAnsi="Arial"/>
                <w:sz w:val="19"/>
                <w:szCs w:val="19"/>
                <w:b w:val="1"/>
                <w:bCs w:val="1"/>
                <w:color w:val="auto"/>
              </w:rPr>
              <w:t>PLAINS GP HOLDINGS, L.P.</w:t>
            </w:r>
          </w:p>
        </w:tc>
      </w:tr>
      <w:tr>
        <w:trPr>
          <w:trHeight w:val="456"/>
        </w:trPr>
        <w:tc>
          <w:tcPr>
            <w:tcW w:w="3960" w:type="dxa"/>
            <w:vAlign w:val="bottom"/>
          </w:tcPr>
          <w:p>
            <w:pPr>
              <w:spacing w:after="0"/>
              <w:rPr>
                <w:sz w:val="20"/>
                <w:szCs w:val="20"/>
                <w:color w:val="auto"/>
              </w:rPr>
            </w:pPr>
            <w:r>
              <w:rPr>
                <w:rFonts w:ascii="Arial" w:cs="Arial" w:eastAsia="Arial" w:hAnsi="Arial"/>
                <w:sz w:val="19"/>
                <w:szCs w:val="19"/>
                <w:color w:val="auto"/>
              </w:rPr>
              <w:t>Date: September 11, 2019</w:t>
            </w:r>
          </w:p>
        </w:tc>
        <w:tc>
          <w:tcPr>
            <w:tcW w:w="8040" w:type="dxa"/>
            <w:vAlign w:val="bottom"/>
            <w:gridSpan w:val="2"/>
          </w:tcPr>
          <w:p>
            <w:pPr>
              <w:ind w:left="2060"/>
              <w:spacing w:after="0"/>
              <w:rPr>
                <w:sz w:val="20"/>
                <w:szCs w:val="20"/>
                <w:color w:val="auto"/>
              </w:rPr>
            </w:pPr>
            <w:r>
              <w:rPr>
                <w:rFonts w:ascii="Arial" w:cs="Arial" w:eastAsia="Arial" w:hAnsi="Arial"/>
                <w:sz w:val="19"/>
                <w:szCs w:val="19"/>
                <w:color w:val="auto"/>
              </w:rPr>
              <w:t>By: PAA GP Holdings LLC, its general partner</w:t>
            </w:r>
          </w:p>
        </w:tc>
      </w:tr>
      <w:tr>
        <w:trPr>
          <w:trHeight w:val="456"/>
        </w:trPr>
        <w:tc>
          <w:tcPr>
            <w:tcW w:w="396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9"/>
                <w:szCs w:val="19"/>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Richard McGee</w:t>
            </w:r>
          </w:p>
        </w:tc>
      </w:tr>
      <w:tr>
        <w:trPr>
          <w:trHeight w:val="209"/>
        </w:trPr>
        <w:tc>
          <w:tcPr>
            <w:tcW w:w="3960" w:type="dxa"/>
            <w:vAlign w:val="bottom"/>
          </w:tcPr>
          <w:p>
            <w:pPr>
              <w:spacing w:after="0"/>
              <w:rPr>
                <w:sz w:val="18"/>
                <w:szCs w:val="18"/>
                <w:color w:val="auto"/>
              </w:rPr>
            </w:pPr>
          </w:p>
        </w:tc>
        <w:tc>
          <w:tcPr>
            <w:tcW w:w="2880" w:type="dxa"/>
            <w:vAlign w:val="bottom"/>
          </w:tcPr>
          <w:p>
            <w:pPr>
              <w:ind w:left="2060"/>
              <w:spacing w:after="0" w:line="209" w:lineRule="exact"/>
              <w:rPr>
                <w:sz w:val="20"/>
                <w:szCs w:val="20"/>
                <w:color w:val="auto"/>
              </w:rPr>
            </w:pPr>
            <w:r>
              <w:rPr>
                <w:rFonts w:ascii="Arial" w:cs="Arial" w:eastAsia="Arial" w:hAnsi="Arial"/>
                <w:sz w:val="19"/>
                <w:szCs w:val="19"/>
                <w:color w:val="auto"/>
              </w:rPr>
              <w:t>Name:</w:t>
            </w:r>
          </w:p>
        </w:tc>
        <w:tc>
          <w:tcPr>
            <w:tcW w:w="5160" w:type="dxa"/>
            <w:vAlign w:val="bottom"/>
          </w:tcPr>
          <w:p>
            <w:pPr>
              <w:spacing w:after="0" w:line="209" w:lineRule="exact"/>
              <w:rPr>
                <w:sz w:val="20"/>
                <w:szCs w:val="20"/>
                <w:color w:val="auto"/>
              </w:rPr>
            </w:pPr>
            <w:r>
              <w:rPr>
                <w:rFonts w:ascii="Arial" w:cs="Arial" w:eastAsia="Arial" w:hAnsi="Arial"/>
                <w:sz w:val="19"/>
                <w:szCs w:val="19"/>
                <w:color w:val="auto"/>
              </w:rPr>
              <w:t>Richard McGee</w:t>
            </w:r>
          </w:p>
        </w:tc>
      </w:tr>
      <w:tr>
        <w:trPr>
          <w:trHeight w:val="241"/>
        </w:trPr>
        <w:tc>
          <w:tcPr>
            <w:tcW w:w="3960" w:type="dxa"/>
            <w:vAlign w:val="bottom"/>
          </w:tcPr>
          <w:p>
            <w:pPr>
              <w:spacing w:after="0"/>
              <w:rPr>
                <w:sz w:val="20"/>
                <w:szCs w:val="20"/>
                <w:color w:val="auto"/>
              </w:rPr>
            </w:pPr>
          </w:p>
        </w:tc>
        <w:tc>
          <w:tcPr>
            <w:tcW w:w="2880" w:type="dxa"/>
            <w:vAlign w:val="bottom"/>
          </w:tcPr>
          <w:p>
            <w:pPr>
              <w:ind w:left="2060"/>
              <w:spacing w:after="0"/>
              <w:rPr>
                <w:sz w:val="20"/>
                <w:szCs w:val="20"/>
                <w:color w:val="auto"/>
              </w:rPr>
            </w:pPr>
            <w:r>
              <w:rPr>
                <w:rFonts w:ascii="Arial" w:cs="Arial" w:eastAsia="Arial" w:hAnsi="Arial"/>
                <w:sz w:val="19"/>
                <w:szCs w:val="19"/>
                <w:color w:val="auto"/>
              </w:rPr>
              <w:t>Title:</w:t>
            </w:r>
          </w:p>
        </w:tc>
        <w:tc>
          <w:tcPr>
            <w:tcW w:w="5160" w:type="dxa"/>
            <w:vAlign w:val="bottom"/>
          </w:tcPr>
          <w:p>
            <w:pPr>
              <w:spacing w:after="0"/>
              <w:rPr>
                <w:sz w:val="20"/>
                <w:szCs w:val="20"/>
                <w:color w:val="auto"/>
              </w:rPr>
            </w:pPr>
            <w:r>
              <w:rPr>
                <w:rFonts w:ascii="Arial" w:cs="Arial" w:eastAsia="Arial" w:hAnsi="Arial"/>
                <w:sz w:val="19"/>
                <w:szCs w:val="19"/>
                <w:color w:val="auto"/>
              </w:rPr>
              <w:t>Executive Vice President</w:t>
            </w:r>
          </w:p>
        </w:tc>
      </w:tr>
      <w:tr>
        <w:trPr>
          <w:trHeight w:val="685"/>
        </w:trPr>
        <w:tc>
          <w:tcPr>
            <w:tcW w:w="39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2000"/>
              <w:spacing w:after="0"/>
              <w:rPr>
                <w:sz w:val="20"/>
                <w:szCs w:val="20"/>
                <w:color w:val="auto"/>
              </w:rPr>
            </w:pPr>
            <w:r>
              <w:rPr>
                <w:rFonts w:ascii="Arial" w:cs="Arial" w:eastAsia="Arial" w:hAnsi="Arial"/>
                <w:sz w:val="19"/>
                <w:szCs w:val="19"/>
                <w:color w:val="auto"/>
              </w:rPr>
              <w:t>3</w:t>
            </w: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2240" w:h="15840" w:orient="portrait"/>
      <w:cols w:equalWidth="0" w:num="1">
        <w:col w:w="12000"/>
      </w:cols>
      <w:pgMar w:left="120" w:top="806"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3" Type="http://schemas.openxmlformats.org/officeDocument/2006/relationships/hyperlink" Target="http://www.sec.gov/Archives/edgar/data/1070423/000141057819001182/tv529111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2020-01-08T22:48:52Z</dcterms:created>
  <dcterms:modified xsi:type="dcterms:W3CDTF">2020-01-08T22:48:52Z</dcterms:modified>
</cp:coreProperties>
</file>