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213360</wp:posOffset>
            </wp:positionH>
            <wp:positionV relativeFrom="page">
              <wp:posOffset>712470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213360</wp:posOffset>
            </wp:positionH>
            <wp:positionV relativeFrom="page">
              <wp:posOffset>638810</wp:posOffset>
            </wp:positionV>
            <wp:extent cx="712152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16510"/>
                    </a:xfrm>
                    <a:prstGeom prst="rect">
                      <a:avLst/>
                    </a:prstGeom>
                    <a:noFill/>
                  </pic:spPr>
                </pic:pic>
              </a:graphicData>
            </a:graphic>
          </wp:anchor>
        </w:drawing>
        <w:t>UNITED STATES</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FORM 8-K</w:t>
      </w:r>
    </w:p>
    <w:p>
      <w:pPr>
        <w:spacing w:after="0" w:line="264"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CURRENT REPORT</w:t>
      </w:r>
    </w:p>
    <w:p>
      <w:pPr>
        <w:spacing w:after="0" w:line="28"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Date of Report (Date of earliest event reported) — </w:t>
      </w:r>
      <w:r>
        <w:rPr>
          <w:rFonts w:ascii="Arial" w:cs="Arial" w:eastAsia="Arial" w:hAnsi="Arial"/>
          <w:sz w:val="17"/>
          <w:szCs w:val="17"/>
          <w:b w:val="1"/>
          <w:bCs w:val="1"/>
          <w:color w:val="auto"/>
        </w:rPr>
        <w:t>February 8, 2023</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Plains GP Holdings, L.P.</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080"/>
          </w:cols>
          <w:pgMar w:left="320" w:top="1274" w:right="499" w:bottom="1440" w:gutter="0" w:footer="0" w:header="0"/>
        </w:sectPr>
      </w:pP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7"/>
          <w:szCs w:val="17"/>
          <w:b w:val="1"/>
          <w:bCs w:val="1"/>
          <w:color w:val="auto"/>
        </w:rPr>
        <w:t>Delaware</w:t>
      </w:r>
    </w:p>
    <w:p>
      <w:pPr>
        <w:spacing w:after="0" w:line="30" w:lineRule="exact"/>
        <w:rPr>
          <w:sz w:val="24"/>
          <w:szCs w:val="24"/>
          <w:color w:val="auto"/>
        </w:rPr>
      </w:pPr>
    </w:p>
    <w:p>
      <w:pPr>
        <w:jc w:val="center"/>
        <w:ind w:left="30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640"/>
        <w:spacing w:after="0"/>
        <w:rPr>
          <w:sz w:val="20"/>
          <w:szCs w:val="20"/>
          <w:color w:val="auto"/>
        </w:rPr>
      </w:pPr>
      <w:r>
        <w:rPr>
          <w:rFonts w:ascii="Arial" w:cs="Arial" w:eastAsia="Arial" w:hAnsi="Arial"/>
          <w:sz w:val="17"/>
          <w:szCs w:val="17"/>
          <w:b w:val="1"/>
          <w:bCs w:val="1"/>
          <w:color w:val="auto"/>
        </w:rPr>
        <w:t>1-36132</w:t>
      </w:r>
    </w:p>
    <w:p>
      <w:pPr>
        <w:spacing w:after="0" w:line="30" w:lineRule="exact"/>
        <w:rPr>
          <w:sz w:val="24"/>
          <w:szCs w:val="24"/>
          <w:color w:val="auto"/>
        </w:rPr>
      </w:pPr>
    </w:p>
    <w:p>
      <w:pPr>
        <w:jc w:val="center"/>
        <w:ind w:right="6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780"/>
        <w:spacing w:after="0"/>
        <w:rPr>
          <w:sz w:val="20"/>
          <w:szCs w:val="20"/>
          <w:color w:val="auto"/>
        </w:rPr>
      </w:pPr>
      <w:r>
        <w:rPr>
          <w:rFonts w:ascii="Arial" w:cs="Arial" w:eastAsia="Arial" w:hAnsi="Arial"/>
          <w:sz w:val="17"/>
          <w:szCs w:val="17"/>
          <w:b w:val="1"/>
          <w:bCs w:val="1"/>
          <w:color w:val="auto"/>
        </w:rPr>
        <w:t>90-1005472</w:t>
      </w:r>
    </w:p>
    <w:p>
      <w:pPr>
        <w:spacing w:after="0" w:line="30"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(IRS Employer Identification No.)</w:t>
      </w:r>
    </w:p>
    <w:p>
      <w:pPr>
        <w:spacing w:after="0" w:line="19" w:lineRule="exact"/>
        <w:rPr>
          <w:sz w:val="24"/>
          <w:szCs w:val="24"/>
          <w:color w:val="auto"/>
        </w:rPr>
      </w:pPr>
    </w:p>
    <w:p>
      <w:pPr>
        <w:sectPr>
          <w:pgSz w:w="11900" w:h="16838" w:orient="portrait"/>
          <w:cols w:equalWidth="0" w:num="3">
            <w:col w:w="3940" w:space="720"/>
            <w:col w:w="2540" w:space="720"/>
            <w:col w:w="3160"/>
          </w:cols>
          <w:pgMar w:left="320" w:top="1274" w:right="499" w:bottom="1440" w:gutter="0" w:footer="0" w:header="0"/>
          <w:type w:val="continuous"/>
        </w:sectPr>
      </w:pPr>
    </w:p>
    <w:p>
      <w:pPr>
        <w:ind w:left="164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080"/>
          </w:cols>
          <w:pgMar w:left="320" w:top="1274" w:right="499" w:bottom="1440" w:gutter="0" w:footer="0" w:header="0"/>
          <w:type w:val="continuous"/>
        </w:sectPr>
      </w:pPr>
    </w:p>
    <w:p>
      <w:pPr>
        <w:spacing w:after="0" w:line="317"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0"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(Address of principal executive offices) (Zip Code)</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713-646-4100</w:t>
      </w: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(Registrant’s telephone number, including area code)</w:t>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(Former name or former address, if changed since last report)</w:t>
      </w:r>
    </w:p>
    <w:p>
      <w:pPr>
        <w:spacing w:after="0" w:line="244" w:lineRule="exact"/>
        <w:rPr>
          <w:sz w:val="24"/>
          <w:szCs w:val="24"/>
          <w:color w:val="auto"/>
        </w:rPr>
      </w:pPr>
    </w:p>
    <w:p>
      <w:pPr>
        <w:ind w:right="280"/>
        <w:spacing w:after="0" w:line="28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43" w:lineRule="exact"/>
        <w:rPr>
          <w:rFonts w:ascii="MS PGothic" w:cs="MS PGothic" w:eastAsia="MS PGothic" w:hAnsi="MS PGothic"/>
          <w:sz w:val="17"/>
          <w:szCs w:val="17"/>
          <w:color w:val="auto"/>
        </w:rPr>
      </w:pPr>
    </w:p>
    <w:p>
      <w:pPr>
        <w:ind w:left="200" w:hanging="197"/>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43" w:lineRule="exact"/>
        <w:rPr>
          <w:rFonts w:ascii="MS PGothic" w:cs="MS PGothic" w:eastAsia="MS PGothic" w:hAnsi="MS PGothic"/>
          <w:sz w:val="17"/>
          <w:szCs w:val="17"/>
          <w:color w:val="auto"/>
        </w:rPr>
      </w:pPr>
    </w:p>
    <w:p>
      <w:pPr>
        <w:ind w:right="3180" w:firstLine="3"/>
        <w:spacing w:after="0" w:line="559" w:lineRule="auto"/>
        <w:tabs>
          <w:tab w:leader="none" w:pos="203"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Title of each class</w:t>
            </w:r>
          </w:p>
        </w:tc>
        <w:tc>
          <w:tcPr>
            <w:tcW w:w="120" w:type="dxa"/>
            <w:vAlign w:val="bottom"/>
          </w:tcPr>
          <w:p>
            <w:pPr>
              <w:spacing w:after="0"/>
              <w:rPr>
                <w:sz w:val="19"/>
                <w:szCs w:val="19"/>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Trading Symbol(s)</w:t>
            </w:r>
          </w:p>
        </w:tc>
        <w:tc>
          <w:tcPr>
            <w:tcW w:w="100" w:type="dxa"/>
            <w:vAlign w:val="bottom"/>
          </w:tcPr>
          <w:p>
            <w:pPr>
              <w:spacing w:after="0"/>
              <w:rPr>
                <w:sz w:val="19"/>
                <w:szCs w:val="19"/>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213"/>
        </w:trPr>
        <w:tc>
          <w:tcPr>
            <w:tcW w:w="34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Class A Shares</w:t>
            </w:r>
          </w:p>
        </w:tc>
        <w:tc>
          <w:tcPr>
            <w:tcW w:w="3460" w:type="dxa"/>
            <w:vAlign w:val="bottom"/>
            <w:gridSpan w:val="2"/>
          </w:tcPr>
          <w:p>
            <w:pPr>
              <w:jc w:val="center"/>
              <w:ind w:right="120"/>
              <w:spacing w:after="0"/>
              <w:rPr>
                <w:sz w:val="20"/>
                <w:szCs w:val="20"/>
                <w:color w:val="auto"/>
              </w:rPr>
            </w:pPr>
            <w:r>
              <w:rPr>
                <w:rFonts w:ascii="Arial" w:cs="Arial" w:eastAsia="Arial" w:hAnsi="Arial"/>
                <w:sz w:val="17"/>
                <w:szCs w:val="17"/>
                <w:color w:val="auto"/>
                <w:w w:val="88"/>
              </w:rPr>
              <w:t>PAGP</w:t>
            </w:r>
          </w:p>
        </w:tc>
        <w:tc>
          <w:tcPr>
            <w:tcW w:w="4160" w:type="dxa"/>
            <w:vAlign w:val="bottom"/>
          </w:tcPr>
          <w:p>
            <w:pPr>
              <w:jc w:val="center"/>
              <w:spacing w:after="0"/>
              <w:rPr>
                <w:sz w:val="20"/>
                <w:szCs w:val="20"/>
                <w:color w:val="auto"/>
              </w:rPr>
            </w:pPr>
            <w:r>
              <w:rPr>
                <w:rFonts w:ascii="Arial" w:cs="Arial" w:eastAsia="Arial" w:hAnsi="Arial"/>
                <w:sz w:val="17"/>
                <w:szCs w:val="17"/>
                <w:color w:val="auto"/>
                <w:w w:val="88"/>
              </w:rPr>
              <w:t>Nasdaq</w:t>
            </w:r>
          </w:p>
        </w:tc>
      </w:tr>
    </w:tbl>
    <w:p>
      <w:pPr>
        <w:spacing w:after="0" w:line="220" w:lineRule="exact"/>
        <w:rPr>
          <w:sz w:val="24"/>
          <w:szCs w:val="24"/>
          <w:color w:val="auto"/>
        </w:rPr>
      </w:pPr>
    </w:p>
    <w:p>
      <w:pPr>
        <w:ind w:right="20"/>
        <w:spacing w:after="0" w:line="283"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80" w:lineRule="exact"/>
        <w:rPr>
          <w:sz w:val="24"/>
          <w:szCs w:val="24"/>
          <w:color w:val="auto"/>
        </w:rPr>
      </w:pPr>
    </w:p>
    <w:p>
      <w:pPr>
        <w:ind w:right="40"/>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944245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210185</wp:posOffset>
            </wp:positionV>
            <wp:extent cx="70891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651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153035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080"/>
          </w:cols>
          <w:pgMar w:left="320" w:top="1274"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Item 2.02 and Item 7.01. Results of Operations and Financial Condition; Regulation FD Disclosure.</w:t>
      </w:r>
    </w:p>
    <w:p>
      <w:pPr>
        <w:spacing w:after="0" w:line="250" w:lineRule="exact"/>
        <w:rPr>
          <w:sz w:val="20"/>
          <w:szCs w:val="20"/>
          <w:color w:val="auto"/>
        </w:rPr>
      </w:pPr>
    </w:p>
    <w:p>
      <w:pPr>
        <w:ind w:firstLine="172"/>
        <w:spacing w:after="0" w:line="285" w:lineRule="auto"/>
        <w:rPr>
          <w:sz w:val="20"/>
          <w:szCs w:val="20"/>
          <w:color w:val="auto"/>
        </w:rPr>
      </w:pPr>
      <w:r>
        <w:rPr>
          <w:rFonts w:ascii="Arial" w:cs="Arial" w:eastAsia="Arial" w:hAnsi="Arial"/>
          <w:sz w:val="16"/>
          <w:szCs w:val="16"/>
          <w:color w:val="auto"/>
        </w:rPr>
        <w:t>On February 8, 2023, the Registrant issued a press release reporting its fourth-quarter 2022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 Exhibits.</w:t>
      </w:r>
    </w:p>
    <w:p>
      <w:pPr>
        <w:spacing w:after="0" w:line="21"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486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4"/>
        </w:trPr>
        <w:tc>
          <w:tcPr>
            <w:tcW w:w="11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Number</w:t>
            </w:r>
          </w:p>
        </w:tc>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color w:val="auto"/>
                <w:w w:val="90"/>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580" w:type="dxa"/>
            <w:vAlign w:val="bottom"/>
            <w:tcBorders>
              <w:top w:val="single" w:sz="8" w:color="auto"/>
              <w:bottom w:val="single" w:sz="8" w:color="0000FF"/>
            </w:tcBorders>
          </w:tcPr>
          <w:p>
            <w:pPr>
              <w:spacing w:after="0" w:line="176" w:lineRule="exact"/>
              <w:rPr>
                <w:sz w:val="20"/>
                <w:szCs w:val="20"/>
                <w:color w:val="auto"/>
              </w:rPr>
            </w:pPr>
            <w:r>
              <w:rPr>
                <w:rFonts w:ascii="Arial" w:cs="Arial" w:eastAsia="Arial" w:hAnsi="Arial"/>
                <w:sz w:val="17"/>
                <w:szCs w:val="17"/>
                <w:color w:val="0000FF"/>
                <w:w w:val="87"/>
              </w:rPr>
              <w:t>Press Release dated February 8, 2023</w:t>
            </w:r>
          </w:p>
        </w:tc>
        <w:tc>
          <w:tcPr>
            <w:tcW w:w="4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820" w:hanging="783"/>
        <w:spacing w:after="0"/>
        <w:tabs>
          <w:tab w:leader="none" w:pos="1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6"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858" w:right="459" w:bottom="1440"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95" w:lineRule="exact"/>
        <w:rPr>
          <w:sz w:val="20"/>
          <w:szCs w:val="20"/>
          <w:color w:val="auto"/>
        </w:rPr>
      </w:pPr>
    </w:p>
    <w:p>
      <w:pPr>
        <w:ind w:right="320" w:firstLine="233"/>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tbl>
      <w:tblPr>
        <w:tblLayout w:type="fixed"/>
        <w:tblInd w:w="640" w:type="dxa"/>
        <w:tblCellMar>
          <w:top w:w="0" w:type="dxa"/>
          <w:left w:w="0" w:type="dxa"/>
          <w:bottom w:w="0" w:type="dxa"/>
          <w:right w:w="0" w:type="dxa"/>
        </w:tblCellMar>
      </w:tblPr>
      <w:tr>
        <w:trPr>
          <w:trHeight w:val="219"/>
        </w:trPr>
        <w:tc>
          <w:tcPr>
            <w:tcW w:w="3060" w:type="dxa"/>
            <w:vAlign w:val="bottom"/>
          </w:tcPr>
          <w:p>
            <w:pPr>
              <w:spacing w:after="0"/>
              <w:rPr>
                <w:sz w:val="19"/>
                <w:szCs w:val="19"/>
                <w:color w:val="auto"/>
              </w:rPr>
            </w:pPr>
          </w:p>
        </w:tc>
        <w:tc>
          <w:tcPr>
            <w:tcW w:w="7640" w:type="dxa"/>
            <w:vAlign w:val="bottom"/>
            <w:gridSpan w:val="3"/>
          </w:tcPr>
          <w:p>
            <w:pPr>
              <w:ind w:left="1460"/>
              <w:spacing w:after="0"/>
              <w:rPr>
                <w:sz w:val="20"/>
                <w:szCs w:val="20"/>
                <w:color w:val="auto"/>
              </w:rPr>
            </w:pPr>
            <w:r>
              <w:rPr>
                <w:rFonts w:ascii="Arial" w:cs="Arial" w:eastAsia="Arial" w:hAnsi="Arial"/>
                <w:sz w:val="17"/>
                <w:szCs w:val="17"/>
                <w:color w:val="auto"/>
              </w:rPr>
              <w:t>PLAINS GP HOLDINGS, L.P.</w:t>
            </w:r>
          </w:p>
        </w:tc>
      </w:tr>
      <w:tr>
        <w:trPr>
          <w:trHeight w:val="478"/>
        </w:trPr>
        <w:tc>
          <w:tcPr>
            <w:tcW w:w="3060" w:type="dxa"/>
            <w:vAlign w:val="bottom"/>
          </w:tcPr>
          <w:p>
            <w:pPr>
              <w:spacing w:after="0"/>
              <w:rPr>
                <w:sz w:val="24"/>
                <w:szCs w:val="24"/>
                <w:color w:val="auto"/>
              </w:rPr>
            </w:pPr>
          </w:p>
        </w:tc>
        <w:tc>
          <w:tcPr>
            <w:tcW w:w="1900" w:type="dxa"/>
            <w:vAlign w:val="bottom"/>
          </w:tcPr>
          <w:p>
            <w:pPr>
              <w:ind w:left="1460"/>
              <w:spacing w:after="0"/>
              <w:rPr>
                <w:sz w:val="20"/>
                <w:szCs w:val="20"/>
                <w:color w:val="auto"/>
              </w:rPr>
            </w:pPr>
            <w:r>
              <w:rPr>
                <w:rFonts w:ascii="Arial" w:cs="Arial" w:eastAsia="Arial" w:hAnsi="Arial"/>
                <w:sz w:val="17"/>
                <w:szCs w:val="17"/>
                <w:color w:val="auto"/>
              </w:rPr>
              <w:t>By:</w:t>
            </w:r>
          </w:p>
        </w:tc>
        <w:tc>
          <w:tcPr>
            <w:tcW w:w="5740" w:type="dxa"/>
            <w:vAlign w:val="bottom"/>
            <w:gridSpan w:val="2"/>
          </w:tcPr>
          <w:p>
            <w:pPr>
              <w:ind w:left="20"/>
              <w:spacing w:after="0"/>
              <w:rPr>
                <w:sz w:val="20"/>
                <w:szCs w:val="20"/>
                <w:color w:val="auto"/>
              </w:rPr>
            </w:pPr>
            <w:r>
              <w:rPr>
                <w:rFonts w:ascii="Arial" w:cs="Arial" w:eastAsia="Arial" w:hAnsi="Arial"/>
                <w:sz w:val="17"/>
                <w:szCs w:val="17"/>
                <w:color w:val="auto"/>
              </w:rPr>
              <w:t>PAA GP Holdings LLC, its general partner</w:t>
            </w:r>
          </w:p>
        </w:tc>
      </w:tr>
      <w:tr>
        <w:trPr>
          <w:trHeight w:val="478"/>
        </w:trPr>
        <w:tc>
          <w:tcPr>
            <w:tcW w:w="3060" w:type="dxa"/>
            <w:vAlign w:val="bottom"/>
          </w:tcPr>
          <w:p>
            <w:pPr>
              <w:spacing w:after="0"/>
              <w:rPr>
                <w:sz w:val="20"/>
                <w:szCs w:val="20"/>
                <w:color w:val="auto"/>
              </w:rPr>
            </w:pPr>
            <w:r>
              <w:rPr>
                <w:rFonts w:ascii="Arial" w:cs="Arial" w:eastAsia="Arial" w:hAnsi="Arial"/>
                <w:sz w:val="17"/>
                <w:szCs w:val="17"/>
                <w:color w:val="auto"/>
              </w:rPr>
              <w:t>Date: February 8, 2023</w:t>
            </w:r>
          </w:p>
        </w:tc>
        <w:tc>
          <w:tcPr>
            <w:tcW w:w="1900" w:type="dxa"/>
            <w:vAlign w:val="bottom"/>
          </w:tcPr>
          <w:p>
            <w:pPr>
              <w:ind w:left="1460"/>
              <w:spacing w:after="0"/>
              <w:rPr>
                <w:sz w:val="20"/>
                <w:szCs w:val="20"/>
                <w:color w:val="auto"/>
              </w:rPr>
            </w:pPr>
            <w:r>
              <w:rPr>
                <w:rFonts w:ascii="Arial" w:cs="Arial" w:eastAsia="Arial" w:hAnsi="Arial"/>
                <w:sz w:val="17"/>
                <w:szCs w:val="17"/>
                <w:color w:val="auto"/>
              </w:rPr>
              <w:t>By:</w:t>
            </w:r>
          </w:p>
        </w:tc>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Al Swanson</w:t>
            </w:r>
          </w:p>
        </w:tc>
      </w:tr>
      <w:tr>
        <w:trPr>
          <w:trHeight w:val="213"/>
        </w:trPr>
        <w:tc>
          <w:tcPr>
            <w:tcW w:w="3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Name:</w:t>
            </w:r>
          </w:p>
        </w:tc>
        <w:tc>
          <w:tcPr>
            <w:tcW w:w="5100" w:type="dxa"/>
            <w:vAlign w:val="bottom"/>
          </w:tcPr>
          <w:p>
            <w:pPr>
              <w:ind w:left="180"/>
              <w:spacing w:after="0"/>
              <w:rPr>
                <w:sz w:val="20"/>
                <w:szCs w:val="20"/>
                <w:color w:val="auto"/>
              </w:rPr>
            </w:pPr>
            <w:r>
              <w:rPr>
                <w:rFonts w:ascii="Arial" w:cs="Arial" w:eastAsia="Arial" w:hAnsi="Arial"/>
                <w:sz w:val="17"/>
                <w:szCs w:val="17"/>
                <w:color w:val="auto"/>
              </w:rPr>
              <w:t>Al Swanson</w:t>
            </w:r>
          </w:p>
        </w:tc>
      </w:tr>
      <w:tr>
        <w:trPr>
          <w:trHeight w:val="220"/>
        </w:trPr>
        <w:tc>
          <w:tcPr>
            <w:tcW w:w="3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auto"/>
              </w:rPr>
              <w:t>Title:</w:t>
            </w:r>
          </w:p>
        </w:tc>
        <w:tc>
          <w:tcPr>
            <w:tcW w:w="5100" w:type="dxa"/>
            <w:vAlign w:val="bottom"/>
          </w:tcPr>
          <w:p>
            <w:pPr>
              <w:ind w:left="180"/>
              <w:spacing w:after="0"/>
              <w:rPr>
                <w:sz w:val="20"/>
                <w:szCs w:val="20"/>
                <w:color w:val="auto"/>
              </w:rPr>
            </w:pPr>
            <w:r>
              <w:rPr>
                <w:rFonts w:ascii="Arial" w:cs="Arial" w:eastAsia="Arial" w:hAnsi="Arial"/>
                <w:sz w:val="17"/>
                <w:szCs w:val="17"/>
                <w:i w:val="1"/>
                <w:iCs w:val="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40"/>
          </w:cols>
          <w:pgMar w:left="320" w:top="94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429260</wp:posOffset>
            </wp:positionV>
            <wp:extent cx="4733925" cy="746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33925"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Plains All American Reports Fourth-Quarter and Full-Year 2022 Results;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Announces 2023 Guidance</w:t>
      </w:r>
    </w:p>
    <w:p>
      <w:pPr>
        <w:spacing w:after="0" w:line="235" w:lineRule="exact"/>
        <w:rPr>
          <w:sz w:val="20"/>
          <w:szCs w:val="20"/>
          <w:color w:val="auto"/>
        </w:rPr>
      </w:pPr>
    </w:p>
    <w:p>
      <w:pPr>
        <w:ind w:right="200" w:firstLine="172"/>
        <w:spacing w:after="0" w:line="283" w:lineRule="auto"/>
        <w:rPr>
          <w:sz w:val="20"/>
          <w:szCs w:val="20"/>
          <w:color w:val="auto"/>
        </w:rPr>
      </w:pPr>
      <w:r>
        <w:rPr>
          <w:rFonts w:ascii="Arial" w:cs="Arial" w:eastAsia="Arial" w:hAnsi="Arial"/>
          <w:sz w:val="17"/>
          <w:szCs w:val="17"/>
          <w:color w:val="auto"/>
        </w:rPr>
        <w:t>(Houston — February 8, 2023) Plains All American Pipeline, L.P. (Nasdaq: PAA) and Plains GP Holdings (Nasdaq: PAGP) today reported fourth-quarter and full-year 2022 results, announced 2023 guidance and provided the following highlights: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Highlights</w:t>
      </w:r>
    </w:p>
    <w:p>
      <w:pPr>
        <w:spacing w:after="0" w:line="250" w:lineRule="exact"/>
        <w:rPr>
          <w:sz w:val="20"/>
          <w:szCs w:val="20"/>
          <w:color w:val="auto"/>
        </w:rPr>
      </w:pPr>
    </w:p>
    <w:p>
      <w:pPr>
        <w:ind w:left="620" w:right="620" w:hanging="307"/>
        <w:spacing w:after="0" w:line="28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Fourth-quarter and full-year 2022 Net income attributable to PAA of $263 million and $1.04 billion, respectively, and 2022 Net cash provided by operating activities of $335 million and $2.41 billion, respectively</w:t>
      </w:r>
    </w:p>
    <w:p>
      <w:pPr>
        <w:spacing w:after="0" w:line="18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Delivered better than expected fourth-quarter and full-year 2022 Adjusted EBITDA attributable to PAA of $659 million and $2.51 billion, respectively</w:t>
      </w:r>
    </w:p>
    <w:p>
      <w:pPr>
        <w:spacing w:after="0" w:line="255" w:lineRule="exact"/>
        <w:rPr>
          <w:rFonts w:ascii="Arial" w:cs="Arial" w:eastAsia="Arial" w:hAnsi="Arial"/>
          <w:sz w:val="16"/>
          <w:szCs w:val="16"/>
          <w:color w:val="auto"/>
        </w:rPr>
      </w:pPr>
    </w:p>
    <w:p>
      <w:pPr>
        <w:ind w:left="620" w:right="20" w:hanging="307"/>
        <w:spacing w:after="0" w:line="28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Generated full-year 2022 Free Cash Flow of $1.61 billion, repurchased $74 million of common units, repaid $774 million of total debt and achieved year-end leverage of 3.7x</w:t>
      </w:r>
    </w:p>
    <w:p>
      <w:pPr>
        <w:spacing w:after="0" w:line="185" w:lineRule="exact"/>
        <w:rPr>
          <w:rFonts w:ascii="Arial" w:cs="Arial" w:eastAsia="Arial" w:hAnsi="Arial"/>
          <w:sz w:val="17"/>
          <w:szCs w:val="17"/>
          <w:color w:val="auto"/>
        </w:rPr>
      </w:pPr>
    </w:p>
    <w:p>
      <w:pPr>
        <w:ind w:left="620" w:right="80" w:hanging="307"/>
        <w:spacing w:after="0" w:line="283"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multi-year capital allocation framework prioritizing Free Cash Flow generation, further improving financial flexibility and increasing returns of capital to equity holders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Outlook</w:t>
      </w:r>
    </w:p>
    <w:p>
      <w:pPr>
        <w:spacing w:after="0" w:line="250"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 full-year 2023 Adjusted EBITDA attributable to PAA of $2.45 - $2.55 billion and year-end 2023 leverage of +/- 3.5x</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the annualized common distribution by $0.20 to $1.07 per unit in January 2023 (to be paid in February)</w:t>
      </w:r>
    </w:p>
    <w:p>
      <w:pPr>
        <w:spacing w:after="0" w:line="243" w:lineRule="exact"/>
        <w:rPr>
          <w:rFonts w:ascii="Arial" w:cs="Arial" w:eastAsia="Arial" w:hAnsi="Arial"/>
          <w:sz w:val="17"/>
          <w:szCs w:val="17"/>
          <w:color w:val="auto"/>
        </w:rPr>
      </w:pPr>
    </w:p>
    <w:p>
      <w:pPr>
        <w:ind w:left="620" w:right="140" w:hanging="307"/>
        <w:spacing w:after="0" w:line="28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Expect to generate approximately $1.60 billion of Free Cash Flow in 2023, underpinning multi-year return of capital to equity holders and absolute debt reduction</w:t>
      </w:r>
    </w:p>
    <w:p>
      <w:pPr>
        <w:spacing w:after="0" w:line="185" w:lineRule="exact"/>
        <w:rPr>
          <w:rFonts w:ascii="Arial" w:cs="Arial" w:eastAsia="Arial" w:hAnsi="Arial"/>
          <w:sz w:val="17"/>
          <w:szCs w:val="17"/>
          <w:color w:val="auto"/>
        </w:rPr>
      </w:pPr>
    </w:p>
    <w:p>
      <w:pPr>
        <w:ind w:left="620" w:right="260" w:hanging="307"/>
        <w:spacing w:after="0" w:line="28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Remain focused on disciplined capital investments, anticipating full-year 2023 Investment and Maintenance Capital of $325 million and $195 million, net to PAA</w:t>
      </w:r>
    </w:p>
    <w:p>
      <w:pPr>
        <w:spacing w:after="0" w:line="200" w:lineRule="exact"/>
        <w:rPr>
          <w:sz w:val="20"/>
          <w:szCs w:val="20"/>
          <w:color w:val="auto"/>
        </w:rPr>
      </w:pPr>
    </w:p>
    <w:p>
      <w:pPr>
        <w:spacing w:after="0" w:line="218" w:lineRule="exact"/>
        <w:rPr>
          <w:sz w:val="20"/>
          <w:szCs w:val="20"/>
          <w:color w:val="auto"/>
        </w:rPr>
      </w:pPr>
    </w:p>
    <w:p>
      <w:pPr>
        <w:ind w:right="60" w:firstLine="620"/>
        <w:spacing w:after="0" w:line="290" w:lineRule="auto"/>
        <w:rPr>
          <w:sz w:val="20"/>
          <w:szCs w:val="20"/>
          <w:color w:val="auto"/>
        </w:rPr>
      </w:pPr>
      <w:r>
        <w:rPr>
          <w:rFonts w:ascii="Arial" w:cs="Arial" w:eastAsia="Arial" w:hAnsi="Arial"/>
          <w:sz w:val="15"/>
          <w:szCs w:val="15"/>
          <w:color w:val="auto"/>
        </w:rPr>
        <w:t>“2022 represented a positive inflection point for Plains, evidenced by strong execution of our goals and initiatives. This included reaching the lower-end of our leverage target range and increasing returns of capital to equity holders through a combination of increased distributions and share repurchases. Additionally, we achieved record health, safety, and environmental performance by achieving or exceeding 20% reduction targets in our key metrics,” stated Willie Chiang, Chairman and CEO of Plains. “Looking to 2023, our Permian Basin assets are well positioned to benefit from continued production growth. In our NGL segment, we continue to evaluate capital efficient debottlenecking opportunities which we expect to improve our long-term fee-based earnings. We remain focused on continuing to generate significant Free Cash Flow, which provides visibility for improving shareholder returns primarily through distribution increases</w:t>
      </w:r>
    </w:p>
    <w:p>
      <w:pPr>
        <w:spacing w:after="0" w:line="3" w:lineRule="exact"/>
        <w:rPr>
          <w:sz w:val="20"/>
          <w:szCs w:val="20"/>
          <w:color w:val="auto"/>
        </w:rPr>
      </w:pPr>
    </w:p>
    <w:p>
      <w:pPr>
        <w:jc w:val="right"/>
        <w:ind w:right="5320"/>
        <w:spacing w:after="0" w:line="230" w:lineRule="auto"/>
        <w:rPr>
          <w:sz w:val="20"/>
          <w:szCs w:val="20"/>
          <w:color w:val="auto"/>
        </w:rPr>
      </w:pPr>
      <w:r>
        <w:rPr>
          <w:rFonts w:ascii="Arial" w:cs="Arial" w:eastAsia="Arial" w:hAnsi="Arial"/>
          <w:sz w:val="17"/>
          <w:szCs w:val="17"/>
          <w:color w:val="auto"/>
        </w:rPr>
        <w:t>and disciplined accretive investments, all while maintaining balance sheet flexibility.” -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712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2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54"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Three Months Ended</w:t>
            </w: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Twelve Months Ended</w:t>
            </w:r>
          </w:p>
        </w:tc>
        <w:tc>
          <w:tcPr>
            <w:tcW w:w="90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GAAP Results</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0"/>
        </w:trPr>
        <w:tc>
          <w:tcPr>
            <w:tcW w:w="510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Net income attributable to PAA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0" w:type="dxa"/>
            <w:vAlign w:val="bottom"/>
          </w:tcPr>
          <w:p>
            <w:pPr>
              <w:spacing w:after="0"/>
              <w:rPr>
                <w:sz w:val="1"/>
                <w:szCs w:val="1"/>
                <w:color w:val="auto"/>
              </w:rPr>
            </w:pPr>
          </w:p>
        </w:tc>
      </w:tr>
      <w:tr>
        <w:trPr>
          <w:trHeight w:val="220"/>
        </w:trPr>
        <w:tc>
          <w:tcPr>
            <w:tcW w:w="5200" w:type="dxa"/>
            <w:vAlign w:val="bottom"/>
            <w:gridSpan w:val="3"/>
          </w:tcPr>
          <w:p>
            <w:pPr>
              <w:ind w:left="20"/>
              <w:spacing w:after="0"/>
              <w:rPr>
                <w:sz w:val="20"/>
                <w:szCs w:val="20"/>
                <w:color w:val="auto"/>
              </w:rPr>
            </w:pPr>
            <w:r>
              <w:rPr>
                <w:rFonts w:ascii="Arial" w:cs="Arial" w:eastAsia="Arial" w:hAnsi="Arial"/>
                <w:sz w:val="17"/>
                <w:szCs w:val="17"/>
                <w:color w:val="auto"/>
              </w:rPr>
              <w:t>Diluted net income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0.30</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0.56</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0.55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116 %</w:t>
            </w:r>
          </w:p>
        </w:tc>
        <w:tc>
          <w:tcPr>
            <w:tcW w:w="0" w:type="dxa"/>
            <w:vAlign w:val="bottom"/>
          </w:tcPr>
          <w:p>
            <w:pPr>
              <w:spacing w:after="0"/>
              <w:rPr>
                <w:sz w:val="1"/>
                <w:szCs w:val="1"/>
                <w:color w:val="auto"/>
              </w:rPr>
            </w:pPr>
          </w:p>
        </w:tc>
      </w:tr>
      <w:tr>
        <w:trPr>
          <w:trHeight w:val="220"/>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Diluted weighted average common units outstanding</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5200" w:type="dxa"/>
            <w:vAlign w:val="bottom"/>
            <w:gridSpan w:val="3"/>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335</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635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r>
        <w:trPr>
          <w:trHeight w:val="220"/>
        </w:trPr>
        <w:tc>
          <w:tcPr>
            <w:tcW w:w="52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Distribution per common unit declared for the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0.1800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20" w:right="280" w:hanging="317"/>
        <w:spacing w:after="0" w:line="258" w:lineRule="auto"/>
        <w:tabs>
          <w:tab w:leader="none" w:pos="30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Reported results for the three and twelve months ended December 31, 2022 include a non-cash asset impairment of $330 million related to our California assets and a non-cash gain on investments in unconsolidated entities of approximately $370 million related to our purchase of an additional interest in the Cactus II pipeline. Reported results for the twelve months ended December 31, 2021 include aggregate non-cash asset impairments of approximately $695 million related to the sale of our gas storage assets and the write-down of certain crude oil terminal assets.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Three Months Ended</w:t>
            </w: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Twelve Months Ended</w:t>
            </w: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3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December 31,</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December 31,</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 xml:space="preserve">Non-GAAP Results </w:t>
            </w:r>
            <w:r>
              <w:rPr>
                <w:rFonts w:ascii="Arial" w:cs="Arial" w:eastAsia="Arial" w:hAnsi="Arial"/>
                <w:sz w:val="8"/>
                <w:szCs w:val="8"/>
                <w:b w:val="1"/>
                <w:bCs w:val="1"/>
                <w:i w:val="1"/>
                <w:iCs w:val="1"/>
                <w:color w:val="auto"/>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rPr>
                <w:sz w:val="20"/>
                <w:szCs w:val="20"/>
                <w:color w:val="auto"/>
              </w:rPr>
            </w:pPr>
            <w:r>
              <w:rPr>
                <w:rFonts w:ascii="Arial" w:cs="Arial" w:eastAsia="Arial" w:hAnsi="Arial"/>
                <w:sz w:val="17"/>
                <w:szCs w:val="17"/>
                <w:color w:val="auto"/>
              </w:rPr>
              <w:t>Diluted adjusted net income per common unit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0.33</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0.25</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0.95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line="220"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564</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2,510</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2,196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20"/>
        </w:trPr>
        <w:tc>
          <w:tcPr>
            <w:tcW w:w="5220" w:type="dxa"/>
            <w:vAlign w:val="bottom"/>
            <w:gridSpan w:val="3"/>
          </w:tcPr>
          <w:p>
            <w:pPr>
              <w:ind w:left="20"/>
              <w:spacing w:after="0" w:line="220" w:lineRule="exact"/>
              <w:rPr>
                <w:sz w:val="20"/>
                <w:szCs w:val="20"/>
                <w:color w:val="auto"/>
              </w:rPr>
            </w:pPr>
            <w:r>
              <w:rPr>
                <w:rFonts w:ascii="Arial" w:cs="Arial" w:eastAsia="Arial" w:hAnsi="Arial"/>
                <w:sz w:val="17"/>
                <w:szCs w:val="17"/>
                <w:color w:val="auto"/>
              </w:rPr>
              <w:t xml:space="preserve">Free Cash Flow </w:t>
            </w:r>
            <w:r>
              <w:rPr>
                <w:rFonts w:ascii="Arial" w:cs="Arial" w:eastAsia="Arial" w:hAnsi="Arial"/>
                <w:sz w:val="22"/>
                <w:szCs w:val="22"/>
                <w:color w:val="auto"/>
                <w:vertAlign w:val="superscript"/>
              </w:rPr>
              <w:t>(3)</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539</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(101)%</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1,610</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2,369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0"/>
        </w:trPr>
        <w:tc>
          <w:tcPr>
            <w:tcW w:w="52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Free Cash Flow after Distributions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68"/>
        </w:trPr>
        <w:tc>
          <w:tcPr>
            <w:tcW w:w="3880" w:type="dxa"/>
            <w:vAlign w:val="bottom"/>
            <w:tcBorders>
              <w:bottom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160" w:hanging="317"/>
        <w:spacing w:after="0" w:line="253" w:lineRule="auto"/>
        <w:tabs>
          <w:tab w:leader="none" w:pos="30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81" w:lineRule="exact"/>
        <w:rPr>
          <w:rFonts w:ascii="Arial" w:cs="Arial" w:eastAsia="Arial" w:hAnsi="Arial"/>
          <w:sz w:val="21"/>
          <w:szCs w:val="21"/>
          <w:color w:val="auto"/>
          <w:vertAlign w:val="superscript"/>
        </w:rPr>
      </w:pPr>
    </w:p>
    <w:p>
      <w:pPr>
        <w:ind w:left="320" w:right="40" w:hanging="317"/>
        <w:spacing w:after="0" w:line="228" w:lineRule="auto"/>
        <w:tabs>
          <w:tab w:leader="none" w:pos="30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Excludes amounts attributable to noncontrolling interests in the Plains Oryx Permian Basin LLC joint venture, Cactus II Pipeline LLC and Red River Pipeline LLC.</w:t>
      </w:r>
    </w:p>
    <w:p>
      <w:pPr>
        <w:spacing w:after="0" w:line="90" w:lineRule="exact"/>
        <w:rPr>
          <w:rFonts w:ascii="Arial" w:cs="Arial" w:eastAsia="Arial" w:hAnsi="Arial"/>
          <w:sz w:val="22"/>
          <w:szCs w:val="22"/>
          <w:color w:val="auto"/>
          <w:vertAlign w:val="superscript"/>
        </w:rPr>
      </w:pPr>
    </w:p>
    <w:p>
      <w:pPr>
        <w:ind w:left="320" w:right="40" w:hanging="317"/>
        <w:spacing w:after="0" w:line="228" w:lineRule="auto"/>
        <w:tabs>
          <w:tab w:leader="none" w:pos="308" w:val="left"/>
        </w:tabs>
        <w:numPr>
          <w:ilvl w:val="0"/>
          <w:numId w:val="6"/>
        </w:numPr>
        <w:rPr>
          <w:rFonts w:ascii="Arial" w:cs="Arial" w:eastAsia="Arial" w:hAnsi="Arial"/>
          <w:sz w:val="22"/>
          <w:szCs w:val="22"/>
          <w:color w:val="auto"/>
          <w:vertAlign w:val="superscript"/>
        </w:rPr>
      </w:pPr>
      <w:r>
        <w:rPr>
          <w:rFonts w:ascii="Arial" w:cs="Arial" w:eastAsia="Arial" w:hAnsi="Arial"/>
          <w:sz w:val="17"/>
          <w:szCs w:val="17"/>
          <w:color w:val="auto"/>
        </w:rPr>
        <w:t>Fourth-quarter 2022 Free Cash Flow is impacted by a $230 million payment related to the settlement of a Line 901 class action lawsuit and the purchase of an additional interest in the Cactus II pipeline for approximately $85 million.</w:t>
      </w:r>
    </w:p>
    <w:p>
      <w:pPr>
        <w:spacing w:after="0" w:line="52"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6"/>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Page 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 of Selected Financial Data by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(unaudited)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6"/>
                <w:szCs w:val="16"/>
                <w:b w:val="1"/>
                <w:bCs w:val="1"/>
                <w:color w:val="auto"/>
              </w:rPr>
              <w:t>Segment Adjusted EBITDA</w:t>
            </w:r>
          </w:p>
        </w:tc>
        <w:tc>
          <w:tcPr>
            <w:tcW w:w="0" w:type="dxa"/>
            <w:vAlign w:val="bottom"/>
          </w:tcPr>
          <w:p>
            <w:pPr>
              <w:spacing w:after="0"/>
              <w:rPr>
                <w:sz w:val="1"/>
                <w:szCs w:val="1"/>
                <w:color w:val="auto"/>
              </w:rPr>
            </w:pPr>
          </w:p>
        </w:tc>
      </w:tr>
      <w:tr>
        <w:trPr>
          <w:trHeight w:val="200"/>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Crude Oil</w:t>
            </w:r>
          </w:p>
        </w:tc>
        <w:tc>
          <w:tcPr>
            <w:tcW w:w="400" w:type="dxa"/>
            <w:vAlign w:val="bottom"/>
          </w:tcPr>
          <w:p>
            <w:pPr>
              <w:spacing w:after="0"/>
              <w:rPr>
                <w:sz w:val="17"/>
                <w:szCs w:val="17"/>
                <w:color w:val="auto"/>
              </w:rPr>
            </w:pPr>
          </w:p>
        </w:tc>
        <w:tc>
          <w:tcPr>
            <w:tcW w:w="1340" w:type="dxa"/>
            <w:vAlign w:val="bottom"/>
          </w:tcPr>
          <w:p>
            <w:pPr>
              <w:jc w:val="right"/>
              <w:ind w:right="616"/>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40"/>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Three Months Ended December 31, 2022</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40" w:type="dxa"/>
            <w:vAlign w:val="bottom"/>
          </w:tcPr>
          <w:p>
            <w:pPr>
              <w:ind w:left="20"/>
              <w:spacing w:after="0" w:line="191" w:lineRule="exact"/>
              <w:rPr>
                <w:sz w:val="20"/>
                <w:szCs w:val="20"/>
                <w:color w:val="auto"/>
              </w:rPr>
            </w:pPr>
            <w:r>
              <w:rPr>
                <w:rFonts w:ascii="Arial" w:cs="Arial" w:eastAsia="Arial" w:hAnsi="Arial"/>
                <w:sz w:val="17"/>
                <w:szCs w:val="17"/>
                <w:color w:val="auto"/>
              </w:rPr>
              <w:t>Three Months Ended December 31, 2021</w:t>
            </w:r>
          </w:p>
        </w:tc>
        <w:tc>
          <w:tcPr>
            <w:tcW w:w="32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423</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Borders>
              <w:bottom w:val="single" w:sz="8" w:color="CCEEFF"/>
            </w:tcBorders>
            <w:shd w:val="clear" w:color="auto" w:fill="CCEEFF"/>
          </w:tcPr>
          <w:p>
            <w:pPr>
              <w:ind w:left="20"/>
              <w:spacing w:after="0" w:line="185" w:lineRule="exact"/>
              <w:rPr>
                <w:sz w:val="20"/>
                <w:szCs w:val="20"/>
                <w:color w:val="auto"/>
              </w:rPr>
            </w:pPr>
            <w:r>
              <w:rPr>
                <w:rFonts w:ascii="Arial" w:cs="Arial" w:eastAsia="Arial" w:hAnsi="Arial"/>
                <w:sz w:val="17"/>
                <w:szCs w:val="17"/>
                <w:b w:val="1"/>
                <w:bCs w:val="1"/>
                <w:i w:val="1"/>
                <w:iCs w:val="1"/>
                <w:color w:val="auto"/>
              </w:rPr>
              <w:t>Percentage change in Segment Adjusted EBITDA versus 2021 period</w:t>
            </w:r>
          </w:p>
        </w:tc>
        <w:tc>
          <w:tcPr>
            <w:tcW w:w="3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b w:val="1"/>
                <w:bCs w:val="1"/>
                <w:i w:val="1"/>
                <w:iCs w:val="1"/>
                <w:color w:val="auto"/>
              </w:rPr>
              <w:t>19 %</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b w:val="1"/>
                <w:bCs w:val="1"/>
                <w:i w:val="1"/>
                <w:iCs w:val="1"/>
                <w:color w:val="auto"/>
              </w:rPr>
              <w:t>7 %</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7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6"/>
                <w:szCs w:val="16"/>
                <w:b w:val="1"/>
                <w:bCs w:val="1"/>
                <w:color w:val="auto"/>
              </w:rPr>
              <w:t>Segment Adjusted EBITDA</w:t>
            </w:r>
          </w:p>
        </w:tc>
        <w:tc>
          <w:tcPr>
            <w:tcW w:w="0" w:type="dxa"/>
            <w:vAlign w:val="bottom"/>
          </w:tcPr>
          <w:p>
            <w:pPr>
              <w:spacing w:after="0"/>
              <w:rPr>
                <w:sz w:val="1"/>
                <w:szCs w:val="1"/>
                <w:color w:val="auto"/>
              </w:rPr>
            </w:pPr>
          </w:p>
        </w:tc>
      </w:tr>
      <w:tr>
        <w:trPr>
          <w:trHeight w:val="200"/>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Crude Oil</w:t>
            </w:r>
          </w:p>
        </w:tc>
        <w:tc>
          <w:tcPr>
            <w:tcW w:w="400" w:type="dxa"/>
            <w:vAlign w:val="bottom"/>
          </w:tcPr>
          <w:p>
            <w:pPr>
              <w:spacing w:after="0"/>
              <w:rPr>
                <w:sz w:val="17"/>
                <w:szCs w:val="17"/>
                <w:color w:val="auto"/>
              </w:rPr>
            </w:pPr>
          </w:p>
        </w:tc>
        <w:tc>
          <w:tcPr>
            <w:tcW w:w="1340" w:type="dxa"/>
            <w:vAlign w:val="bottom"/>
          </w:tcPr>
          <w:p>
            <w:pPr>
              <w:jc w:val="right"/>
              <w:ind w:right="616"/>
              <w:spacing w:after="0"/>
              <w:rPr>
                <w:sz w:val="20"/>
                <w:szCs w:val="20"/>
                <w:color w:val="auto"/>
              </w:rPr>
            </w:pPr>
            <w:r>
              <w:rPr>
                <w:rFonts w:ascii="Arial" w:cs="Arial" w:eastAsia="Arial" w:hAnsi="Arial"/>
                <w:sz w:val="16"/>
                <w:szCs w:val="16"/>
                <w:b w:val="1"/>
                <w:bCs w:val="1"/>
                <w:color w:val="auto"/>
              </w:rPr>
              <w:t>NGL</w:t>
            </w:r>
          </w:p>
        </w:tc>
        <w:tc>
          <w:tcPr>
            <w:tcW w:w="0" w:type="dxa"/>
            <w:vAlign w:val="bottom"/>
          </w:tcPr>
          <w:p>
            <w:pPr>
              <w:spacing w:after="0"/>
              <w:rPr>
                <w:sz w:val="1"/>
                <w:szCs w:val="1"/>
                <w:color w:val="auto"/>
              </w:rPr>
            </w:pPr>
          </w:p>
        </w:tc>
      </w:tr>
      <w:tr>
        <w:trPr>
          <w:trHeight w:val="240"/>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Twelve Months Ended December 31, 2022</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40" w:type="dxa"/>
            <w:vAlign w:val="bottom"/>
          </w:tcPr>
          <w:p>
            <w:pPr>
              <w:ind w:left="20"/>
              <w:spacing w:after="0" w:line="191" w:lineRule="exact"/>
              <w:rPr>
                <w:sz w:val="20"/>
                <w:szCs w:val="20"/>
                <w:color w:val="auto"/>
              </w:rPr>
            </w:pPr>
            <w:r>
              <w:rPr>
                <w:rFonts w:ascii="Arial" w:cs="Arial" w:eastAsia="Arial" w:hAnsi="Arial"/>
                <w:sz w:val="17"/>
                <w:szCs w:val="17"/>
                <w:color w:val="auto"/>
              </w:rPr>
              <w:t>Twelve Months Ended December 31, 2021</w:t>
            </w:r>
          </w:p>
        </w:tc>
        <w:tc>
          <w:tcPr>
            <w:tcW w:w="320" w:type="dxa"/>
            <w:vAlign w:val="bottom"/>
            <w:tcBorders>
              <w:bottom w:val="single" w:sz="8" w:color="auto"/>
            </w:tcBorders>
          </w:tcPr>
          <w:p>
            <w:pPr>
              <w:jc w:val="right"/>
              <w:ind w:right="134"/>
              <w:spacing w:after="0" w:line="191"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ind w:right="137"/>
              <w:spacing w:after="0" w:line="191" w:lineRule="exact"/>
              <w:rPr>
                <w:sz w:val="20"/>
                <w:szCs w:val="20"/>
                <w:color w:val="auto"/>
              </w:rPr>
            </w:pPr>
            <w:r>
              <w:rPr>
                <w:rFonts w:ascii="Arial" w:cs="Arial" w:eastAsia="Arial" w:hAnsi="Arial"/>
                <w:sz w:val="17"/>
                <w:szCs w:val="17"/>
                <w:color w:val="auto"/>
              </w:rPr>
              <w:t>1,909</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14"/>
              <w:spacing w:after="0" w:line="191" w:lineRule="exact"/>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16"/>
              <w:spacing w:after="0" w:line="191" w:lineRule="exact"/>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Percentage change in Segment Adjusted EBITDA versus 2021 period</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4 %</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82 %</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7"/>
                <w:szCs w:val="17"/>
                <w:b w:val="1"/>
                <w:bCs w:val="1"/>
                <w:i w:val="1"/>
                <w:iCs w:val="1"/>
                <w:color w:val="auto"/>
                <w:w w:val="95"/>
              </w:rPr>
              <w:t>Percentage change in Segment Adjusted EBITDA versus 2021 period further adjusted for impact of</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76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7 %</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b w:val="1"/>
                <w:bCs w:val="1"/>
                <w:i w:val="1"/>
                <w:iCs w:val="1"/>
                <w:color w:val="auto"/>
              </w:rPr>
              <w:t>82 %</w:t>
            </w:r>
          </w:p>
        </w:tc>
        <w:tc>
          <w:tcPr>
            <w:tcW w:w="0" w:type="dxa"/>
            <w:vAlign w:val="bottom"/>
          </w:tcPr>
          <w:p>
            <w:pPr>
              <w:spacing w:after="0"/>
              <w:rPr>
                <w:sz w:val="1"/>
                <w:szCs w:val="1"/>
                <w:color w:val="auto"/>
              </w:rPr>
            </w:pPr>
          </w:p>
        </w:tc>
      </w:tr>
      <w:tr>
        <w:trPr>
          <w:trHeight w:val="206"/>
        </w:trPr>
        <w:tc>
          <w:tcPr>
            <w:tcW w:w="7640" w:type="dxa"/>
            <w:vAlign w:val="bottom"/>
          </w:tcPr>
          <w:p>
            <w:pPr>
              <w:ind w:left="180"/>
              <w:spacing w:after="0" w:line="206" w:lineRule="exact"/>
              <w:rPr>
                <w:sz w:val="20"/>
                <w:szCs w:val="20"/>
                <w:color w:val="auto"/>
              </w:rPr>
            </w:pPr>
            <w:r>
              <w:rPr>
                <w:rFonts w:ascii="Arial" w:cs="Arial" w:eastAsia="Arial" w:hAnsi="Arial"/>
                <w:sz w:val="17"/>
                <w:szCs w:val="17"/>
                <w:b w:val="1"/>
                <w:bCs w:val="1"/>
                <w:i w:val="1"/>
                <w:iCs w:val="1"/>
                <w:color w:val="auto"/>
              </w:rPr>
              <w:t xml:space="preserve">divested assets </w:t>
            </w:r>
            <w:r>
              <w:rPr>
                <w:rFonts w:ascii="Arial" w:cs="Arial" w:eastAsia="Arial" w:hAnsi="Arial"/>
                <w:sz w:val="22"/>
                <w:szCs w:val="22"/>
                <w:b w:val="1"/>
                <w:bCs w:val="1"/>
                <w:i w:val="1"/>
                <w:iCs w:val="1"/>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-58420</wp:posOffset>
            </wp:positionV>
            <wp:extent cx="24612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43" w:lineRule="exact"/>
        <w:rPr>
          <w:sz w:val="20"/>
          <w:szCs w:val="20"/>
          <w:color w:val="auto"/>
        </w:rPr>
      </w:pPr>
    </w:p>
    <w:p>
      <w:pPr>
        <w:ind w:left="320" w:right="180" w:hanging="317"/>
        <w:spacing w:after="0" w:line="228" w:lineRule="auto"/>
        <w:tabs>
          <w:tab w:leader="none" w:pos="308"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Estimated impact of divestitures completed during 2021 and 2022, assuming an effective date of January 1, 2021. Divested assets primarily included natural gas storage facilities that were previously reported in our Crude Oil segment.</w:t>
      </w:r>
    </w:p>
    <w:p>
      <w:pPr>
        <w:spacing w:after="0" w:line="200" w:lineRule="exact"/>
        <w:rPr>
          <w:sz w:val="20"/>
          <w:szCs w:val="20"/>
          <w:color w:val="auto"/>
        </w:rPr>
      </w:pPr>
    </w:p>
    <w:p>
      <w:pPr>
        <w:spacing w:after="0" w:line="214" w:lineRule="exact"/>
        <w:rPr>
          <w:sz w:val="20"/>
          <w:szCs w:val="20"/>
          <w:color w:val="auto"/>
        </w:rPr>
      </w:pPr>
    </w:p>
    <w:p>
      <w:pPr>
        <w:ind w:right="120" w:firstLine="620"/>
        <w:spacing w:after="0" w:line="233" w:lineRule="auto"/>
        <w:rPr>
          <w:sz w:val="20"/>
          <w:szCs w:val="20"/>
          <w:color w:val="auto"/>
        </w:rPr>
      </w:pPr>
      <w:r>
        <w:rPr>
          <w:rFonts w:ascii="Arial" w:cs="Arial" w:eastAsia="Arial" w:hAnsi="Arial"/>
          <w:sz w:val="17"/>
          <w:szCs w:val="17"/>
          <w:color w:val="auto"/>
        </w:rPr>
        <w:t>Fourth-quarter 2022 Crude Oil Segment Adjusted EBITDA increased 19% versus comparable 2021 results primarily due to higher volumes across our pipeline systems, particularly our Permian gathering and intra-basin assets in addition to the start-up of the Wink-to-Webster and Capline pipelines, as well as more favorable market conditions for our merchant activities, particularly in Canada. These benefits were partially offset by higher operating expenses as a result of increased volumes and utility costs.</w:t>
      </w:r>
    </w:p>
    <w:p>
      <w:pPr>
        <w:spacing w:after="0" w:line="210" w:lineRule="exact"/>
        <w:rPr>
          <w:sz w:val="20"/>
          <w:szCs w:val="20"/>
          <w:color w:val="auto"/>
        </w:rPr>
      </w:pPr>
    </w:p>
    <w:p>
      <w:pPr>
        <w:ind w:firstLine="620"/>
        <w:spacing w:after="0" w:line="237" w:lineRule="auto"/>
        <w:rPr>
          <w:sz w:val="20"/>
          <w:szCs w:val="20"/>
          <w:color w:val="auto"/>
        </w:rPr>
      </w:pPr>
      <w:r>
        <w:rPr>
          <w:rFonts w:ascii="Arial" w:cs="Arial" w:eastAsia="Arial" w:hAnsi="Arial"/>
          <w:sz w:val="17"/>
          <w:szCs w:val="17"/>
          <w:color w:val="auto"/>
        </w:rPr>
        <w:t>Fourth-quarter 2022 NGL Segment Adjusted EBITDA increased 7% versus comparable 2021 results primarily due to higher throughput at certain of our fractionation, gas processing and storage assets partially offset by higher operating expenses as a result of higher volumes and utility costs, along with an increased ownership interest at Empress.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auto"/>
        </w:rPr>
        <w:t>Page 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w:t>
      </w:r>
    </w:p>
    <w:p>
      <w:pPr>
        <w:spacing w:after="0" w:line="250" w:lineRule="exact"/>
        <w:rPr>
          <w:sz w:val="20"/>
          <w:szCs w:val="20"/>
          <w:color w:val="auto"/>
        </w:rPr>
      </w:pPr>
    </w:p>
    <w:p>
      <w:pPr>
        <w:ind w:firstLine="620"/>
        <w:spacing w:after="0" w:line="268" w:lineRule="auto"/>
        <w:rPr>
          <w:sz w:val="20"/>
          <w:szCs w:val="20"/>
          <w:color w:val="auto"/>
        </w:rPr>
      </w:pPr>
      <w:r>
        <w:rPr>
          <w:rFonts w:ascii="Arial" w:cs="Arial" w:eastAsia="Arial" w:hAnsi="Arial"/>
          <w:sz w:val="17"/>
          <w:szCs w:val="17"/>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PAA and PAGP will hold a joint conference call at 4:30 p.m. CT on Wednesday, February 8, 2023 to discuss the following items:</w:t>
      </w:r>
    </w:p>
    <w:p>
      <w:pPr>
        <w:spacing w:after="0" w:line="166" w:lineRule="exact"/>
        <w:rPr>
          <w:sz w:val="20"/>
          <w:szCs w:val="20"/>
          <w:color w:val="auto"/>
        </w:rPr>
      </w:pPr>
    </w:p>
    <w:p>
      <w:pPr>
        <w:ind w:left="1080" w:hanging="301"/>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PAA’s fourth-quarter and full-year 2022 performance;</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Capitalization and liquidity; and</w:t>
      </w:r>
    </w:p>
    <w:p>
      <w:pPr>
        <w:spacing w:after="0" w:line="62" w:lineRule="exact"/>
        <w:rPr>
          <w:rFonts w:ascii="Arial" w:cs="Arial" w:eastAsia="Arial" w:hAnsi="Arial"/>
          <w:sz w:val="17"/>
          <w:szCs w:val="17"/>
          <w:color w:val="auto"/>
        </w:rPr>
      </w:pPr>
    </w:p>
    <w:p>
      <w:pPr>
        <w:ind w:left="1080" w:hanging="301"/>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2023 Financial guidance.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Conference Call Webcast Instructions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 access the internet webcast, please go to https://edge.media-server.com/mmc/p/igr8sbqe.</w:t>
      </w:r>
    </w:p>
    <w:p>
      <w:pPr>
        <w:spacing w:after="0" w:line="244" w:lineRule="exact"/>
        <w:rPr>
          <w:sz w:val="20"/>
          <w:szCs w:val="20"/>
          <w:color w:val="auto"/>
        </w:rPr>
      </w:pPr>
    </w:p>
    <w:p>
      <w:pPr>
        <w:ind w:right="100" w:firstLine="620"/>
        <w:spacing w:after="0" w:line="263" w:lineRule="auto"/>
        <w:rPr>
          <w:sz w:val="20"/>
          <w:szCs w:val="20"/>
          <w:color w:val="auto"/>
        </w:rPr>
      </w:pPr>
      <w:r>
        <w:rPr>
          <w:rFonts w:ascii="Arial" w:cs="Arial" w:eastAsia="Arial" w:hAnsi="Arial"/>
          <w:sz w:val="17"/>
          <w:szCs w:val="17"/>
          <w:color w:val="auto"/>
        </w:rPr>
        <w:t>Alternatively, the webcast can be accessed on our website (www.plains.com) under Investor Relations (Navigate to: Investor Relations / either “PAA” or “PAGP” / News &amp; Events / Quarterly Earnings). Following the live webcast, an audio replay in MP3 format will be available on our website within two hours after the end of the call and will be accessible for a period of 365 days. Slides will be posted prior to the call and a complete transcript will be posted after the call at the above referenced website.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 and Selected Items Impacting Comparability</w:t>
      </w:r>
    </w:p>
    <w:p>
      <w:pPr>
        <w:spacing w:after="0" w:line="166" w:lineRule="exact"/>
        <w:rPr>
          <w:sz w:val="20"/>
          <w:szCs w:val="20"/>
          <w:color w:val="auto"/>
        </w:rPr>
      </w:pPr>
    </w:p>
    <w:p>
      <w:pPr>
        <w:ind w:right="200" w:firstLine="620"/>
        <w:spacing w:after="0" w:line="285"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Free Cash Flow and Free Cash Flow after Distributions.</w:t>
      </w:r>
    </w:p>
    <w:p>
      <w:pPr>
        <w:spacing w:after="0" w:line="186" w:lineRule="exact"/>
        <w:rPr>
          <w:sz w:val="20"/>
          <w:szCs w:val="20"/>
          <w:color w:val="auto"/>
        </w:rPr>
      </w:pPr>
    </w:p>
    <w:p>
      <w:pPr>
        <w:ind w:right="40" w:firstLine="620"/>
        <w:spacing w:after="0" w:line="274" w:lineRule="auto"/>
        <w:rPr>
          <w:sz w:val="20"/>
          <w:szCs w:val="20"/>
          <w:color w:val="auto"/>
        </w:rPr>
      </w:pPr>
      <w:r>
        <w:rPr>
          <w:rFonts w:ascii="Arial" w:cs="Arial" w:eastAsia="Arial" w:hAnsi="Arial"/>
          <w:sz w:val="16"/>
          <w:szCs w:val="16"/>
          <w:color w:val="auto"/>
        </w:rPr>
        <w:t>Adjusted EBITDA is defined as earnings before interest, taxes, depreciation and amortization (including our proportionate share of depreciation and amortization, including write-downs related to cancelled projects and impairments, of unconsolidated entities), gains and losses on asset sales and asset impairments, goodwill impairment losses and gains or losses on and impairments of investments in unconsolidated entities, adjusted for certain selected items impacting comparability. 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Free Cash Flow and Free Cash Flow after Distributions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our website at www.plains.com (in particular the section under “Financial Information” entitled “Non-GAAP Reconciliations” within the Investor Relations tab), which presents a reconciliation of our commonly used non-GAAP and supplemental financial measures. We do not reconcile non-GAAP financial measures on a forward-looking basis as it is impractical to do so without unreasonable effort.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Page 5</w:t>
      </w: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Performance Measures</w:t>
      </w:r>
    </w:p>
    <w:p>
      <w:pPr>
        <w:spacing w:after="0" w:line="250" w:lineRule="exact"/>
        <w:rPr>
          <w:sz w:val="20"/>
          <w:szCs w:val="20"/>
          <w:color w:val="auto"/>
        </w:rPr>
      </w:pPr>
    </w:p>
    <w:p>
      <w:pPr>
        <w:ind w:firstLine="620"/>
        <w:spacing w:after="0" w:line="289" w:lineRule="auto"/>
        <w:rPr>
          <w:sz w:val="20"/>
          <w:szCs w:val="20"/>
          <w:color w:val="auto"/>
        </w:rPr>
      </w:pPr>
      <w:r>
        <w:rPr>
          <w:rFonts w:ascii="Arial" w:cs="Arial" w:eastAsia="Arial" w:hAnsi="Arial"/>
          <w:sz w:val="15"/>
          <w:szCs w:val="15"/>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w:t>
      </w:r>
    </w:p>
    <w:p>
      <w:pPr>
        <w:spacing w:after="0" w:line="3" w:lineRule="exact"/>
        <w:rPr>
          <w:sz w:val="20"/>
          <w:szCs w:val="20"/>
          <w:color w:val="auto"/>
        </w:rPr>
      </w:pPr>
    </w:p>
    <w:p>
      <w:pPr>
        <w:ind w:right="40" w:firstLine="3"/>
        <w:spacing w:after="0" w:line="273" w:lineRule="auto"/>
        <w:tabs>
          <w:tab w:leader="none" w:pos="244"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items that we believe should be excluded in understanding our core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7" w:lineRule="exact"/>
        <w:rPr>
          <w:sz w:val="20"/>
          <w:szCs w:val="20"/>
          <w:color w:val="auto"/>
        </w:rPr>
      </w:pPr>
    </w:p>
    <w:p>
      <w:pPr>
        <w:ind w:right="20" w:firstLine="620"/>
        <w:spacing w:after="0" w:line="261" w:lineRule="auto"/>
        <w:rPr>
          <w:sz w:val="20"/>
          <w:szCs w:val="20"/>
          <w:color w:val="auto"/>
        </w:rPr>
      </w:pPr>
      <w:r>
        <w:rPr>
          <w:rFonts w:ascii="Arial" w:cs="Arial" w:eastAsia="Arial" w:hAnsi="Arial"/>
          <w:sz w:val="17"/>
          <w:szCs w:val="17"/>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Liquidity Measures</w:t>
      </w:r>
    </w:p>
    <w:p>
      <w:pPr>
        <w:spacing w:after="0" w:line="250" w:lineRule="exact"/>
        <w:rPr>
          <w:sz w:val="20"/>
          <w:szCs w:val="20"/>
          <w:color w:val="auto"/>
        </w:rPr>
      </w:pPr>
    </w:p>
    <w:p>
      <w:pPr>
        <w:ind w:right="100" w:firstLine="620"/>
        <w:spacing w:after="0" w:line="259" w:lineRule="auto"/>
        <w:rPr>
          <w:sz w:val="20"/>
          <w:szCs w:val="20"/>
          <w:color w:val="auto"/>
        </w:rPr>
      </w:pPr>
      <w:r>
        <w:rPr>
          <w:rFonts w:ascii="Arial" w:cs="Arial" w:eastAsia="Arial" w:hAnsi="Arial"/>
          <w:sz w:val="17"/>
          <w:szCs w:val="17"/>
          <w:color w:val="auto"/>
        </w:rPr>
        <w:t>Management also uses the non-GAAP financial measures Free Cash Flow and Free Cash Flow after Distributions to assess the amount of cash that is available for distributions, debt repayments, common equity repurchases and other general partnership purposes.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Free Cash Flow is further reduced by cash distributions paid to our preferred and common unitholders to arrive at Free Cash Flow after Distributions.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Page 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Twelve Months Ended</w:t>
            </w:r>
          </w:p>
        </w:tc>
      </w:tr>
      <w:tr>
        <w:trPr>
          <w:trHeight w:val="187"/>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6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42,078</w:t>
            </w:r>
          </w:p>
        </w:tc>
      </w:tr>
      <w:tr>
        <w:trPr>
          <w:trHeight w:val="207"/>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11,995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11,760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53,176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38,504</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292</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(Gains)/losses on asset sales and asset impairments,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592</w:t>
            </w:r>
          </w:p>
        </w:tc>
      </w:tr>
      <w:tr>
        <w:trPr>
          <w:trHeight w:val="21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56,050</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41,227</w:t>
            </w:r>
          </w:p>
        </w:tc>
      </w:tr>
      <w:tr>
        <w:trPr>
          <w:trHeight w:val="207"/>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r>
      <w:tr>
        <w:trPr>
          <w:trHeight w:val="207"/>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274</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Gain/(loss) on investments in unconsolidated entities,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(425)</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income/(expense), net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187"/>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187"/>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r>
      <w:tr>
        <w:trPr>
          <w:trHeight w:val="220"/>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r>
      <w:tr>
        <w:trPr>
          <w:trHeight w:val="23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PAA</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6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PER COMMON UNIT: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0"/>
        </w:trPr>
        <w:tc>
          <w:tcPr>
            <w:tcW w:w="6280" w:type="dxa"/>
            <w:vAlign w:val="bottom"/>
          </w:tcPr>
          <w:p>
            <w:pPr>
              <w:ind w:left="140"/>
              <w:spacing w:after="0"/>
              <w:rPr>
                <w:sz w:val="20"/>
                <w:szCs w:val="20"/>
                <w:color w:val="auto"/>
              </w:rPr>
            </w:pPr>
            <w:r>
              <w:rPr>
                <w:rFonts w:ascii="Arial" w:cs="Arial" w:eastAsia="Arial" w:hAnsi="Arial"/>
                <w:sz w:val="17"/>
                <w:szCs w:val="17"/>
                <w:color w:val="auto"/>
              </w:rPr>
              <w:t>Net income allocated to common unitholders — Basic and Diluted</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831</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20"/>
        </w:trPr>
        <w:tc>
          <w:tcPr>
            <w:tcW w:w="6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 and diluted weighted average common units outstanding</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w:t>
            </w:r>
          </w:p>
        </w:tc>
      </w:tr>
      <w:tr>
        <w:trPr>
          <w:trHeight w:val="220"/>
        </w:trPr>
        <w:tc>
          <w:tcPr>
            <w:tcW w:w="6280" w:type="dxa"/>
            <w:vAlign w:val="bottom"/>
          </w:tcPr>
          <w:p>
            <w:pPr>
              <w:ind w:left="140"/>
              <w:spacing w:after="0"/>
              <w:rPr>
                <w:sz w:val="20"/>
                <w:szCs w:val="20"/>
                <w:color w:val="auto"/>
              </w:rPr>
            </w:pPr>
            <w:r>
              <w:rPr>
                <w:rFonts w:ascii="Arial" w:cs="Arial" w:eastAsia="Arial" w:hAnsi="Arial"/>
                <w:sz w:val="17"/>
                <w:szCs w:val="17"/>
                <w:color w:val="auto"/>
              </w:rPr>
              <w:t>Basic and diluted net income per common unit</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0.55</w:t>
            </w: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auto"/>
        </w:rPr>
        <w:t>Page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CONSOLIDATED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9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7"/>
                <w:szCs w:val="17"/>
                <w:color w:val="auto"/>
              </w:rPr>
              <w:t>Current assets (including Cash and cash equivalents of $401 and $449, respectively)</w:t>
            </w:r>
          </w:p>
        </w:tc>
        <w:tc>
          <w:tcPr>
            <w:tcW w:w="1640" w:type="dxa"/>
            <w:vAlign w:val="bottom"/>
            <w:gridSpan w:val="3"/>
          </w:tcPr>
          <w:p>
            <w:pPr>
              <w:jc w:val="right"/>
              <w:ind w:right="11"/>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5,355</w:t>
            </w:r>
          </w:p>
        </w:tc>
        <w:tc>
          <w:tcPr>
            <w:tcW w:w="3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6,137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15,250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Investments in unconsolidated entities</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3,084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3,805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Linefill</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961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operating lease right-of-use assets,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inventory</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assets,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assets</w:t>
            </w:r>
          </w:p>
        </w:tc>
        <w:tc>
          <w:tcPr>
            <w:tcW w:w="2320" w:type="dxa"/>
            <w:vAlign w:val="bottom"/>
          </w:tcPr>
          <w:p>
            <w:pPr>
              <w:spacing w:after="0"/>
              <w:rPr>
                <w:sz w:val="18"/>
                <w:szCs w:val="18"/>
                <w:color w:val="auto"/>
              </w:rPr>
            </w:pPr>
          </w:p>
        </w:tc>
        <w:tc>
          <w:tcPr>
            <w:tcW w:w="1640" w:type="dxa"/>
            <w:vAlign w:val="bottom"/>
            <w:gridSpan w:val="3"/>
          </w:tcPr>
          <w:p>
            <w:pPr>
              <w:jc w:val="right"/>
              <w:ind w:right="11"/>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27,892</w:t>
            </w:r>
          </w:p>
        </w:tc>
        <w:tc>
          <w:tcPr>
            <w:tcW w:w="3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28,609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b w:val="1"/>
                <w:bCs w:val="1"/>
                <w:color w:val="auto"/>
              </w:rPr>
              <w:t>LIABILITIES AND PARTNERS’ CAPITAL</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32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5,891</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Senior notes, net</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7,237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8,329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debt, net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operating lease liabilities</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308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liabilities and deferred credits</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1,081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20" w:type="dxa"/>
            <w:vAlign w:val="bottom"/>
            <w:gridSpan w:val="2"/>
          </w:tcPr>
          <w:p>
            <w:pPr>
              <w:ind w:left="160"/>
              <w:spacing w:after="0"/>
              <w:rPr>
                <w:sz w:val="20"/>
                <w:szCs w:val="20"/>
                <w:color w:val="auto"/>
              </w:rPr>
            </w:pPr>
            <w:r>
              <w:rPr>
                <w:rFonts w:ascii="Arial" w:cs="Arial" w:eastAsia="Arial" w:hAnsi="Arial"/>
                <w:sz w:val="17"/>
                <w:szCs w:val="17"/>
                <w:color w:val="auto"/>
              </w:rPr>
              <w:t>Total liabilities</w:t>
            </w:r>
          </w:p>
        </w:tc>
        <w:tc>
          <w:tcPr>
            <w:tcW w:w="2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14,567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15,799</w:t>
            </w:r>
          </w:p>
        </w:tc>
        <w:tc>
          <w:tcPr>
            <w:tcW w:w="0" w:type="dxa"/>
            <w:vAlign w:val="bottom"/>
          </w:tcPr>
          <w:p>
            <w:pPr>
              <w:spacing w:after="0"/>
              <w:rPr>
                <w:sz w:val="1"/>
                <w:szCs w:val="1"/>
                <w:color w:val="auto"/>
              </w:rPr>
            </w:pPr>
          </w:p>
        </w:tc>
      </w:tr>
      <w:tr>
        <w:trPr>
          <w:trHeight w:val="194"/>
        </w:trPr>
        <w:tc>
          <w:tcPr>
            <w:tcW w:w="2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10,057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9,972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3,268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Total partners’ capital</w:t>
            </w:r>
          </w:p>
        </w:tc>
        <w:tc>
          <w:tcPr>
            <w:tcW w:w="23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13,325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liabilities and partners’ capital</w:t>
            </w:r>
          </w:p>
        </w:tc>
        <w:tc>
          <w:tcPr>
            <w:tcW w:w="232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jc w:val="right"/>
              <w:ind w:right="11"/>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27,892</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28,609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DEBT CAPITALIZATION RATIOS</w:t>
            </w:r>
          </w:p>
        </w:tc>
        <w:tc>
          <w:tcPr>
            <w:tcW w:w="2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4640" w:type="dxa"/>
            <w:vAlign w:val="bottom"/>
            <w:gridSpan w:val="3"/>
            <w:vMerge w:val="continue"/>
          </w:tcPr>
          <w:p>
            <w:pPr>
              <w:spacing w:after="0"/>
              <w:rPr>
                <w:sz w:val="24"/>
                <w:szCs w:val="24"/>
                <w:color w:val="auto"/>
              </w:rPr>
            </w:pPr>
          </w:p>
        </w:tc>
        <w:tc>
          <w:tcPr>
            <w:tcW w:w="2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(in millions)</w:t>
            </w:r>
          </w:p>
        </w:tc>
        <w:tc>
          <w:tcPr>
            <w:tcW w:w="19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jc w:val="right"/>
              <w:ind w:right="440"/>
              <w:spacing w:after="0" w:line="158" w:lineRule="exact"/>
              <w:rPr>
                <w:sz w:val="20"/>
                <w:szCs w:val="20"/>
                <w:color w:val="auto"/>
              </w:rPr>
            </w:pPr>
            <w:r>
              <w:rPr>
                <w:rFonts w:ascii="Arial" w:cs="Arial" w:eastAsia="Arial" w:hAnsi="Arial"/>
                <w:sz w:val="14"/>
                <w:szCs w:val="14"/>
                <w:b w:val="1"/>
                <w:bCs w:val="1"/>
                <w:color w:val="auto"/>
                <w:w w:val="94"/>
              </w:rPr>
              <w:t>December 31,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256"/>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268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1,159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822</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Long-term debt</w:t>
            </w: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7,287</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8,398</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debt</w:t>
            </w:r>
          </w:p>
        </w:tc>
        <w:tc>
          <w:tcPr>
            <w:tcW w:w="23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8,446</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9,220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3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7,287</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8,398</w:t>
            </w:r>
          </w:p>
        </w:tc>
        <w:tc>
          <w:tcPr>
            <w:tcW w:w="0" w:type="dxa"/>
            <w:vAlign w:val="bottom"/>
          </w:tcPr>
          <w:p>
            <w:pPr>
              <w:spacing w:after="0"/>
              <w:rPr>
                <w:sz w:val="1"/>
                <w:szCs w:val="1"/>
                <w:color w:val="auto"/>
              </w:rPr>
            </w:pPr>
          </w:p>
        </w:tc>
      </w:tr>
      <w:tr>
        <w:trPr>
          <w:trHeight w:val="220"/>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Partners’ capital excluding noncontrolling interests</w:t>
            </w:r>
          </w:p>
        </w:tc>
        <w:tc>
          <w:tcPr>
            <w:tcW w:w="23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10,057</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9,972</w:t>
            </w: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69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Total book capitalization excluding noncontrolling interests (“Total book capitalization”)</w:t>
            </w:r>
          </w:p>
        </w:tc>
        <w:tc>
          <w:tcPr>
            <w:tcW w:w="1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17,344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18,370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620" w:type="dxa"/>
            <w:vAlign w:val="bottom"/>
            <w:gridSpan w:val="2"/>
          </w:tcPr>
          <w:p>
            <w:pPr>
              <w:ind w:left="320"/>
              <w:spacing w:after="0" w:line="191" w:lineRule="exact"/>
              <w:rPr>
                <w:sz w:val="20"/>
                <w:szCs w:val="20"/>
                <w:color w:val="auto"/>
              </w:rPr>
            </w:pPr>
            <w:r>
              <w:rPr>
                <w:rFonts w:ascii="Arial" w:cs="Arial" w:eastAsia="Arial" w:hAnsi="Arial"/>
                <w:sz w:val="17"/>
                <w:szCs w:val="17"/>
                <w:color w:val="auto"/>
              </w:rPr>
              <w:t>Total book capitalization, including short-term debt</w:t>
            </w:r>
          </w:p>
        </w:tc>
        <w:tc>
          <w:tcPr>
            <w:tcW w:w="2320" w:type="dxa"/>
            <w:vAlign w:val="bottom"/>
          </w:tcPr>
          <w:p>
            <w:pPr>
              <w:spacing w:after="0"/>
              <w:rPr>
                <w:sz w:val="16"/>
                <w:szCs w:val="16"/>
                <w:color w:val="auto"/>
              </w:rPr>
            </w:pPr>
          </w:p>
        </w:tc>
        <w:tc>
          <w:tcPr>
            <w:tcW w:w="1460" w:type="dxa"/>
            <w:vAlign w:val="bottom"/>
            <w:gridSpan w:val="2"/>
          </w:tcPr>
          <w:p>
            <w:pPr>
              <w:jc w:val="right"/>
              <w:ind w:right="74"/>
              <w:spacing w:after="0" w:line="191"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40" w:type="dxa"/>
            <w:vAlign w:val="bottom"/>
          </w:tcPr>
          <w:p>
            <w:pPr>
              <w:jc w:val="right"/>
              <w:ind w:right="36"/>
              <w:spacing w:after="0" w:line="191" w:lineRule="exact"/>
              <w:rPr>
                <w:sz w:val="20"/>
                <w:szCs w:val="20"/>
                <w:color w:val="auto"/>
              </w:rPr>
            </w:pPr>
            <w:r>
              <w:rPr>
                <w:rFonts w:ascii="Arial" w:cs="Arial" w:eastAsia="Arial" w:hAnsi="Arial"/>
                <w:sz w:val="17"/>
                <w:szCs w:val="17"/>
                <w:color w:val="auto"/>
              </w:rPr>
              <w:t>18,503</w:t>
            </w:r>
          </w:p>
        </w:tc>
        <w:tc>
          <w:tcPr>
            <w:tcW w:w="100" w:type="dxa"/>
            <w:vAlign w:val="bottom"/>
          </w:tcPr>
          <w:p>
            <w:pPr>
              <w:spacing w:after="0"/>
              <w:rPr>
                <w:sz w:val="16"/>
                <w:szCs w:val="16"/>
                <w:color w:val="auto"/>
              </w:rPr>
            </w:pPr>
          </w:p>
        </w:tc>
        <w:tc>
          <w:tcPr>
            <w:tcW w:w="140" w:type="dxa"/>
            <w:vAlign w:val="bottom"/>
            <w:gridSpan w:val="2"/>
          </w:tcPr>
          <w:p>
            <w:pPr>
              <w:jc w:val="right"/>
              <w:ind w:right="40"/>
              <w:spacing w:after="0" w:line="191" w:lineRule="exact"/>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6"/>
                <w:szCs w:val="16"/>
                <w:color w:val="auto"/>
              </w:rPr>
            </w:pPr>
          </w:p>
        </w:tc>
        <w:tc>
          <w:tcPr>
            <w:tcW w:w="1200" w:type="dxa"/>
            <w:vAlign w:val="bottom"/>
          </w:tcPr>
          <w:p>
            <w:pPr>
              <w:jc w:val="right"/>
              <w:ind w:right="36"/>
              <w:spacing w:after="0" w:line="191" w:lineRule="exact"/>
              <w:rPr>
                <w:sz w:val="20"/>
                <w:szCs w:val="20"/>
                <w:color w:val="auto"/>
              </w:rPr>
            </w:pPr>
            <w:r>
              <w:rPr>
                <w:rFonts w:ascii="Arial" w:cs="Arial" w:eastAsia="Arial" w:hAnsi="Arial"/>
                <w:sz w:val="17"/>
                <w:szCs w:val="17"/>
                <w:color w:val="auto"/>
              </w:rPr>
              <w:t>19,192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7"/>
                <w:szCs w:val="17"/>
                <w:color w:val="auto"/>
              </w:rPr>
              <w:t>Long-term debt-to-total book capitalization</w:t>
            </w:r>
          </w:p>
        </w:tc>
        <w:tc>
          <w:tcPr>
            <w:tcW w:w="2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46 %</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6"/>
              </w:rPr>
              <w:t>Total debt-to-total book capitalization, including short-term debt</w:t>
            </w:r>
          </w:p>
        </w:tc>
        <w:tc>
          <w:tcPr>
            <w:tcW w:w="2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center"/>
              <w:ind w:right="274"/>
              <w:spacing w:after="0"/>
              <w:rPr>
                <w:sz w:val="20"/>
                <w:szCs w:val="20"/>
                <w:color w:val="auto"/>
              </w:rPr>
            </w:pPr>
            <w:r>
              <w:rPr>
                <w:rFonts w:ascii="Arial" w:cs="Arial" w:eastAsia="Arial" w:hAnsi="Arial"/>
                <w:sz w:val="17"/>
                <w:szCs w:val="17"/>
                <w:color w:val="auto"/>
                <w:w w:val="94"/>
              </w:rPr>
              <w:t>- more -</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20" w:type="dxa"/>
            <w:vAlign w:val="bottom"/>
            <w:tcBorders>
              <w:bottom w:val="single" w:sz="8" w:color="auto"/>
            </w:tcBorders>
            <w:gridSpan w:val="2"/>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4"/>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gridSpan w:val="2"/>
          </w:tcPr>
          <w:p>
            <w:pPr>
              <w:ind w:left="1720"/>
              <w:spacing w:after="0"/>
              <w:rPr>
                <w:sz w:val="20"/>
                <w:szCs w:val="20"/>
                <w:color w:val="auto"/>
              </w:rPr>
            </w:pPr>
            <w:r>
              <w:rPr>
                <w:rFonts w:ascii="Arial" w:cs="Arial" w:eastAsia="Arial" w:hAnsi="Arial"/>
                <w:sz w:val="17"/>
                <w:szCs w:val="17"/>
                <w:b w:val="1"/>
                <w:bCs w:val="1"/>
                <w:color w:val="auto"/>
              </w:rPr>
              <w:t>333 Clay Street, Suite 1600</w:t>
            </w:r>
          </w:p>
        </w:tc>
        <w:tc>
          <w:tcPr>
            <w:tcW w:w="2320" w:type="dxa"/>
            <w:vAlign w:val="bottom"/>
          </w:tcPr>
          <w:p>
            <w:pPr>
              <w:jc w:val="center"/>
              <w:ind w:right="294"/>
              <w:spacing w:after="0"/>
              <w:rPr>
                <w:sz w:val="20"/>
                <w:szCs w:val="20"/>
                <w:color w:val="auto"/>
              </w:rPr>
            </w:pPr>
            <w:r>
              <w:rPr>
                <w:rFonts w:ascii="Arial" w:cs="Arial" w:eastAsia="Arial" w:hAnsi="Arial"/>
                <w:sz w:val="17"/>
                <w:szCs w:val="17"/>
                <w:b w:val="1"/>
                <w:bCs w:val="1"/>
                <w:color w:val="auto"/>
                <w:w w:val="88"/>
              </w:rPr>
              <w:t>Houston, Texas 77002</w:t>
            </w:r>
          </w:p>
        </w:tc>
        <w:tc>
          <w:tcPr>
            <w:tcW w:w="2680" w:type="dxa"/>
            <w:vAlign w:val="bottom"/>
            <w:gridSpan w:val="4"/>
          </w:tcPr>
          <w:p>
            <w:pPr>
              <w:jc w:val="right"/>
              <w:spacing w:after="0"/>
              <w:rPr>
                <w:sz w:val="20"/>
                <w:szCs w:val="20"/>
                <w:color w:val="auto"/>
              </w:rPr>
            </w:pPr>
            <w:r>
              <w:rPr>
                <w:rFonts w:ascii="Arial" w:cs="Arial" w:eastAsia="Arial" w:hAnsi="Arial"/>
                <w:sz w:val="17"/>
                <w:szCs w:val="17"/>
                <w:b w:val="1"/>
                <w:bCs w:val="1"/>
                <w:color w:val="auto"/>
              </w:rPr>
              <w:t>713-646-4100 / 866-809-1291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auto"/>
        </w:rPr>
        <w:t>Page 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Twelve Months Ended</w:t>
            </w:r>
          </w:p>
        </w:tc>
      </w:tr>
      <w:tr>
        <w:trPr>
          <w:trHeight w:val="187"/>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2021</w:t>
            </w:r>
          </w:p>
        </w:tc>
      </w:tr>
      <w:tr>
        <w:trPr>
          <w:trHeight w:val="20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PAA</w:t>
            </w: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760" w:type="dxa"/>
            <w:vAlign w:val="bottom"/>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1,037</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593</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Amounts allocated to participating securities</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 allocated to common unitholders</w:t>
            </w:r>
          </w:p>
        </w:tc>
        <w:tc>
          <w:tcPr>
            <w:tcW w:w="760" w:type="dxa"/>
            <w:vAlign w:val="bottom"/>
            <w:tcBorders>
              <w:bottom w:val="single" w:sz="8" w:color="auto"/>
            </w:tcBorders>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3"/>
        </w:trPr>
        <w:tc>
          <w:tcPr>
            <w:tcW w:w="388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(2) (3)</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716</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and diluted net income per common unit</w:t>
            </w:r>
          </w:p>
        </w:tc>
        <w:tc>
          <w:tcPr>
            <w:tcW w:w="760" w:type="dxa"/>
            <w:vAlign w:val="bottom"/>
            <w:tcBorders>
              <w:bottom w:val="single" w:sz="8" w:color="auto"/>
            </w:tcBorders>
          </w:tcPr>
          <w:p>
            <w:pPr>
              <w:jc w:val="right"/>
              <w:ind w:right="581"/>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0.30</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0.55</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21"/>
        </w:trPr>
        <w:tc>
          <w:tcPr>
            <w:tcW w:w="388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130" w:lineRule="exact"/>
        <w:rPr>
          <w:sz w:val="20"/>
          <w:szCs w:val="20"/>
          <w:color w:val="auto"/>
        </w:rPr>
      </w:pPr>
    </w:p>
    <w:p>
      <w:pPr>
        <w:ind w:left="320" w:right="100" w:hanging="317"/>
        <w:spacing w:after="0"/>
        <w:tabs>
          <w:tab w:leader="none" w:pos="30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We calculate net income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39" w:lineRule="exact"/>
        <w:rPr>
          <w:rFonts w:ascii="Arial" w:cs="Arial" w:eastAsia="Arial" w:hAnsi="Arial"/>
          <w:sz w:val="22"/>
          <w:szCs w:val="22"/>
          <w:color w:val="auto"/>
          <w:vertAlign w:val="superscript"/>
        </w:rPr>
      </w:pPr>
    </w:p>
    <w:p>
      <w:pPr>
        <w:ind w:left="320" w:right="300" w:hanging="317"/>
        <w:spacing w:after="0"/>
        <w:tabs>
          <w:tab w:leader="none" w:pos="30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possible conversion of our Series A preferred units was excluded from the calculation of diluted net income per common unit for the three and twelve months ended December 31, 2022 and 2021 as the effect was either antidilutive or did not change net income per common unit.</w:t>
      </w:r>
    </w:p>
    <w:p>
      <w:pPr>
        <w:spacing w:after="0" w:line="39" w:lineRule="exact"/>
        <w:rPr>
          <w:rFonts w:ascii="Arial" w:cs="Arial" w:eastAsia="Arial" w:hAnsi="Arial"/>
          <w:sz w:val="21"/>
          <w:szCs w:val="21"/>
          <w:color w:val="auto"/>
          <w:vertAlign w:val="superscript"/>
        </w:rPr>
      </w:pPr>
    </w:p>
    <w:p>
      <w:pPr>
        <w:ind w:left="320" w:right="20" w:hanging="317"/>
        <w:spacing w:after="0" w:line="260" w:lineRule="auto"/>
        <w:tabs>
          <w:tab w:leader="none" w:pos="30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twelve months ended December 31, 2022 and 2021, the effect of equity-indexed compensation plan awards was either antidilutive or did not change net income per common unit.</w:t>
      </w:r>
    </w:p>
    <w:p>
      <w:pPr>
        <w:spacing w:after="0" w:line="168" w:lineRule="exact"/>
        <w:rPr>
          <w:rFonts w:ascii="Arial" w:cs="Arial" w:eastAsia="Arial" w:hAnsi="Arial"/>
          <w:sz w:val="21"/>
          <w:szCs w:val="21"/>
          <w:color w:val="auto"/>
          <w:vertAlign w:val="superscript"/>
        </w:rPr>
      </w:pPr>
    </w:p>
    <w:p>
      <w:pPr>
        <w:ind w:left="5440" w:hanging="93"/>
        <w:spacing w:after="0"/>
        <w:tabs>
          <w:tab w:leader="none" w:pos="54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Page 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COMPUTATION OF BASIC AND DILUTED ADJUSTED NET INCOME PER COMMON UNIT</w:t>
      </w:r>
      <w:r>
        <w:rPr>
          <w:rFonts w:ascii="Arial" w:cs="Arial" w:eastAsia="Arial" w:hAnsi="Arial"/>
          <w:sz w:val="17"/>
          <w:szCs w:val="17"/>
          <w:b w:val="1"/>
          <w:bCs w:val="1"/>
          <w:color w:val="auto"/>
        </w:rPr>
        <w:t xml:space="preserve"> </w:t>
      </w:r>
      <w:r>
        <w:rPr>
          <w:rFonts w:ascii="Arial" w:cs="Arial" w:eastAsia="Arial" w:hAnsi="Arial"/>
          <w:sz w:val="22"/>
          <w:szCs w:val="22"/>
          <w:b w:val="1"/>
          <w:bCs w:val="1"/>
          <w:color w:val="auto"/>
          <w:vertAlign w:val="superscript"/>
        </w:rPr>
        <w:t>(1)</w:t>
      </w:r>
    </w:p>
    <w:p>
      <w:pPr>
        <w:spacing w:after="0"/>
        <w:rPr>
          <w:sz w:val="20"/>
          <w:szCs w:val="20"/>
          <w:color w:val="auto"/>
        </w:rPr>
      </w:pPr>
      <w:r>
        <w:rPr>
          <w:rFonts w:ascii="Arial" w:cs="Arial" w:eastAsia="Arial" w:hAnsi="Arial"/>
          <w:sz w:val="17"/>
          <w:szCs w:val="17"/>
          <w:color w:val="auto"/>
        </w:rPr>
        <w:t>(in millions, except per unit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7"/>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Twelve Months Ended</w:t>
            </w:r>
          </w:p>
        </w:tc>
      </w:tr>
      <w:tr>
        <w:trPr>
          <w:trHeight w:val="185"/>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w w:val="92"/>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2021</w:t>
            </w:r>
          </w:p>
        </w:tc>
      </w:tr>
      <w:tr>
        <w:trPr>
          <w:trHeight w:val="20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Adjusted Net Income per Common Unit</w:t>
            </w: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PAA</w:t>
            </w:r>
          </w:p>
        </w:tc>
        <w:tc>
          <w:tcPr>
            <w:tcW w:w="760" w:type="dxa"/>
            <w:vAlign w:val="bottom"/>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9"/>
                <w:szCs w:val="19"/>
                <w:color w:val="auto"/>
              </w:rPr>
            </w:pPr>
          </w:p>
        </w:tc>
        <w:tc>
          <w:tcPr>
            <w:tcW w:w="760" w:type="dxa"/>
            <w:vAlign w:val="bottom"/>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1,037</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593</w:t>
            </w:r>
          </w:p>
        </w:tc>
      </w:tr>
      <w:tr>
        <w:trPr>
          <w:trHeight w:val="220"/>
        </w:trPr>
        <w:tc>
          <w:tcPr>
            <w:tcW w:w="6280" w:type="dxa"/>
            <w:vAlign w:val="bottom"/>
            <w:gridSpan w:val="2"/>
            <w:shd w:val="clear" w:color="auto" w:fill="CCEEFF"/>
          </w:tcPr>
          <w:p>
            <w:pPr>
              <w:ind w:left="180"/>
              <w:spacing w:after="0" w:line="220" w:lineRule="exact"/>
              <w:rPr>
                <w:sz w:val="20"/>
                <w:szCs w:val="20"/>
                <w:color w:val="auto"/>
              </w:rPr>
            </w:pPr>
            <w:r>
              <w:rPr>
                <w:rFonts w:ascii="Arial" w:cs="Arial" w:eastAsia="Arial" w:hAnsi="Arial"/>
                <w:sz w:val="17"/>
                <w:szCs w:val="17"/>
                <w:color w:val="auto"/>
                <w:w w:val="96"/>
              </w:rPr>
              <w:t xml:space="preserve">Selected items impacting comparability - Adjusted net income attributable to PAA </w:t>
            </w:r>
            <w:r>
              <w:rPr>
                <w:rFonts w:ascii="Arial" w:cs="Arial" w:eastAsia="Arial" w:hAnsi="Arial"/>
                <w:sz w:val="22"/>
                <w:szCs w:val="22"/>
                <w:color w:val="auto"/>
                <w:w w:val="96"/>
                <w:vertAlign w:val="superscript"/>
              </w:rPr>
              <w:t>(2)</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(219)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attributable to PAA</w:t>
            </w:r>
          </w:p>
        </w:tc>
        <w:tc>
          <w:tcPr>
            <w:tcW w:w="760" w:type="dxa"/>
            <w:vAlign w:val="bottom"/>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8"/>
                <w:szCs w:val="18"/>
                <w:color w:val="auto"/>
              </w:rPr>
            </w:pPr>
          </w:p>
        </w:tc>
        <w:tc>
          <w:tcPr>
            <w:tcW w:w="760" w:type="dxa"/>
            <w:vAlign w:val="bottom"/>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1,091</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884</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Distributions to Series A preferred unitholders</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20"/>
        </w:trPr>
        <w:tc>
          <w:tcPr>
            <w:tcW w:w="6280" w:type="dxa"/>
            <w:vAlign w:val="bottom"/>
            <w:gridSpan w:val="2"/>
          </w:tcPr>
          <w:p>
            <w:pPr>
              <w:ind w:left="180"/>
              <w:spacing w:after="0"/>
              <w:rPr>
                <w:sz w:val="20"/>
                <w:szCs w:val="20"/>
                <w:color w:val="auto"/>
              </w:rPr>
            </w:pPr>
            <w:r>
              <w:rPr>
                <w:rFonts w:ascii="Arial" w:cs="Arial" w:eastAsia="Arial" w:hAnsi="Arial"/>
                <w:sz w:val="17"/>
                <w:szCs w:val="17"/>
                <w:color w:val="auto"/>
              </w:rPr>
              <w:t>Distributions to Series B preferred unitholders</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Amounts allocated to participating securities</w:t>
            </w: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Adjusted net income allocated to common unitholders</w:t>
            </w:r>
          </w:p>
        </w:tc>
        <w:tc>
          <w:tcPr>
            <w:tcW w:w="760" w:type="dxa"/>
            <w:vAlign w:val="bottom"/>
            <w:tcBorders>
              <w:bottom w:val="single" w:sz="8" w:color="auto"/>
            </w:tcBorders>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Basic and diluted weighted average common units outstanding </w:t>
            </w:r>
            <w:r>
              <w:rPr>
                <w:rFonts w:ascii="Arial" w:cs="Arial" w:eastAsia="Arial" w:hAnsi="Arial"/>
                <w:sz w:val="22"/>
                <w:szCs w:val="22"/>
                <w:color w:val="auto"/>
                <w:vertAlign w:val="superscript"/>
              </w:rPr>
              <w:t>(3) (4)</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716</w:t>
            </w:r>
          </w:p>
        </w:tc>
      </w:tr>
      <w:tr>
        <w:trPr>
          <w:trHeight w:val="245"/>
        </w:trPr>
        <w:tc>
          <w:tcPr>
            <w:tcW w:w="38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60" w:type="dxa"/>
            <w:vAlign w:val="bottom"/>
            <w:tcBorders>
              <w:bottom w:val="single" w:sz="8" w:color="auto"/>
            </w:tcBorders>
          </w:tcPr>
          <w:p>
            <w:pPr>
              <w:jc w:val="right"/>
              <w:ind w:right="58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0.33</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5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0.25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0.95</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34"/>
        </w:trPr>
        <w:tc>
          <w:tcPr>
            <w:tcW w:w="3880" w:type="dxa"/>
            <w:vAlign w:val="bottom"/>
            <w:tcBorders>
              <w:bottom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30" w:lineRule="exact"/>
        <w:rPr>
          <w:sz w:val="20"/>
          <w:szCs w:val="20"/>
          <w:color w:val="auto"/>
        </w:rPr>
      </w:pPr>
    </w:p>
    <w:p>
      <w:pPr>
        <w:ind w:left="320" w:right="40" w:hanging="317"/>
        <w:spacing w:after="0"/>
        <w:tabs>
          <w:tab w:leader="none" w:pos="30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See the “Selected Items Impacting Comparability” table for additional information.</w:t>
      </w:r>
    </w:p>
    <w:p>
      <w:pPr>
        <w:spacing w:after="0" w:line="52" w:lineRule="exact"/>
        <w:rPr>
          <w:rFonts w:ascii="Arial" w:cs="Arial" w:eastAsia="Arial" w:hAnsi="Arial"/>
          <w:sz w:val="22"/>
          <w:szCs w:val="22"/>
          <w:color w:val="auto"/>
          <w:vertAlign w:val="superscript"/>
        </w:rPr>
      </w:pPr>
    </w:p>
    <w:p>
      <w:pPr>
        <w:ind w:left="320" w:right="200" w:hanging="317"/>
        <w:spacing w:after="0" w:line="220" w:lineRule="auto"/>
        <w:tabs>
          <w:tab w:leader="none" w:pos="30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The possible conversion of our Series A preferred units was excluded from the calculation of diluted adjusted net income per common unit for the three and twelve months ended December 31, 2022 and 2021 as the effect was antidilutive.</w:t>
      </w:r>
    </w:p>
    <w:p>
      <w:pPr>
        <w:spacing w:after="0" w:line="40" w:lineRule="exact"/>
        <w:rPr>
          <w:rFonts w:ascii="Arial" w:cs="Arial" w:eastAsia="Arial" w:hAnsi="Arial"/>
          <w:sz w:val="22"/>
          <w:szCs w:val="22"/>
          <w:color w:val="auto"/>
          <w:vertAlign w:val="superscript"/>
        </w:rPr>
      </w:pPr>
    </w:p>
    <w:p>
      <w:pPr>
        <w:ind w:left="320" w:right="20" w:hanging="317"/>
        <w:spacing w:after="0" w:line="243" w:lineRule="auto"/>
        <w:tabs>
          <w:tab w:leader="none" w:pos="308"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 For the three and twelve months ended December 31, 2022 and 2021, the effect of equity-indexed compensation plan awards did not change adjusted net income per common unit.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Per Common Unit to Adjusted Net Income Per Common Unit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9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ind w:left="300"/>
              <w:spacing w:after="0"/>
              <w:rPr>
                <w:sz w:val="20"/>
                <w:szCs w:val="20"/>
                <w:color w:val="auto"/>
              </w:rPr>
            </w:pPr>
            <w:r>
              <w:rPr>
                <w:rFonts w:ascii="Arial" w:cs="Arial" w:eastAsia="Arial" w:hAnsi="Arial"/>
                <w:sz w:val="14"/>
                <w:szCs w:val="14"/>
                <w:b w:val="1"/>
                <w:bCs w:val="1"/>
                <w:color w:val="auto"/>
              </w:rPr>
              <w:t>Twelve Months Ended</w:t>
            </w:r>
          </w:p>
        </w:tc>
      </w:tr>
      <w:tr>
        <w:trPr>
          <w:trHeight w:val="187"/>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net income per common unit</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0.30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520"/>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r>
      <w:tr>
        <w:trPr>
          <w:trHeight w:val="220"/>
        </w:trPr>
        <w:tc>
          <w:tcPr>
            <w:tcW w:w="62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Selected items impacting comparability per common unit </w:t>
            </w:r>
            <w:r>
              <w:rPr>
                <w:rFonts w:ascii="Arial" w:cs="Arial" w:eastAsia="Arial" w:hAnsi="Arial"/>
                <w:sz w:val="22"/>
                <w:szCs w:val="22"/>
                <w:color w:val="auto"/>
                <w:vertAlign w:val="superscript"/>
              </w:rPr>
              <w:t>(1)</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0.03</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(0.31)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0.07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0.40</w:t>
            </w:r>
          </w:p>
        </w:tc>
      </w:tr>
      <w:tr>
        <w:trPr>
          <w:trHeight w:val="23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and diluted adjusted net income per common unit</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0.33</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388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130" w:lineRule="exact"/>
        <w:rPr>
          <w:sz w:val="20"/>
          <w:szCs w:val="20"/>
          <w:color w:val="auto"/>
        </w:rPr>
      </w:pPr>
    </w:p>
    <w:p>
      <w:pPr>
        <w:ind w:left="320" w:right="100" w:hanging="317"/>
        <w:spacing w:after="0" w:line="228" w:lineRule="auto"/>
        <w:tabs>
          <w:tab w:leader="none" w:pos="308"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See the “Selected Items Impacting Comparability” and the “Computation of Basic and Diluted Adjusted Net Income Per Common Unit” tables for additional information.</w:t>
      </w:r>
    </w:p>
    <w:p>
      <w:pPr>
        <w:spacing w:after="0" w:line="232"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auto"/>
        </w:rPr>
        <w:t>Page 10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unit and ratio data)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to Adjusted EBITDA attributable to PAA and Implied DCF Reconciliation: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16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Twelve Months Ended</w:t>
            </w:r>
          </w:p>
        </w:tc>
      </w:tr>
      <w:tr>
        <w:trPr>
          <w:trHeight w:val="187"/>
        </w:trPr>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6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r>
      <w:tr>
        <w:trPr>
          <w:trHeight w:val="220"/>
        </w:trPr>
        <w:tc>
          <w:tcPr>
            <w:tcW w:w="6280" w:type="dxa"/>
            <w:vAlign w:val="bottom"/>
          </w:tcPr>
          <w:p>
            <w:pPr>
              <w:ind w:left="18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425</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20"/>
        </w:trPr>
        <w:tc>
          <w:tcPr>
            <w:tcW w:w="62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774</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(Gains)/losses on asset sales and asset impairments, net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r>
      <w:tr>
        <w:trPr>
          <w:trHeight w:val="220"/>
        </w:trPr>
        <w:tc>
          <w:tcPr>
            <w:tcW w:w="6280" w:type="dxa"/>
            <w:vAlign w:val="bottom"/>
          </w:tcPr>
          <w:p>
            <w:pPr>
              <w:ind w:left="180"/>
              <w:spacing w:after="0"/>
              <w:rPr>
                <w:sz w:val="20"/>
                <w:szCs w:val="20"/>
                <w:color w:val="auto"/>
              </w:rPr>
            </w:pPr>
            <w:r>
              <w:rPr>
                <w:rFonts w:ascii="Arial" w:cs="Arial" w:eastAsia="Arial" w:hAnsi="Arial"/>
                <w:sz w:val="17"/>
                <w:szCs w:val="17"/>
                <w:color w:val="auto"/>
              </w:rPr>
              <w:t>(Gain)/loss on investments in unconsolidated entities, net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Depreciation and amortization of unconsolidated entities </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20"/>
        </w:trPr>
        <w:tc>
          <w:tcPr>
            <w:tcW w:w="6280" w:type="dxa"/>
            <w:vAlign w:val="bottom"/>
            <w:tcBorders>
              <w:bottom w:val="single" w:sz="8" w:color="CCEEFF"/>
            </w:tcBorders>
          </w:tcPr>
          <w:p>
            <w:pPr>
              <w:ind w:left="180"/>
              <w:spacing w:after="0" w:line="220" w:lineRule="exact"/>
              <w:rPr>
                <w:sz w:val="20"/>
                <w:szCs w:val="20"/>
                <w:color w:val="auto"/>
              </w:rPr>
            </w:pPr>
            <w:r>
              <w:rPr>
                <w:rFonts w:ascii="Arial" w:cs="Arial" w:eastAsia="Arial" w:hAnsi="Arial"/>
                <w:sz w:val="17"/>
                <w:szCs w:val="17"/>
                <w:color w:val="auto"/>
              </w:rPr>
              <w:t xml:space="preserve">Selected items impacting comparability - Adjusted EBITDA </w:t>
            </w:r>
            <w:r>
              <w:rPr>
                <w:rFonts w:ascii="Arial" w:cs="Arial" w:eastAsia="Arial" w:hAnsi="Arial"/>
                <w:sz w:val="22"/>
                <w:szCs w:val="22"/>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r>
      <w:tr>
        <w:trPr>
          <w:trHeight w:val="213"/>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w:t>
            </w:r>
          </w:p>
        </w:tc>
      </w:tr>
      <w:tr>
        <w:trPr>
          <w:trHeight w:val="220"/>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Adjusted EBITDA attributable to noncontrolling interests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r>
      <w:tr>
        <w:trPr>
          <w:trHeight w:val="238"/>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Adjusted EBITDA attributable to PAA</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w:t>
            </w:r>
          </w:p>
        </w:tc>
      </w:tr>
      <w:tr>
        <w:trPr>
          <w:trHeight w:val="220"/>
        </w:trPr>
        <w:tc>
          <w:tcPr>
            <w:tcW w:w="6280" w:type="dxa"/>
            <w:vAlign w:val="bottom"/>
          </w:tcPr>
          <w:p>
            <w:pPr>
              <w:ind w:left="180"/>
              <w:spacing w:after="0" w:line="220" w:lineRule="exact"/>
              <w:rPr>
                <w:sz w:val="20"/>
                <w:szCs w:val="20"/>
                <w:color w:val="auto"/>
              </w:rPr>
            </w:pPr>
            <w:r>
              <w:rPr>
                <w:rFonts w:ascii="Arial" w:cs="Arial" w:eastAsia="Arial" w:hAnsi="Arial"/>
                <w:sz w:val="17"/>
                <w:szCs w:val="17"/>
                <w:color w:val="auto"/>
              </w:rPr>
              <w:t xml:space="preserve">Interest expense, net of certain non-cash items </w:t>
            </w:r>
            <w:r>
              <w:rPr>
                <w:rFonts w:ascii="Arial" w:cs="Arial" w:eastAsia="Arial" w:hAnsi="Arial"/>
                <w:sz w:val="22"/>
                <w:szCs w:val="22"/>
                <w:color w:val="auto"/>
                <w:vertAlign w:val="superscript"/>
              </w:rPr>
              <w:t>(3)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(401)</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Maintenance capital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20"/>
        </w:trPr>
        <w:tc>
          <w:tcPr>
            <w:tcW w:w="6280" w:type="dxa"/>
            <w:vAlign w:val="bottom"/>
          </w:tcPr>
          <w:p>
            <w:pPr>
              <w:ind w:left="160"/>
              <w:spacing w:after="0" w:line="220" w:lineRule="exact"/>
              <w:rPr>
                <w:sz w:val="20"/>
                <w:szCs w:val="20"/>
                <w:color w:val="auto"/>
              </w:rPr>
            </w:pPr>
            <w:r>
              <w:rPr>
                <w:rFonts w:ascii="Arial" w:cs="Arial" w:eastAsia="Arial" w:hAnsi="Arial"/>
                <w:sz w:val="17"/>
                <w:szCs w:val="17"/>
                <w:color w:val="auto"/>
              </w:rPr>
              <w:t xml:space="preserve">Investment capital of noncontrolling interests </w:t>
            </w:r>
            <w:r>
              <w:rPr>
                <w:rFonts w:ascii="Arial" w:cs="Arial" w:eastAsia="Arial" w:hAnsi="Arial"/>
                <w:sz w:val="22"/>
                <w:szCs w:val="22"/>
                <w:color w:val="auto"/>
                <w:vertAlign w:val="superscript"/>
              </w:rPr>
              <w:t>(4)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0"/>
        </w:trPr>
        <w:tc>
          <w:tcPr>
            <w:tcW w:w="62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income tax expense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168"/>
        </w:trPr>
        <w:tc>
          <w:tcPr>
            <w:tcW w:w="6280" w:type="dxa"/>
            <w:vAlign w:val="bottom"/>
          </w:tcPr>
          <w:p>
            <w:pPr>
              <w:ind w:left="180"/>
              <w:spacing w:after="0" w:line="168" w:lineRule="exact"/>
              <w:rPr>
                <w:sz w:val="20"/>
                <w:szCs w:val="20"/>
                <w:color w:val="auto"/>
              </w:rPr>
            </w:pPr>
            <w:r>
              <w:rPr>
                <w:rFonts w:ascii="Arial" w:cs="Arial" w:eastAsia="Arial" w:hAnsi="Arial"/>
                <w:sz w:val="17"/>
                <w:szCs w:val="17"/>
                <w:color w:val="auto"/>
              </w:rPr>
              <w:t>Distributions from unconsolidated entities in excess of/(less than) adjusted equity</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33"/>
        </w:trPr>
        <w:tc>
          <w:tcPr>
            <w:tcW w:w="6280" w:type="dxa"/>
            <w:vAlign w:val="bottom"/>
          </w:tcPr>
          <w:p>
            <w:pPr>
              <w:ind w:left="340"/>
              <w:spacing w:after="0" w:line="232" w:lineRule="exact"/>
              <w:rPr>
                <w:sz w:val="20"/>
                <w:szCs w:val="20"/>
                <w:color w:val="auto"/>
              </w:rPr>
            </w:pPr>
            <w:r>
              <w:rPr>
                <w:rFonts w:ascii="Arial" w:cs="Arial" w:eastAsia="Arial" w:hAnsi="Arial"/>
                <w:sz w:val="17"/>
                <w:szCs w:val="17"/>
                <w:color w:val="auto"/>
              </w:rPr>
              <w:t xml:space="preserve">earnings </w:t>
            </w:r>
            <w:r>
              <w:rPr>
                <w:rFonts w:ascii="Arial" w:cs="Arial" w:eastAsia="Arial" w:hAnsi="Arial"/>
                <w:sz w:val="22"/>
                <w:szCs w:val="22"/>
                <w:color w:val="auto"/>
                <w:vertAlign w:val="superscript"/>
              </w:rPr>
              <w:t>(5)</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Distributions to noncontrolling interests </w:t>
            </w:r>
            <w:r>
              <w:rPr>
                <w:rFonts w:ascii="Arial" w:cs="Arial" w:eastAsia="Arial" w:hAnsi="Arial"/>
                <w:sz w:val="22"/>
                <w:szCs w:val="22"/>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3"/>
        </w:trPr>
        <w:tc>
          <w:tcPr>
            <w:tcW w:w="6280" w:type="dxa"/>
            <w:vAlign w:val="bottom"/>
          </w:tcPr>
          <w:p>
            <w:pPr>
              <w:ind w:left="20"/>
              <w:spacing w:after="0"/>
              <w:rPr>
                <w:sz w:val="20"/>
                <w:szCs w:val="20"/>
                <w:color w:val="auto"/>
              </w:rPr>
            </w:pPr>
            <w:r>
              <w:rPr>
                <w:rFonts w:ascii="Arial" w:cs="Arial" w:eastAsia="Arial" w:hAnsi="Arial"/>
                <w:sz w:val="17"/>
                <w:szCs w:val="17"/>
                <w:color w:val="auto"/>
              </w:rPr>
              <w:t>Implied DCF</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448</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1,794</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1,664</w:t>
            </w:r>
          </w:p>
        </w:tc>
      </w:tr>
      <w:tr>
        <w:trPr>
          <w:trHeight w:val="220"/>
        </w:trPr>
        <w:tc>
          <w:tcPr>
            <w:tcW w:w="6280" w:type="dxa"/>
            <w:vAlign w:val="bottom"/>
            <w:shd w:val="clear" w:color="auto" w:fill="CCEEFF"/>
          </w:tcPr>
          <w:p>
            <w:pPr>
              <w:ind w:left="180"/>
              <w:spacing w:after="0" w:line="220" w:lineRule="exact"/>
              <w:rPr>
                <w:sz w:val="20"/>
                <w:szCs w:val="20"/>
                <w:color w:val="auto"/>
              </w:rPr>
            </w:pPr>
            <w:r>
              <w:rPr>
                <w:rFonts w:ascii="Arial" w:cs="Arial" w:eastAsia="Arial" w:hAnsi="Arial"/>
                <w:sz w:val="17"/>
                <w:szCs w:val="17"/>
                <w:color w:val="auto"/>
              </w:rPr>
              <w:t xml:space="preserve">Preferred unit cash distributions </w:t>
            </w:r>
            <w:r>
              <w:rPr>
                <w:rFonts w:ascii="Arial" w:cs="Arial" w:eastAsia="Arial" w:hAnsi="Arial"/>
                <w:sz w:val="22"/>
                <w:szCs w:val="22"/>
                <w:color w:val="auto"/>
                <w:vertAlign w:val="superscript"/>
              </w:rPr>
              <w:t>(6)</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w:t>
            </w:r>
          </w:p>
        </w:tc>
      </w:tr>
      <w:tr>
        <w:trPr>
          <w:trHeight w:val="213"/>
        </w:trPr>
        <w:tc>
          <w:tcPr>
            <w:tcW w:w="6280" w:type="dxa"/>
            <w:vAlign w:val="bottom"/>
          </w:tcPr>
          <w:p>
            <w:pPr>
              <w:ind w:left="20"/>
              <w:spacing w:after="0"/>
              <w:rPr>
                <w:sz w:val="20"/>
                <w:szCs w:val="20"/>
                <w:color w:val="auto"/>
              </w:rPr>
            </w:pPr>
            <w:r>
              <w:rPr>
                <w:rFonts w:ascii="Arial" w:cs="Arial" w:eastAsia="Arial" w:hAnsi="Arial"/>
                <w:sz w:val="17"/>
                <w:szCs w:val="17"/>
                <w:color w:val="auto"/>
              </w:rPr>
              <w:t>Implied DCF Available to Common Unitholders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1,466</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Weighted Average Common Units Outstanding</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716</w:t>
            </w:r>
          </w:p>
        </w:tc>
      </w:tr>
      <w:tr>
        <w:trPr>
          <w:trHeight w:val="220"/>
        </w:trPr>
        <w:tc>
          <w:tcPr>
            <w:tcW w:w="6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Units and Common Unit Equivalents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r>
      <w:tr>
        <w:trPr>
          <w:trHeight w:val="245"/>
        </w:trPr>
        <w:tc>
          <w:tcPr>
            <w:tcW w:w="6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20"/>
        </w:trPr>
        <w:tc>
          <w:tcPr>
            <w:tcW w:w="62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w:t>
            </w:r>
            <w:r>
              <w:rPr>
                <w:rFonts w:ascii="Arial" w:cs="Arial" w:eastAsia="Arial" w:hAnsi="Arial"/>
                <w:sz w:val="22"/>
                <w:szCs w:val="22"/>
                <w:color w:val="auto"/>
                <w:vertAlign w:val="superscript"/>
              </w:rPr>
              <w:t>(7)</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20"/>
        </w:trPr>
        <w:tc>
          <w:tcPr>
            <w:tcW w:w="628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Implied DCF per Common Unit and Common Unit Equivalent </w:t>
            </w:r>
            <w:r>
              <w:rPr>
                <w:rFonts w:ascii="Arial" w:cs="Arial" w:eastAsia="Arial" w:hAnsi="Arial"/>
                <w:sz w:val="22"/>
                <w:szCs w:val="22"/>
                <w:color w:val="auto"/>
                <w:vertAlign w:val="superscript"/>
              </w:rPr>
              <w:t>(8)</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0.58</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0.54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245"/>
        </w:trPr>
        <w:tc>
          <w:tcPr>
            <w:tcW w:w="6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Cash Distribution Paid per Common Unit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0.2175</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0.1800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0.8325</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0.7200</w:t>
            </w:r>
          </w:p>
        </w:tc>
      </w:tr>
      <w:tr>
        <w:trPr>
          <w:trHeight w:val="220"/>
        </w:trPr>
        <w:tc>
          <w:tcPr>
            <w:tcW w:w="62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Common Unit Cash Distributions </w:t>
            </w:r>
            <w:r>
              <w:rPr>
                <w:rFonts w:ascii="Arial" w:cs="Arial" w:eastAsia="Arial" w:hAnsi="Arial"/>
                <w:sz w:val="22"/>
                <w:szCs w:val="22"/>
                <w:color w:val="auto"/>
                <w:vertAlign w:val="superscript"/>
              </w:rPr>
              <w:t>(6)</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w:t>
            </w: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Common Unit Distribution Coverage Ratio</w:t>
            </w:r>
          </w:p>
        </w:tc>
        <w:tc>
          <w:tcPr>
            <w:tcW w:w="280" w:type="dxa"/>
            <w:vAlign w:val="bottom"/>
          </w:tcPr>
          <w:p>
            <w:pPr>
              <w:spacing w:after="0"/>
              <w:rPr>
                <w:sz w:val="19"/>
                <w:szCs w:val="19"/>
                <w:color w:val="auto"/>
              </w:rPr>
            </w:pPr>
          </w:p>
        </w:tc>
        <w:tc>
          <w:tcPr>
            <w:tcW w:w="980" w:type="dxa"/>
            <w:vAlign w:val="bottom"/>
            <w:gridSpan w:val="2"/>
          </w:tcPr>
          <w:p>
            <w:pPr>
              <w:ind w:left="480"/>
              <w:spacing w:after="0"/>
              <w:rPr>
                <w:sz w:val="20"/>
                <w:szCs w:val="20"/>
                <w:color w:val="auto"/>
              </w:rPr>
            </w:pPr>
            <w:r>
              <w:rPr>
                <w:rFonts w:ascii="Arial" w:cs="Arial" w:eastAsia="Arial" w:hAnsi="Arial"/>
                <w:sz w:val="17"/>
                <w:szCs w:val="17"/>
                <w:color w:val="auto"/>
              </w:rPr>
              <w:t>2.70x</w:t>
            </w:r>
          </w:p>
        </w:tc>
        <w:tc>
          <w:tcPr>
            <w:tcW w:w="400" w:type="dxa"/>
            <w:vAlign w:val="bottom"/>
          </w:tcPr>
          <w:p>
            <w:pPr>
              <w:spacing w:after="0"/>
              <w:rPr>
                <w:sz w:val="19"/>
                <w:szCs w:val="19"/>
                <w:color w:val="auto"/>
              </w:rPr>
            </w:pPr>
          </w:p>
        </w:tc>
        <w:tc>
          <w:tcPr>
            <w:tcW w:w="880" w:type="dxa"/>
            <w:vAlign w:val="bottom"/>
            <w:gridSpan w:val="2"/>
          </w:tcPr>
          <w:p>
            <w:pPr>
              <w:ind w:left="360"/>
              <w:spacing w:after="0"/>
              <w:rPr>
                <w:sz w:val="20"/>
                <w:szCs w:val="20"/>
                <w:color w:val="auto"/>
              </w:rPr>
            </w:pPr>
            <w:r>
              <w:rPr>
                <w:rFonts w:ascii="Arial" w:cs="Arial" w:eastAsia="Arial" w:hAnsi="Arial"/>
                <w:sz w:val="17"/>
                <w:szCs w:val="17"/>
                <w:color w:val="auto"/>
              </w:rPr>
              <w:t>3.02x</w:t>
            </w:r>
          </w:p>
        </w:tc>
        <w:tc>
          <w:tcPr>
            <w:tcW w:w="260" w:type="dxa"/>
            <w:vAlign w:val="bottom"/>
          </w:tcPr>
          <w:p>
            <w:pPr>
              <w:spacing w:after="0"/>
              <w:rPr>
                <w:sz w:val="19"/>
                <w:szCs w:val="19"/>
                <w:color w:val="auto"/>
              </w:rPr>
            </w:pPr>
          </w:p>
        </w:tc>
        <w:tc>
          <w:tcPr>
            <w:tcW w:w="1000" w:type="dxa"/>
            <w:vAlign w:val="bottom"/>
            <w:gridSpan w:val="2"/>
          </w:tcPr>
          <w:p>
            <w:pPr>
              <w:ind w:left="500"/>
              <w:spacing w:after="0"/>
              <w:rPr>
                <w:sz w:val="20"/>
                <w:szCs w:val="20"/>
                <w:color w:val="auto"/>
              </w:rPr>
            </w:pPr>
            <w:r>
              <w:rPr>
                <w:rFonts w:ascii="Arial" w:cs="Arial" w:eastAsia="Arial" w:hAnsi="Arial"/>
                <w:sz w:val="17"/>
                <w:szCs w:val="17"/>
                <w:color w:val="auto"/>
              </w:rPr>
              <w:t>2.73x</w:t>
            </w: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2.84x</w:t>
            </w:r>
          </w:p>
        </w:tc>
      </w:tr>
      <w:tr>
        <w:trPr>
          <w:trHeight w:val="245"/>
        </w:trPr>
        <w:tc>
          <w:tcPr>
            <w:tcW w:w="6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20"/>
        </w:trPr>
        <w:tc>
          <w:tcPr>
            <w:tcW w:w="6280" w:type="dxa"/>
            <w:vAlign w:val="bottom"/>
          </w:tcPr>
          <w:p>
            <w:pPr>
              <w:ind w:left="20"/>
              <w:spacing w:after="0"/>
              <w:rPr>
                <w:sz w:val="20"/>
                <w:szCs w:val="20"/>
                <w:color w:val="auto"/>
              </w:rPr>
            </w:pPr>
            <w:r>
              <w:rPr>
                <w:rFonts w:ascii="Arial" w:cs="Arial" w:eastAsia="Arial" w:hAnsi="Arial"/>
                <w:sz w:val="17"/>
                <w:szCs w:val="17"/>
                <w:color w:val="auto"/>
              </w:rPr>
              <w:t>Implied DCF Excess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1,012</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24612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282" w:lineRule="exact"/>
        <w:rPr>
          <w:sz w:val="20"/>
          <w:szCs w:val="20"/>
          <w:color w:val="auto"/>
        </w:rPr>
      </w:pPr>
    </w:p>
    <w:p>
      <w:pPr>
        <w:ind w:left="320" w:right="900" w:hanging="317"/>
        <w:spacing w:after="0" w:line="218" w:lineRule="auto"/>
        <w:tabs>
          <w:tab w:leader="none" w:pos="308"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Adjustment to exclude our proportionate share of depreciation and amortization expense (including write-downs related to cancelled projects and impairments) of unconsolidated entities.</w:t>
      </w:r>
    </w:p>
    <w:p>
      <w:pPr>
        <w:spacing w:after="0" w:line="1" w:lineRule="exact"/>
        <w:rPr>
          <w:rFonts w:ascii="Arial" w:cs="Arial" w:eastAsia="Arial" w:hAnsi="Arial"/>
          <w:sz w:val="20"/>
          <w:szCs w:val="20"/>
          <w:color w:val="auto"/>
          <w:vertAlign w:val="superscript"/>
        </w:rPr>
      </w:pPr>
    </w:p>
    <w:p>
      <w:pPr>
        <w:ind w:left="300" w:hanging="297"/>
        <w:spacing w:after="0" w:line="209" w:lineRule="auto"/>
        <w:tabs>
          <w:tab w:leader="none" w:pos="30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See the “Selected Items Impacting Comparability” table for additional information.</w:t>
      </w:r>
    </w:p>
    <w:p>
      <w:pPr>
        <w:ind w:left="5440" w:hanging="93"/>
        <w:spacing w:after="0"/>
        <w:tabs>
          <w:tab w:leader="none" w:pos="54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auto"/>
        </w:rPr>
        <w:t>Page 11</w:t>
      </w:r>
    </w:p>
    <w:p>
      <w:pPr>
        <w:spacing w:after="0" w:line="200" w:lineRule="exact"/>
        <w:rPr>
          <w:sz w:val="20"/>
          <w:szCs w:val="20"/>
          <w:color w:val="auto"/>
        </w:rPr>
      </w:pPr>
    </w:p>
    <w:p>
      <w:pPr>
        <w:spacing w:after="0" w:line="247" w:lineRule="exact"/>
        <w:rPr>
          <w:sz w:val="20"/>
          <w:szCs w:val="20"/>
          <w:color w:val="auto"/>
        </w:rPr>
      </w:pPr>
    </w:p>
    <w:p>
      <w:pPr>
        <w:ind w:left="300" w:hanging="297"/>
        <w:spacing w:after="0"/>
        <w:tabs>
          <w:tab w:leader="none" w:pos="30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Excludes certain non-cash items impacting interest expense such as amortization of debt issuance costs and terminated interest rate swaps.</w:t>
      </w:r>
    </w:p>
    <w:p>
      <w:pPr>
        <w:spacing w:after="0" w:line="48" w:lineRule="exact"/>
        <w:rPr>
          <w:rFonts w:ascii="Arial" w:cs="Arial" w:eastAsia="Arial" w:hAnsi="Arial"/>
          <w:sz w:val="20"/>
          <w:szCs w:val="20"/>
          <w:color w:val="auto"/>
          <w:vertAlign w:val="superscript"/>
        </w:rPr>
      </w:pPr>
    </w:p>
    <w:p>
      <w:pPr>
        <w:ind w:left="300" w:hanging="297"/>
        <w:spacing w:after="0" w:line="192" w:lineRule="auto"/>
        <w:tabs>
          <w:tab w:leader="none" w:pos="30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Investment capital expenditures attributable to noncontrolling interests that reduce Implied DCF available to PAA common unitholders.</w:t>
      </w:r>
    </w:p>
    <w:p>
      <w:pPr>
        <w:spacing w:after="0" w:line="61" w:lineRule="exact"/>
        <w:rPr>
          <w:rFonts w:ascii="Arial" w:cs="Arial" w:eastAsia="Arial" w:hAnsi="Arial"/>
          <w:sz w:val="20"/>
          <w:szCs w:val="20"/>
          <w:color w:val="auto"/>
          <w:vertAlign w:val="superscript"/>
        </w:rPr>
      </w:pPr>
    </w:p>
    <w:p>
      <w:pPr>
        <w:ind w:left="320" w:right="120" w:hanging="317"/>
        <w:spacing w:after="0" w:line="238" w:lineRule="auto"/>
        <w:tabs>
          <w:tab w:leader="none" w:pos="308"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15" w:lineRule="exact"/>
        <w:rPr>
          <w:rFonts w:ascii="Arial" w:cs="Arial" w:eastAsia="Arial" w:hAnsi="Arial"/>
          <w:sz w:val="18"/>
          <w:szCs w:val="18"/>
          <w:color w:val="auto"/>
          <w:vertAlign w:val="superscript"/>
        </w:rPr>
      </w:pPr>
    </w:p>
    <w:p>
      <w:pPr>
        <w:ind w:left="300" w:hanging="297"/>
        <w:spacing w:after="0"/>
        <w:tabs>
          <w:tab w:leader="none" w:pos="30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Cash distributions paid during the period presented.</w:t>
      </w:r>
    </w:p>
    <w:p>
      <w:pPr>
        <w:spacing w:after="0" w:line="48" w:lineRule="exact"/>
        <w:rPr>
          <w:rFonts w:ascii="Arial" w:cs="Arial" w:eastAsia="Arial" w:hAnsi="Arial"/>
          <w:sz w:val="20"/>
          <w:szCs w:val="20"/>
          <w:color w:val="auto"/>
          <w:vertAlign w:val="superscript"/>
        </w:rPr>
      </w:pPr>
    </w:p>
    <w:p>
      <w:pPr>
        <w:ind w:left="300" w:hanging="297"/>
        <w:spacing w:after="0" w:line="192" w:lineRule="auto"/>
        <w:tabs>
          <w:tab w:leader="none" w:pos="30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Implied DCF Available to Common Unitholders for the period divided by the weighted average common units outstanding for the period.</w:t>
      </w:r>
    </w:p>
    <w:p>
      <w:pPr>
        <w:spacing w:after="0" w:line="48" w:lineRule="exact"/>
        <w:rPr>
          <w:rFonts w:ascii="Arial" w:cs="Arial" w:eastAsia="Arial" w:hAnsi="Arial"/>
          <w:sz w:val="20"/>
          <w:szCs w:val="20"/>
          <w:color w:val="auto"/>
          <w:vertAlign w:val="superscript"/>
        </w:rPr>
      </w:pPr>
    </w:p>
    <w:p>
      <w:pPr>
        <w:jc w:val="both"/>
        <w:ind w:left="320" w:right="20" w:hanging="317"/>
        <w:spacing w:after="0" w:line="224" w:lineRule="auto"/>
        <w:tabs>
          <w:tab w:leader="none" w:pos="308"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Per Common Unit to Implied DCF Per Common Unit and Common Unit Equivalent Reconciliation: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50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20" w:type="dxa"/>
            <w:vAlign w:val="bottom"/>
            <w:gridSpan w:val="4"/>
          </w:tcPr>
          <w:p>
            <w:pPr>
              <w:ind w:left="280"/>
              <w:spacing w:after="0"/>
              <w:rPr>
                <w:sz w:val="20"/>
                <w:szCs w:val="20"/>
                <w:color w:val="auto"/>
              </w:rPr>
            </w:pPr>
            <w:r>
              <w:rPr>
                <w:rFonts w:ascii="Arial" w:cs="Arial" w:eastAsia="Arial" w:hAnsi="Arial"/>
                <w:sz w:val="14"/>
                <w:szCs w:val="14"/>
                <w:b w:val="1"/>
                <w:bCs w:val="1"/>
                <w:color w:val="auto"/>
              </w:rPr>
              <w:t>Twelve Months Ended</w:t>
            </w:r>
          </w:p>
        </w:tc>
      </w:tr>
      <w:tr>
        <w:trPr>
          <w:trHeight w:val="187"/>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 per common unit</w:t>
            </w:r>
          </w:p>
        </w:tc>
        <w:tc>
          <w:tcPr>
            <w:tcW w:w="740" w:type="dxa"/>
            <w:vAlign w:val="bottom"/>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0.30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center"/>
              <w:ind w:left="256"/>
              <w:spacing w:after="0"/>
              <w:rPr>
                <w:sz w:val="20"/>
                <w:szCs w:val="20"/>
                <w:color w:val="auto"/>
              </w:rPr>
            </w:pPr>
            <w:r>
              <w:rPr>
                <w:rFonts w:ascii="Arial" w:cs="Arial" w:eastAsia="Arial" w:hAnsi="Arial"/>
                <w:sz w:val="17"/>
                <w:szCs w:val="17"/>
                <w:color w:val="auto"/>
                <w:w w:val="90"/>
              </w:rPr>
              <w:t>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Reconciling items per common unit </w:t>
            </w:r>
            <w:r>
              <w:rPr>
                <w:rFonts w:ascii="Arial" w:cs="Arial" w:eastAsia="Arial" w:hAnsi="Arial"/>
                <w:sz w:val="22"/>
                <w:szCs w:val="22"/>
                <w:color w:val="auto"/>
                <w:vertAlign w:val="superscript"/>
              </w:rPr>
              <w:t>(1) (2)</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0.29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6"/>
              <w:spacing w:after="0"/>
              <w:rPr>
                <w:sz w:val="20"/>
                <w:szCs w:val="20"/>
                <w:color w:val="auto"/>
              </w:rPr>
            </w:pPr>
            <w:r>
              <w:rPr>
                <w:rFonts w:ascii="Arial" w:cs="Arial" w:eastAsia="Arial" w:hAnsi="Arial"/>
                <w:sz w:val="17"/>
                <w:szCs w:val="17"/>
                <w:color w:val="auto"/>
                <w:w w:val="94"/>
              </w:rPr>
              <w:t>(0.02)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0.59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center"/>
              <w:ind w:left="256"/>
              <w:spacing w:after="0"/>
              <w:rPr>
                <w:sz w:val="20"/>
                <w:szCs w:val="20"/>
                <w:color w:val="auto"/>
              </w:rPr>
            </w:pPr>
            <w:r>
              <w:rPr>
                <w:rFonts w:ascii="Arial" w:cs="Arial" w:eastAsia="Arial" w:hAnsi="Arial"/>
                <w:sz w:val="17"/>
                <w:szCs w:val="17"/>
                <w:color w:val="auto"/>
                <w:w w:val="90"/>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8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net income per common unit</w:t>
            </w:r>
          </w:p>
        </w:tc>
        <w:tc>
          <w:tcPr>
            <w:tcW w:w="740" w:type="dxa"/>
            <w:vAlign w:val="bottom"/>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7"/>
                <w:szCs w:val="17"/>
                <w:color w:val="auto"/>
              </w:rPr>
              <w:t>0.30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center"/>
              <w:ind w:left="256"/>
              <w:spacing w:after="0"/>
              <w:rPr>
                <w:sz w:val="20"/>
                <w:szCs w:val="20"/>
                <w:color w:val="auto"/>
              </w:rPr>
            </w:pPr>
            <w:r>
              <w:rPr>
                <w:rFonts w:ascii="Arial" w:cs="Arial" w:eastAsia="Arial" w:hAnsi="Arial"/>
                <w:sz w:val="17"/>
                <w:szCs w:val="17"/>
                <w:color w:val="auto"/>
                <w:w w:val="90"/>
              </w:rPr>
              <w:t>0.56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1.19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0.55</w:t>
            </w:r>
          </w:p>
        </w:tc>
      </w:tr>
      <w:tr>
        <w:trPr>
          <w:trHeight w:val="220"/>
        </w:trPr>
        <w:tc>
          <w:tcPr>
            <w:tcW w:w="6180" w:type="dxa"/>
            <w:vAlign w:val="bottom"/>
            <w:tcBorders>
              <w:bottom w:val="single" w:sz="8" w:color="CCEEFF"/>
            </w:tcBorders>
            <w:gridSpan w:val="2"/>
          </w:tcPr>
          <w:p>
            <w:pPr>
              <w:ind w:left="20"/>
              <w:spacing w:after="0" w:line="220" w:lineRule="exact"/>
              <w:rPr>
                <w:sz w:val="20"/>
                <w:szCs w:val="20"/>
                <w:color w:val="auto"/>
              </w:rPr>
            </w:pPr>
            <w:r>
              <w:rPr>
                <w:rFonts w:ascii="Arial" w:cs="Arial" w:eastAsia="Arial" w:hAnsi="Arial"/>
                <w:sz w:val="17"/>
                <w:szCs w:val="17"/>
                <w:color w:val="auto"/>
              </w:rPr>
              <w:t xml:space="preserve">Reconciling items per common unit and common unit equivalent </w:t>
            </w:r>
            <w:r>
              <w:rPr>
                <w:rFonts w:ascii="Arial" w:cs="Arial" w:eastAsia="Arial" w:hAnsi="Arial"/>
                <w:sz w:val="22"/>
                <w:szCs w:val="22"/>
                <w:color w:val="auto"/>
                <w:vertAlign w:val="superscript"/>
              </w:rPr>
              <w:t>(1) (3)</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0.28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6"/>
              <w:spacing w:after="0"/>
              <w:rPr>
                <w:sz w:val="20"/>
                <w:szCs w:val="20"/>
                <w:color w:val="auto"/>
              </w:rPr>
            </w:pPr>
            <w:r>
              <w:rPr>
                <w:rFonts w:ascii="Arial" w:cs="Arial" w:eastAsia="Arial" w:hAnsi="Arial"/>
                <w:sz w:val="17"/>
                <w:szCs w:val="17"/>
                <w:color w:val="auto"/>
                <w:w w:val="94"/>
              </w:rPr>
              <w:t>(0.02)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r>
      <w:tr>
        <w:trPr>
          <w:trHeight w:val="238"/>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Implied DCF per common unit and common unit equivalent</w:t>
            </w:r>
          </w:p>
        </w:tc>
        <w:tc>
          <w:tcPr>
            <w:tcW w:w="74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0.58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center"/>
              <w:ind w:left="256"/>
              <w:spacing w:after="0"/>
              <w:rPr>
                <w:sz w:val="20"/>
                <w:szCs w:val="20"/>
                <w:color w:val="auto"/>
              </w:rPr>
            </w:pPr>
            <w:r>
              <w:rPr>
                <w:rFonts w:ascii="Arial" w:cs="Arial" w:eastAsia="Arial" w:hAnsi="Arial"/>
                <w:sz w:val="17"/>
                <w:szCs w:val="17"/>
                <w:color w:val="auto"/>
                <w:w w:val="90"/>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7"/>
                <w:szCs w:val="17"/>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78"/>
        </w:trPr>
        <w:tc>
          <w:tcPr>
            <w:tcW w:w="3880" w:type="dxa"/>
            <w:vAlign w:val="bottom"/>
            <w:tcBorders>
              <w:bottom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130" w:lineRule="exact"/>
        <w:rPr>
          <w:sz w:val="20"/>
          <w:szCs w:val="20"/>
          <w:color w:val="auto"/>
        </w:rPr>
      </w:pPr>
    </w:p>
    <w:p>
      <w:pPr>
        <w:ind w:left="320" w:hanging="317"/>
        <w:spacing w:after="0" w:line="228" w:lineRule="auto"/>
        <w:tabs>
          <w:tab w:leader="none" w:pos="30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of 698 million, 709 million, 701 million and 716 million, respectively.</w:t>
      </w:r>
    </w:p>
    <w:p>
      <w:pPr>
        <w:spacing w:after="0" w:line="52" w:lineRule="exact"/>
        <w:rPr>
          <w:rFonts w:ascii="Arial" w:cs="Arial" w:eastAsia="Arial" w:hAnsi="Arial"/>
          <w:sz w:val="22"/>
          <w:szCs w:val="22"/>
          <w:color w:val="auto"/>
          <w:vertAlign w:val="superscript"/>
        </w:rPr>
      </w:pPr>
    </w:p>
    <w:p>
      <w:pPr>
        <w:ind w:left="320" w:right="80" w:hanging="317"/>
        <w:spacing w:after="0" w:line="220" w:lineRule="auto"/>
        <w:tabs>
          <w:tab w:leader="none" w:pos="308"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Based on weighted average common units outstanding for the period, as well as weighted average Series A preferred units outstanding of 71 million for each of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00"/>
          </w:cols>
          <w:pgMar w:left="320" w:top="360" w:right="37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auto"/>
        </w:rPr>
        <w:t>Page 12</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RECONCILIATIONS (continued)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Free Cash Flow and Free Cash Flow after Distributions Reconciliation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20" w:type="dxa"/>
            <w:vAlign w:val="bottom"/>
            <w:gridSpan w:val="4"/>
          </w:tcPr>
          <w:p>
            <w:pPr>
              <w:jc w:val="right"/>
              <w:ind w:right="9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Twelve Months Ended</w:t>
            </w:r>
          </w:p>
        </w:tc>
      </w:tr>
      <w:tr>
        <w:trPr>
          <w:trHeight w:val="187"/>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w w:val="94"/>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w:t>
            </w:r>
          </w:p>
        </w:tc>
      </w:tr>
      <w:tr>
        <w:trPr>
          <w:trHeight w:val="220"/>
        </w:trPr>
        <w:tc>
          <w:tcPr>
            <w:tcW w:w="6280" w:type="dxa"/>
            <w:vAlign w:val="bottom"/>
            <w:gridSpan w:val="2"/>
          </w:tcPr>
          <w:p>
            <w:pPr>
              <w:ind w:left="20"/>
              <w:spacing w:after="0"/>
              <w:rPr>
                <w:sz w:val="20"/>
                <w:szCs w:val="20"/>
                <w:color w:val="auto"/>
              </w:rPr>
            </w:pPr>
            <w:r>
              <w:rPr>
                <w:rFonts w:ascii="Arial" w:cs="Arial" w:eastAsia="Arial" w:hAnsi="Arial"/>
                <w:sz w:val="17"/>
                <w:szCs w:val="17"/>
                <w:color w:val="auto"/>
                <w:w w:val="99"/>
              </w:rPr>
              <w:t>Adjustments to reconcile net cash provided by operating activities to free cash flow:</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cash provided by/(used in) investing activities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(235)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20"/>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Cash contributions from noncontrolling interests</w:t>
            </w: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paid to noncontrolling interests </w:t>
            </w:r>
            <w:r>
              <w:rPr>
                <w:rFonts w:ascii="Arial" w:cs="Arial" w:eastAsia="Arial" w:hAnsi="Arial"/>
                <w:sz w:val="22"/>
                <w:szCs w:val="22"/>
                <w:color w:val="auto"/>
                <w:vertAlign w:val="superscript"/>
              </w:rPr>
              <w:t>(2)</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(104)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Free Cash Flow</w:t>
            </w:r>
          </w:p>
        </w:tc>
        <w:tc>
          <w:tcPr>
            <w:tcW w:w="740" w:type="dxa"/>
            <w:vAlign w:val="bottom"/>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760" w:type="dxa"/>
            <w:vAlign w:val="bottom"/>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1,610</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2,369</w:t>
            </w:r>
          </w:p>
        </w:tc>
      </w:tr>
      <w:tr>
        <w:trPr>
          <w:trHeight w:val="220"/>
        </w:trPr>
        <w:tc>
          <w:tcPr>
            <w:tcW w:w="6280" w:type="dxa"/>
            <w:vAlign w:val="bottom"/>
            <w:gridSpan w:val="2"/>
            <w:shd w:val="clear" w:color="auto" w:fill="CCEEFF"/>
          </w:tcPr>
          <w:p>
            <w:pPr>
              <w:ind w:left="120"/>
              <w:spacing w:after="0" w:line="220" w:lineRule="exact"/>
              <w:rPr>
                <w:sz w:val="20"/>
                <w:szCs w:val="20"/>
                <w:color w:val="auto"/>
              </w:rPr>
            </w:pPr>
            <w:r>
              <w:rPr>
                <w:rFonts w:ascii="Arial" w:cs="Arial" w:eastAsia="Arial" w:hAnsi="Arial"/>
                <w:sz w:val="17"/>
                <w:szCs w:val="17"/>
                <w:color w:val="auto"/>
              </w:rPr>
              <w:t xml:space="preserve">Cash distributions </w:t>
            </w:r>
            <w:r>
              <w:rPr>
                <w:rFonts w:ascii="Arial" w:cs="Arial" w:eastAsia="Arial" w:hAnsi="Arial"/>
                <w:sz w:val="22"/>
                <w:szCs w:val="22"/>
                <w:color w:val="auto"/>
                <w:vertAlign w:val="superscript"/>
              </w:rPr>
              <w:t>(3)</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(214)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w:t>
            </w:r>
          </w:p>
        </w:tc>
      </w:tr>
      <w:tr>
        <w:trPr>
          <w:trHeight w:val="213"/>
        </w:trPr>
        <w:tc>
          <w:tcPr>
            <w:tcW w:w="6280" w:type="dxa"/>
            <w:vAlign w:val="bottom"/>
            <w:gridSpan w:val="2"/>
          </w:tcPr>
          <w:p>
            <w:pPr>
              <w:ind w:left="20"/>
              <w:spacing w:after="0"/>
              <w:rPr>
                <w:sz w:val="20"/>
                <w:szCs w:val="20"/>
                <w:color w:val="auto"/>
              </w:rPr>
            </w:pPr>
            <w:r>
              <w:rPr>
                <w:rFonts w:ascii="Arial" w:cs="Arial" w:eastAsia="Arial" w:hAnsi="Arial"/>
                <w:sz w:val="17"/>
                <w:szCs w:val="17"/>
                <w:color w:val="auto"/>
              </w:rPr>
              <w:t>Free Cash Flow after Distributions</w:t>
            </w:r>
          </w:p>
        </w:tc>
        <w:tc>
          <w:tcPr>
            <w:tcW w:w="740" w:type="dxa"/>
            <w:vAlign w:val="bottom"/>
            <w:tcBorders>
              <w:bottom w:val="single" w:sz="8" w:color="auto"/>
            </w:tcBorders>
          </w:tcPr>
          <w:p>
            <w:pPr>
              <w:jc w:val="right"/>
              <w:ind w:right="561"/>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(218)</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1,654</w:t>
            </w:r>
          </w:p>
        </w:tc>
      </w:tr>
      <w:tr>
        <w:trPr>
          <w:trHeight w:val="20"/>
        </w:trPr>
        <w:tc>
          <w:tcPr>
            <w:tcW w:w="3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8"/>
        </w:trPr>
        <w:tc>
          <w:tcPr>
            <w:tcW w:w="3880" w:type="dxa"/>
            <w:vAlign w:val="bottom"/>
            <w:tcBorders>
              <w:bottom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30" w:lineRule="exact"/>
        <w:rPr>
          <w:sz w:val="20"/>
          <w:szCs w:val="20"/>
          <w:color w:val="auto"/>
        </w:rPr>
      </w:pPr>
    </w:p>
    <w:p>
      <w:pPr>
        <w:ind w:left="320" w:right="320" w:hanging="317"/>
        <w:spacing w:after="0" w:line="228" w:lineRule="auto"/>
        <w:tabs>
          <w:tab w:leader="none" w:pos="30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Management uses the Non-GAAP financial liquidity measures Free Cash Flow and Free Cash Flow after Distributions to assess the amount of cash that is available for distributions, debt repayments, common equity repurchases and other general partnership purposes.</w:t>
      </w:r>
    </w:p>
    <w:p>
      <w:pPr>
        <w:spacing w:after="0" w:line="5"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Cash distributions paid during the period presented.</w:t>
      </w:r>
    </w:p>
    <w:p>
      <w:pPr>
        <w:spacing w:after="0" w:line="52" w:lineRule="exact"/>
        <w:rPr>
          <w:rFonts w:ascii="Arial" w:cs="Arial" w:eastAsia="Arial" w:hAnsi="Arial"/>
          <w:sz w:val="22"/>
          <w:szCs w:val="22"/>
          <w:color w:val="auto"/>
          <w:vertAlign w:val="superscript"/>
        </w:rPr>
      </w:pPr>
    </w:p>
    <w:p>
      <w:pPr>
        <w:ind w:left="300" w:hanging="297"/>
        <w:spacing w:after="0" w:line="184" w:lineRule="auto"/>
        <w:tabs>
          <w:tab w:leader="none" w:pos="300" w:val="left"/>
        </w:tabs>
        <w:numPr>
          <w:ilvl w:val="0"/>
          <w:numId w:val="16"/>
        </w:numPr>
        <w:rPr>
          <w:rFonts w:ascii="Arial" w:cs="Arial" w:eastAsia="Arial" w:hAnsi="Arial"/>
          <w:sz w:val="19"/>
          <w:szCs w:val="19"/>
          <w:color w:val="auto"/>
          <w:vertAlign w:val="superscript"/>
        </w:rPr>
      </w:pPr>
      <w:r>
        <w:rPr>
          <w:rFonts w:ascii="Arial" w:cs="Arial" w:eastAsia="Arial" w:hAnsi="Arial"/>
          <w:sz w:val="15"/>
          <w:szCs w:val="15"/>
          <w:color w:val="auto"/>
        </w:rPr>
        <w:t>Cash distributions paid to preferred and common unitholders during the period.</w:t>
      </w:r>
    </w:p>
    <w:p>
      <w:pPr>
        <w:ind w:left="5440" w:hanging="93"/>
        <w:spacing w:after="0"/>
        <w:tabs>
          <w:tab w:leader="none" w:pos="5440" w:val="left"/>
        </w:tabs>
        <w:numPr>
          <w:ilvl w:val="1"/>
          <w:numId w:val="16"/>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auto"/>
        </w:rPr>
        <w:t>Page 13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ITEMS IMPACTING COMPARABILITY</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900" w:type="dxa"/>
            <w:vAlign w:val="bottom"/>
            <w:gridSpan w:val="4"/>
          </w:tcPr>
          <w:p>
            <w:pPr>
              <w:jc w:val="right"/>
              <w:ind w:right="6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right"/>
              <w:ind w:right="383"/>
              <w:spacing w:after="0"/>
              <w:rPr>
                <w:sz w:val="20"/>
                <w:szCs w:val="20"/>
                <w:color w:val="auto"/>
              </w:rPr>
            </w:pPr>
            <w:r>
              <w:rPr>
                <w:rFonts w:ascii="Arial" w:cs="Arial" w:eastAsia="Arial" w:hAnsi="Arial"/>
                <w:sz w:val="14"/>
                <w:szCs w:val="14"/>
                <w:b w:val="1"/>
                <w:bCs w:val="1"/>
                <w:color w:val="auto"/>
              </w:rPr>
              <w:t>Twelve Months Ended</w:t>
            </w:r>
          </w:p>
        </w:tc>
      </w:tr>
      <w:tr>
        <w:trPr>
          <w:trHeight w:val="187"/>
        </w:trPr>
        <w:tc>
          <w:tcPr>
            <w:tcW w:w="38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85"/>
              <w:spacing w:after="0"/>
              <w:rPr>
                <w:sz w:val="20"/>
                <w:szCs w:val="20"/>
                <w:color w:val="auto"/>
              </w:rPr>
            </w:pPr>
            <w:r>
              <w:rPr>
                <w:rFonts w:ascii="Arial" w:cs="Arial" w:eastAsia="Arial" w:hAnsi="Arial"/>
                <w:sz w:val="14"/>
                <w:szCs w:val="14"/>
                <w:b w:val="1"/>
                <w:bCs w:val="1"/>
                <w:color w:val="auto"/>
                <w:w w:val="90"/>
              </w:rPr>
              <w:t>December 31,</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w w:val="89"/>
              </w:rPr>
              <w:t>2021</w:t>
            </w:r>
          </w:p>
        </w:tc>
      </w:tr>
      <w:tr>
        <w:trPr>
          <w:trHeight w:val="194"/>
        </w:trPr>
        <w:tc>
          <w:tcPr>
            <w:tcW w:w="66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6"/>
                <w:szCs w:val="16"/>
                <w:b w:val="1"/>
                <w:bCs w:val="1"/>
                <w:color w:val="auto"/>
              </w:rPr>
              <w:t xml:space="preserve">Selected Items Impacting Comparability: </w:t>
            </w:r>
            <w:r>
              <w:rPr>
                <w:rFonts w:ascii="Arial" w:cs="Arial" w:eastAsia="Arial" w:hAnsi="Arial"/>
                <w:sz w:val="20"/>
                <w:szCs w:val="20"/>
                <w:b w:val="1"/>
                <w:bCs w:val="1"/>
                <w:color w:val="auto"/>
                <w:vertAlign w:val="superscript"/>
              </w:rPr>
              <w:t>(1)</w:t>
            </w: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Gains/(losses) from derivative activities and inventory valuation adjustments </w:t>
            </w:r>
            <w:r>
              <w:rPr>
                <w:rFonts w:ascii="Arial" w:cs="Arial" w:eastAsia="Arial" w:hAnsi="Arial"/>
                <w:sz w:val="20"/>
                <w:szCs w:val="20"/>
                <w:color w:val="auto"/>
                <w:vertAlign w:val="superscript"/>
              </w:rPr>
              <w:t>(2)</w:t>
            </w:r>
          </w:p>
        </w:tc>
        <w:tc>
          <w:tcPr>
            <w:tcW w:w="700" w:type="dxa"/>
            <w:vAlign w:val="bottom"/>
          </w:tcPr>
          <w:p>
            <w:pPr>
              <w:jc w:val="right"/>
              <w:ind w:right="526"/>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720" w:type="dxa"/>
            <w:vAlign w:val="bottom"/>
          </w:tcPr>
          <w:p>
            <w:pPr>
              <w:jc w:val="right"/>
              <w:ind w:right="545"/>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2"/>
              <w:spacing w:after="0"/>
              <w:rPr>
                <w:sz w:val="20"/>
                <w:szCs w:val="20"/>
                <w:color w:val="auto"/>
              </w:rPr>
            </w:pPr>
            <w:r>
              <w:rPr>
                <w:rFonts w:ascii="Arial" w:cs="Arial" w:eastAsia="Arial" w:hAnsi="Arial"/>
                <w:sz w:val="16"/>
                <w:szCs w:val="16"/>
                <w:color w:val="auto"/>
                <w:w w:val="97"/>
              </w:rPr>
              <w:t>249</w:t>
            </w:r>
          </w:p>
        </w:tc>
        <w:tc>
          <w:tcPr>
            <w:tcW w:w="100" w:type="dxa"/>
            <w:vAlign w:val="bottom"/>
          </w:tcPr>
          <w:p>
            <w:pPr>
              <w:spacing w:after="0"/>
              <w:rPr>
                <w:sz w:val="17"/>
                <w:szCs w:val="17"/>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Long-term inventory costing adjustments </w:t>
            </w:r>
            <w:r>
              <w:rPr>
                <w:rFonts w:ascii="Arial" w:cs="Arial" w:eastAsia="Arial" w:hAnsi="Arial"/>
                <w:sz w:val="20"/>
                <w:szCs w:val="20"/>
                <w:color w:val="auto"/>
                <w:vertAlign w:val="superscript"/>
              </w:rPr>
              <w:t>(3)</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Deficiencies under minimum volume commitments, net </w:t>
            </w:r>
            <w:r>
              <w:rPr>
                <w:rFonts w:ascii="Arial" w:cs="Arial" w:eastAsia="Arial" w:hAnsi="Arial"/>
                <w:sz w:val="20"/>
                <w:szCs w:val="20"/>
                <w:color w:val="auto"/>
                <w:vertAlign w:val="superscript"/>
              </w:rPr>
              <w:t>(4)</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Equity-indexed compensation expense </w:t>
            </w:r>
            <w:r>
              <w:rPr>
                <w:rFonts w:ascii="Arial" w:cs="Arial" w:eastAsia="Arial" w:hAnsi="Arial"/>
                <w:sz w:val="20"/>
                <w:szCs w:val="20"/>
                <w:color w:val="auto"/>
                <w:vertAlign w:val="superscript"/>
              </w:rPr>
              <w:t>(5)</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Net gain/(loss) on foreign currency revaluation </w:t>
            </w:r>
            <w:r>
              <w:rPr>
                <w:rFonts w:ascii="Arial" w:cs="Arial" w:eastAsia="Arial" w:hAnsi="Arial"/>
                <w:sz w:val="20"/>
                <w:szCs w:val="20"/>
                <w:color w:val="auto"/>
                <w:vertAlign w:val="superscript"/>
              </w:rPr>
              <w:t>(6)</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7"/>
        </w:trPr>
        <w:tc>
          <w:tcPr>
            <w:tcW w:w="664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6"/>
                <w:szCs w:val="16"/>
                <w:color w:val="auto"/>
              </w:rPr>
              <w:t xml:space="preserve">Line 901 incident </w:t>
            </w:r>
            <w:r>
              <w:rPr>
                <w:rFonts w:ascii="Arial" w:cs="Arial" w:eastAsia="Arial" w:hAnsi="Arial"/>
                <w:sz w:val="20"/>
                <w:szCs w:val="20"/>
                <w:color w:val="auto"/>
                <w:vertAlign w:val="superscript"/>
              </w:rPr>
              <w:t>(7)</w:t>
            </w: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664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 xml:space="preserve">Significant transaction-related expenses </w:t>
            </w:r>
            <w:r>
              <w:rPr>
                <w:rFonts w:ascii="Arial" w:cs="Arial" w:eastAsia="Arial" w:hAnsi="Arial"/>
                <w:sz w:val="20"/>
                <w:szCs w:val="20"/>
                <w:color w:val="auto"/>
                <w:vertAlign w:val="superscript"/>
              </w:rPr>
              <w:t>(8)</w:t>
            </w:r>
          </w:p>
        </w:tc>
        <w:tc>
          <w:tcPr>
            <w:tcW w:w="70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0"/>
        </w:trPr>
        <w:tc>
          <w:tcPr>
            <w:tcW w:w="66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Selected items impacting comparability - Adjusted EBITDA</w:t>
            </w:r>
          </w:p>
        </w:tc>
        <w:tc>
          <w:tcPr>
            <w:tcW w:w="700" w:type="dxa"/>
            <w:vAlign w:val="bottom"/>
            <w:tcBorders>
              <w:top w:val="single" w:sz="8" w:color="auto"/>
            </w:tcBorders>
            <w:shd w:val="clear" w:color="auto" w:fill="CCEEFF"/>
          </w:tcPr>
          <w:p>
            <w:pPr>
              <w:jc w:val="right"/>
              <w:ind w:right="526"/>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7"/>
              </w:rPr>
              <w:t>280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04"/>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Gains from derivative activities</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Gain/(loss) on investments in unconsolidated entities, net</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4"/>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Gains/(losses) on asset sales and asset impairments, net</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90"/>
              </w:rPr>
              <w:t>(315)</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(592)</w:t>
            </w:r>
          </w:p>
        </w:tc>
      </w:tr>
      <w:tr>
        <w:trPr>
          <w:trHeight w:val="210"/>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effect on selected items impacting comparability</w:t>
            </w: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4"/>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Aggregate selected items impacting noncontrolling interests</w:t>
            </w:r>
          </w:p>
        </w:tc>
        <w:tc>
          <w:tcPr>
            <w:tcW w:w="7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66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Selected items impacting comparability - Adjusted net income attributable to PAA</w:t>
            </w:r>
          </w:p>
        </w:tc>
        <w:tc>
          <w:tcPr>
            <w:tcW w:w="700" w:type="dxa"/>
            <w:vAlign w:val="bottom"/>
            <w:tcBorders>
              <w:top w:val="single" w:sz="8" w:color="auto"/>
              <w:bottom w:val="single" w:sz="8" w:color="auto"/>
            </w:tcBorders>
            <w:shd w:val="clear" w:color="auto" w:fill="CCEEFF"/>
          </w:tcPr>
          <w:p>
            <w:pPr>
              <w:jc w:val="right"/>
              <w:ind w:right="526"/>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ind w:right="545"/>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7"/>
              </w:rPr>
              <w:t>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3880" w:type="dxa"/>
            <w:vAlign w:val="bottom"/>
            <w:tcBorders>
              <w:bottom w:val="single" w:sz="8" w:color="auto"/>
            </w:tcBorders>
          </w:tcPr>
          <w:p>
            <w:pPr>
              <w:spacing w:after="0"/>
              <w:rPr>
                <w:sz w:val="11"/>
                <w:szCs w:val="11"/>
                <w:color w:val="auto"/>
              </w:rPr>
            </w:pPr>
          </w:p>
        </w:tc>
        <w:tc>
          <w:tcPr>
            <w:tcW w:w="2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r>
    </w:tbl>
    <w:p>
      <w:pPr>
        <w:spacing w:after="0" w:line="103" w:lineRule="exact"/>
        <w:rPr>
          <w:sz w:val="20"/>
          <w:szCs w:val="20"/>
          <w:color w:val="auto"/>
        </w:rPr>
      </w:pPr>
    </w:p>
    <w:p>
      <w:pPr>
        <w:ind w:left="320" w:hanging="317"/>
        <w:spacing w:after="0"/>
        <w:tabs>
          <w:tab w:leader="none" w:pos="320"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Certain of our non-GAAP financial measures may not be impacted by each of the selected items impacting comparability.</w:t>
      </w:r>
    </w:p>
    <w:p>
      <w:pPr>
        <w:spacing w:after="0" w:line="47" w:lineRule="exact"/>
        <w:rPr>
          <w:rFonts w:ascii="Arial" w:cs="Arial" w:eastAsia="Arial" w:hAnsi="Arial"/>
          <w:sz w:val="17"/>
          <w:szCs w:val="17"/>
          <w:color w:val="auto"/>
          <w:vertAlign w:val="superscript"/>
        </w:rPr>
      </w:pPr>
    </w:p>
    <w:p>
      <w:pPr>
        <w:ind w:left="320" w:right="60" w:hanging="317"/>
        <w:spacing w:after="0" w:line="268" w:lineRule="auto"/>
        <w:tabs>
          <w:tab w:leader="none" w:pos="317"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 In addition, we exclude gains and losses from the mark-to-market of the embedded derivative associated with the Preferred Distribution Rate Reset Option of our Series A preferred units.</w:t>
      </w:r>
    </w:p>
    <w:p>
      <w:pPr>
        <w:spacing w:after="0" w:line="23" w:lineRule="exact"/>
        <w:rPr>
          <w:rFonts w:ascii="Arial" w:cs="Arial" w:eastAsia="Arial" w:hAnsi="Arial"/>
          <w:sz w:val="16"/>
          <w:szCs w:val="16"/>
          <w:color w:val="auto"/>
          <w:vertAlign w:val="superscript"/>
        </w:rPr>
      </w:pPr>
    </w:p>
    <w:p>
      <w:pPr>
        <w:ind w:left="320" w:right="20" w:hanging="317"/>
        <w:spacing w:after="0" w:line="241" w:lineRule="auto"/>
        <w:tabs>
          <w:tab w:leader="none" w:pos="317"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8" w:lineRule="exact"/>
        <w:rPr>
          <w:rFonts w:ascii="Arial" w:cs="Arial" w:eastAsia="Arial" w:hAnsi="Arial"/>
          <w:sz w:val="17"/>
          <w:szCs w:val="17"/>
          <w:color w:val="auto"/>
          <w:vertAlign w:val="superscript"/>
        </w:rPr>
      </w:pPr>
    </w:p>
    <w:p>
      <w:pPr>
        <w:ind w:left="320" w:right="20" w:hanging="317"/>
        <w:spacing w:after="0" w:line="273" w:lineRule="auto"/>
        <w:tabs>
          <w:tab w:leader="none" w:pos="317"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We, and certain of our equity method investments,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or our equity method investees,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or our equity method investees,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22" w:lineRule="exact"/>
        <w:rPr>
          <w:rFonts w:ascii="Arial" w:cs="Arial" w:eastAsia="Arial" w:hAnsi="Arial"/>
          <w:sz w:val="16"/>
          <w:szCs w:val="16"/>
          <w:color w:val="auto"/>
          <w:vertAlign w:val="superscript"/>
        </w:rPr>
      </w:pPr>
    </w:p>
    <w:p>
      <w:pPr>
        <w:jc w:val="both"/>
        <w:ind w:left="320" w:right="380" w:hanging="317"/>
        <w:spacing w:after="0" w:line="241" w:lineRule="auto"/>
        <w:tabs>
          <w:tab w:leader="none" w:pos="317"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8" w:lineRule="exact"/>
        <w:rPr>
          <w:rFonts w:ascii="Arial" w:cs="Arial" w:eastAsia="Arial" w:hAnsi="Arial"/>
          <w:sz w:val="17"/>
          <w:szCs w:val="17"/>
          <w:color w:val="auto"/>
          <w:vertAlign w:val="superscript"/>
        </w:rPr>
      </w:pPr>
    </w:p>
    <w:p>
      <w:pPr>
        <w:ind w:left="320" w:right="100" w:hanging="317"/>
        <w:spacing w:after="0" w:line="238" w:lineRule="auto"/>
        <w:tabs>
          <w:tab w:leader="none" w:pos="317"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thus classified as a selected item impacting comparability.</w:t>
      </w:r>
    </w:p>
    <w:p>
      <w:pPr>
        <w:spacing w:after="0" w:line="12" w:lineRule="exact"/>
        <w:rPr>
          <w:rFonts w:ascii="Arial" w:cs="Arial" w:eastAsia="Arial" w:hAnsi="Arial"/>
          <w:sz w:val="17"/>
          <w:szCs w:val="17"/>
          <w:color w:val="auto"/>
          <w:vertAlign w:val="superscript"/>
        </w:rPr>
      </w:pPr>
    </w:p>
    <w:p>
      <w:pPr>
        <w:ind w:left="320" w:hanging="317"/>
        <w:spacing w:after="0"/>
        <w:tabs>
          <w:tab w:leader="none" w:pos="320"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Includes costs recognized during the period related to the Line 901 incident that occurred in May 2015, net of amounts we believe are probable of recovery from insurance.</w:t>
      </w:r>
    </w:p>
    <w:p>
      <w:pPr>
        <w:spacing w:after="0" w:line="48" w:lineRule="exact"/>
        <w:rPr>
          <w:rFonts w:ascii="Arial" w:cs="Arial" w:eastAsia="Arial" w:hAnsi="Arial"/>
          <w:sz w:val="17"/>
          <w:szCs w:val="17"/>
          <w:color w:val="auto"/>
          <w:vertAlign w:val="superscript"/>
        </w:rPr>
      </w:pPr>
    </w:p>
    <w:p>
      <w:pPr>
        <w:ind w:left="320" w:hanging="317"/>
        <w:spacing w:after="0" w:line="184" w:lineRule="auto"/>
        <w:tabs>
          <w:tab w:leader="none" w:pos="32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Includes expenses associated with the Plains Oryx Permian Basin joint venture transaction, which closed on October 5, 2021.</w:t>
      </w:r>
    </w:p>
    <w:p>
      <w:pPr>
        <w:ind w:left="5440" w:hanging="93"/>
        <w:spacing w:after="0"/>
        <w:tabs>
          <w:tab w:leader="none" w:pos="54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auto"/>
        </w:rPr>
        <w:t>Page 14</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840" w:type="dxa"/>
            <w:vAlign w:val="bottom"/>
            <w:tcBorders>
              <w:bottom w:val="single" w:sz="8" w:color="auto"/>
            </w:tcBorders>
          </w:tcPr>
          <w:p>
            <w:pPr>
              <w:spacing w:after="0"/>
              <w:rPr>
                <w:sz w:val="16"/>
                <w:szCs w:val="16"/>
                <w:color w:val="auto"/>
              </w:rPr>
            </w:pPr>
          </w:p>
        </w:tc>
      </w:tr>
      <w:tr>
        <w:trPr>
          <w:trHeight w:val="187"/>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NGL</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520" w:type="dxa"/>
            <w:vAlign w:val="bottom"/>
          </w:tcPr>
          <w:p>
            <w:pPr>
              <w:spacing w:after="0"/>
              <w:rPr>
                <w:sz w:val="16"/>
                <w:szCs w:val="16"/>
                <w:color w:val="auto"/>
              </w:rPr>
            </w:pPr>
          </w:p>
        </w:tc>
        <w:tc>
          <w:tcPr>
            <w:tcW w:w="840" w:type="dxa"/>
            <w:vAlign w:val="bottom"/>
          </w:tcPr>
          <w:p>
            <w:pPr>
              <w:jc w:val="right"/>
              <w:ind w:right="455"/>
              <w:spacing w:after="0"/>
              <w:rPr>
                <w:sz w:val="20"/>
                <w:szCs w:val="20"/>
                <w:color w:val="auto"/>
              </w:rPr>
            </w:pPr>
            <w:r>
              <w:rPr>
                <w:rFonts w:ascii="Arial" w:cs="Arial" w:eastAsia="Arial" w:hAnsi="Arial"/>
                <w:sz w:val="14"/>
                <w:szCs w:val="14"/>
                <w:b w:val="1"/>
                <w:bCs w:val="1"/>
                <w:color w:val="auto"/>
                <w:w w:val="94"/>
              </w:rPr>
              <w:t>NGL</w:t>
            </w:r>
          </w:p>
        </w:tc>
      </w:tr>
      <w:tr>
        <w:trPr>
          <w:trHeight w:val="220"/>
        </w:trPr>
        <w:tc>
          <w:tcPr>
            <w:tcW w:w="60" w:type="dxa"/>
            <w:vAlign w:val="bottom"/>
          </w:tcPr>
          <w:p>
            <w:pPr>
              <w:spacing w:after="0"/>
              <w:rPr>
                <w:sz w:val="19"/>
                <w:szCs w:val="19"/>
                <w:color w:val="auto"/>
              </w:rPr>
            </w:pPr>
          </w:p>
        </w:tc>
        <w:tc>
          <w:tcPr>
            <w:tcW w:w="5260" w:type="dxa"/>
            <w:vAlign w:val="bottom"/>
            <w:tcBorders>
              <w:top w:val="single" w:sz="8" w:color="CCEEFF"/>
            </w:tcBorders>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12,137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(11,593)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(522)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(11,394)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(448)</w:t>
            </w: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Arial" w:cs="Arial" w:eastAsia="Arial" w:hAnsi="Arial"/>
                <w:sz w:val="17"/>
                <w:szCs w:val="17"/>
                <w:color w:val="auto"/>
              </w:rPr>
              <w:t>Depreciation and amortization of unconsolidated entities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68"/>
        </w:trPr>
        <w:tc>
          <w:tcPr>
            <w:tcW w:w="60" w:type="dxa"/>
            <w:vAlign w:val="bottom"/>
          </w:tcPr>
          <w:p>
            <w:pPr>
              <w:spacing w:after="0"/>
              <w:rPr>
                <w:sz w:val="14"/>
                <w:szCs w:val="14"/>
                <w:color w:val="auto"/>
              </w:rPr>
            </w:pPr>
          </w:p>
        </w:tc>
        <w:tc>
          <w:tcPr>
            <w:tcW w:w="5260" w:type="dxa"/>
            <w:vAlign w:val="bottom"/>
            <w:gridSpan w:val="2"/>
            <w:shd w:val="clear" w:color="auto" w:fill="CCEEFF"/>
          </w:tcPr>
          <w:p>
            <w:pPr>
              <w:ind w:left="160"/>
              <w:spacing w:after="0" w:line="168" w:lineRule="exact"/>
              <w:rPr>
                <w:sz w:val="20"/>
                <w:szCs w:val="20"/>
                <w:color w:val="auto"/>
              </w:rPr>
            </w:pPr>
            <w:r>
              <w:rPr>
                <w:rFonts w:ascii="Arial" w:cs="Arial" w:eastAsia="Arial" w:hAnsi="Arial"/>
                <w:sz w:val="17"/>
                <w:szCs w:val="17"/>
                <w:color w:val="auto"/>
              </w:rPr>
              <w:t>(Gains)/losses from derivative activities and inventory valuation</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32"/>
        </w:trPr>
        <w:tc>
          <w:tcPr>
            <w:tcW w:w="60" w:type="dxa"/>
            <w:vAlign w:val="bottom"/>
          </w:tcPr>
          <w:p>
            <w:pPr>
              <w:spacing w:after="0"/>
              <w:rPr>
                <w:sz w:val="20"/>
                <w:szCs w:val="20"/>
                <w:color w:val="auto"/>
              </w:rPr>
            </w:pPr>
          </w:p>
        </w:tc>
        <w:tc>
          <w:tcPr>
            <w:tcW w:w="52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adjustments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Arial" w:cs="Arial" w:eastAsia="Arial" w:hAnsi="Arial"/>
                <w:sz w:val="17"/>
                <w:szCs w:val="17"/>
                <w:color w:val="auto"/>
              </w:rPr>
              <w:t>Long-term inventory costing adjustments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Deficiencies under minimum volume commitments, net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Arial" w:cs="Arial" w:eastAsia="Arial" w:hAnsi="Arial"/>
                <w:sz w:val="17"/>
                <w:szCs w:val="17"/>
                <w:color w:val="auto"/>
              </w:rPr>
              <w:t>Equity-indexed compensation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(gain)/loss on foreign currency revaluation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Arial" w:cs="Arial" w:eastAsia="Arial" w:hAnsi="Arial"/>
                <w:sz w:val="17"/>
                <w:szCs w:val="17"/>
                <w:color w:val="auto"/>
              </w:rPr>
              <w:t>Line 901 incident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Significant transaction-related expenses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16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0" w:type="dxa"/>
            <w:vAlign w:val="bottom"/>
          </w:tcPr>
          <w:p>
            <w:pPr>
              <w:spacing w:after="0"/>
              <w:rPr>
                <w:sz w:val="20"/>
                <w:szCs w:val="20"/>
                <w:color w:val="auto"/>
              </w:rPr>
            </w:pPr>
          </w:p>
        </w:tc>
        <w:tc>
          <w:tcPr>
            <w:tcW w:w="5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45"/>
        </w:trPr>
        <w:tc>
          <w:tcPr>
            <w:tcW w:w="60" w:type="dxa"/>
            <w:vAlign w:val="bottom"/>
          </w:tcPr>
          <w:p>
            <w:pPr>
              <w:spacing w:after="0"/>
              <w:rPr>
                <w:sz w:val="20"/>
                <w:szCs w:val="20"/>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Maintenance capital</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123" w:lineRule="exact"/>
        <w:rPr>
          <w:sz w:val="20"/>
          <w:szCs w:val="20"/>
          <w:color w:val="auto"/>
        </w:rPr>
      </w:pPr>
    </w:p>
    <w:p>
      <w:pPr>
        <w:sectPr>
          <w:pgSz w:w="11900" w:h="16838" w:orient="portrait"/>
          <w:cols w:equalWidth="0" w:num="1">
            <w:col w:w="11200"/>
          </w:cols>
          <w:pgMar w:left="320" w:top="360" w:right="37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900"/>
          </w:cols>
          <w:pgMar w:left="320" w:top="360" w:right="379" w:bottom="1440" w:gutter="0" w:footer="0" w:header="0"/>
          <w:type w:val="continuous"/>
        </w:sectPr>
      </w:pPr>
    </w:p>
    <w:p>
      <w:pPr>
        <w:ind w:left="320" w:right="540" w:hanging="317"/>
        <w:spacing w:after="0" w:line="281" w:lineRule="auto"/>
        <w:tabs>
          <w:tab w:leader="none" w:pos="308" w:val="left"/>
        </w:tabs>
        <w:numPr>
          <w:ilvl w:val="0"/>
          <w:numId w:val="18"/>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40" w:hanging="317"/>
        <w:spacing w:after="0" w:line="235" w:lineRule="auto"/>
        <w:tabs>
          <w:tab w:leader="none" w:pos="308"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1" w:lineRule="exact"/>
        <w:rPr>
          <w:rFonts w:ascii="Arial" w:cs="Arial" w:eastAsia="Arial" w:hAnsi="Arial"/>
          <w:sz w:val="22"/>
          <w:szCs w:val="22"/>
          <w:color w:val="auto"/>
          <w:vertAlign w:val="superscript"/>
        </w:rPr>
      </w:pPr>
    </w:p>
    <w:p>
      <w:pPr>
        <w:ind w:left="320" w:right="260" w:hanging="317"/>
        <w:spacing w:after="0" w:line="208" w:lineRule="auto"/>
        <w:tabs>
          <w:tab w:leader="none" w:pos="308"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Reflects amounts attributable to noncontrolling interests in Plains Oryx Permian Basin LLC (beginning October 2021), Cactus II Pipeline LLC (beginning November 2022) and Red River Pipeline LLC.</w:t>
      </w:r>
    </w:p>
    <w:p>
      <w:pPr>
        <w:ind w:left="5440" w:hanging="93"/>
        <w:spacing w:after="0"/>
        <w:tabs>
          <w:tab w:leader="none" w:pos="54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00"/>
          </w:cols>
          <w:pgMar w:left="320" w:top="360" w:right="37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auto"/>
        </w:rPr>
        <w:t>Page 15</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SELECTED FINANCIAL DATA BY SEGMENT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6"/>
          </w:tcPr>
          <w:p>
            <w:pPr>
              <w:ind w:left="520"/>
              <w:spacing w:after="0"/>
              <w:rPr>
                <w:sz w:val="20"/>
                <w:szCs w:val="20"/>
                <w:color w:val="auto"/>
              </w:rPr>
            </w:pPr>
            <w:r>
              <w:rPr>
                <w:rFonts w:ascii="Arial" w:cs="Arial" w:eastAsia="Arial" w:hAnsi="Arial"/>
                <w:sz w:val="14"/>
                <w:szCs w:val="14"/>
                <w:b w:val="1"/>
                <w:bCs w:val="1"/>
                <w:color w:val="auto"/>
              </w:rPr>
              <w:t>Twelve Months Ended</w:t>
            </w:r>
          </w:p>
        </w:tc>
        <w:tc>
          <w:tcPr>
            <w:tcW w:w="240" w:type="dxa"/>
            <w:vAlign w:val="bottom"/>
          </w:tcPr>
          <w:p>
            <w:pPr>
              <w:spacing w:after="0"/>
              <w:rPr>
                <w:sz w:val="14"/>
                <w:szCs w:val="14"/>
                <w:color w:val="auto"/>
              </w:rPr>
            </w:pPr>
          </w:p>
        </w:tc>
        <w:tc>
          <w:tcPr>
            <w:tcW w:w="26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Twelve Months Ended</w:t>
            </w:r>
          </w:p>
        </w:tc>
      </w:tr>
      <w:tr>
        <w:trPr>
          <w:trHeight w:val="187"/>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860" w:type="dxa"/>
            <w:vAlign w:val="bottom"/>
            <w:tcBorders>
              <w:bottom w:val="single" w:sz="8" w:color="auto"/>
            </w:tcBorders>
          </w:tcPr>
          <w:p>
            <w:pPr>
              <w:spacing w:after="0"/>
              <w:rPr>
                <w:sz w:val="16"/>
                <w:szCs w:val="16"/>
                <w:color w:val="auto"/>
              </w:rPr>
            </w:pPr>
          </w:p>
        </w:tc>
      </w:tr>
      <w:tr>
        <w:trPr>
          <w:trHeight w:val="187"/>
        </w:trPr>
        <w:tc>
          <w:tcPr>
            <w:tcW w:w="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20" w:type="dxa"/>
            <w:vAlign w:val="bottom"/>
          </w:tcPr>
          <w:p>
            <w:pPr>
              <w:spacing w:after="0"/>
              <w:rPr>
                <w:sz w:val="16"/>
                <w:szCs w:val="16"/>
                <w:color w:val="auto"/>
              </w:rPr>
            </w:pPr>
          </w:p>
        </w:tc>
        <w:tc>
          <w:tcPr>
            <w:tcW w:w="840" w:type="dxa"/>
            <w:vAlign w:val="bottom"/>
          </w:tcPr>
          <w:p>
            <w:pPr>
              <w:jc w:val="right"/>
              <w:ind w:right="435"/>
              <w:spacing w:after="0"/>
              <w:rPr>
                <w:sz w:val="20"/>
                <w:szCs w:val="20"/>
                <w:color w:val="auto"/>
              </w:rPr>
            </w:pPr>
            <w:r>
              <w:rPr>
                <w:rFonts w:ascii="Arial" w:cs="Arial" w:eastAsia="Arial" w:hAnsi="Arial"/>
                <w:sz w:val="14"/>
                <w:szCs w:val="14"/>
                <w:b w:val="1"/>
                <w:bCs w:val="1"/>
                <w:color w:val="auto"/>
              </w:rPr>
              <w:t>NGL</w:t>
            </w:r>
          </w:p>
        </w:tc>
        <w:tc>
          <w:tcPr>
            <w:tcW w:w="2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Crude Oil</w:t>
            </w:r>
          </w:p>
        </w:tc>
        <w:tc>
          <w:tcPr>
            <w:tcW w:w="520" w:type="dxa"/>
            <w:vAlign w:val="bottom"/>
          </w:tcPr>
          <w:p>
            <w:pPr>
              <w:spacing w:after="0"/>
              <w:rPr>
                <w:sz w:val="16"/>
                <w:szCs w:val="16"/>
                <w:color w:val="auto"/>
              </w:rPr>
            </w:pPr>
          </w:p>
        </w:tc>
        <w:tc>
          <w:tcPr>
            <w:tcW w:w="860" w:type="dxa"/>
            <w:vAlign w:val="bottom"/>
          </w:tcPr>
          <w:p>
            <w:pPr>
              <w:jc w:val="right"/>
              <w:ind w:right="455"/>
              <w:spacing w:after="0"/>
              <w:rPr>
                <w:sz w:val="20"/>
                <w:szCs w:val="20"/>
                <w:color w:val="auto"/>
              </w:rPr>
            </w:pPr>
            <w:r>
              <w:rPr>
                <w:rFonts w:ascii="Arial" w:cs="Arial" w:eastAsia="Arial" w:hAnsi="Arial"/>
                <w:sz w:val="14"/>
                <w:szCs w:val="14"/>
                <w:b w:val="1"/>
                <w:bCs w:val="1"/>
                <w:color w:val="auto"/>
              </w:rPr>
              <w:t>NGL</w:t>
            </w:r>
          </w:p>
        </w:tc>
      </w:tr>
      <w:tr>
        <w:trPr>
          <w:trHeight w:val="220"/>
        </w:trPr>
        <w:tc>
          <w:tcPr>
            <w:tcW w:w="60" w:type="dxa"/>
            <w:vAlign w:val="bottom"/>
          </w:tcPr>
          <w:p>
            <w:pPr>
              <w:spacing w:after="0"/>
              <w:rPr>
                <w:sz w:val="19"/>
                <w:szCs w:val="19"/>
                <w:color w:val="auto"/>
              </w:rPr>
            </w:pPr>
          </w:p>
        </w:tc>
        <w:tc>
          <w:tcPr>
            <w:tcW w:w="5260" w:type="dxa"/>
            <w:vAlign w:val="bottom"/>
            <w:tcBorders>
              <w:top w:val="single" w:sz="8" w:color="CCEEFF"/>
            </w:tcBorders>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Revenues </w:t>
            </w:r>
            <w:r>
              <w:rPr>
                <w:rFonts w:ascii="Arial" w:cs="Arial" w:eastAsia="Arial" w:hAnsi="Arial"/>
                <w:sz w:val="22"/>
                <w:szCs w:val="22"/>
                <w:color w:val="auto"/>
                <w:vertAlign w:val="superscript"/>
              </w:rPr>
              <w:t>(1)</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55,080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40,470</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1,968</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Purchases and related costs </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(52,088)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(1,587)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(37,540)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(1,324)</w:t>
            </w: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Field operating costs </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Segment general and administrative expenses </w:t>
            </w:r>
            <w:r>
              <w:rPr>
                <w:rFonts w:ascii="Arial" w:cs="Arial" w:eastAsia="Arial" w:hAnsi="Arial"/>
                <w:sz w:val="22"/>
                <w:szCs w:val="22"/>
                <w:color w:val="auto"/>
                <w:vertAlign w:val="superscript"/>
              </w:rPr>
              <w:t>(2) (3)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in unconsolidated entities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8"/>
        </w:trPr>
        <w:tc>
          <w:tcPr>
            <w:tcW w:w="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Adjustments: </w:t>
            </w:r>
            <w:r>
              <w:rPr>
                <w:rFonts w:ascii="Arial" w:cs="Arial" w:eastAsia="Arial" w:hAnsi="Arial"/>
                <w:sz w:val="22"/>
                <w:szCs w:val="22"/>
                <w:color w:val="auto"/>
                <w:vertAlign w:val="superscript"/>
              </w:rPr>
              <w:t>(4)</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Arial" w:cs="Arial" w:eastAsia="Arial" w:hAnsi="Arial"/>
                <w:sz w:val="17"/>
                <w:szCs w:val="17"/>
                <w:color w:val="auto"/>
              </w:rPr>
              <w:t>Depreciation and amortization of unconsolidated entities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Gains from derivative activities and inventory valuation adjustments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Arial" w:cs="Arial" w:eastAsia="Arial" w:hAnsi="Arial"/>
                <w:sz w:val="17"/>
                <w:szCs w:val="17"/>
                <w:color w:val="auto"/>
              </w:rPr>
              <w:t>Long-term inventory costing adjustments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Deficiencies under minimum volume commitments,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Arial" w:cs="Arial" w:eastAsia="Arial" w:hAnsi="Arial"/>
                <w:sz w:val="17"/>
                <w:szCs w:val="17"/>
                <w:color w:val="auto"/>
              </w:rPr>
              <w:t>Equity-indexed compensation expense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(gain)/loss on foreign currency revaluation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160"/>
              <w:spacing w:after="0"/>
              <w:rPr>
                <w:sz w:val="20"/>
                <w:szCs w:val="20"/>
                <w:color w:val="auto"/>
              </w:rPr>
            </w:pPr>
            <w:r>
              <w:rPr>
                <w:rFonts w:ascii="Arial" w:cs="Arial" w:eastAsia="Arial" w:hAnsi="Arial"/>
                <w:sz w:val="17"/>
                <w:szCs w:val="17"/>
                <w:color w:val="auto"/>
              </w:rPr>
              <w:t>Line 901 incident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 w:type="dxa"/>
            <w:vAlign w:val="bottom"/>
          </w:tcPr>
          <w:p>
            <w:pPr>
              <w:spacing w:after="0"/>
              <w:rPr>
                <w:sz w:val="19"/>
                <w:szCs w:val="19"/>
                <w:color w:val="auto"/>
              </w:rPr>
            </w:pPr>
          </w:p>
        </w:tc>
        <w:tc>
          <w:tcPr>
            <w:tcW w:w="52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Significant transaction-related expenses</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0" w:type="dxa"/>
            <w:vAlign w:val="bottom"/>
          </w:tcPr>
          <w:p>
            <w:pPr>
              <w:spacing w:after="0"/>
              <w:rPr>
                <w:sz w:val="19"/>
                <w:szCs w:val="19"/>
                <w:color w:val="auto"/>
              </w:rPr>
            </w:pPr>
          </w:p>
        </w:tc>
        <w:tc>
          <w:tcPr>
            <w:tcW w:w="5260" w:type="dxa"/>
            <w:vAlign w:val="bottom"/>
            <w:gridSpan w:val="2"/>
          </w:tcPr>
          <w:p>
            <w:pPr>
              <w:ind w:left="160"/>
              <w:spacing w:after="0" w:line="220" w:lineRule="exact"/>
              <w:rPr>
                <w:sz w:val="20"/>
                <w:szCs w:val="20"/>
                <w:color w:val="auto"/>
              </w:rPr>
            </w:pPr>
            <w:r>
              <w:rPr>
                <w:rFonts w:ascii="Arial" w:cs="Arial" w:eastAsia="Arial" w:hAnsi="Arial"/>
                <w:sz w:val="17"/>
                <w:szCs w:val="17"/>
                <w:color w:val="auto"/>
              </w:rPr>
              <w:t xml:space="preserve">Adjusted EBITDA attributable to noncontrolling interests </w:t>
            </w:r>
            <w:r>
              <w:rPr>
                <w:rFonts w:ascii="Arial" w:cs="Arial" w:eastAsia="Arial" w:hAnsi="Arial"/>
                <w:sz w:val="22"/>
                <w:szCs w:val="22"/>
                <w:color w:val="auto"/>
                <w:vertAlign w:val="superscript"/>
              </w:rPr>
              <w:t>(5)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0" w:type="dxa"/>
            <w:vAlign w:val="bottom"/>
          </w:tcPr>
          <w:p>
            <w:pPr>
              <w:spacing w:after="0"/>
              <w:rPr>
                <w:sz w:val="20"/>
                <w:szCs w:val="20"/>
                <w:color w:val="auto"/>
              </w:rPr>
            </w:pPr>
          </w:p>
        </w:tc>
        <w:tc>
          <w:tcPr>
            <w:tcW w:w="52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Segment Adjusted EBITDA</w:t>
            </w:r>
          </w:p>
        </w:tc>
        <w:tc>
          <w:tcPr>
            <w:tcW w:w="2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5"/>
        </w:trPr>
        <w:tc>
          <w:tcPr>
            <w:tcW w:w="60" w:type="dxa"/>
            <w:vAlign w:val="bottom"/>
          </w:tcPr>
          <w:p>
            <w:pPr>
              <w:spacing w:after="0"/>
              <w:rPr>
                <w:sz w:val="20"/>
                <w:szCs w:val="20"/>
                <w:color w:val="auto"/>
              </w:rPr>
            </w:pPr>
          </w:p>
        </w:tc>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Maintenance capital</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0"/>
        </w:trPr>
        <w:tc>
          <w:tcPr>
            <w:tcW w:w="6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27"/>
        </w:trPr>
        <w:tc>
          <w:tcPr>
            <w:tcW w:w="6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123" w:lineRule="exact"/>
        <w:rPr>
          <w:sz w:val="20"/>
          <w:szCs w:val="20"/>
          <w:color w:val="auto"/>
        </w:rPr>
      </w:pPr>
    </w:p>
    <w:p>
      <w:pPr>
        <w:sectPr>
          <w:pgSz w:w="11900" w:h="16838" w:orient="portrait"/>
          <w:cols w:equalWidth="0" w:num="1">
            <w:col w:w="11200"/>
          </w:cols>
          <w:pgMar w:left="320" w:top="360" w:right="37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Includes intersegment amounts.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color w:val="auto"/>
        </w:rPr>
        <w:t>Field operating costs and Segment general and administrative expenses include equity-indexed compensation expense.</w:t>
      </w:r>
    </w:p>
    <w:p>
      <w:pPr>
        <w:spacing w:after="0" w:line="86" w:lineRule="exact"/>
        <w:rPr>
          <w:sz w:val="20"/>
          <w:szCs w:val="20"/>
          <w:color w:val="auto"/>
        </w:rPr>
      </w:pPr>
    </w:p>
    <w:p>
      <w:pPr>
        <w:sectPr>
          <w:pgSz w:w="11900" w:h="16838" w:orient="portrait"/>
          <w:cols w:equalWidth="0" w:num="2">
            <w:col w:w="140" w:space="160"/>
            <w:col w:w="10900"/>
          </w:cols>
          <w:pgMar w:left="320" w:top="360" w:right="379" w:bottom="1440" w:gutter="0" w:footer="0" w:header="0"/>
          <w:type w:val="continuous"/>
        </w:sectPr>
      </w:pPr>
    </w:p>
    <w:p>
      <w:pPr>
        <w:ind w:left="320" w:right="540" w:hanging="317"/>
        <w:spacing w:after="0" w:line="281" w:lineRule="auto"/>
        <w:tabs>
          <w:tab w:leader="none" w:pos="308"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7" w:lineRule="exact"/>
        <w:rPr>
          <w:rFonts w:ascii="Arial" w:cs="Arial" w:eastAsia="Arial" w:hAnsi="Arial"/>
          <w:sz w:val="19"/>
          <w:szCs w:val="19"/>
          <w:color w:val="auto"/>
          <w:vertAlign w:val="superscript"/>
        </w:rPr>
      </w:pPr>
    </w:p>
    <w:p>
      <w:pPr>
        <w:jc w:val="both"/>
        <w:ind w:left="320" w:right="140" w:hanging="317"/>
        <w:spacing w:after="0" w:line="235"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41" w:lineRule="exact"/>
        <w:rPr>
          <w:rFonts w:ascii="Arial" w:cs="Arial" w:eastAsia="Arial" w:hAnsi="Arial"/>
          <w:sz w:val="22"/>
          <w:szCs w:val="22"/>
          <w:color w:val="auto"/>
          <w:vertAlign w:val="superscript"/>
        </w:rPr>
      </w:pPr>
    </w:p>
    <w:p>
      <w:pPr>
        <w:ind w:left="320" w:right="260" w:hanging="317"/>
        <w:spacing w:after="0" w:line="228"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Reflects amounts attributable to noncontrolling interests in Plains Oryx Permian Basin LLC (beginning October 2021), Cactus II Pipeline LLC (beginning November 2022) and Red River Pipeline LLC.</w:t>
      </w:r>
    </w:p>
    <w:p>
      <w:pPr>
        <w:spacing w:after="0" w:line="232"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00"/>
          </w:cols>
          <w:pgMar w:left="320" w:top="360" w:right="3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auto"/>
        </w:rPr>
        <w:t>Page 16</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DATA BY SEGMENT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Three Months Ended</w:t>
            </w:r>
          </w:p>
        </w:tc>
        <w:tc>
          <w:tcPr>
            <w:tcW w:w="2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Twelve Months Ended</w:t>
            </w:r>
          </w:p>
        </w:tc>
      </w:tr>
      <w:tr>
        <w:trPr>
          <w:trHeight w:val="187"/>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97"/>
              <w:spacing w:after="0"/>
              <w:rPr>
                <w:sz w:val="20"/>
                <w:szCs w:val="20"/>
                <w:color w:val="auto"/>
              </w:rPr>
            </w:pPr>
            <w:r>
              <w:rPr>
                <w:rFonts w:ascii="Arial" w:cs="Arial" w:eastAsia="Arial" w:hAnsi="Arial"/>
                <w:sz w:val="14"/>
                <w:szCs w:val="14"/>
                <w:b w:val="1"/>
                <w:bCs w:val="1"/>
                <w:color w:val="auto"/>
                <w:w w:val="87"/>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77"/>
              <w:spacing w:after="0"/>
              <w:rPr>
                <w:sz w:val="20"/>
                <w:szCs w:val="20"/>
                <w:color w:val="auto"/>
              </w:rPr>
            </w:pPr>
            <w:r>
              <w:rPr>
                <w:rFonts w:ascii="Arial" w:cs="Arial" w:eastAsia="Arial" w:hAnsi="Arial"/>
                <w:sz w:val="14"/>
                <w:szCs w:val="14"/>
                <w:b w:val="1"/>
                <w:bCs w:val="1"/>
                <w:color w:val="auto"/>
                <w:w w:val="90"/>
              </w:rPr>
              <w:t>December 31,</w:t>
            </w:r>
          </w:p>
        </w:tc>
        <w:tc>
          <w:tcPr>
            <w:tcW w:w="760" w:type="dxa"/>
            <w:vAlign w:val="bottom"/>
            <w:tcBorders>
              <w:bottom w:val="single" w:sz="8" w:color="auto"/>
            </w:tcBorders>
          </w:tcPr>
          <w:p>
            <w:pPr>
              <w:spacing w:after="0"/>
              <w:rPr>
                <w:sz w:val="16"/>
                <w:szCs w:val="16"/>
                <w:color w:val="auto"/>
              </w:rPr>
            </w:pPr>
          </w:p>
        </w:tc>
      </w:tr>
      <w:tr>
        <w:trPr>
          <w:trHeight w:val="187"/>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2021</w:t>
            </w:r>
          </w:p>
        </w:tc>
      </w:tr>
      <w:tr>
        <w:trPr>
          <w:trHeight w:val="207"/>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Crude Oil Segment Volumes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Crude oil pipeline tariff (by region) </w:t>
            </w:r>
            <w:r>
              <w:rPr>
                <w:rFonts w:ascii="Arial" w:cs="Arial" w:eastAsia="Arial" w:hAnsi="Arial"/>
                <w:sz w:val="22"/>
                <w:szCs w:val="22"/>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Arial" w:cs="Arial" w:eastAsia="Arial" w:hAnsi="Arial"/>
                <w:sz w:val="17"/>
                <w:szCs w:val="17"/>
                <w:color w:val="auto"/>
              </w:rPr>
              <w:t xml:space="preserve">Permian Basin </w:t>
            </w:r>
            <w:r>
              <w:rPr>
                <w:rFonts w:ascii="Arial" w:cs="Arial" w:eastAsia="Arial" w:hAnsi="Arial"/>
                <w:sz w:val="22"/>
                <w:szCs w:val="22"/>
                <w:color w:val="auto"/>
                <w:vertAlign w:val="superscript"/>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4,412</w:t>
            </w:r>
          </w:p>
        </w:tc>
      </w:tr>
      <w:tr>
        <w:trPr>
          <w:trHeight w:val="220"/>
        </w:trPr>
        <w:tc>
          <w:tcPr>
            <w:tcW w:w="6280" w:type="dxa"/>
            <w:vAlign w:val="bottom"/>
            <w:gridSpan w:val="2"/>
          </w:tcPr>
          <w:p>
            <w:pPr>
              <w:ind w:left="340"/>
              <w:spacing w:after="0" w:line="220" w:lineRule="exact"/>
              <w:rPr>
                <w:sz w:val="20"/>
                <w:szCs w:val="20"/>
                <w:color w:val="auto"/>
              </w:rPr>
            </w:pPr>
            <w:r>
              <w:rPr>
                <w:rFonts w:ascii="Arial" w:cs="Arial" w:eastAsia="Arial" w:hAnsi="Arial"/>
                <w:sz w:val="17"/>
                <w:szCs w:val="17"/>
                <w:color w:val="auto"/>
              </w:rPr>
              <w:t xml:space="preserve">South Texas / Eagle Ford </w:t>
            </w:r>
            <w:r>
              <w:rPr>
                <w:rFonts w:ascii="Arial" w:cs="Arial" w:eastAsia="Arial" w:hAnsi="Arial"/>
                <w:sz w:val="22"/>
                <w:szCs w:val="22"/>
                <w:color w:val="auto"/>
                <w:vertAlign w:val="superscript"/>
              </w:rPr>
              <w:t>(3)</w:t>
            </w:r>
          </w:p>
        </w:tc>
        <w:tc>
          <w:tcPr>
            <w:tcW w:w="116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326</w:t>
            </w: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Arial" w:cs="Arial" w:eastAsia="Arial" w:hAnsi="Arial"/>
                <w:sz w:val="17"/>
                <w:szCs w:val="17"/>
                <w:color w:val="auto"/>
              </w:rPr>
              <w:t xml:space="preserve">Mid-Continent </w:t>
            </w:r>
            <w:r>
              <w:rPr>
                <w:rFonts w:ascii="Arial" w:cs="Arial" w:eastAsia="Arial" w:hAnsi="Arial"/>
                <w:sz w:val="22"/>
                <w:szCs w:val="22"/>
                <w:color w:val="auto"/>
                <w:vertAlign w:val="superscript"/>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r>
      <w:tr>
        <w:trPr>
          <w:trHeight w:val="220"/>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Gulf Coast</w:t>
            </w:r>
          </w:p>
        </w:tc>
        <w:tc>
          <w:tcPr>
            <w:tcW w:w="1160" w:type="dxa"/>
            <w:vAlign w:val="bottom"/>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20"/>
        </w:trPr>
        <w:tc>
          <w:tcPr>
            <w:tcW w:w="6280" w:type="dxa"/>
            <w:vAlign w:val="bottom"/>
            <w:gridSpan w:val="2"/>
            <w:shd w:val="clear" w:color="auto" w:fill="CCEEFF"/>
          </w:tcPr>
          <w:p>
            <w:pPr>
              <w:ind w:left="340"/>
              <w:spacing w:after="0" w:line="220" w:lineRule="exact"/>
              <w:rPr>
                <w:sz w:val="20"/>
                <w:szCs w:val="20"/>
                <w:color w:val="auto"/>
              </w:rPr>
            </w:pPr>
            <w:r>
              <w:rPr>
                <w:rFonts w:ascii="Arial" w:cs="Arial" w:eastAsia="Arial" w:hAnsi="Arial"/>
                <w:sz w:val="17"/>
                <w:szCs w:val="17"/>
                <w:color w:val="auto"/>
              </w:rPr>
              <w:t xml:space="preserve">Rocky Mountain </w:t>
            </w:r>
            <w:r>
              <w:rPr>
                <w:rFonts w:ascii="Arial" w:cs="Arial" w:eastAsia="Arial" w:hAnsi="Arial"/>
                <w:sz w:val="22"/>
                <w:szCs w:val="22"/>
                <w:color w:val="auto"/>
                <w:vertAlign w:val="superscript"/>
              </w:rPr>
              <w:t>(3)</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w:t>
            </w:r>
          </w:p>
        </w:tc>
      </w:tr>
      <w:tr>
        <w:trPr>
          <w:trHeight w:val="220"/>
        </w:trPr>
        <w:tc>
          <w:tcPr>
            <w:tcW w:w="6280" w:type="dxa"/>
            <w:vAlign w:val="bottom"/>
            <w:gridSpan w:val="2"/>
          </w:tcPr>
          <w:p>
            <w:pPr>
              <w:ind w:left="340"/>
              <w:spacing w:after="0"/>
              <w:rPr>
                <w:sz w:val="20"/>
                <w:szCs w:val="20"/>
                <w:color w:val="auto"/>
              </w:rPr>
            </w:pPr>
            <w:r>
              <w:rPr>
                <w:rFonts w:ascii="Arial" w:cs="Arial" w:eastAsia="Arial" w:hAnsi="Arial"/>
                <w:sz w:val="17"/>
                <w:szCs w:val="17"/>
                <w:color w:val="auto"/>
              </w:rPr>
              <w:t>Western</w:t>
            </w:r>
          </w:p>
        </w:tc>
        <w:tc>
          <w:tcPr>
            <w:tcW w:w="116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236</w:t>
            </w:r>
          </w:p>
        </w:tc>
      </w:tr>
      <w:tr>
        <w:trPr>
          <w:trHeight w:val="220"/>
        </w:trPr>
        <w:tc>
          <w:tcPr>
            <w:tcW w:w="62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Canada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3"/>
        </w:trPr>
        <w:tc>
          <w:tcPr>
            <w:tcW w:w="6280" w:type="dxa"/>
            <w:vAlign w:val="bottom"/>
            <w:gridSpan w:val="2"/>
          </w:tcPr>
          <w:p>
            <w:pPr>
              <w:ind w:left="120"/>
              <w:spacing w:after="0" w:line="212" w:lineRule="exact"/>
              <w:rPr>
                <w:sz w:val="20"/>
                <w:szCs w:val="20"/>
                <w:color w:val="auto"/>
              </w:rPr>
            </w:pPr>
            <w:r>
              <w:rPr>
                <w:rFonts w:ascii="Arial" w:cs="Arial" w:eastAsia="Arial" w:hAnsi="Arial"/>
                <w:sz w:val="17"/>
                <w:szCs w:val="17"/>
                <w:color w:val="auto"/>
              </w:rPr>
              <w:t xml:space="preserve">Total crude oil pipeline tariff </w:t>
            </w:r>
            <w:r>
              <w:rPr>
                <w:rFonts w:ascii="Arial" w:cs="Arial" w:eastAsia="Arial" w:hAnsi="Arial"/>
                <w:sz w:val="22"/>
                <w:szCs w:val="22"/>
                <w:color w:val="auto"/>
                <w:vertAlign w:val="superscript"/>
              </w:rPr>
              <w:t>(1) (3)</w:t>
            </w:r>
          </w:p>
        </w:tc>
        <w:tc>
          <w:tcPr>
            <w:tcW w:w="1160" w:type="dxa"/>
            <w:vAlign w:val="bottom"/>
          </w:tcPr>
          <w:p>
            <w:pPr>
              <w:jc w:val="right"/>
              <w:spacing w:after="0"/>
              <w:rPr>
                <w:sz w:val="20"/>
                <w:szCs w:val="20"/>
                <w:color w:val="auto"/>
              </w:rPr>
            </w:pPr>
            <w:r>
              <w:rPr>
                <w:rFonts w:ascii="Arial" w:cs="Arial" w:eastAsia="Arial" w:hAnsi="Arial"/>
                <w:sz w:val="17"/>
                <w:szCs w:val="17"/>
                <w:color w:val="auto"/>
              </w:rPr>
              <w:t>8,094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7,202</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7,565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6,205</w:t>
            </w:r>
          </w:p>
        </w:tc>
      </w:tr>
      <w:tr>
        <w:trPr>
          <w:trHeight w:val="207"/>
        </w:trPr>
        <w:tc>
          <w:tcPr>
            <w:tcW w:w="38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Commercial crude oil storage capacity </w:t>
            </w:r>
            <w:r>
              <w:rPr>
                <w:rFonts w:ascii="Arial" w:cs="Arial" w:eastAsia="Arial" w:hAnsi="Arial"/>
                <w:sz w:val="22"/>
                <w:szCs w:val="22"/>
                <w:color w:val="auto"/>
                <w:vertAlign w:val="superscript"/>
              </w:rPr>
              <w:t>(2) (3)</w:t>
            </w:r>
          </w:p>
        </w:tc>
        <w:tc>
          <w:tcPr>
            <w:tcW w:w="11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58"/>
        </w:trPr>
        <w:tc>
          <w:tcPr>
            <w:tcW w:w="388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20"/>
        </w:trPr>
        <w:tc>
          <w:tcPr>
            <w:tcW w:w="6280" w:type="dxa"/>
            <w:vAlign w:val="bottom"/>
            <w:gridSpan w:val="2"/>
          </w:tcPr>
          <w:p>
            <w:pPr>
              <w:ind w:left="120"/>
              <w:spacing w:after="0" w:line="220" w:lineRule="exact"/>
              <w:rPr>
                <w:sz w:val="20"/>
                <w:szCs w:val="20"/>
                <w:color w:val="auto"/>
              </w:rPr>
            </w:pPr>
            <w:r>
              <w:rPr>
                <w:rFonts w:ascii="Arial" w:cs="Arial" w:eastAsia="Arial" w:hAnsi="Arial"/>
                <w:sz w:val="17"/>
                <w:szCs w:val="17"/>
                <w:color w:val="auto"/>
              </w:rPr>
              <w:t xml:space="preserve">Crude oil lease gathering purchases </w:t>
            </w:r>
            <w:r>
              <w:rPr>
                <w:rFonts w:ascii="Arial" w:cs="Arial" w:eastAsia="Arial" w:hAnsi="Arial"/>
                <w:sz w:val="22"/>
                <w:szCs w:val="22"/>
                <w:color w:val="auto"/>
                <w:vertAlign w:val="superscript"/>
              </w:rPr>
              <w:t>(1)</w:t>
            </w:r>
          </w:p>
        </w:tc>
        <w:tc>
          <w:tcPr>
            <w:tcW w:w="1160" w:type="dxa"/>
            <w:vAlign w:val="bottom"/>
          </w:tcPr>
          <w:p>
            <w:pPr>
              <w:jc w:val="right"/>
              <w:spacing w:after="0"/>
              <w:rPr>
                <w:sz w:val="20"/>
                <w:szCs w:val="20"/>
                <w:color w:val="auto"/>
              </w:rPr>
            </w:pPr>
            <w:r>
              <w:rPr>
                <w:rFonts w:ascii="Arial" w:cs="Arial" w:eastAsia="Arial" w:hAnsi="Arial"/>
                <w:sz w:val="17"/>
                <w:szCs w:val="17"/>
                <w:color w:val="auto"/>
              </w:rPr>
              <w:t>1,409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1,419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1,330</w:t>
            </w:r>
          </w:p>
        </w:tc>
      </w:tr>
      <w:tr>
        <w:trPr>
          <w:trHeight w:val="258"/>
        </w:trPr>
        <w:tc>
          <w:tcPr>
            <w:tcW w:w="388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r>
      <w:tr>
        <w:trPr>
          <w:trHeight w:val="220"/>
        </w:trPr>
        <w:tc>
          <w:tcPr>
            <w:tcW w:w="6280" w:type="dxa"/>
            <w:vAlign w:val="bottom"/>
            <w:gridSpan w:val="2"/>
          </w:tcPr>
          <w:p>
            <w:pPr>
              <w:ind w:left="20"/>
              <w:spacing w:after="0" w:line="220" w:lineRule="exact"/>
              <w:rPr>
                <w:sz w:val="20"/>
                <w:szCs w:val="20"/>
                <w:color w:val="auto"/>
              </w:rPr>
            </w:pPr>
            <w:r>
              <w:rPr>
                <w:rFonts w:ascii="Arial" w:cs="Arial" w:eastAsia="Arial" w:hAnsi="Arial"/>
                <w:sz w:val="17"/>
                <w:szCs w:val="17"/>
                <w:b w:val="1"/>
                <w:bCs w:val="1"/>
                <w:color w:val="auto"/>
              </w:rPr>
              <w:t xml:space="preserve">NGL Segment Volumes </w:t>
            </w:r>
            <w:r>
              <w:rPr>
                <w:rFonts w:ascii="Arial" w:cs="Arial" w:eastAsia="Arial" w:hAnsi="Arial"/>
                <w:sz w:val="22"/>
                <w:szCs w:val="22"/>
                <w:b w:val="1"/>
                <w:bCs w:val="1"/>
                <w:color w:val="auto"/>
                <w:vertAlign w:val="superscript"/>
              </w:rPr>
              <w:t>(1)</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0"/>
        </w:trPr>
        <w:tc>
          <w:tcPr>
            <w:tcW w:w="6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NGL fractionation</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220"/>
        </w:trPr>
        <w:tc>
          <w:tcPr>
            <w:tcW w:w="6280" w:type="dxa"/>
            <w:vAlign w:val="bottom"/>
            <w:gridSpan w:val="2"/>
          </w:tcPr>
          <w:p>
            <w:pPr>
              <w:ind w:left="80"/>
              <w:spacing w:after="0"/>
              <w:rPr>
                <w:sz w:val="20"/>
                <w:szCs w:val="20"/>
                <w:color w:val="auto"/>
              </w:rPr>
            </w:pPr>
            <w:r>
              <w:rPr>
                <w:rFonts w:ascii="Arial" w:cs="Arial" w:eastAsia="Arial" w:hAnsi="Arial"/>
                <w:sz w:val="17"/>
                <w:szCs w:val="17"/>
                <w:color w:val="auto"/>
              </w:rPr>
              <w:t>NGL pipeline tariff</w:t>
            </w:r>
          </w:p>
        </w:tc>
        <w:tc>
          <w:tcPr>
            <w:tcW w:w="1160" w:type="dxa"/>
            <w:vAlign w:val="bottom"/>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179</w:t>
            </w:r>
          </w:p>
        </w:tc>
      </w:tr>
      <w:tr>
        <w:trPr>
          <w:trHeight w:val="220"/>
        </w:trPr>
        <w:tc>
          <w:tcPr>
            <w:tcW w:w="6280" w:type="dxa"/>
            <w:vAlign w:val="bottom"/>
            <w:gridSpan w:val="2"/>
            <w:shd w:val="clear" w:color="auto" w:fill="CCEEFF"/>
          </w:tcPr>
          <w:p>
            <w:pPr>
              <w:ind w:left="80"/>
              <w:spacing w:after="0" w:line="220" w:lineRule="exact"/>
              <w:rPr>
                <w:sz w:val="20"/>
                <w:szCs w:val="20"/>
                <w:color w:val="auto"/>
              </w:rPr>
            </w:pPr>
            <w:r>
              <w:rPr>
                <w:rFonts w:ascii="Arial" w:cs="Arial" w:eastAsia="Arial" w:hAnsi="Arial"/>
                <w:sz w:val="17"/>
                <w:szCs w:val="17"/>
                <w:color w:val="auto"/>
              </w:rPr>
              <w:t xml:space="preserve">Propane and butane sales </w:t>
            </w:r>
            <w:r>
              <w:rPr>
                <w:rFonts w:ascii="Arial" w:cs="Arial" w:eastAsia="Arial" w:hAnsi="Arial"/>
                <w:sz w:val="22"/>
                <w:szCs w:val="22"/>
                <w:color w:val="auto"/>
                <w:vertAlign w:val="superscript"/>
              </w:rPr>
              <w:t>(4)</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155"/>
        </w:trPr>
        <w:tc>
          <w:tcPr>
            <w:tcW w:w="3880" w:type="dxa"/>
            <w:vAlign w:val="bottom"/>
            <w:tcBorders>
              <w:bottom w:val="single" w:sz="8" w:color="auto"/>
            </w:tcBorders>
          </w:tcPr>
          <w:p>
            <w:pPr>
              <w:spacing w:after="0"/>
              <w:rPr>
                <w:sz w:val="13"/>
                <w:szCs w:val="13"/>
                <w:color w:val="auto"/>
              </w:rPr>
            </w:pPr>
          </w:p>
        </w:tc>
        <w:tc>
          <w:tcPr>
            <w:tcW w:w="2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130" w:lineRule="exact"/>
        <w:rPr>
          <w:sz w:val="20"/>
          <w:szCs w:val="20"/>
          <w:color w:val="auto"/>
        </w:rPr>
      </w:pPr>
    </w:p>
    <w:p>
      <w:pPr>
        <w:ind w:left="320" w:right="100" w:hanging="317"/>
        <w:spacing w:after="0" w:line="235" w:lineRule="auto"/>
        <w:tabs>
          <w:tab w:leader="none" w:pos="30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Average daily volumes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sectPr>
          <w:pgSz w:w="11900" w:h="16838" w:orient="portrait"/>
          <w:cols w:equalWidth="0" w:num="1">
            <w:col w:w="11240"/>
          </w:cols>
          <w:pgMar w:left="320" w:top="360" w:right="339" w:bottom="1440" w:gutter="0" w:footer="0" w:header="0"/>
        </w:sectPr>
      </w:pPr>
    </w:p>
    <w:p>
      <w:pPr>
        <w:spacing w:after="0" w:line="35"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Average monthly capacity calculated as total volumes for the period divided by the number of months in the period.</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Includes volumes (attributable to our interest) from assets owned by unconsolidated entities.</w:t>
      </w:r>
    </w:p>
    <w:p>
      <w:pPr>
        <w:spacing w:after="0" w:line="63" w:lineRule="exact"/>
        <w:rPr>
          <w:sz w:val="20"/>
          <w:szCs w:val="20"/>
          <w:color w:val="auto"/>
        </w:rPr>
      </w:pPr>
    </w:p>
    <w:p>
      <w:pPr>
        <w:sectPr>
          <w:pgSz w:w="11900" w:h="16838" w:orient="portrait"/>
          <w:cols w:equalWidth="0" w:num="2">
            <w:col w:w="140" w:space="160"/>
            <w:col w:w="10940"/>
          </w:cols>
          <w:pgMar w:left="320" w:top="360" w:right="339" w:bottom="1440" w:gutter="0" w:footer="0" w:header="0"/>
          <w:type w:val="continuous"/>
        </w:sectPr>
      </w:pPr>
    </w:p>
    <w:p>
      <w:pPr>
        <w:ind w:left="320" w:right="200" w:hanging="317"/>
        <w:spacing w:after="0"/>
        <w:tabs>
          <w:tab w:leader="none" w:pos="30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During the fourth quarter of 2022, we modified our sales volumes reported to include only propane and butane sales. Prior to the fourth quarter of 2022, our reported sales volumes included other NGL products, primarily ethane, that represented a significant portion of our total NGL sales volumes but did not contribute significantly to Segment Adjusted EBITDA. Sales volumes for earlier periods presented herein have been recast to include only propane and butane.</w:t>
      </w:r>
    </w:p>
    <w:p>
      <w:pPr>
        <w:spacing w:after="0" w:line="233" w:lineRule="exact"/>
        <w:rPr>
          <w:rFonts w:ascii="Arial" w:cs="Arial" w:eastAsia="Arial" w:hAnsi="Arial"/>
          <w:sz w:val="22"/>
          <w:szCs w:val="22"/>
          <w:color w:val="auto"/>
          <w:vertAlign w:val="superscript"/>
        </w:rPr>
      </w:pPr>
    </w:p>
    <w:p>
      <w:pPr>
        <w:ind w:left="5440" w:hanging="93"/>
        <w:spacing w:after="0"/>
        <w:tabs>
          <w:tab w:leader="none" w:pos="5440" w:val="left"/>
        </w:tabs>
        <w:numPr>
          <w:ilvl w:val="1"/>
          <w:numId w:val="21"/>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Page 17</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ALL AMERICAN PIPELINE, L.P.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NON-GAAP SEGMENT RECONCILIATIONS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Adjusted EBITDA to Adjusted EBITDA attributable to PAA Reconciliation: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2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Twelve Months Ended</w:t>
            </w:r>
          </w:p>
        </w:tc>
      </w:tr>
      <w:tr>
        <w:trPr>
          <w:trHeight w:val="185"/>
        </w:trPr>
        <w:tc>
          <w:tcPr>
            <w:tcW w:w="38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338"/>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185"/>
        </w:trPr>
        <w:tc>
          <w:tcPr>
            <w:tcW w:w="388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96"/>
              </w:rPr>
              <w:t>2021</w:t>
            </w:r>
          </w:p>
        </w:tc>
      </w:tr>
      <w:tr>
        <w:trPr>
          <w:trHeight w:val="22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Crude Oil Segment Adjusted EBITDA</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w:t>
            </w:r>
          </w:p>
        </w:tc>
      </w:tr>
      <w:tr>
        <w:trPr>
          <w:trHeight w:val="220"/>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NGL Segment Adjusted EBITDA</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r>
      <w:tr>
        <w:trPr>
          <w:trHeight w:val="213"/>
        </w:trPr>
        <w:tc>
          <w:tcPr>
            <w:tcW w:w="6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Segment Adjusted EBITDA</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w:t>
            </w:r>
          </w:p>
        </w:tc>
      </w:tr>
      <w:tr>
        <w:trPr>
          <w:trHeight w:val="220"/>
        </w:trPr>
        <w:tc>
          <w:tcPr>
            <w:tcW w:w="6180" w:type="dxa"/>
            <w:vAlign w:val="bottom"/>
            <w:gridSpan w:val="2"/>
          </w:tcPr>
          <w:p>
            <w:pPr>
              <w:ind w:left="20"/>
              <w:spacing w:after="0" w:line="220" w:lineRule="exact"/>
              <w:rPr>
                <w:sz w:val="20"/>
                <w:szCs w:val="20"/>
                <w:color w:val="auto"/>
              </w:rPr>
            </w:pPr>
            <w:r>
              <w:rPr>
                <w:rFonts w:ascii="Arial" w:cs="Arial" w:eastAsia="Arial" w:hAnsi="Arial"/>
                <w:sz w:val="17"/>
                <w:szCs w:val="17"/>
                <w:color w:val="auto"/>
              </w:rPr>
              <w:t xml:space="preserve">Adjusted other income/(expense), net </w:t>
            </w:r>
            <w:r>
              <w:rPr>
                <w:rFonts w:ascii="Arial" w:cs="Arial" w:eastAsia="Arial" w:hAnsi="Arial"/>
                <w:sz w:val="22"/>
                <w:szCs w:val="22"/>
                <w:color w:val="auto"/>
                <w:vertAlign w:val="superscript"/>
              </w:rPr>
              <w:t>(1)</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8"/>
        </w:trPr>
        <w:tc>
          <w:tcPr>
            <w:tcW w:w="6180" w:type="dxa"/>
            <w:vAlign w:val="bottom"/>
            <w:tcBorders>
              <w:top w:val="single" w:sz="8" w:color="CCEEFF"/>
              <w:bottom w:val="single" w:sz="8" w:color="CCEEFF"/>
            </w:tcBorders>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Adjusted EBITDA attributable to PAA </w:t>
            </w:r>
            <w:r>
              <w:rPr>
                <w:rFonts w:ascii="Arial" w:cs="Arial" w:eastAsia="Arial" w:hAnsi="Arial"/>
                <w:sz w:val="22"/>
                <w:szCs w:val="22"/>
                <w:color w:val="auto"/>
                <w:vertAlign w:val="superscript"/>
              </w:rPr>
              <w:t>(2)</w:t>
            </w:r>
          </w:p>
        </w:tc>
        <w:tc>
          <w:tcPr>
            <w:tcW w:w="760" w:type="dxa"/>
            <w:vAlign w:val="bottom"/>
            <w:tcBorders>
              <w:top w:val="single" w:sz="8" w:color="auto"/>
              <w:bottom w:val="single" w:sz="8" w:color="auto"/>
            </w:tcBorders>
            <w:shd w:val="clear" w:color="auto" w:fill="CCEEFF"/>
          </w:tcPr>
          <w:p>
            <w:pPr>
              <w:jc w:val="right"/>
              <w:ind w:right="581"/>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8"/>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3880" w:type="dxa"/>
            <w:vAlign w:val="bottom"/>
            <w:tcBorders>
              <w:bottom w:val="single" w:sz="8" w:color="auto"/>
            </w:tcBorders>
          </w:tcPr>
          <w:p>
            <w:pPr>
              <w:spacing w:after="0"/>
              <w:rPr>
                <w:sz w:val="16"/>
                <w:szCs w:val="16"/>
                <w:color w:val="auto"/>
              </w:rPr>
            </w:pPr>
          </w:p>
        </w:tc>
        <w:tc>
          <w:tcPr>
            <w:tcW w:w="2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117" w:lineRule="exact"/>
        <w:rPr>
          <w:sz w:val="20"/>
          <w:szCs w:val="20"/>
          <w:color w:val="auto"/>
        </w:rPr>
      </w:pPr>
    </w:p>
    <w:p>
      <w:pPr>
        <w:ind w:left="320" w:right="120" w:hanging="317"/>
        <w:spacing w:after="0" w:line="243" w:lineRule="auto"/>
        <w:tabs>
          <w:tab w:leader="none" w:pos="30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Represents “Other income/(expense), net” as reported on our Condensed Consolidated Statements of Operations, excluding other income/(expense), net attributable to noncontrolling interests, adjusted for selected items impacting comparability of $(14) million, $(6) million, $226 million and $(17) million for the three and twelve months ended December 31, 2022 and 2021, respectively. See the “Selected Items Impacting Comparability” table for additional information. Other income/(expense), net attributable to noncontrolling interests was $1 million for the twelve months ended December 31, 2022 and less than $1 million for each of the other periods presented.</w:t>
      </w:r>
    </w:p>
    <w:p>
      <w:pPr>
        <w:spacing w:after="0" w:line="4"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See the “Net Income to Adjusted EBITDA attributable to PAA and Implied DCF Reconciliation” table for reconciliation to Net Income.</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Segment Adjusted EBITDA to Segment Adjusted EBITDA further adjusted for impact of divested assets: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3"/>
          </w:tcPr>
          <w:p>
            <w:pPr>
              <w:jc w:val="right"/>
              <w:ind w:right="303"/>
              <w:spacing w:after="0"/>
              <w:rPr>
                <w:sz w:val="20"/>
                <w:szCs w:val="20"/>
                <w:color w:val="auto"/>
              </w:rPr>
            </w:pPr>
            <w:r>
              <w:rPr>
                <w:rFonts w:ascii="Arial" w:cs="Arial" w:eastAsia="Arial" w:hAnsi="Arial"/>
                <w:sz w:val="14"/>
                <w:szCs w:val="14"/>
                <w:b w:val="1"/>
                <w:bCs w:val="1"/>
                <w:color w:val="auto"/>
              </w:rPr>
              <w:t>Twelve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4"/>
          </w:tcPr>
          <w:p>
            <w:pPr>
              <w:jc w:val="right"/>
              <w:ind w:right="741"/>
              <w:spacing w:after="0"/>
              <w:rPr>
                <w:sz w:val="20"/>
                <w:szCs w:val="20"/>
                <w:color w:val="auto"/>
              </w:rPr>
            </w:pPr>
            <w:r>
              <w:rPr>
                <w:rFonts w:ascii="Arial" w:cs="Arial" w:eastAsia="Arial" w:hAnsi="Arial"/>
                <w:sz w:val="14"/>
                <w:szCs w:val="14"/>
                <w:b w:val="1"/>
                <w:bCs w:val="1"/>
                <w:color w:val="auto"/>
              </w:rPr>
              <w:t>Twelve Months Ended</w:t>
            </w:r>
          </w:p>
        </w:tc>
      </w:tr>
      <w:tr>
        <w:trPr>
          <w:trHeight w:val="185"/>
        </w:trPr>
        <w:tc>
          <w:tcPr>
            <w:tcW w:w="3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4"/>
                <w:szCs w:val="14"/>
                <w:b w:val="1"/>
                <w:bCs w:val="1"/>
                <w:color w:val="auto"/>
              </w:rPr>
              <w:t>December 31, 2022</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00" w:type="dxa"/>
            <w:vAlign w:val="bottom"/>
            <w:tcBorders>
              <w:bottom w:val="single" w:sz="8" w:color="auto"/>
            </w:tcBorders>
          </w:tcPr>
          <w:p>
            <w:pPr>
              <w:spacing w:after="0"/>
              <w:rPr>
                <w:sz w:val="16"/>
                <w:szCs w:val="16"/>
                <w:color w:val="auto"/>
              </w:rPr>
            </w:pPr>
          </w:p>
        </w:tc>
      </w:tr>
      <w:tr>
        <w:trPr>
          <w:trHeight w:val="185"/>
        </w:trPr>
        <w:tc>
          <w:tcPr>
            <w:tcW w:w="3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980" w:type="dxa"/>
            <w:vAlign w:val="bottom"/>
          </w:tcPr>
          <w:p>
            <w:pPr>
              <w:jc w:val="right"/>
              <w:ind w:right="43"/>
              <w:spacing w:after="0"/>
              <w:rPr>
                <w:sz w:val="20"/>
                <w:szCs w:val="20"/>
                <w:color w:val="auto"/>
              </w:rPr>
            </w:pPr>
            <w:r>
              <w:rPr>
                <w:rFonts w:ascii="Arial" w:cs="Arial" w:eastAsia="Arial" w:hAnsi="Arial"/>
                <w:sz w:val="14"/>
                <w:szCs w:val="14"/>
                <w:b w:val="1"/>
                <w:bCs w:val="1"/>
                <w:color w:val="auto"/>
              </w:rPr>
              <w:t>NGL</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Crude Oil</w:t>
            </w:r>
          </w:p>
        </w:tc>
        <w:tc>
          <w:tcPr>
            <w:tcW w:w="520" w:type="dxa"/>
            <w:vAlign w:val="bottom"/>
          </w:tcPr>
          <w:p>
            <w:pPr>
              <w:spacing w:after="0"/>
              <w:rPr>
                <w:sz w:val="16"/>
                <w:szCs w:val="16"/>
                <w:color w:val="auto"/>
              </w:rPr>
            </w:pPr>
          </w:p>
        </w:tc>
        <w:tc>
          <w:tcPr>
            <w:tcW w:w="900" w:type="dxa"/>
            <w:vAlign w:val="bottom"/>
          </w:tcPr>
          <w:p>
            <w:pPr>
              <w:jc w:val="right"/>
              <w:ind w:right="481"/>
              <w:spacing w:after="0"/>
              <w:rPr>
                <w:sz w:val="20"/>
                <w:szCs w:val="20"/>
                <w:color w:val="auto"/>
              </w:rPr>
            </w:pPr>
            <w:r>
              <w:rPr>
                <w:rFonts w:ascii="Arial" w:cs="Arial" w:eastAsia="Arial" w:hAnsi="Arial"/>
                <w:sz w:val="14"/>
                <w:szCs w:val="14"/>
                <w:b w:val="1"/>
                <w:bCs w:val="1"/>
                <w:color w:val="auto"/>
              </w:rPr>
              <w:t>NGL</w:t>
            </w:r>
          </w:p>
        </w:tc>
      </w:tr>
      <w:tr>
        <w:trPr>
          <w:trHeight w:val="220"/>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Segment Adjusted EBITDA</w:t>
            </w: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20"/>
        </w:trPr>
        <w:tc>
          <w:tcPr>
            <w:tcW w:w="5120" w:type="dxa"/>
            <w:vAlign w:val="bottom"/>
            <w:gridSpan w:val="2"/>
          </w:tcPr>
          <w:p>
            <w:pPr>
              <w:ind w:left="20"/>
              <w:spacing w:after="0" w:line="220" w:lineRule="exact"/>
              <w:rPr>
                <w:sz w:val="20"/>
                <w:szCs w:val="20"/>
                <w:color w:val="auto"/>
              </w:rPr>
            </w:pPr>
            <w:r>
              <w:rPr>
                <w:rFonts w:ascii="Arial" w:cs="Arial" w:eastAsia="Arial" w:hAnsi="Arial"/>
                <w:sz w:val="16"/>
                <w:szCs w:val="16"/>
                <w:color w:val="auto"/>
              </w:rPr>
              <w:t xml:space="preserve">Impact of divested assets </w:t>
            </w:r>
            <w:r>
              <w:rPr>
                <w:rFonts w:ascii="Arial" w:cs="Arial" w:eastAsia="Arial" w:hAnsi="Arial"/>
                <w:sz w:val="21"/>
                <w:szCs w:val="21"/>
                <w:color w:val="auto"/>
                <w:vertAlign w:val="superscript"/>
              </w:rPr>
              <w:t>(1)</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1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w w:val="98"/>
              </w:rPr>
              <w:t>Segment Adjusted EBITDA further adjusted for impact of divested assets</w:t>
            </w: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3880" w:type="dxa"/>
            <w:vAlign w:val="bottom"/>
            <w:tcBorders>
              <w:bottom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65" w:lineRule="exact"/>
        <w:rPr>
          <w:sz w:val="20"/>
          <w:szCs w:val="20"/>
          <w:color w:val="auto"/>
        </w:rPr>
      </w:pPr>
    </w:p>
    <w:p>
      <w:pPr>
        <w:jc w:val="both"/>
        <w:ind w:firstLine="3"/>
        <w:spacing w:after="0" w:line="244" w:lineRule="auto"/>
        <w:tabs>
          <w:tab w:leader="none" w:pos="173" w:val="left"/>
        </w:tabs>
        <w:numPr>
          <w:ilvl w:val="0"/>
          <w:numId w:val="23"/>
        </w:numPr>
        <w:rPr>
          <w:rFonts w:ascii="Arial" w:cs="Arial" w:eastAsia="Arial" w:hAnsi="Arial"/>
          <w:sz w:val="20"/>
          <w:szCs w:val="20"/>
          <w:color w:val="auto"/>
          <w:vertAlign w:val="superscript"/>
        </w:rPr>
      </w:pPr>
      <w:r>
        <w:rPr>
          <w:rFonts w:ascii="Arial" w:cs="Arial" w:eastAsia="Arial" w:hAnsi="Arial"/>
          <w:sz w:val="16"/>
          <w:szCs w:val="16"/>
          <w:color w:val="auto"/>
        </w:rPr>
        <w:t>Estimated impact of divestitures completed during 2021 and 2022, assuming an effective date of January 1, 2021. Divested assets primarily included natural gas storage facilities that were previously reported in our Crude Oil segment. Note: The natural gas storage business captured one-time benefits from Winter Storm Uri in the first quarter of 2021.</w:t>
      </w:r>
    </w:p>
    <w:p>
      <w:pPr>
        <w:ind w:left="5440" w:hanging="93"/>
        <w:spacing w:after="0"/>
        <w:tabs>
          <w:tab w:leader="none" w:pos="5440" w:val="left"/>
        </w:tabs>
        <w:numPr>
          <w:ilvl w:val="1"/>
          <w:numId w:val="23"/>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auto"/>
        </w:rPr>
        <w:t>Page 18</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December 31, 2022</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December 31,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PAA</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12,952</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12,989</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11,995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11,995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11,760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11,760</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14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12,991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12,391</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INCOME/(LOSS)</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w w:val="99"/>
              </w:rPr>
              <w:t>Equity earnings in unconsolidated entities</w:t>
            </w:r>
          </w:p>
        </w:tc>
        <w:tc>
          <w:tcPr>
            <w:tcW w:w="2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Gain/(loss) on investments in</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unconsolidated entities, net</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(expense)/benefit</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168"/>
        </w:trPr>
        <w:tc>
          <w:tcPr>
            <w:tcW w:w="3140" w:type="dxa"/>
            <w:vAlign w:val="bottom"/>
          </w:tcPr>
          <w:p>
            <w:pPr>
              <w:ind w:left="180"/>
              <w:spacing w:after="0" w:line="168" w:lineRule="exact"/>
              <w:rPr>
                <w:sz w:val="20"/>
                <w:szCs w:val="20"/>
                <w:color w:val="auto"/>
              </w:rPr>
            </w:pPr>
            <w:r>
              <w:rPr>
                <w:rFonts w:ascii="Arial" w:cs="Arial" w:eastAsia="Arial" w:hAnsi="Arial"/>
                <w:sz w:val="17"/>
                <w:szCs w:val="17"/>
                <w:color w:val="auto"/>
                <w:w w:val="96"/>
              </w:rPr>
              <w:t>Net income attributable to noncontrolling</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1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interests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1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NET INCOME ATTRIBUTABLE TO</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263</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27"/>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PAGP</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8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w w:val="90"/>
              </w:rPr>
              <w:t>Basic and diluted weighted average Class A shares outstanding</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60"/>
        </w:trPr>
        <w:tc>
          <w:tcPr>
            <w:tcW w:w="3420" w:type="dxa"/>
            <w:vAlign w:val="bottom"/>
            <w:gridSpan w:val="2"/>
          </w:tcPr>
          <w:p>
            <w:pPr>
              <w:ind w:left="20"/>
              <w:spacing w:after="0"/>
              <w:rPr>
                <w:sz w:val="20"/>
                <w:szCs w:val="20"/>
                <w:color w:val="auto"/>
              </w:rPr>
            </w:pPr>
            <w:r>
              <w:rPr>
                <w:rFonts w:ascii="Arial" w:cs="Arial" w:eastAsia="Arial" w:hAnsi="Arial"/>
                <w:sz w:val="17"/>
                <w:szCs w:val="17"/>
                <w:color w:val="auto"/>
                <w:w w:val="94"/>
              </w:rPr>
              <w:t>Basic and diluted net income per Class A share</w:t>
            </w: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0.23</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0.43</w:t>
            </w:r>
          </w:p>
        </w:tc>
        <w:tc>
          <w:tcPr>
            <w:tcW w:w="0" w:type="dxa"/>
            <w:vAlign w:val="bottom"/>
          </w:tcPr>
          <w:p>
            <w:pPr>
              <w:spacing w:after="0"/>
              <w:rPr>
                <w:sz w:val="1"/>
                <w:szCs w:val="1"/>
                <w:color w:val="auto"/>
              </w:rPr>
            </w:pPr>
          </w:p>
        </w:tc>
      </w:tr>
      <w:tr>
        <w:trPr>
          <w:trHeight w:val="121"/>
        </w:trPr>
        <w:tc>
          <w:tcPr>
            <w:tcW w:w="3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00" w:hanging="297"/>
        <w:spacing w:after="0"/>
        <w:tabs>
          <w:tab w:leader="none" w:pos="300" w:val="left"/>
        </w:tabs>
        <w:numPr>
          <w:ilvl w:val="0"/>
          <w:numId w:val="24"/>
        </w:numPr>
        <w:rPr>
          <w:rFonts w:ascii="Arial" w:cs="Arial" w:eastAsia="Arial" w:hAnsi="Arial"/>
          <w:sz w:val="21"/>
          <w:szCs w:val="21"/>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ind w:left="5440" w:hanging="93"/>
        <w:spacing w:after="0"/>
        <w:tabs>
          <w:tab w:leader="none" w:pos="5440" w:val="left"/>
        </w:tabs>
        <w:numPr>
          <w:ilvl w:val="1"/>
          <w:numId w:val="24"/>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Page 19</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STATEMENTS OF OPERATIONS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Twelve Months Ended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Twelve Months Ended</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December 31, 2022</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December 31, 2021</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Consolidating</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PAA</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PAGP</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PAA</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7"/>
              </w:rPr>
              <w:t xml:space="preserve">Adjustments </w:t>
            </w:r>
            <w:r>
              <w:rPr>
                <w:rFonts w:ascii="Arial" w:cs="Arial" w:eastAsia="Arial" w:hAnsi="Arial"/>
                <w:sz w:val="17"/>
                <w:szCs w:val="17"/>
                <w:b w:val="1"/>
                <w:bCs w:val="1"/>
                <w:color w:val="auto"/>
                <w:w w:val="87"/>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57,342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57,342</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42,078</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Purchases and related costs</w:t>
            </w:r>
          </w:p>
        </w:tc>
        <w:tc>
          <w:tcPr>
            <w:tcW w:w="2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53,176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53,176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38,504</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Field operating costs</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2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168"/>
        </w:trPr>
        <w:tc>
          <w:tcPr>
            <w:tcW w:w="3140" w:type="dxa"/>
            <w:vAlign w:val="bottom"/>
          </w:tcPr>
          <w:p>
            <w:pPr>
              <w:ind w:left="20"/>
              <w:spacing w:after="0" w:line="168" w:lineRule="exact"/>
              <w:rPr>
                <w:sz w:val="20"/>
                <w:szCs w:val="20"/>
                <w:color w:val="auto"/>
              </w:rPr>
            </w:pPr>
            <w:r>
              <w:rPr>
                <w:rFonts w:ascii="Arial" w:cs="Arial" w:eastAsia="Arial" w:hAnsi="Arial"/>
                <w:sz w:val="17"/>
                <w:szCs w:val="17"/>
                <w:color w:val="auto"/>
              </w:rPr>
              <w:t>(Gains)/losses on asset sales and asset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140" w:type="dxa"/>
            <w:vAlign w:val="bottom"/>
          </w:tcPr>
          <w:p>
            <w:pPr>
              <w:ind w:left="180"/>
              <w:spacing w:after="0"/>
              <w:rPr>
                <w:sz w:val="20"/>
                <w:szCs w:val="20"/>
                <w:color w:val="auto"/>
              </w:rPr>
            </w:pPr>
            <w:r>
              <w:rPr>
                <w:rFonts w:ascii="Arial" w:cs="Arial" w:eastAsia="Arial" w:hAnsi="Arial"/>
                <w:sz w:val="17"/>
                <w:szCs w:val="17"/>
                <w:color w:val="auto"/>
              </w:rPr>
              <w:t>impairments, net</w:t>
            </w:r>
          </w:p>
        </w:tc>
        <w:tc>
          <w:tcPr>
            <w:tcW w:w="2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592</w:t>
            </w: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56,050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56,058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41,236</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INCOME/(EXPENSE)</w:t>
            </w: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w w:val="99"/>
              </w:rPr>
              <w:t>Equity earnings in unconsolidated entities</w:t>
            </w:r>
          </w:p>
        </w:tc>
        <w:tc>
          <w:tcPr>
            <w:tcW w:w="2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403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168"/>
        </w:trPr>
        <w:tc>
          <w:tcPr>
            <w:tcW w:w="31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Gain/(loss) on investments in</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unconsolidated entities, net</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Interest expense, net</w:t>
            </w:r>
          </w:p>
        </w:tc>
        <w:tc>
          <w:tcPr>
            <w:tcW w:w="2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(405)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income/(expense), net</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TAX</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Current income tax expense</w:t>
            </w:r>
          </w:p>
        </w:tc>
        <w:tc>
          <w:tcPr>
            <w:tcW w:w="2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22"/>
        </w:trPr>
        <w:tc>
          <w:tcPr>
            <w:tcW w:w="3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168"/>
        </w:trPr>
        <w:tc>
          <w:tcPr>
            <w:tcW w:w="3140" w:type="dxa"/>
            <w:vAlign w:val="bottom"/>
          </w:tcPr>
          <w:p>
            <w:pPr>
              <w:ind w:left="180"/>
              <w:spacing w:after="0" w:line="168" w:lineRule="exact"/>
              <w:rPr>
                <w:sz w:val="20"/>
                <w:szCs w:val="20"/>
                <w:color w:val="auto"/>
              </w:rPr>
            </w:pPr>
            <w:r>
              <w:rPr>
                <w:rFonts w:ascii="Arial" w:cs="Arial" w:eastAsia="Arial" w:hAnsi="Arial"/>
                <w:sz w:val="17"/>
                <w:szCs w:val="17"/>
                <w:color w:val="auto"/>
                <w:w w:val="96"/>
              </w:rPr>
              <w:t>Net income attributable to noncontrolling</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1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interests</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(191)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(995)</w:t>
            </w:r>
          </w:p>
        </w:tc>
        <w:tc>
          <w:tcPr>
            <w:tcW w:w="120" w:type="dxa"/>
            <w:vAlign w:val="bottom"/>
            <w:tcBorders>
              <w:bottom w:val="single" w:sz="8" w:color="CCEEFF"/>
              <w:right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w:t>
            </w:r>
          </w:p>
        </w:tc>
        <w:tc>
          <w:tcPr>
            <w:tcW w:w="0" w:type="dxa"/>
            <w:vAlign w:val="bottom"/>
          </w:tcPr>
          <w:p>
            <w:pPr>
              <w:spacing w:after="0"/>
              <w:rPr>
                <w:sz w:val="1"/>
                <w:szCs w:val="1"/>
                <w:color w:val="auto"/>
              </w:rPr>
            </w:pPr>
          </w:p>
        </w:tc>
      </w:tr>
      <w:tr>
        <w:trPr>
          <w:trHeight w:val="148"/>
        </w:trPr>
        <w:tc>
          <w:tcPr>
            <w:tcW w:w="31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NET INCOME ATTRIBUTABLE TO</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1,037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(869)</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vMerge w:val="restart"/>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7"/>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PAGP</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8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w w:val="90"/>
              </w:rPr>
              <w:t>Basic and diluted weighted average Class A shares outstanding</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60"/>
        </w:trPr>
        <w:tc>
          <w:tcPr>
            <w:tcW w:w="3420" w:type="dxa"/>
            <w:vAlign w:val="bottom"/>
            <w:gridSpan w:val="2"/>
          </w:tcPr>
          <w:p>
            <w:pPr>
              <w:ind w:left="20"/>
              <w:spacing w:after="0"/>
              <w:rPr>
                <w:sz w:val="20"/>
                <w:szCs w:val="20"/>
                <w:color w:val="auto"/>
              </w:rPr>
            </w:pPr>
            <w:r>
              <w:rPr>
                <w:rFonts w:ascii="Arial" w:cs="Arial" w:eastAsia="Arial" w:hAnsi="Arial"/>
                <w:sz w:val="17"/>
                <w:szCs w:val="17"/>
                <w:color w:val="auto"/>
                <w:w w:val="94"/>
              </w:rPr>
              <w:t>Basic and diluted net income per Class A share</w:t>
            </w: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121"/>
        </w:trPr>
        <w:tc>
          <w:tcPr>
            <w:tcW w:w="3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00" w:hanging="297"/>
        <w:spacing w:after="0"/>
        <w:tabs>
          <w:tab w:leader="none" w:pos="300"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ind w:left="5440" w:hanging="93"/>
        <w:spacing w:after="0"/>
        <w:tabs>
          <w:tab w:leader="none" w:pos="54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3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160"/>
          </w:cols>
          <w:pgMar w:left="320" w:top="360" w:right="41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auto"/>
        </w:rPr>
        <w:t>Page 20</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CONDENSED CONSOLIDATING BALANCE SHEET DATA</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December 31, 2022</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 2021</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5"/>
        </w:trPr>
        <w:tc>
          <w:tcPr>
            <w:tcW w:w="3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2"/>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Consolidating</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Consolidating</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09"/>
        </w:trPr>
        <w:tc>
          <w:tcPr>
            <w:tcW w:w="3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40" w:type="dxa"/>
            <w:vAlign w:val="bottom"/>
          </w:tcPr>
          <w:p>
            <w:pPr>
              <w:spacing w:after="0"/>
              <w:rPr>
                <w:sz w:val="18"/>
                <w:szCs w:val="18"/>
                <w:color w:val="auto"/>
              </w:rPr>
            </w:pPr>
          </w:p>
        </w:tc>
        <w:tc>
          <w:tcPr>
            <w:tcW w:w="1120" w:type="dxa"/>
            <w:vAlign w:val="bottom"/>
            <w:gridSpan w:val="3"/>
          </w:tcPr>
          <w:p>
            <w:pPr>
              <w:ind w:left="140"/>
              <w:spacing w:after="0"/>
              <w:rPr>
                <w:sz w:val="20"/>
                <w:szCs w:val="20"/>
                <w:color w:val="auto"/>
              </w:rPr>
            </w:pPr>
            <w:r>
              <w:rPr>
                <w:rFonts w:ascii="Arial" w:cs="Arial" w:eastAsia="Arial" w:hAnsi="Arial"/>
                <w:sz w:val="14"/>
                <w:szCs w:val="14"/>
                <w:b w:val="1"/>
                <w:bCs w:val="1"/>
                <w:color w:val="auto"/>
              </w:rPr>
              <w:t>PAGP</w:t>
            </w:r>
          </w:p>
        </w:tc>
        <w:tc>
          <w:tcPr>
            <w:tcW w:w="26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 xml:space="preserve">Adjustments </w:t>
            </w:r>
            <w:r>
              <w:rPr>
                <w:rFonts w:ascii="Arial" w:cs="Arial" w:eastAsia="Arial" w:hAnsi="Arial"/>
                <w:sz w:val="17"/>
                <w:szCs w:val="17"/>
                <w:b w:val="1"/>
                <w:bCs w:val="1"/>
                <w:color w:val="auto"/>
                <w:w w:val="85"/>
                <w:vertAlign w:val="superscript"/>
              </w:rPr>
              <w:t>(1)</w:t>
            </w:r>
          </w:p>
        </w:tc>
        <w:tc>
          <w:tcPr>
            <w:tcW w:w="260" w:type="dxa"/>
            <w:vAlign w:val="bottom"/>
          </w:tcPr>
          <w:p>
            <w:pPr>
              <w:spacing w:after="0"/>
              <w:rPr>
                <w:sz w:val="18"/>
                <w:szCs w:val="18"/>
                <w:color w:val="auto"/>
              </w:rPr>
            </w:pPr>
          </w:p>
        </w:tc>
        <w:tc>
          <w:tcPr>
            <w:tcW w:w="900" w:type="dxa"/>
            <w:vAlign w:val="bottom"/>
          </w:tcPr>
          <w:p>
            <w:pPr>
              <w:jc w:val="right"/>
              <w:ind w:right="315"/>
              <w:spacing w:after="0"/>
              <w:rPr>
                <w:sz w:val="20"/>
                <w:szCs w:val="20"/>
                <w:color w:val="auto"/>
              </w:rPr>
            </w:pPr>
            <w:r>
              <w:rPr>
                <w:rFonts w:ascii="Arial" w:cs="Arial" w:eastAsia="Arial" w:hAnsi="Arial"/>
                <w:sz w:val="14"/>
                <w:szCs w:val="14"/>
                <w:b w:val="1"/>
                <w:bCs w:val="1"/>
                <w:color w:val="auto"/>
              </w:rPr>
              <w:t>PAGP</w:t>
            </w:r>
          </w:p>
        </w:tc>
      </w:tr>
      <w:tr>
        <w:trPr>
          <w:trHeight w:val="20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5,355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5,358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6,137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6,140</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14,909</w:t>
            </w: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Investments in unconsolidated entities</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3,084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3,805</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1,960</w:t>
            </w: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Deferred tax asset</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1,309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1,362</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Linefill</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r>
      <w:tr>
        <w:trPr>
          <w:trHeight w:val="168"/>
        </w:trPr>
        <w:tc>
          <w:tcPr>
            <w:tcW w:w="3160" w:type="dxa"/>
            <w:vAlign w:val="bottom"/>
          </w:tcPr>
          <w:p>
            <w:pPr>
              <w:ind w:left="20"/>
              <w:spacing w:after="0" w:line="168" w:lineRule="exact"/>
              <w:rPr>
                <w:sz w:val="20"/>
                <w:szCs w:val="20"/>
                <w:color w:val="auto"/>
              </w:rPr>
            </w:pPr>
            <w:r>
              <w:rPr>
                <w:rFonts w:ascii="Arial" w:cs="Arial" w:eastAsia="Arial" w:hAnsi="Arial"/>
                <w:sz w:val="17"/>
                <w:szCs w:val="17"/>
                <w:color w:val="auto"/>
              </w:rPr>
              <w:t>Long-term operating lease right-of-use</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2"/>
        </w:trPr>
        <w:tc>
          <w:tcPr>
            <w:tcW w:w="3160" w:type="dxa"/>
            <w:vAlign w:val="bottom"/>
          </w:tcPr>
          <w:p>
            <w:pPr>
              <w:ind w:left="180"/>
              <w:spacing w:after="0"/>
              <w:rPr>
                <w:sz w:val="20"/>
                <w:szCs w:val="20"/>
                <w:color w:val="auto"/>
              </w:rPr>
            </w:pPr>
            <w:r>
              <w:rPr>
                <w:rFonts w:ascii="Arial" w:cs="Arial" w:eastAsia="Arial" w:hAnsi="Arial"/>
                <w:sz w:val="17"/>
                <w:szCs w:val="17"/>
                <w:color w:val="auto"/>
              </w:rPr>
              <w:t>assets, net</w:t>
            </w: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349</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inventory</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Other long-term assets, net</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249</w:t>
            </w:r>
          </w:p>
        </w:tc>
      </w:tr>
      <w:tr>
        <w:trPr>
          <w:trHeight w:val="238"/>
        </w:trPr>
        <w:tc>
          <w:tcPr>
            <w:tcW w:w="31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27,892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29,207</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29,978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b w:val="1"/>
                <w:bCs w:val="1"/>
                <w:color w:val="auto"/>
              </w:rPr>
              <w:t>LIABILITIES AND PARTNERS’</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3"/>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CAPITAL</w:t>
            </w: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5,891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5,893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6,232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6,234</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Senior notes, net</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8,329</w:t>
            </w: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Other long-term debt, net</w:t>
            </w: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w:t>
            </w:r>
          </w:p>
        </w:tc>
      </w:tr>
      <w:tr>
        <w:trPr>
          <w:trHeight w:val="168"/>
        </w:trPr>
        <w:tc>
          <w:tcPr>
            <w:tcW w:w="3160" w:type="dxa"/>
            <w:vAlign w:val="bottom"/>
          </w:tcPr>
          <w:p>
            <w:pPr>
              <w:ind w:left="20"/>
              <w:spacing w:after="0" w:line="168" w:lineRule="exact"/>
              <w:rPr>
                <w:sz w:val="20"/>
                <w:szCs w:val="20"/>
                <w:color w:val="auto"/>
              </w:rPr>
            </w:pPr>
            <w:r>
              <w:rPr>
                <w:rFonts w:ascii="Arial" w:cs="Arial" w:eastAsia="Arial" w:hAnsi="Arial"/>
                <w:sz w:val="17"/>
                <w:szCs w:val="17"/>
                <w:color w:val="auto"/>
              </w:rPr>
              <w:t>Other long-term liabilities and deferred</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2"/>
        </w:trPr>
        <w:tc>
          <w:tcPr>
            <w:tcW w:w="3160" w:type="dxa"/>
            <w:vAlign w:val="bottom"/>
          </w:tcPr>
          <w:p>
            <w:pPr>
              <w:ind w:left="180"/>
              <w:spacing w:after="0"/>
              <w:rPr>
                <w:sz w:val="20"/>
                <w:szCs w:val="20"/>
                <w:color w:val="auto"/>
              </w:rPr>
            </w:pPr>
            <w:r>
              <w:rPr>
                <w:rFonts w:ascii="Arial" w:cs="Arial" w:eastAsia="Arial" w:hAnsi="Arial"/>
                <w:sz w:val="17"/>
                <w:szCs w:val="17"/>
                <w:color w:val="auto"/>
              </w:rPr>
              <w:t>credits</w:t>
            </w:r>
          </w:p>
        </w:tc>
        <w:tc>
          <w:tcPr>
            <w:tcW w:w="2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1,081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830</w:t>
            </w:r>
          </w:p>
        </w:tc>
      </w:tr>
      <w:tr>
        <w:trPr>
          <w:trHeight w:val="213"/>
        </w:trPr>
        <w:tc>
          <w:tcPr>
            <w:tcW w:w="3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15,801</w:t>
            </w:r>
          </w:p>
        </w:tc>
      </w:tr>
      <w:tr>
        <w:trPr>
          <w:trHeight w:val="207"/>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Partners’ capital excluding noncontrolling</w:t>
            </w:r>
          </w:p>
        </w:tc>
        <w:tc>
          <w:tcPr>
            <w:tcW w:w="2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2"/>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interests</w:t>
            </w: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1,524</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1,533</w:t>
            </w:r>
          </w:p>
        </w:tc>
      </w:tr>
      <w:tr>
        <w:trPr>
          <w:trHeight w:val="22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3,268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13,114</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12,644</w:t>
            </w:r>
          </w:p>
        </w:tc>
      </w:tr>
      <w:tr>
        <w:trPr>
          <w:trHeight w:val="213"/>
        </w:trPr>
        <w:tc>
          <w:tcPr>
            <w:tcW w:w="31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partners’ capital</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13,325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14,638</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14,177</w:t>
            </w:r>
          </w:p>
        </w:tc>
      </w:tr>
      <w:tr>
        <w:trPr>
          <w:trHeight w:val="253"/>
        </w:trPr>
        <w:tc>
          <w:tcPr>
            <w:tcW w:w="3160" w:type="dxa"/>
            <w:vAlign w:val="bottom"/>
          </w:tcPr>
          <w:p>
            <w:pPr>
              <w:ind w:left="180"/>
              <w:spacing w:after="0"/>
              <w:rPr>
                <w:sz w:val="20"/>
                <w:szCs w:val="20"/>
                <w:color w:val="auto"/>
              </w:rPr>
            </w:pPr>
            <w:r>
              <w:rPr>
                <w:rFonts w:ascii="Arial" w:cs="Arial" w:eastAsia="Arial" w:hAnsi="Arial"/>
                <w:sz w:val="17"/>
                <w:szCs w:val="17"/>
                <w:color w:val="auto"/>
              </w:rPr>
              <w:t>Total liabilities and partners’ capital</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27,892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29,207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28,609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29,978</w:t>
            </w:r>
          </w:p>
        </w:tc>
      </w:tr>
      <w:tr>
        <w:trPr>
          <w:trHeight w:val="147"/>
        </w:trPr>
        <w:tc>
          <w:tcPr>
            <w:tcW w:w="3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96" w:lineRule="exact"/>
        <w:rPr>
          <w:sz w:val="20"/>
          <w:szCs w:val="20"/>
          <w:color w:val="auto"/>
        </w:rPr>
      </w:pPr>
    </w:p>
    <w:p>
      <w:pPr>
        <w:ind w:left="300" w:hanging="297"/>
        <w:spacing w:after="0"/>
        <w:tabs>
          <w:tab w:leader="none" w:pos="300" w:val="left"/>
        </w:tabs>
        <w:numPr>
          <w:ilvl w:val="0"/>
          <w:numId w:val="26"/>
        </w:numPr>
        <w:rPr>
          <w:rFonts w:ascii="Arial" w:cs="Arial" w:eastAsia="Arial" w:hAnsi="Arial"/>
          <w:sz w:val="22"/>
          <w:szCs w:val="22"/>
          <w:color w:val="auto"/>
          <w:vertAlign w:val="superscript"/>
        </w:rPr>
      </w:pPr>
      <w:r>
        <w:rPr>
          <w:rFonts w:ascii="Arial" w:cs="Arial" w:eastAsia="Arial" w:hAnsi="Arial"/>
          <w:sz w:val="17"/>
          <w:szCs w:val="17"/>
          <w:color w:val="auto"/>
        </w:rPr>
        <w:t>Represents the aggregate consolidating adjustments necessary to produce consolidated financial statements for PAGP.</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auto"/>
        </w:rPr>
        <w:t>Page 21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PLAINS GP HOLDINGS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FINANCIAL SUMMARY </w:t>
      </w:r>
      <w:r>
        <w:rPr>
          <w:rFonts w:ascii="Arial" w:cs="Arial" w:eastAsia="Arial" w:hAnsi="Arial"/>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712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86" w:lineRule="exact"/>
        <w:rPr>
          <w:sz w:val="20"/>
          <w:szCs w:val="20"/>
          <w:color w:val="auto"/>
        </w:rPr>
      </w:pPr>
    </w:p>
    <w:p>
      <w:pPr>
        <w:ind w:right="4880"/>
        <w:spacing w:after="0" w:line="290" w:lineRule="auto"/>
        <w:rPr>
          <w:sz w:val="20"/>
          <w:szCs w:val="20"/>
          <w:color w:val="auto"/>
        </w:rPr>
      </w:pPr>
      <w:r>
        <w:rPr>
          <w:rFonts w:ascii="Arial" w:cs="Arial" w:eastAsia="Arial" w:hAnsi="Arial"/>
          <w:sz w:val="17"/>
          <w:szCs w:val="17"/>
          <w:b w:val="1"/>
          <w:bCs w:val="1"/>
          <w:u w:val="single" w:color="auto"/>
          <w:color w:val="auto"/>
        </w:rPr>
        <w:t xml:space="preserve">COMPUTATION OF BASIC AND DILUTED NET INCOME PER CLASS A SHARE </w:t>
      </w:r>
      <w:r>
        <w:rPr>
          <w:rFonts w:ascii="Arial" w:cs="Arial" w:eastAsia="Arial" w:hAnsi="Arial"/>
          <w:sz w:val="17"/>
          <w:szCs w:val="17"/>
          <w:color w:val="auto"/>
        </w:rPr>
        <w:t>(in millions,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2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578"/>
              <w:spacing w:after="0"/>
              <w:rPr>
                <w:sz w:val="20"/>
                <w:szCs w:val="20"/>
                <w:color w:val="auto"/>
              </w:rPr>
            </w:pPr>
            <w:r>
              <w:rPr>
                <w:rFonts w:ascii="Arial" w:cs="Arial" w:eastAsia="Arial" w:hAnsi="Arial"/>
                <w:sz w:val="14"/>
                <w:szCs w:val="14"/>
                <w:b w:val="1"/>
                <w:bCs w:val="1"/>
                <w:color w:val="auto"/>
              </w:rPr>
              <w:t>Twelve Months Ended</w:t>
            </w:r>
          </w:p>
        </w:tc>
      </w:tr>
      <w:tr>
        <w:trPr>
          <w:trHeight w:val="187"/>
        </w:trPr>
        <w:tc>
          <w:tcPr>
            <w:tcW w:w="58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94"/>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7"/>
        </w:trPr>
        <w:tc>
          <w:tcPr>
            <w:tcW w:w="58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r>
      <w:tr>
        <w:trPr>
          <w:trHeight w:val="207"/>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Income per Class A Share</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0"/>
        </w:trPr>
        <w:tc>
          <w:tcPr>
            <w:tcW w:w="5860" w:type="dxa"/>
            <w:vAlign w:val="bottom"/>
          </w:tcPr>
          <w:p>
            <w:pPr>
              <w:ind w:left="80"/>
              <w:spacing w:after="0"/>
              <w:rPr>
                <w:sz w:val="20"/>
                <w:szCs w:val="20"/>
                <w:color w:val="auto"/>
              </w:rPr>
            </w:pPr>
            <w:r>
              <w:rPr>
                <w:rFonts w:ascii="Arial" w:cs="Arial" w:eastAsia="Arial" w:hAnsi="Arial"/>
                <w:sz w:val="17"/>
                <w:szCs w:val="17"/>
                <w:color w:val="auto"/>
              </w:rPr>
              <w:t>Net income attributable to PAGP</w:t>
            </w:r>
          </w:p>
        </w:tc>
        <w:tc>
          <w:tcPr>
            <w:tcW w:w="840" w:type="dxa"/>
            <w:vAlign w:val="bottom"/>
          </w:tcPr>
          <w:p>
            <w:pPr>
              <w:jc w:val="right"/>
              <w:ind w:right="643"/>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840" w:type="dxa"/>
            <w:vAlign w:val="bottom"/>
          </w:tcPr>
          <w:p>
            <w:pPr>
              <w:jc w:val="right"/>
              <w:ind w:right="660"/>
              <w:spacing w:after="0"/>
              <w:rPr>
                <w:sz w:val="20"/>
                <w:szCs w:val="20"/>
                <w:color w:val="auto"/>
              </w:rPr>
            </w:pPr>
            <w:r>
              <w:rPr>
                <w:rFonts w:ascii="Arial" w:cs="Arial" w:eastAsia="Arial" w:hAnsi="Arial"/>
                <w:sz w:val="17"/>
                <w:szCs w:val="17"/>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5860" w:type="dxa"/>
            <w:vAlign w:val="bottom"/>
            <w:shd w:val="clear" w:color="auto" w:fill="CCEEFF"/>
          </w:tcPr>
          <w:p>
            <w:pPr>
              <w:ind w:left="80"/>
              <w:spacing w:after="0"/>
              <w:rPr>
                <w:sz w:val="20"/>
                <w:szCs w:val="20"/>
                <w:color w:val="auto"/>
              </w:rPr>
            </w:pPr>
            <w:r>
              <w:rPr>
                <w:rFonts w:ascii="Arial" w:cs="Arial" w:eastAsia="Arial" w:hAnsi="Arial"/>
                <w:sz w:val="17"/>
                <w:szCs w:val="17"/>
                <w:color w:val="auto"/>
              </w:rPr>
              <w:t>Basic and diluted weighted average Class A shares outstanding</w:t>
            </w:r>
          </w:p>
        </w:tc>
        <w:tc>
          <w:tcPr>
            <w:tcW w:w="8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r>
      <w:tr>
        <w:trPr>
          <w:trHeight w:val="245"/>
        </w:trPr>
        <w:tc>
          <w:tcPr>
            <w:tcW w:w="5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5"/>
        </w:trPr>
        <w:tc>
          <w:tcPr>
            <w:tcW w:w="5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Basic and diluted net income per Class A share</w:t>
            </w:r>
          </w:p>
        </w:tc>
        <w:tc>
          <w:tcPr>
            <w:tcW w:w="84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0.86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Statements</w:t>
      </w:r>
    </w:p>
    <w:p>
      <w:pPr>
        <w:spacing w:after="0" w:line="244" w:lineRule="exact"/>
        <w:rPr>
          <w:sz w:val="20"/>
          <w:szCs w:val="20"/>
          <w:color w:val="auto"/>
        </w:rPr>
      </w:pPr>
    </w:p>
    <w:p>
      <w:pPr>
        <w:jc w:val="both"/>
        <w:ind w:right="360" w:firstLine="620"/>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198" w:lineRule="exact"/>
        <w:rPr>
          <w:sz w:val="20"/>
          <w:szCs w:val="20"/>
          <w:color w:val="auto"/>
        </w:rPr>
      </w:pPr>
    </w:p>
    <w:p>
      <w:pPr>
        <w:ind w:left="620" w:right="20" w:hanging="307"/>
        <w:spacing w:after="0" w:line="263" w:lineRule="auto"/>
        <w:tabs>
          <w:tab w:leader="none" w:pos="616" w:val="left"/>
        </w:tabs>
        <w:numPr>
          <w:ilvl w:val="0"/>
          <w:numId w:val="27"/>
        </w:numPr>
        <w:rPr>
          <w:rFonts w:ascii="Arial" w:cs="Arial" w:eastAsia="Arial" w:hAnsi="Arial"/>
          <w:sz w:val="17"/>
          <w:szCs w:val="17"/>
          <w:i w:val="1"/>
          <w:iCs w:val="1"/>
          <w:color w:val="auto"/>
        </w:rPr>
      </w:pPr>
      <w:r>
        <w:rPr>
          <w:rFonts w:ascii="Arial" w:cs="Arial" w:eastAsia="Arial" w:hAnsi="Arial"/>
          <w:sz w:val="17"/>
          <w:szCs w:val="17"/>
          <w:color w:val="auto"/>
        </w:rPr>
        <w:t>general economic, market or business conditions in the United States and elsewhere (including the potential for a recession or significant slowdown in economic activity levels, the risk of persistently high inflation and continued supply chain issues, the impact of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73" w:lineRule="exact"/>
        <w:rPr>
          <w:rFonts w:ascii="Arial" w:cs="Arial" w:eastAsia="Arial" w:hAnsi="Arial"/>
          <w:sz w:val="17"/>
          <w:szCs w:val="17"/>
          <w:i w:val="1"/>
          <w:iCs w:val="1"/>
          <w:color w:val="auto"/>
        </w:rPr>
      </w:pPr>
    </w:p>
    <w:p>
      <w:pPr>
        <w:ind w:left="620" w:right="140" w:hanging="307"/>
        <w:spacing w:after="0" w:line="259"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declines in global crude oil demand and crude oil prices (whether due to pandemics or other factors)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commercial opportunities that might otherwise be available to us;</w:t>
      </w:r>
    </w:p>
    <w:p>
      <w:pPr>
        <w:spacing w:after="0" w:line="78" w:lineRule="exact"/>
        <w:rPr>
          <w:rFonts w:ascii="Arial" w:cs="Arial" w:eastAsia="Arial" w:hAnsi="Arial"/>
          <w:sz w:val="17"/>
          <w:szCs w:val="17"/>
          <w:color w:val="auto"/>
        </w:rPr>
      </w:pPr>
    </w:p>
    <w:p>
      <w:pPr>
        <w:ind w:left="620" w:right="480" w:hanging="307"/>
        <w:spacing w:after="0" w:line="283"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and NGL and resulting changes in pricing conditions or transportation throughput requirements;</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unanticipated changes in crude oil and NGL market structure, grade differentials and volatility (or lack thereof);</w:t>
      </w:r>
    </w:p>
    <w:p>
      <w:pPr>
        <w:spacing w:after="0" w:line="114" w:lineRule="exact"/>
        <w:rPr>
          <w:rFonts w:ascii="Arial" w:cs="Arial" w:eastAsia="Arial" w:hAnsi="Arial"/>
          <w:sz w:val="17"/>
          <w:szCs w:val="17"/>
          <w:color w:val="auto"/>
        </w:rPr>
      </w:pPr>
    </w:p>
    <w:p>
      <w:pPr>
        <w:ind w:left="620" w:hanging="307"/>
        <w:spacing w:after="0" w:line="268"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effects of competition and capacity overbuild in areas where we operate, including downward pressure on rates and margins, contract renewal risk and the risk of loss of business to other midstream operators who are willing or under pressure to aggressively reduce transportation rates in order to capture or preserve customers;</w:t>
      </w:r>
    </w:p>
    <w:p>
      <w:pPr>
        <w:spacing w:after="0" w:line="68" w:lineRule="exact"/>
        <w:rPr>
          <w:rFonts w:ascii="Arial" w:cs="Arial" w:eastAsia="Arial" w:hAnsi="Arial"/>
          <w:sz w:val="17"/>
          <w:szCs w:val="17"/>
          <w:color w:val="auto"/>
        </w:rPr>
      </w:pPr>
    </w:p>
    <w:p>
      <w:pPr>
        <w:ind w:left="620" w:right="240" w:hanging="307"/>
        <w:spacing w:after="0" w:line="283"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environmental liabilities, litigation or other events that are not covered by an indemnity, insurance or existing reserves;</w:t>
      </w:r>
    </w:p>
    <w:p>
      <w:pPr>
        <w:spacing w:after="0" w:line="114" w:lineRule="exact"/>
        <w:rPr>
          <w:rFonts w:ascii="Arial" w:cs="Arial" w:eastAsia="Arial" w:hAnsi="Arial"/>
          <w:sz w:val="17"/>
          <w:szCs w:val="17"/>
          <w:color w:val="auto"/>
        </w:rPr>
      </w:pPr>
    </w:p>
    <w:p>
      <w:pPr>
        <w:ind w:left="620" w:right="360" w:hanging="307"/>
        <w:spacing w:after="0" w:line="283" w:lineRule="auto"/>
        <w:tabs>
          <w:tab w:leader="none" w:pos="61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(including eco-terrorist attacks) or other event that materially impacts our operations, including cyber or other attacks on our electronic and computer systems;</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88" w:lineRule="exact"/>
        <w:rPr>
          <w:rFonts w:ascii="Arial" w:cs="Arial" w:eastAsia="Arial" w:hAnsi="Arial"/>
          <w:sz w:val="17"/>
          <w:szCs w:val="17"/>
          <w:color w:val="auto"/>
        </w:rPr>
      </w:pPr>
    </w:p>
    <w:p>
      <w:pPr>
        <w:ind w:left="5440" w:hanging="93"/>
        <w:spacing w:after="0"/>
        <w:tabs>
          <w:tab w:leader="none" w:pos="54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Page 22</w:t>
      </w:r>
    </w:p>
    <w:p>
      <w:pPr>
        <w:spacing w:after="0" w:line="200" w:lineRule="exact"/>
        <w:rPr>
          <w:sz w:val="20"/>
          <w:szCs w:val="20"/>
          <w:color w:val="auto"/>
        </w:rPr>
      </w:pPr>
    </w:p>
    <w:p>
      <w:pPr>
        <w:spacing w:after="0" w:line="225" w:lineRule="exact"/>
        <w:rPr>
          <w:sz w:val="20"/>
          <w:szCs w:val="20"/>
          <w:color w:val="auto"/>
        </w:rPr>
      </w:pPr>
    </w:p>
    <w:p>
      <w:pPr>
        <w:ind w:left="620" w:hanging="307"/>
        <w:spacing w:after="0" w:line="292" w:lineRule="auto"/>
        <w:tabs>
          <w:tab w:leader="none" w:pos="61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executive orders, trade policies, accounting standards and statements, and related interpretations, including legislation, executive orders or regulatory initiatives that prohibit, restrict or regulate hydraulic fracturing or that prohibit the development of oil and gas resources and the related infrastructure on lands dedicated to or served by our pipelines;</w:t>
      </w:r>
    </w:p>
    <w:p>
      <w:pPr>
        <w:spacing w:after="0" w:line="52" w:lineRule="exact"/>
        <w:rPr>
          <w:rFonts w:ascii="Arial" w:cs="Arial" w:eastAsia="Arial" w:hAnsi="Arial"/>
          <w:sz w:val="16"/>
          <w:szCs w:val="16"/>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loss of key personnel and inability to attract and retain new talent;</w:t>
      </w:r>
    </w:p>
    <w:p>
      <w:pPr>
        <w:spacing w:after="0" w:line="114" w:lineRule="exact"/>
        <w:rPr>
          <w:rFonts w:ascii="Arial" w:cs="Arial" w:eastAsia="Arial" w:hAnsi="Arial"/>
          <w:sz w:val="17"/>
          <w:szCs w:val="17"/>
          <w:color w:val="auto"/>
        </w:rPr>
      </w:pPr>
    </w:p>
    <w:p>
      <w:pPr>
        <w:ind w:left="620" w:right="420" w:hanging="307"/>
        <w:spacing w:after="0" w:line="283"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disruptions to futures markets for crude oil, NGL and other petroleum products, which may impair our ability to execute our commercial or hedging strategies;</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effectiveness of our risk management activities;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shortages or cost increases of supplies, materials or labor;</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maintenance of our credit rating and ability to receive open credit from our suppliers and trade counterparties;</w:t>
      </w:r>
    </w:p>
    <w:p>
      <w:pPr>
        <w:spacing w:after="0" w:line="114" w:lineRule="exact"/>
        <w:rPr>
          <w:rFonts w:ascii="Arial" w:cs="Arial" w:eastAsia="Arial" w:hAnsi="Arial"/>
          <w:sz w:val="17"/>
          <w:szCs w:val="17"/>
          <w:color w:val="auto"/>
        </w:rPr>
      </w:pPr>
    </w:p>
    <w:p>
      <w:pPr>
        <w:ind w:left="620" w:right="300" w:hanging="307"/>
        <w:spacing w:after="0" w:line="315" w:lineRule="auto"/>
        <w:tabs>
          <w:tab w:leader="none" w:pos="61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33" w:lineRule="exact"/>
        <w:rPr>
          <w:rFonts w:ascii="Arial" w:cs="Arial" w:eastAsia="Arial" w:hAnsi="Arial"/>
          <w:sz w:val="16"/>
          <w:szCs w:val="16"/>
          <w:color w:val="auto"/>
        </w:rPr>
      </w:pPr>
    </w:p>
    <w:p>
      <w:pPr>
        <w:ind w:left="620" w:hanging="307"/>
        <w:spacing w:after="0" w:line="283"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availability of, and our ability to consummate, divestitures, joint ventures, acquisitions or other strategic opportunities;</w:t>
      </w:r>
    </w:p>
    <w:p>
      <w:pPr>
        <w:spacing w:after="0" w:line="114" w:lineRule="exact"/>
        <w:rPr>
          <w:rFonts w:ascii="Arial" w:cs="Arial" w:eastAsia="Arial" w:hAnsi="Arial"/>
          <w:sz w:val="17"/>
          <w:szCs w:val="17"/>
          <w:color w:val="auto"/>
        </w:rPr>
      </w:pPr>
    </w:p>
    <w:p>
      <w:pPr>
        <w:ind w:left="620" w:right="20" w:hanging="307"/>
        <w:spacing w:after="0" w:line="285" w:lineRule="auto"/>
        <w:tabs>
          <w:tab w:leader="none" w:pos="61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56" w:lineRule="exact"/>
        <w:rPr>
          <w:rFonts w:ascii="Arial" w:cs="Arial" w:eastAsia="Arial" w:hAnsi="Arial"/>
          <w:sz w:val="16"/>
          <w:szCs w:val="16"/>
          <w:color w:val="auto"/>
        </w:rPr>
      </w:pPr>
    </w:p>
    <w:p>
      <w:pPr>
        <w:jc w:val="both"/>
        <w:ind w:left="620" w:right="120" w:hanging="307"/>
        <w:spacing w:after="0" w:line="353" w:lineRule="auto"/>
        <w:tabs>
          <w:tab w:leader="none" w:pos="616" w:val="left"/>
        </w:tabs>
        <w:numPr>
          <w:ilvl w:val="0"/>
          <w:numId w:val="28"/>
        </w:numPr>
        <w:rPr>
          <w:rFonts w:ascii="Arial" w:cs="Arial" w:eastAsia="Arial" w:hAnsi="Arial"/>
          <w:sz w:val="15"/>
          <w:szCs w:val="15"/>
          <w:color w:val="auto"/>
        </w:rPr>
      </w:pPr>
      <w:r>
        <w:rPr>
          <w:rFonts w:ascii="Arial" w:cs="Arial" w:eastAsia="Arial" w:hAnsi="Arial"/>
          <w:sz w:val="15"/>
          <w:szCs w:val="15"/>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9" w:lineRule="exact"/>
        <w:rPr>
          <w:rFonts w:ascii="Arial" w:cs="Arial" w:eastAsia="Arial" w:hAnsi="Arial"/>
          <w:sz w:val="15"/>
          <w:szCs w:val="15"/>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incurrence of costs and expenses related to unexpected or unplanned capital expenditures, third-party claims or other factors;</w:t>
      </w:r>
    </w:p>
    <w:p>
      <w:pPr>
        <w:spacing w:after="0" w:line="114" w:lineRule="exact"/>
        <w:rPr>
          <w:rFonts w:ascii="Arial" w:cs="Arial" w:eastAsia="Arial" w:hAnsi="Arial"/>
          <w:sz w:val="17"/>
          <w:szCs w:val="17"/>
          <w:color w:val="auto"/>
        </w:rPr>
      </w:pPr>
    </w:p>
    <w:p>
      <w:pPr>
        <w:ind w:left="620" w:right="100" w:hanging="307"/>
        <w:spacing w:after="0" w:line="283"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to implement or capitalize, or delays in implementing or capitalizing, on investment capital projects, whether due to permitting delays, permitting withdrawals or other factors;</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amplification of other risks caused by volatile financial markets, capital constraints, liquidity concerns and inflation;</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use or availability of third-party assets upon which our operations depend and over which we have little or no control;</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currency exchange rate of the Canadian dollar to the United States dollar;</w:t>
      </w:r>
    </w:p>
    <w:p>
      <w:pPr>
        <w:spacing w:after="0" w:line="114" w:lineRule="exact"/>
        <w:rPr>
          <w:rFonts w:ascii="Arial" w:cs="Arial" w:eastAsia="Arial" w:hAnsi="Arial"/>
          <w:sz w:val="17"/>
          <w:szCs w:val="17"/>
          <w:color w:val="auto"/>
        </w:rPr>
      </w:pPr>
    </w:p>
    <w:p>
      <w:pPr>
        <w:ind w:left="620" w:right="640" w:hanging="307"/>
        <w:spacing w:after="0" w:line="283"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inability to recognize current revenue attributable to deficiency payments received from customers who fail to ship or move more than minimum contracted volumes until the related credits expire or are used;</w:t>
      </w:r>
    </w:p>
    <w:p>
      <w:pPr>
        <w:spacing w:after="0" w:line="5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significant under-utilization of our assets and facilities;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increased costs, or lack of availability, of insurance;</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14"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risks related to the development and operation of our assets; and</w:t>
      </w:r>
    </w:p>
    <w:p>
      <w:pPr>
        <w:spacing w:after="0" w:line="114" w:lineRule="exact"/>
        <w:rPr>
          <w:rFonts w:ascii="Arial" w:cs="Arial" w:eastAsia="Arial" w:hAnsi="Arial"/>
          <w:sz w:val="17"/>
          <w:szCs w:val="17"/>
          <w:color w:val="auto"/>
        </w:rPr>
      </w:pPr>
    </w:p>
    <w:p>
      <w:pPr>
        <w:ind w:left="620" w:right="80" w:hanging="307"/>
        <w:spacing w:after="0" w:line="315" w:lineRule="auto"/>
        <w:tabs>
          <w:tab w:leader="none" w:pos="616" w:val="left"/>
        </w:tabs>
        <w:numPr>
          <w:ilvl w:val="0"/>
          <w:numId w:val="28"/>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176" w:lineRule="exact"/>
        <w:rPr>
          <w:rFonts w:ascii="Arial" w:cs="Arial" w:eastAsia="Arial" w:hAnsi="Arial"/>
          <w:sz w:val="16"/>
          <w:szCs w:val="16"/>
          <w:color w:val="auto"/>
        </w:rPr>
      </w:pPr>
    </w:p>
    <w:p>
      <w:pPr>
        <w:ind w:left="5440" w:hanging="93"/>
        <w:spacing w:after="0"/>
        <w:tabs>
          <w:tab w:leader="none" w:pos="54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97155</wp:posOffset>
            </wp:positionV>
            <wp:extent cx="712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44"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Page 23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About Plains:</w:t>
      </w:r>
    </w:p>
    <w:p>
      <w:pPr>
        <w:spacing w:after="0" w:line="296" w:lineRule="exact"/>
        <w:rPr>
          <w:sz w:val="20"/>
          <w:szCs w:val="20"/>
          <w:color w:val="auto"/>
        </w:rPr>
      </w:pPr>
    </w:p>
    <w:p>
      <w:pPr>
        <w:ind w:right="160" w:firstLine="620"/>
        <w:spacing w:after="0" w:line="285" w:lineRule="auto"/>
        <w:rPr>
          <w:sz w:val="20"/>
          <w:szCs w:val="20"/>
          <w:color w:val="auto"/>
        </w:rPr>
      </w:pPr>
      <w:r>
        <w:rPr>
          <w:rFonts w:ascii="Arial" w:cs="Arial" w:eastAsia="Arial" w:hAnsi="Arial"/>
          <w:sz w:val="16"/>
          <w:szCs w:val="16"/>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more than 7 million barrels per day of crude oil and NGL.</w:t>
      </w:r>
    </w:p>
    <w:p>
      <w:pPr>
        <w:spacing w:after="0" w:line="186" w:lineRule="exact"/>
        <w:rPr>
          <w:sz w:val="20"/>
          <w:szCs w:val="20"/>
          <w:color w:val="auto"/>
        </w:rPr>
      </w:pPr>
    </w:p>
    <w:p>
      <w:pPr>
        <w:ind w:firstLine="620"/>
        <w:spacing w:after="0" w:line="283" w:lineRule="auto"/>
        <w:rPr>
          <w:sz w:val="20"/>
          <w:szCs w:val="20"/>
          <w:color w:val="auto"/>
        </w:rPr>
      </w:pPr>
      <w:r>
        <w:rPr>
          <w:rFonts w:ascii="Arial" w:cs="Arial" w:eastAsia="Arial" w:hAnsi="Arial"/>
          <w:sz w:val="17"/>
          <w:szCs w:val="17"/>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PAA and PAGP are headquartered in Houston, Texas. For more information, please visit www.plains.com.</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Contacts</w:t>
      </w:r>
      <w:r>
        <w:rPr>
          <w:rFonts w:ascii="Arial" w:cs="Arial" w:eastAsia="Arial" w:hAnsi="Arial"/>
          <w:sz w:val="17"/>
          <w:szCs w:val="17"/>
          <w:color w:val="auto"/>
        </w:rPr>
        <w: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Blake Fernandez</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Investor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Michael Gladstein</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Director, Investor Relations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(866) 809-1291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31750</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40" w:lineRule="exact"/>
        <w:rPr>
          <w:sz w:val="20"/>
          <w:szCs w:val="20"/>
          <w:color w:val="auto"/>
        </w:rPr>
      </w:pPr>
    </w:p>
    <w:p>
      <w:pPr>
        <w:ind w:left="1740"/>
        <w:spacing w:after="0"/>
        <w:tabs>
          <w:tab w:leader="none" w:pos="4800" w:val="left"/>
          <w:tab w:leader="none" w:pos="7480" w:val="left"/>
        </w:tabs>
        <w:rPr>
          <w:sz w:val="20"/>
          <w:szCs w:val="20"/>
          <w:color w:val="auto"/>
        </w:rPr>
      </w:pPr>
      <w:r>
        <w:rPr>
          <w:rFonts w:ascii="Arial" w:cs="Arial" w:eastAsia="Arial" w:hAnsi="Arial"/>
          <w:sz w:val="17"/>
          <w:szCs w:val="17"/>
          <w:b w:val="1"/>
          <w:bCs w:val="1"/>
          <w:color w:val="auto"/>
        </w:rPr>
        <w:t>333 Clay Street, Suite 1600</w:t>
      </w:r>
      <w:r>
        <w:rPr>
          <w:sz w:val="20"/>
          <w:szCs w:val="20"/>
          <w:color w:val="auto"/>
        </w:rPr>
        <w:tab/>
      </w:r>
      <w:r>
        <w:rPr>
          <w:rFonts w:ascii="Arial" w:cs="Arial" w:eastAsia="Arial" w:hAnsi="Arial"/>
          <w:sz w:val="17"/>
          <w:szCs w:val="17"/>
          <w:b w:val="1"/>
          <w:bCs w:val="1"/>
          <w:color w:val="auto"/>
        </w:rPr>
        <w:t>Houston, Texas 77002</w:t>
      </w:r>
      <w:r>
        <w:rPr>
          <w:sz w:val="20"/>
          <w:szCs w:val="20"/>
          <w:color w:val="auto"/>
        </w:rPr>
        <w:tab/>
      </w:r>
      <w:r>
        <w:rPr>
          <w:rFonts w:ascii="Arial" w:cs="Arial" w:eastAsia="Arial" w:hAnsi="Arial"/>
          <w:sz w:val="15"/>
          <w:szCs w:val="15"/>
          <w:b w:val="1"/>
          <w:bCs w:val="1"/>
          <w:color w:val="auto"/>
        </w:rPr>
        <w:t>713-646-4100 / 866-809-1291</w:t>
      </w:r>
    </w:p>
    <w:sectPr>
      <w:pgSz w:w="11900" w:h="16838" w:orient="portrait"/>
      <w:cols w:equalWidth="0" w:num="1">
        <w:col w:w="11220"/>
      </w:cols>
      <w:pgMar w:left="320" w:top="3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decimal"/>
      <w:start w:val="104"/>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lvl w:ilvl="1">
      <w:lvlJc w:val="left"/>
      <w:lvlText w:val="-"/>
      <w:numFmt w:val="bullet"/>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lowerRoman"/>
      <w:start w:val="5"/>
    </w:lvl>
  </w:abstractNum>
  <w:abstractNum w:abstractNumId="9">
    <w:nsid w:val="7C83E458"/>
    <w:multiLevelType w:val="hybridMultilevel"/>
    <w:lvl w:ilvl="0">
      <w:lvlJc w:val="left"/>
      <w:lvlText w:val="(%1)"/>
      <w:numFmt w:val="decimal"/>
      <w:start w:val="1"/>
    </w:lvl>
    <w:lvl w:ilvl="1">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lvl w:ilvl="1">
      <w:lvlJc w:val="left"/>
      <w:lvlText w:val="-"/>
      <w:numFmt w:val="bullet"/>
      <w:start w:val="1"/>
    </w:lvl>
  </w:abstractNum>
  <w:abstractNum w:abstractNumId="12">
    <w:nsid w:val="436C6125"/>
    <w:multiLevelType w:val="hybridMultilevel"/>
    <w:lvl w:ilvl="0">
      <w:lvlJc w:val="left"/>
      <w:lvlText w:val="(%1)"/>
      <w:numFmt w:val="decimal"/>
      <w:start w:val="1"/>
    </w:lvl>
    <w:lvl w:ilvl="1">
      <w:lvlJc w:val="left"/>
      <w:lvlText w:val="-"/>
      <w:numFmt w:val="bullet"/>
      <w:start w:val="1"/>
    </w:lvl>
  </w:abstractNum>
  <w:abstractNum w:abstractNumId="13">
    <w:nsid w:val="628C895D"/>
    <w:multiLevelType w:val="hybridMultilevel"/>
    <w:lvl w:ilvl="0">
      <w:lvlJc w:val="left"/>
      <w:lvlText w:val="(%1)"/>
      <w:numFmt w:val="decimal"/>
      <w:start w:val="3"/>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lvl w:ilvl="1">
      <w:lvlJc w:val="left"/>
      <w:lvlText w:val="-"/>
      <w:numFmt w:val="bullet"/>
      <w:start w:val="1"/>
    </w:lvl>
  </w:abstractNum>
  <w:abstractNum w:abstractNumId="16">
    <w:nsid w:val="2443A858"/>
    <w:multiLevelType w:val="hybridMultilevel"/>
    <w:lvl w:ilvl="0">
      <w:lvlJc w:val="left"/>
      <w:lvlText w:val="(%1)"/>
      <w:numFmt w:val="decimal"/>
      <w:start w:val="1"/>
    </w:lvl>
    <w:lvl w:ilvl="1">
      <w:lvlJc w:val="left"/>
      <w:lvlText w:val="-"/>
      <w:numFmt w:val="bullet"/>
      <w:start w:val="1"/>
    </w:lvl>
  </w:abstractNum>
  <w:abstractNum w:abstractNumId="17">
    <w:nsid w:val="2D1D5AE9"/>
    <w:multiLevelType w:val="hybridMultilevel"/>
    <w:lvl w:ilvl="0">
      <w:lvlJc w:val="left"/>
      <w:lvlText w:val="(%1)"/>
      <w:numFmt w:val="decimal"/>
      <w:start w:val="3"/>
    </w:lvl>
    <w:lvl w:ilvl="1">
      <w:lvlJc w:val="left"/>
      <w:lvlText w:val="-"/>
      <w:numFmt w:val="bullet"/>
      <w:start w:val="1"/>
    </w:lvl>
  </w:abstractNum>
  <w:abstractNum w:abstractNumId="18">
    <w:nsid w:val="6763845E"/>
    <w:multiLevelType w:val="hybridMultilevel"/>
    <w:lvl w:ilvl="0">
      <w:lvlJc w:val="left"/>
      <w:lvlText w:val="(%1)"/>
      <w:numFmt w:val="decimal"/>
      <w:start w:val="3"/>
    </w:lvl>
    <w:lvl w:ilvl="1">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4"/>
    </w:lvl>
    <w:lvl w:ilvl="1">
      <w:lvlJc w:val="left"/>
      <w:lvlText w:val="-"/>
      <w:numFmt w:val="bullet"/>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lvl w:ilvl="1">
      <w:lvlJc w:val="left"/>
      <w:lvlText w:val="-"/>
      <w:numFmt w:val="bullet"/>
      <w:start w:val="1"/>
    </w:lvl>
  </w:abstractNum>
  <w:abstractNum w:abstractNumId="23">
    <w:nsid w:val="B03E0C6"/>
    <w:multiLevelType w:val="hybridMultilevel"/>
    <w:lvl w:ilvl="0">
      <w:lvlJc w:val="left"/>
      <w:lvlText w:val="(%1)"/>
      <w:numFmt w:val="decimal"/>
      <w:start w:val="1"/>
    </w:lvl>
    <w:lvl w:ilvl="1">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
      <w:numFmt w:val="bullet"/>
      <w:start w:val="1"/>
    </w:lvl>
    <w:lvl w:ilvl="1">
      <w:lvlJc w:val="left"/>
      <w:lvlText w:val="-"/>
      <w:numFmt w:val="bullet"/>
      <w:start w:val="1"/>
    </w:lvl>
  </w:abstractNum>
  <w:abstractNum w:abstractNumId="27">
    <w:nsid w:val="2CA88611"/>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2023-02-08T15:36:54Z</dcterms:created>
  <dcterms:modified xsi:type="dcterms:W3CDTF">2023-02-08T15:36:54Z</dcterms:modified>
</cp:coreProperties>
</file>