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477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4773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Chiang Willie CW</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40"/>
              <w:spacing w:after="0"/>
              <w:rPr>
                <w:sz w:val="20"/>
                <w:szCs w:val="20"/>
                <w:color w:val="auto"/>
              </w:rPr>
            </w:pPr>
            <w:r>
              <w:rPr>
                <w:rFonts w:ascii="Arial" w:cs="Arial" w:eastAsia="Arial" w:hAnsi="Arial"/>
                <w:sz w:val="13"/>
                <w:szCs w:val="13"/>
                <w:color w:val="auto"/>
              </w:rPr>
              <w:t>(First)</w:t>
            </w:r>
          </w:p>
        </w:tc>
        <w:tc>
          <w:tcPr>
            <w:tcW w:w="158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0000FF"/>
              </w:rPr>
              <w:t>333 CLAY ST., STE. 1600</w:t>
            </w:r>
          </w:p>
        </w:tc>
        <w:tc>
          <w:tcPr>
            <w:tcW w:w="15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HOUSTON</w:t>
            </w:r>
          </w:p>
        </w:tc>
        <w:tc>
          <w:tcPr>
            <w:tcW w:w="1160" w:type="dxa"/>
            <w:vAlign w:val="bottom"/>
          </w:tcPr>
          <w:p>
            <w:pPr>
              <w:ind w:left="240"/>
              <w:spacing w:after="0"/>
              <w:rPr>
                <w:sz w:val="20"/>
                <w:szCs w:val="20"/>
                <w:color w:val="auto"/>
              </w:rPr>
            </w:pPr>
            <w:r>
              <w:rPr>
                <w:rFonts w:ascii="Arial" w:cs="Arial" w:eastAsia="Arial" w:hAnsi="Arial"/>
                <w:sz w:val="17"/>
                <w:szCs w:val="17"/>
                <w:color w:val="0000FF"/>
              </w:rPr>
              <w:t>TX</w:t>
            </w:r>
          </w:p>
        </w:tc>
        <w:tc>
          <w:tcPr>
            <w:tcW w:w="1580" w:type="dxa"/>
            <w:vAlign w:val="bottom"/>
          </w:tcPr>
          <w:p>
            <w:pPr>
              <w:ind w:left="34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40"/>
              <w:spacing w:after="0"/>
              <w:rPr>
                <w:sz w:val="20"/>
                <w:szCs w:val="20"/>
                <w:color w:val="auto"/>
              </w:rPr>
            </w:pPr>
            <w:r>
              <w:rPr>
                <w:rFonts w:ascii="Arial" w:cs="Arial" w:eastAsia="Arial" w:hAnsi="Arial"/>
                <w:sz w:val="13"/>
                <w:szCs w:val="13"/>
                <w:color w:val="auto"/>
              </w:rPr>
              <w:t>(State)</w:t>
            </w:r>
          </w:p>
        </w:tc>
        <w:tc>
          <w:tcPr>
            <w:tcW w:w="158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920" w:type="dxa"/>
            <w:vAlign w:val="bottom"/>
            <w:gridSpan w:val="2"/>
          </w:tcPr>
          <w:p>
            <w:pPr>
              <w:spacing w:after="0" w:line="20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0" w:type="dxa"/>
            <w:vAlign w:val="bottom"/>
            <w:vMerge w:val="restart"/>
          </w:tcPr>
          <w:p>
            <w:pPr>
              <w:spacing w:after="0"/>
              <w:rPr>
                <w:sz w:val="11"/>
                <w:szCs w:val="11"/>
                <w:color w:val="auto"/>
              </w:rPr>
            </w:pPr>
          </w:p>
        </w:tc>
        <w:tc>
          <w:tcPr>
            <w:tcW w:w="366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26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tcPr>
          <w:p>
            <w:pPr>
              <w:ind w:left="120"/>
              <w:spacing w:after="0" w:line="131" w:lineRule="exact"/>
              <w:rPr>
                <w:sz w:val="20"/>
                <w:szCs w:val="20"/>
                <w:color w:val="auto"/>
              </w:rPr>
            </w:pPr>
            <w:r>
              <w:rPr>
                <w:rFonts w:ascii="Arial" w:cs="Arial" w:eastAsia="Arial" w:hAnsi="Arial"/>
                <w:sz w:val="13"/>
                <w:szCs w:val="13"/>
                <w:color w:val="auto"/>
              </w:rPr>
              <w:t>Director</w:t>
            </w:r>
          </w:p>
        </w:tc>
        <w:tc>
          <w:tcPr>
            <w:tcW w:w="1520" w:type="dxa"/>
            <w:vAlign w:val="bottom"/>
          </w:tcPr>
          <w:p>
            <w:pPr>
              <w:ind w:left="360"/>
              <w:spacing w:after="0" w:line="13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2"/>
        </w:trPr>
        <w:tc>
          <w:tcPr>
            <w:tcW w:w="60" w:type="dxa"/>
            <w:vAlign w:val="bottom"/>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3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398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9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2920" w:type="dxa"/>
            <w:vAlign w:val="bottom"/>
            <w:gridSpan w:val="2"/>
            <w:vMerge w:val="restart"/>
          </w:tcPr>
          <w:p>
            <w:pPr>
              <w:ind w:left="540"/>
              <w:spacing w:after="0"/>
              <w:rPr>
                <w:sz w:val="20"/>
                <w:szCs w:val="20"/>
                <w:color w:val="auto"/>
              </w:rPr>
            </w:pPr>
            <w:r>
              <w:rPr>
                <w:rFonts w:ascii="Arial" w:cs="Arial" w:eastAsia="Arial" w:hAnsi="Arial"/>
                <w:sz w:val="17"/>
                <w:szCs w:val="17"/>
                <w:color w:val="0000FF"/>
              </w:rPr>
              <w:t>EVP &amp; COO (U.S.)</w:t>
            </w:r>
          </w:p>
        </w:tc>
        <w:tc>
          <w:tcPr>
            <w:tcW w:w="0" w:type="dxa"/>
            <w:vAlign w:val="bottom"/>
          </w:tcPr>
          <w:p>
            <w:pPr>
              <w:spacing w:after="0"/>
              <w:rPr>
                <w:sz w:val="1"/>
                <w:szCs w:val="1"/>
                <w:color w:val="auto"/>
              </w:rPr>
            </w:pPr>
          </w:p>
        </w:tc>
      </w:tr>
      <w:tr>
        <w:trPr>
          <w:trHeight w:val="111"/>
        </w:trPr>
        <w:tc>
          <w:tcPr>
            <w:tcW w:w="3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11/15/2016</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7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3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Units in</w:t>
            </w:r>
          </w:p>
        </w:tc>
        <w:tc>
          <w:tcPr>
            <w:tcW w:w="80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11/15/2016</w:t>
            </w:r>
          </w:p>
        </w:tc>
        <w:tc>
          <w:tcPr>
            <w:tcW w:w="1100" w:type="dxa"/>
            <w:vAlign w:val="bottom"/>
          </w:tcPr>
          <w:p>
            <w:pPr>
              <w:spacing w:after="0"/>
              <w:rPr>
                <w:sz w:val="18"/>
                <w:szCs w:val="18"/>
                <w:color w:val="auto"/>
              </w:rPr>
            </w:pPr>
          </w:p>
        </w:tc>
        <w:tc>
          <w:tcPr>
            <w:tcW w:w="840" w:type="dxa"/>
            <w:vAlign w:val="bottom"/>
          </w:tcPr>
          <w:p>
            <w:pPr>
              <w:ind w:left="80"/>
              <w:spacing w:after="0" w:line="207"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(1)(2)</w:t>
            </w:r>
          </w:p>
        </w:tc>
        <w:tc>
          <w:tcPr>
            <w:tcW w:w="660" w:type="dxa"/>
            <w:vAlign w:val="bottom"/>
          </w:tcPr>
          <w:p>
            <w:pPr>
              <w:ind w:left="80"/>
              <w:spacing w:after="0"/>
              <w:rPr>
                <w:sz w:val="20"/>
                <w:szCs w:val="20"/>
                <w:color w:val="auto"/>
              </w:rPr>
            </w:pPr>
            <w:r>
              <w:rPr>
                <w:rFonts w:ascii="Arial" w:cs="Arial" w:eastAsia="Arial" w:hAnsi="Arial"/>
                <w:sz w:val="13"/>
                <w:szCs w:val="13"/>
                <w:color w:val="0000FF"/>
              </w:rPr>
              <w:t>375,521</w:t>
            </w:r>
          </w:p>
        </w:tc>
        <w:tc>
          <w:tcPr>
            <w:tcW w:w="2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40" w:type="dxa"/>
            <w:vAlign w:val="bottom"/>
          </w:tcPr>
          <w:p>
            <w:pPr>
              <w:jc w:val="right"/>
              <w:ind w:right="242"/>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353,490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rPr>
                <w:sz w:val="20"/>
                <w:szCs w:val="20"/>
                <w:color w:val="auto"/>
              </w:rPr>
            </w:pPr>
            <w:r>
              <w:rPr>
                <w:rFonts w:ascii="Arial" w:cs="Arial" w:eastAsia="Arial" w:hAnsi="Arial"/>
                <w:sz w:val="13"/>
                <w:szCs w:val="13"/>
                <w:color w:val="0000FF"/>
              </w:rPr>
              <w:t>375,521</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Plains</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Units</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AAP, L.P.</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("PAGP"), at a conversion ratio of approximately 0.941 Class A Units and Class B shares for each Class B Unit.</w:t>
      </w:r>
    </w:p>
    <w:p>
      <w:pPr>
        <w:spacing w:after="0" w:line="29" w:lineRule="exact"/>
        <w:rPr>
          <w:rFonts w:ascii="Arial" w:cs="Arial" w:eastAsia="Arial" w:hAnsi="Arial"/>
          <w:sz w:val="13"/>
          <w:szCs w:val="13"/>
          <w:color w:val="008000"/>
        </w:rPr>
      </w:pPr>
    </w:p>
    <w:p>
      <w:pPr>
        <w:ind w:left="40" w:right="160" w:firstLine="6"/>
        <w:spacing w:after="0" w:line="265"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limited partnership agreement of AAP was amended and restated on November 15, 2016 to provide that, among other things, each limited partner of AAP holding Class A Units, including the Reporting Person following conversion, will have the right, subject to certain limitations, to redeem its Class A Units for common units ("Common Units") of Plains All American Pipeline, L.P. (the "Issuer") on a one-for-one basis, by delivering such Class A Units to Plains AAP along with the associated Class B Shares and GP Units (the "GP Units") in PAA GP Holdings LLC (if applicable), to PAGP (the "Redemption Right"). Pursuant to the limited partnership agreement of AAP, prior to November 15, 2017, the Reporting Person may not exercise his Redemption Right if such exercise would result in the redemption (taken together with any previous redemptions by the Reporting Person) of more than 78% of the Class A Units held by the Reporting Person as of November 15, 2016.</w:t>
      </w:r>
    </w:p>
    <w:p>
      <w:pPr>
        <w:spacing w:after="0" w:line="18" w:lineRule="exact"/>
        <w:rPr>
          <w:rFonts w:ascii="Arial" w:cs="Arial" w:eastAsia="Arial" w:hAnsi="Arial"/>
          <w:sz w:val="12"/>
          <w:szCs w:val="12"/>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the Redemption Right does not expire.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Ann F. Gullion, as attorney-</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11/17/2016</w:t>
            </w:r>
          </w:p>
        </w:tc>
        <w:tc>
          <w:tcPr>
            <w:tcW w:w="0" w:type="dxa"/>
            <w:vAlign w:val="bottom"/>
          </w:tcPr>
          <w:p>
            <w:pPr>
              <w:spacing w:after="0"/>
              <w:rPr>
                <w:sz w:val="1"/>
                <w:szCs w:val="1"/>
                <w:color w:val="auto"/>
              </w:rPr>
            </w:pPr>
          </w:p>
        </w:tc>
      </w:tr>
      <w:tr>
        <w:trPr>
          <w:trHeight w:val="86"/>
        </w:trPr>
        <w:tc>
          <w:tcPr>
            <w:tcW w:w="2080" w:type="dxa"/>
            <w:vAlign w:val="bottom"/>
            <w:vMerge w:val="restart"/>
          </w:tcPr>
          <w:p>
            <w:pPr>
              <w:spacing w:after="0" w:line="192" w:lineRule="exact"/>
              <w:rPr>
                <w:sz w:val="20"/>
                <w:szCs w:val="20"/>
                <w:color w:val="auto"/>
              </w:rPr>
            </w:pPr>
            <w:r>
              <w:rPr>
                <w:rFonts w:ascii="Arial" w:cs="Arial" w:eastAsia="Arial" w:hAnsi="Arial"/>
                <w:sz w:val="17"/>
                <w:szCs w:val="17"/>
                <w:color w:val="0000FF"/>
                <w:w w:val="96"/>
              </w:rPr>
              <w:t>fin-fact for Willie CW Chiang</w:t>
            </w:r>
          </w:p>
        </w:tc>
        <w:tc>
          <w:tcPr>
            <w:tcW w:w="1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8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2020-01-19T09:45:19Z</dcterms:created>
  <dcterms:modified xsi:type="dcterms:W3CDTF">2020-01-19T09:45:19Z</dcterms:modified>
</cp:coreProperties>
</file>