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16, 2010</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39"/>
          <w:szCs w:val="39"/>
          <w:b w:val="1"/>
          <w:bCs w:val="1"/>
          <w:color w:val="auto"/>
        </w:rPr>
        <w:t>Plains All American Pipeline, L.P.</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22" w:right="359" w:bottom="1440" w:gutter="0" w:footer="0" w:header="0"/>
        </w:sectPr>
      </w:pP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210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0"/>
          <w:szCs w:val="20"/>
          <w:color w:val="auto"/>
        </w:rPr>
      </w:pPr>
    </w:p>
    <w:p>
      <w:pPr>
        <w:jc w:val="center"/>
        <w:ind w:right="2100"/>
        <w:spacing w:after="0"/>
        <w:rPr>
          <w:sz w:val="20"/>
          <w:szCs w:val="20"/>
          <w:color w:val="auto"/>
        </w:rPr>
      </w:pPr>
      <w:r>
        <w:rPr>
          <w:rFonts w:ascii="Arial" w:cs="Arial" w:eastAsia="Arial" w:hAnsi="Arial"/>
          <w:sz w:val="16"/>
          <w:szCs w:val="16"/>
          <w:color w:val="auto"/>
        </w:rPr>
        <w:t>(Commission</w:t>
      </w:r>
    </w:p>
    <w:p>
      <w:pPr>
        <w:spacing w:after="0" w:line="32" w:lineRule="exact"/>
        <w:rPr>
          <w:sz w:val="20"/>
          <w:szCs w:val="20"/>
          <w:color w:val="auto"/>
        </w:rPr>
      </w:pPr>
    </w:p>
    <w:p>
      <w:pPr>
        <w:jc w:val="center"/>
        <w:ind w:right="2100"/>
        <w:spacing w:after="0"/>
        <w:rPr>
          <w:sz w:val="20"/>
          <w:szCs w:val="20"/>
          <w:color w:val="auto"/>
        </w:rPr>
      </w:pPr>
      <w:r>
        <w:rPr>
          <w:rFonts w:ascii="Arial" w:cs="Arial" w:eastAsia="Arial" w:hAnsi="Arial"/>
          <w:sz w:val="16"/>
          <w:szCs w:val="16"/>
          <w:color w:val="auto"/>
        </w:rPr>
        <w:t>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11" w:lineRule="exact"/>
        <w:rPr>
          <w:sz w:val="20"/>
          <w:szCs w:val="20"/>
          <w:color w:val="auto"/>
        </w:rPr>
      </w:pPr>
    </w:p>
    <w:p>
      <w:pPr>
        <w:sectPr>
          <w:pgSz w:w="11900" w:h="16838" w:orient="portrait"/>
          <w:cols w:equalWidth="0" w:num="3">
            <w:col w:w="4520" w:space="720"/>
            <w:col w:w="3080" w:space="720"/>
            <w:col w:w="2260"/>
          </w:cols>
          <w:pgMar w:left="240" w:top="122" w:right="359" w:bottom="1440" w:gutter="0" w:footer="0" w:header="0"/>
          <w:type w:val="continuous"/>
        </w:sectPr>
      </w:pPr>
    </w:p>
    <w:p>
      <w:pPr>
        <w:spacing w:after="0" w:line="7"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333 Clay Street, Suite 1600</w:t>
      </w:r>
    </w:p>
    <w:p>
      <w:pPr>
        <w:spacing w:after="0" w:line="50"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(Address of principal</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executive offices)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22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439" w:lineRule="exact"/>
        <w:rPr>
          <w:sz w:val="20"/>
          <w:szCs w:val="20"/>
          <w:color w:val="auto"/>
        </w:rPr>
      </w:pPr>
    </w:p>
    <w:p>
      <w:pPr>
        <w:sectPr>
          <w:pgSz w:w="11900" w:h="16838" w:orient="portrait"/>
          <w:cols w:equalWidth="0" w:num="2">
            <w:col w:w="7580" w:space="720"/>
            <w:col w:w="3000"/>
          </w:cols>
          <w:pgMar w:left="240" w:top="122" w:right="359" w:bottom="1440" w:gutter="0" w:footer="0" w:header="0"/>
          <w:type w:val="continuous"/>
        </w:sectPr>
      </w:pP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(713) 646-4100</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 Not applicable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7.01. Regulation FD Disclosure.</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EX-1.1</w:t>
        </w:r>
      </w:hyperlink>
    </w:p>
    <w:p>
      <w:pPr>
        <w:spacing w:after="0" w:line="231" w:lineRule="auto"/>
        <w:rPr>
          <w:rFonts w:ascii="Arial" w:cs="Arial" w:eastAsia="Arial" w:hAnsi="Arial"/>
          <w:sz w:val="22"/>
          <w:szCs w:val="22"/>
          <w:u w:val="single" w:color="auto"/>
          <w:color w:val="0000EE"/>
        </w:rPr>
      </w:pPr>
      <w:hyperlink w:anchor="page57">
        <w:r>
          <w:rPr>
            <w:rFonts w:ascii="Arial" w:cs="Arial" w:eastAsia="Arial" w:hAnsi="Arial"/>
            <w:sz w:val="22"/>
            <w:szCs w:val="22"/>
            <w:u w:val="single" w:color="auto"/>
            <w:color w:val="0000EE"/>
          </w:rPr>
          <w:t>EX-5.1</w:t>
        </w:r>
      </w:hyperlink>
    </w:p>
    <w:p>
      <w:pPr>
        <w:spacing w:after="0" w:line="231" w:lineRule="auto"/>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EX-8.1</w:t>
        </w:r>
      </w:hyperlink>
    </w:p>
    <w:p>
      <w:pPr>
        <w:spacing w:after="0"/>
        <w:rPr>
          <w:rFonts w:ascii="Arial" w:cs="Arial" w:eastAsia="Arial" w:hAnsi="Arial"/>
          <w:sz w:val="22"/>
          <w:szCs w:val="22"/>
          <w:u w:val="single" w:color="auto"/>
          <w:color w:val="0000EE"/>
        </w:rPr>
      </w:pPr>
      <w:hyperlink w:anchor="page60">
        <w:r>
          <w:rPr>
            <w:rFonts w:ascii="Arial" w:cs="Arial" w:eastAsia="Arial" w:hAnsi="Arial"/>
            <w:sz w:val="22"/>
            <w:szCs w:val="22"/>
            <w:u w:val="single" w:color="auto"/>
            <w:color w:val="0000EE"/>
          </w:rPr>
          <w:t>EX-99.1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On November 16, 2010, Plains All American Pipeline, L.P. (the “Partnership”) entered into an Underwriting Agreement (the “Underwriting Agreement”) with Citigroup Global Markets Inc., Merrill Lynch, Pierce, Fenner &amp; Smith Incorporated, Morgan Stanley &amp; Co. Incorporated and Wells Fargo Securities, LLC, as representatives (“Representatives”) of the several underwriters named therein (the “Underwriters”), that provides for the issuance and sale by the Partnership, and purchase by the Underwriters, of 4,200,000 common units representing limited partner interests in the Partnership (the “Common Units”). The Underwriters were also granted an over allotment option for a period of 30 days to purchase up to an additional 630,000 common units. The material terms of the offering of the Common Units are described in the prospectus supplement, dated November 16, 2010, as filed by the Partnership with the Securities and Exchange Commission (the “Commission”). The offer and sale of the Common Units is registered with the Commission pursuant to a Registration Statement on Form S-3 (Registration No. 333-162475) filed by the Partnership on October 14, 2009, and the closing with respect to the Common Units is expected to occur on November 19, 2010.</w:t>
      </w:r>
    </w:p>
    <w:p>
      <w:pPr>
        <w:spacing w:after="0" w:line="74"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The Underwriting Agreement contains customary representations, warranties and agreements of the Partnership and certain affiliates, and customary conditions to closing, indemnification rights, obligations of the parties and termination provisions.</w:t>
      </w:r>
    </w:p>
    <w:p>
      <w:pPr>
        <w:spacing w:after="0" w:line="62"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Each of the Underwriters or their respective affiliates have performed investment and commercial banking and advisory services for the Partnership and its affiliates from time to time for which they have received customary fees and expenses. The Underwriters and their affiliates may, from time to time, engage in transactions with and perform services for the Partnership in the ordinary course of their business. Affiliates of each of the Underwriters are lenders under the Partnership’s credit facilities and accordingly will receive a substantial portion of the proceeds from the offering pursuant to the repayment of borrowings under such facilities.</w:t>
      </w:r>
    </w:p>
    <w:p>
      <w:pPr>
        <w:spacing w:after="0" w:line="80"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foregoing description of the Underwriting Agreement is qualified in its entirety by reference to such Underwriting Agreement, a copy of which is filed herewith as Exhibit 1.1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On November 16, 2010, the Partnership issued a press release announcing that it had priced the offering described in Item 1.01 of this Current Report on Form 8-K. A copy of the press release is furnished as Exhibit 99.1 hereto.</w:t>
      </w:r>
    </w:p>
    <w:p>
      <w:pPr>
        <w:spacing w:after="0" w:line="62" w:lineRule="exact"/>
        <w:rPr>
          <w:sz w:val="20"/>
          <w:szCs w:val="20"/>
          <w:color w:val="auto"/>
        </w:rPr>
      </w:pPr>
    </w:p>
    <w:p>
      <w:pPr>
        <w:jc w:val="both"/>
        <w:ind w:right="160" w:firstLine="225"/>
        <w:spacing w:after="0" w:line="312" w:lineRule="auto"/>
        <w:rPr>
          <w:sz w:val="20"/>
          <w:szCs w:val="20"/>
          <w:color w:val="auto"/>
        </w:rPr>
      </w:pPr>
      <w:r>
        <w:rPr>
          <w:rFonts w:ascii="Arial" w:cs="Arial" w:eastAsia="Arial" w:hAnsi="Arial"/>
          <w:sz w:val="16"/>
          <w:szCs w:val="16"/>
          <w:color w:val="auto"/>
        </w:rPr>
        <w:t>In accordance with General Instruction B.2 of Form 8-K, the press release is deemed to be “furnished” and shall not be deemed “filed” for the purpose of Section 18 of the Securities Exchange Act of 1934, as amended, or otherwise subject to the liabilities of that section, nor shall such information and Exhibit be deemed incorporated by reference into any filing under the Securities Act of 1933 or the Securities Exchange Act of 1934, each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Arial" w:cs="Arial" w:eastAsia="Arial" w:hAnsi="Arial"/>
                <w:sz w:val="14"/>
                <w:szCs w:val="14"/>
                <w:color w:val="auto"/>
              </w:rPr>
              <w:t>Exhibit</w:t>
            </w:r>
          </w:p>
        </w:tc>
        <w:tc>
          <w:tcPr>
            <w:tcW w:w="58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67"/>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58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1.1</w:t>
            </w:r>
          </w:p>
        </w:tc>
        <w:tc>
          <w:tcPr>
            <w:tcW w:w="58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4"/>
              </w:rPr>
              <w:t>Underwriting Agreement, dated November 16, 2010, by and among Plains All American Pipeline, L.P. and Citigroup Global Markets Inc.,</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Merrill Lynch, Pierce, Fenner &amp; Smith Incorporated, Morgan Stanley &amp; Co. Incorporated and Wells Fargo Securities, LLC, as representatives</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 the several underwriters named therein.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Vinson &amp; Elkins L.L.P.</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8.1</w:t>
            </w: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Vinson &amp; Elkins L.L.P. as to certain tax matters.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November 16, 2010.</w:t>
            </w:r>
          </w:p>
        </w:tc>
      </w:tr>
      <w:tr>
        <w:trPr>
          <w:trHeight w:val="405"/>
        </w:trPr>
        <w:tc>
          <w:tcPr>
            <w:tcW w:w="580" w:type="dxa"/>
            <w:vAlign w:val="bottom"/>
          </w:tcPr>
          <w:p>
            <w:pPr>
              <w:spacing w:after="0"/>
              <w:rPr>
                <w:sz w:val="24"/>
                <w:szCs w:val="24"/>
                <w:color w:val="auto"/>
              </w:rPr>
            </w:pPr>
          </w:p>
        </w:tc>
        <w:tc>
          <w:tcPr>
            <w:tcW w:w="10840" w:type="dxa"/>
            <w:vAlign w:val="bottom"/>
            <w:gridSpan w:val="2"/>
          </w:tcPr>
          <w:p>
            <w:pPr>
              <w:jc w:val="right"/>
              <w:ind w:right="5573"/>
              <w:spacing w:after="0"/>
              <w:rPr>
                <w:sz w:val="20"/>
                <w:szCs w:val="20"/>
                <w:color w:val="auto"/>
              </w:rPr>
            </w:pPr>
            <w:r>
              <w:rPr>
                <w:rFonts w:ascii="Arial" w:cs="Arial" w:eastAsia="Arial" w:hAnsi="Arial"/>
                <w:sz w:val="18"/>
                <w:szCs w:val="18"/>
                <w:color w:val="auto"/>
              </w:rPr>
              <w:t>1</w:t>
            </w:r>
          </w:p>
        </w:tc>
      </w:tr>
      <w:tr>
        <w:trPr>
          <w:trHeight w:val="226"/>
        </w:trPr>
        <w:tc>
          <w:tcPr>
            <w:tcW w:w="5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PLAINS ALL AMERICAN GP LLC,</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Tim Moore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Tim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17, 2010</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46"/>
        </w:trPr>
        <w:tc>
          <w:tcPr>
            <w:tcW w:w="58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58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167"/>
        </w:trPr>
        <w:tc>
          <w:tcPr>
            <w:tcW w:w="580" w:type="dxa"/>
            <w:vAlign w:val="bottom"/>
            <w:gridSpan w:val="2"/>
          </w:tcPr>
          <w:p>
            <w:pPr>
              <w:spacing w:after="0"/>
              <w:rPr>
                <w:sz w:val="20"/>
                <w:szCs w:val="20"/>
                <w:color w:val="auto"/>
              </w:rPr>
            </w:pPr>
            <w:r>
              <w:rPr>
                <w:rFonts w:ascii="Arial" w:cs="Arial" w:eastAsia="Arial" w:hAnsi="Arial"/>
                <w:sz w:val="14"/>
                <w:szCs w:val="14"/>
                <w:color w:val="auto"/>
              </w:rPr>
              <w:t>Number</w:t>
            </w:r>
          </w:p>
        </w:tc>
        <w:tc>
          <w:tcPr>
            <w:tcW w:w="580" w:type="dxa"/>
            <w:vAlign w:val="bottom"/>
          </w:tcPr>
          <w:p>
            <w:pPr>
              <w:spacing w:after="0"/>
              <w:rPr>
                <w:sz w:val="14"/>
                <w:szCs w:val="14"/>
                <w:color w:val="auto"/>
              </w:rPr>
            </w:pPr>
          </w:p>
        </w:tc>
        <w:tc>
          <w:tcPr>
            <w:tcW w:w="10260" w:type="dxa"/>
            <w:vAlign w:val="bottom"/>
          </w:tcPr>
          <w:p>
            <w:pPr>
              <w:spacing w:after="0"/>
              <w:rPr>
                <w:sz w:val="20"/>
                <w:szCs w:val="20"/>
                <w:color w:val="auto"/>
              </w:rPr>
            </w:pPr>
            <w:r>
              <w:rPr>
                <w:rFonts w:ascii="Arial" w:cs="Arial" w:eastAsia="Arial" w:hAnsi="Arial"/>
                <w:sz w:val="14"/>
                <w:szCs w:val="14"/>
                <w:color w:val="auto"/>
              </w:rPr>
              <w:t>Description</w:t>
            </w:r>
          </w:p>
        </w:tc>
      </w:tr>
      <w:tr>
        <w:trPr>
          <w:trHeight w:val="195"/>
        </w:trPr>
        <w:tc>
          <w:tcPr>
            <w:tcW w:w="20" w:type="dxa"/>
            <w:vAlign w:val="bottom"/>
          </w:tcPr>
          <w:p>
            <w:pPr>
              <w:spacing w:after="0"/>
              <w:rPr>
                <w:sz w:val="16"/>
                <w:szCs w:val="16"/>
                <w:color w:val="auto"/>
              </w:rPr>
            </w:pPr>
          </w:p>
        </w:tc>
        <w:tc>
          <w:tcPr>
            <w:tcW w:w="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1.1</w:t>
            </w:r>
          </w:p>
        </w:tc>
        <w:tc>
          <w:tcPr>
            <w:tcW w:w="580" w:type="dxa"/>
            <w:vAlign w:val="bottom"/>
          </w:tcPr>
          <w:p>
            <w:pPr>
              <w:spacing w:after="0"/>
              <w:rPr>
                <w:sz w:val="16"/>
                <w:szCs w:val="16"/>
                <w:color w:val="auto"/>
              </w:rPr>
            </w:pPr>
          </w:p>
        </w:tc>
        <w:tc>
          <w:tcPr>
            <w:tcW w:w="10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Underwriting Agreement, dated November 16, 2010, by and among Plains All American Pipeline, L.P. and Citigroup Global Markets Inc.,</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Merrill Lynch, Pierce, Fenner &amp; Smith Incorporated, Morgan Stanley &amp; Co. Incorporated and Wells Fargo Securities, LLC, as representatives</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 the several underwriters named therein.</w:t>
            </w:r>
          </w:p>
        </w:tc>
      </w:tr>
      <w:tr>
        <w:trPr>
          <w:trHeight w:val="216"/>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5.1</w:t>
            </w: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Vinson &amp; Elkins L.L.P.</w:t>
            </w:r>
          </w:p>
        </w:tc>
      </w:tr>
      <w:tr>
        <w:trPr>
          <w:trHeight w:val="216"/>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8.1</w:t>
            </w: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Vinson &amp; Elkins L.L.P. as to certain tax matters.</w:t>
            </w:r>
          </w:p>
        </w:tc>
      </w:tr>
      <w:tr>
        <w:trPr>
          <w:trHeight w:val="230"/>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1"/>
              </w:rPr>
              <w:t>99.1</w:t>
            </w: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November 16, 2010.</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4,200,000 Common Units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16, 2010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 34th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40" w:firstLine="450"/>
        <w:spacing w:after="0" w:line="295" w:lineRule="auto"/>
        <w:rPr>
          <w:sz w:val="20"/>
          <w:szCs w:val="20"/>
          <w:color w:val="auto"/>
        </w:rPr>
      </w:pPr>
      <w:r>
        <w:rPr>
          <w:rFonts w:ascii="Arial" w:cs="Arial" w:eastAsia="Arial" w:hAnsi="Arial"/>
          <w:sz w:val="16"/>
          <w:szCs w:val="16"/>
          <w:color w:val="auto"/>
        </w:rPr>
        <w:t>Plains All American Pipeline, L.P., a Delaware limited partnership (the “</w:t>
      </w:r>
      <w:r>
        <w:rPr>
          <w:rFonts w:ascii="Arial" w:cs="Arial" w:eastAsia="Arial" w:hAnsi="Arial"/>
          <w:sz w:val="16"/>
          <w:szCs w:val="16"/>
          <w:b w:val="1"/>
          <w:bCs w:val="1"/>
          <w:color w:val="auto"/>
        </w:rPr>
        <w:t>Partnership</w:t>
      </w:r>
      <w:r>
        <w:rPr>
          <w:rFonts w:ascii="Arial" w:cs="Arial" w:eastAsia="Arial" w:hAnsi="Arial"/>
          <w:sz w:val="16"/>
          <w:szCs w:val="16"/>
          <w:color w:val="auto"/>
        </w:rPr>
        <w:t>”), proposes to issue and sell an aggregate of 4,200,000 common units (the “</w:t>
      </w:r>
      <w:r>
        <w:rPr>
          <w:rFonts w:ascii="Arial" w:cs="Arial" w:eastAsia="Arial" w:hAnsi="Arial"/>
          <w:sz w:val="16"/>
          <w:szCs w:val="16"/>
          <w:b w:val="1"/>
          <w:bCs w:val="1"/>
          <w:color w:val="auto"/>
        </w:rPr>
        <w:t>Firm Units</w:t>
      </w:r>
      <w:r>
        <w:rPr>
          <w:rFonts w:ascii="Arial" w:cs="Arial" w:eastAsia="Arial" w:hAnsi="Arial"/>
          <w:sz w:val="16"/>
          <w:szCs w:val="16"/>
          <w:color w:val="auto"/>
        </w:rPr>
        <w:t>”) representing limited partner interests in the Partnership (“</w:t>
      </w:r>
      <w:r>
        <w:rPr>
          <w:rFonts w:ascii="Arial" w:cs="Arial" w:eastAsia="Arial" w:hAnsi="Arial"/>
          <w:sz w:val="16"/>
          <w:szCs w:val="16"/>
          <w:b w:val="1"/>
          <w:bCs w:val="1"/>
          <w:color w:val="auto"/>
        </w:rPr>
        <w:t>Common Units</w:t>
      </w:r>
      <w:r>
        <w:rPr>
          <w:rFonts w:ascii="Arial" w:cs="Arial" w:eastAsia="Arial" w:hAnsi="Arial"/>
          <w:sz w:val="16"/>
          <w:szCs w:val="16"/>
          <w:color w:val="auto"/>
        </w:rPr>
        <w:t xml:space="preserve">”) to the several underwriters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Underwriters</w:t>
      </w:r>
      <w:r>
        <w:rPr>
          <w:rFonts w:ascii="Arial" w:cs="Arial" w:eastAsia="Arial" w:hAnsi="Arial"/>
          <w:sz w:val="16"/>
          <w:szCs w:val="16"/>
          <w:color w:val="auto"/>
        </w:rPr>
        <w:t>”), for whom Citigroup Global Markets Inc., Merrill Lynch, Pierce, Fenner &amp; Smith Incorporated, Morgan Stanley &amp; Co. Incorporated and Wells Fargo Securities, LLC are acting as the representatives (the “</w:t>
      </w:r>
      <w:r>
        <w:rPr>
          <w:rFonts w:ascii="Arial" w:cs="Arial" w:eastAsia="Arial" w:hAnsi="Arial"/>
          <w:sz w:val="16"/>
          <w:szCs w:val="16"/>
          <w:b w:val="1"/>
          <w:bCs w:val="1"/>
          <w:color w:val="auto"/>
        </w:rPr>
        <w:t>Representatives</w:t>
      </w:r>
      <w:r>
        <w:rPr>
          <w:rFonts w:ascii="Arial" w:cs="Arial" w:eastAsia="Arial" w:hAnsi="Arial"/>
          <w:sz w:val="16"/>
          <w:szCs w:val="16"/>
          <w:color w:val="auto"/>
        </w:rPr>
        <w:t>”), upon the terms and conditions set forth in Section 2 hereof. The Partnership also proposes to grant to the Underwriters, upon the terms and conditions set forth in Section 2 hereof, an option to purchase up to an additional 630,000 Common Units (the “</w:t>
      </w:r>
      <w:r>
        <w:rPr>
          <w:rFonts w:ascii="Arial" w:cs="Arial" w:eastAsia="Arial" w:hAnsi="Arial"/>
          <w:sz w:val="16"/>
          <w:szCs w:val="16"/>
          <w:b w:val="1"/>
          <w:bCs w:val="1"/>
          <w:color w:val="auto"/>
        </w:rPr>
        <w:t>Option Units</w:t>
      </w:r>
      <w:r>
        <w:rPr>
          <w:rFonts w:ascii="Arial" w:cs="Arial" w:eastAsia="Arial" w:hAnsi="Arial"/>
          <w:sz w:val="16"/>
          <w:szCs w:val="16"/>
          <w:color w:val="auto"/>
        </w:rPr>
        <w:t>”). The Firm Units and the Option Units, if purchased, are hereinafter collectively called the “</w:t>
      </w:r>
      <w:r>
        <w:rPr>
          <w:rFonts w:ascii="Arial" w:cs="Arial" w:eastAsia="Arial" w:hAnsi="Arial"/>
          <w:sz w:val="16"/>
          <w:szCs w:val="16"/>
          <w:b w:val="1"/>
          <w:bCs w:val="1"/>
          <w:color w:val="auto"/>
        </w:rPr>
        <w:t>Units</w:t>
      </w:r>
      <w:r>
        <w:rPr>
          <w:rFonts w:ascii="Arial" w:cs="Arial" w:eastAsia="Arial" w:hAnsi="Arial"/>
          <w:sz w:val="16"/>
          <w:szCs w:val="16"/>
          <w:color w:val="auto"/>
        </w:rPr>
        <w:t>.”</w:t>
      </w:r>
    </w:p>
    <w:p>
      <w:pPr>
        <w:spacing w:after="0" w:line="48" w:lineRule="exact"/>
        <w:rPr>
          <w:sz w:val="20"/>
          <w:szCs w:val="20"/>
          <w:color w:val="auto"/>
        </w:rPr>
      </w:pPr>
    </w:p>
    <w:p>
      <w:pPr>
        <w:ind w:right="220" w:firstLine="450"/>
        <w:spacing w:after="0" w:line="314" w:lineRule="auto"/>
        <w:rPr>
          <w:sz w:val="20"/>
          <w:szCs w:val="20"/>
          <w:color w:val="auto"/>
        </w:rPr>
      </w:pPr>
      <w:r>
        <w:rPr>
          <w:rFonts w:ascii="Arial" w:cs="Arial" w:eastAsia="Arial" w:hAnsi="Arial"/>
          <w:sz w:val="16"/>
          <w:szCs w:val="16"/>
          <w:color w:val="auto"/>
        </w:rPr>
        <w:t>PAA GP LLC, a Delaware limited liability company (the “</w:t>
      </w:r>
      <w:r>
        <w:rPr>
          <w:rFonts w:ascii="Arial" w:cs="Arial" w:eastAsia="Arial" w:hAnsi="Arial"/>
          <w:sz w:val="16"/>
          <w:szCs w:val="16"/>
          <w:b w:val="1"/>
          <w:bCs w:val="1"/>
          <w:color w:val="auto"/>
        </w:rPr>
        <w:t>General Partner</w:t>
      </w:r>
      <w:r>
        <w:rPr>
          <w:rFonts w:ascii="Arial" w:cs="Arial" w:eastAsia="Arial" w:hAnsi="Arial"/>
          <w:sz w:val="16"/>
          <w:szCs w:val="16"/>
          <w:color w:val="auto"/>
        </w:rPr>
        <w:t>”), is the general partner of the Partnership. Plains AAP, L.P., a Delaware limited partnership (“</w:t>
      </w:r>
      <w:r>
        <w:rPr>
          <w:rFonts w:ascii="Arial" w:cs="Arial" w:eastAsia="Arial" w:hAnsi="Arial"/>
          <w:sz w:val="16"/>
          <w:szCs w:val="16"/>
          <w:b w:val="1"/>
          <w:bCs w:val="1"/>
          <w:color w:val="auto"/>
        </w:rPr>
        <w:t>Plains AAP</w:t>
      </w:r>
      <w:r>
        <w:rPr>
          <w:rFonts w:ascii="Arial" w:cs="Arial" w:eastAsia="Arial" w:hAnsi="Arial"/>
          <w:sz w:val="16"/>
          <w:szCs w:val="16"/>
          <w:color w:val="auto"/>
        </w:rPr>
        <w:t>”), owns a 100% membership interest in the General Partner. Plains All American GP LLC, a Delaware limited liability company (“</w:t>
      </w:r>
      <w:r>
        <w:rPr>
          <w:rFonts w:ascii="Arial" w:cs="Arial" w:eastAsia="Arial" w:hAnsi="Arial"/>
          <w:sz w:val="16"/>
          <w:szCs w:val="16"/>
          <w:b w:val="1"/>
          <w:bCs w:val="1"/>
          <w:color w:val="auto"/>
        </w:rPr>
        <w:t>GP LLC</w:t>
      </w:r>
      <w:r>
        <w:rPr>
          <w:rFonts w:ascii="Arial" w:cs="Arial" w:eastAsia="Arial" w:hAnsi="Arial"/>
          <w:sz w:val="16"/>
          <w:szCs w:val="16"/>
          <w:color w:val="auto"/>
        </w:rPr>
        <w:t>” and collectively with the General Partner and Plains AAP, the “</w:t>
      </w:r>
      <w:r>
        <w:rPr>
          <w:rFonts w:ascii="Arial" w:cs="Arial" w:eastAsia="Arial" w:hAnsi="Arial"/>
          <w:sz w:val="16"/>
          <w:szCs w:val="16"/>
          <w:b w:val="1"/>
          <w:bCs w:val="1"/>
          <w:color w:val="auto"/>
        </w:rPr>
        <w:t>GP Entities</w:t>
      </w:r>
      <w:r>
        <w:rPr>
          <w:rFonts w:ascii="Arial" w:cs="Arial" w:eastAsia="Arial" w:hAnsi="Arial"/>
          <w:sz w:val="16"/>
          <w:szCs w:val="16"/>
          <w:color w:val="auto"/>
        </w:rPr>
        <w:t>”), is the general partner of Plains AAP.</w:t>
      </w:r>
    </w:p>
    <w:p>
      <w:pPr>
        <w:spacing w:after="0" w:line="34" w:lineRule="exact"/>
        <w:rPr>
          <w:sz w:val="20"/>
          <w:szCs w:val="20"/>
          <w:color w:val="auto"/>
        </w:rPr>
      </w:pPr>
    </w:p>
    <w:p>
      <w:pPr>
        <w:ind w:right="180" w:firstLine="447"/>
        <w:spacing w:after="0" w:line="266" w:lineRule="auto"/>
        <w:rPr>
          <w:sz w:val="20"/>
          <w:szCs w:val="20"/>
          <w:color w:val="auto"/>
        </w:rPr>
      </w:pPr>
      <w:r>
        <w:rPr>
          <w:rFonts w:ascii="Arial" w:cs="Arial" w:eastAsia="Arial" w:hAnsi="Arial"/>
          <w:sz w:val="18"/>
          <w:szCs w:val="18"/>
          <w:color w:val="auto"/>
        </w:rPr>
        <w:t>The subsidiaries of the Partnership listed on Schedule III attached hereto are referred to herein as the “</w:t>
      </w:r>
      <w:r>
        <w:rPr>
          <w:rFonts w:ascii="Arial" w:cs="Arial" w:eastAsia="Arial" w:hAnsi="Arial"/>
          <w:sz w:val="18"/>
          <w:szCs w:val="18"/>
          <w:b w:val="1"/>
          <w:bCs w:val="1"/>
          <w:color w:val="auto"/>
        </w:rPr>
        <w:t>Material Subsidiaries,</w:t>
      </w:r>
      <w:r>
        <w:rPr>
          <w:rFonts w:ascii="Arial" w:cs="Arial" w:eastAsia="Arial" w:hAnsi="Arial"/>
          <w:sz w:val="18"/>
          <w:szCs w:val="18"/>
          <w:color w:val="auto"/>
        </w:rPr>
        <w:t>” the Material Subsidiaries listed on Schedule IV attached hereto are referred to herein as the “</w:t>
      </w:r>
      <w:r>
        <w:rPr>
          <w:rFonts w:ascii="Arial" w:cs="Arial" w:eastAsia="Arial" w:hAnsi="Arial"/>
          <w:sz w:val="18"/>
          <w:szCs w:val="18"/>
          <w:b w:val="1"/>
          <w:bCs w:val="1"/>
          <w:color w:val="auto"/>
        </w:rPr>
        <w:t>Domestic Subsidiaries</w:t>
      </w:r>
      <w:r>
        <w:rPr>
          <w:rFonts w:ascii="Arial" w:cs="Arial" w:eastAsia="Arial" w:hAnsi="Arial"/>
          <w:sz w:val="18"/>
          <w:szCs w:val="18"/>
          <w:color w:val="auto"/>
        </w:rPr>
        <w:t>” and the Material Subsidiaries listed on Schedule V attached hereto are referred to herein as the “</w:t>
      </w:r>
      <w:r>
        <w:rPr>
          <w:rFonts w:ascii="Arial" w:cs="Arial" w:eastAsia="Arial" w:hAnsi="Arial"/>
          <w:sz w:val="18"/>
          <w:szCs w:val="18"/>
          <w:b w:val="1"/>
          <w:bCs w:val="1"/>
          <w:color w:val="auto"/>
        </w:rPr>
        <w:t>Canadian Subsidiaries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left="440"/>
        <w:spacing w:after="0"/>
        <w:rPr>
          <w:sz w:val="20"/>
          <w:szCs w:val="20"/>
          <w:color w:val="auto"/>
        </w:rPr>
      </w:pPr>
      <w:r>
        <w:rPr>
          <w:rFonts w:ascii="Arial" w:cs="Arial" w:eastAsia="Arial" w:hAnsi="Arial"/>
          <w:sz w:val="17"/>
          <w:szCs w:val="17"/>
          <w:color w:val="auto"/>
        </w:rPr>
        <w:t>This is to confirm the agreement among the Partnership and the Underwriters concerning the several purchases of the Units by the Underwriters.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Representations and Warranties of the Partnership</w:t>
      </w:r>
      <w:r>
        <w:rPr>
          <w:rFonts w:ascii="Arial" w:cs="Arial" w:eastAsia="Arial" w:hAnsi="Arial"/>
          <w:sz w:val="18"/>
          <w:szCs w:val="18"/>
          <w:color w:val="auto"/>
        </w:rPr>
        <w:t>. The Partnership represents and warrants to the Underwriters that:</w:t>
      </w:r>
    </w:p>
    <w:p>
      <w:pPr>
        <w:spacing w:after="0" w:line="117" w:lineRule="exact"/>
        <w:rPr>
          <w:sz w:val="20"/>
          <w:szCs w:val="20"/>
          <w:color w:val="auto"/>
        </w:rPr>
      </w:pPr>
    </w:p>
    <w:p>
      <w:pPr>
        <w:ind w:left="-20" w:firstLine="458"/>
        <w:spacing w:after="0" w:line="257" w:lineRule="auto"/>
        <w:tabs>
          <w:tab w:leader="none" w:pos="67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w:t>
      </w:r>
      <w:r>
        <w:rPr>
          <w:rFonts w:ascii="Arial" w:cs="Arial" w:eastAsia="Arial" w:hAnsi="Arial"/>
          <w:sz w:val="18"/>
          <w:szCs w:val="18"/>
          <w:color w:val="auto"/>
        </w:rPr>
        <w:t>A registration statement on Form S-3 relating to the Units (File No. 333-162475) (i) has been prepared by the Partnership in</w:t>
      </w:r>
      <w:r>
        <w:rPr>
          <w:rFonts w:ascii="Arial" w:cs="Arial" w:eastAsia="Arial" w:hAnsi="Arial"/>
          <w:sz w:val="18"/>
          <w:szCs w:val="18"/>
          <w:i w:val="1"/>
          <w:iCs w:val="1"/>
          <w:color w:val="auto"/>
        </w:rPr>
        <w:t xml:space="preserve"> </w:t>
      </w:r>
      <w:r>
        <w:rPr>
          <w:rFonts w:ascii="Arial" w:cs="Arial" w:eastAsia="Arial" w:hAnsi="Arial"/>
          <w:sz w:val="18"/>
          <w:szCs w:val="18"/>
          <w:color w:val="auto"/>
        </w:rPr>
        <w:t>conformity with the requirements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rules and regulations (the “</w:t>
      </w:r>
      <w:r>
        <w:rPr>
          <w:rFonts w:ascii="Arial" w:cs="Arial" w:eastAsia="Arial" w:hAnsi="Arial"/>
          <w:sz w:val="18"/>
          <w:szCs w:val="18"/>
          <w:b w:val="1"/>
          <w:bCs w:val="1"/>
          <w:color w:val="auto"/>
        </w:rPr>
        <w:t>Rules and</w:t>
      </w:r>
      <w:r>
        <w:rPr>
          <w:rFonts w:ascii="Arial" w:cs="Arial" w:eastAsia="Arial" w:hAnsi="Arial"/>
          <w:sz w:val="18"/>
          <w:szCs w:val="18"/>
          <w:color w:val="auto"/>
        </w:rPr>
        <w:t xml:space="preserve"> </w:t>
      </w:r>
      <w:r>
        <w:rPr>
          <w:rFonts w:ascii="Arial" w:cs="Arial" w:eastAsia="Arial" w:hAnsi="Arial"/>
          <w:sz w:val="18"/>
          <w:szCs w:val="18"/>
          <w:b w:val="1"/>
          <w:bCs w:val="1"/>
          <w:color w:val="auto"/>
        </w:rPr>
        <w:t>Regulations</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thereunder; (ii) has been filed with the Commission under the Securities Act;</w:t>
      </w:r>
      <w:r>
        <w:rPr>
          <w:rFonts w:ascii="Arial" w:cs="Arial" w:eastAsia="Arial" w:hAnsi="Arial"/>
          <w:sz w:val="18"/>
          <w:szCs w:val="18"/>
          <w:b w:val="1"/>
          <w:bCs w:val="1"/>
          <w:color w:val="auto"/>
        </w:rPr>
        <w:t xml:space="preserve"> </w:t>
      </w:r>
      <w:r>
        <w:rPr>
          <w:rFonts w:ascii="Arial" w:cs="Arial" w:eastAsia="Arial" w:hAnsi="Arial"/>
          <w:sz w:val="18"/>
          <w:szCs w:val="18"/>
          <w:color w:val="auto"/>
        </w:rPr>
        <w:t>and (iii) is effective under the Securities Act. Copies of such registration statement and any amendment thereto have been delivered by the Partnership to the Representatives. As used in this Agreement:</w:t>
      </w:r>
    </w:p>
    <w:p>
      <w:pPr>
        <w:spacing w:after="0" w:line="76" w:lineRule="exact"/>
        <w:rPr>
          <w:rFonts w:ascii="Arial" w:cs="Arial" w:eastAsia="Arial" w:hAnsi="Arial"/>
          <w:sz w:val="18"/>
          <w:szCs w:val="18"/>
          <w:color w:val="auto"/>
        </w:rPr>
      </w:pPr>
    </w:p>
    <w:p>
      <w:pPr>
        <w:ind w:left="440" w:right="80" w:firstLine="229"/>
        <w:spacing w:after="0" w:line="282" w:lineRule="auto"/>
        <w:tabs>
          <w:tab w:leader="none" w:pos="88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8:30 a.m, New York City time, on November 16, 2010, which the Underwriters have informed the Partnership and its counsel is a time prior to the first sale of the Units;</w:t>
      </w:r>
    </w:p>
    <w:p>
      <w:pPr>
        <w:spacing w:after="0" w:line="53" w:lineRule="exact"/>
        <w:rPr>
          <w:rFonts w:ascii="Arial" w:cs="Arial" w:eastAsia="Arial" w:hAnsi="Arial"/>
          <w:sz w:val="18"/>
          <w:szCs w:val="18"/>
          <w:color w:val="auto"/>
        </w:rPr>
      </w:pPr>
    </w:p>
    <w:p>
      <w:pPr>
        <w:ind w:left="940" w:hanging="271"/>
        <w:spacing w:after="0"/>
        <w:tabs>
          <w:tab w:leader="none" w:pos="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Prospectus</w:t>
      </w:r>
      <w:r>
        <w:rPr>
          <w:rFonts w:ascii="Arial" w:cs="Arial" w:eastAsia="Arial" w:hAnsi="Arial"/>
          <w:sz w:val="18"/>
          <w:szCs w:val="18"/>
          <w:color w:val="auto"/>
        </w:rPr>
        <w:t>” means the base prospectus included in the Registration Statement at the Applicable Time.</w:t>
      </w:r>
    </w:p>
    <w:p>
      <w:pPr>
        <w:spacing w:after="0" w:line="117" w:lineRule="exact"/>
        <w:rPr>
          <w:rFonts w:ascii="Arial" w:cs="Arial" w:eastAsia="Arial" w:hAnsi="Arial"/>
          <w:sz w:val="18"/>
          <w:szCs w:val="18"/>
          <w:color w:val="auto"/>
        </w:rPr>
      </w:pPr>
    </w:p>
    <w:p>
      <w:pPr>
        <w:ind w:left="440" w:right="40" w:firstLine="229"/>
        <w:spacing w:after="0" w:line="282"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any date as of which any part of such registration statement relating to the Units became, or is deemed to have become, effective under the Securities Act in accordance with the Rules and Regulations;</w:t>
      </w:r>
    </w:p>
    <w:p>
      <w:pPr>
        <w:spacing w:after="0" w:line="53" w:lineRule="exact"/>
        <w:rPr>
          <w:rFonts w:ascii="Arial" w:cs="Arial" w:eastAsia="Arial" w:hAnsi="Arial"/>
          <w:sz w:val="18"/>
          <w:szCs w:val="18"/>
          <w:color w:val="auto"/>
        </w:rPr>
      </w:pPr>
    </w:p>
    <w:p>
      <w:pPr>
        <w:ind w:left="440" w:right="160" w:firstLine="229"/>
        <w:spacing w:after="0" w:line="266" w:lineRule="auto"/>
        <w:tabs>
          <w:tab w:leader="none" w:pos="97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means each “free writing prospectus” (as defined in Rule 405 of the Rules and Regulations) or “issuer free writing prospectus” (as defined in Rule 433 of the Rules and Regulations) prepared by or on behalf of the Partnership or used or referred to by the Partnership in connection with the offering of the Units;</w:t>
      </w:r>
    </w:p>
    <w:p>
      <w:pPr>
        <w:spacing w:after="0" w:line="68" w:lineRule="exact"/>
        <w:rPr>
          <w:rFonts w:ascii="Arial" w:cs="Arial" w:eastAsia="Arial" w:hAnsi="Arial"/>
          <w:sz w:val="18"/>
          <w:szCs w:val="18"/>
          <w:color w:val="auto"/>
        </w:rPr>
      </w:pPr>
    </w:p>
    <w:p>
      <w:pPr>
        <w:ind w:left="440" w:right="180" w:firstLine="229"/>
        <w:spacing w:after="0" w:line="266" w:lineRule="auto"/>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prospectus relating to the Units included in such registration statement or filed with the Commission pursuant to Rule 424(b) of the Rules and Regulations, including the Base Prospectus and any preliminary prospectus supplement thereto relating to the Units;</w:t>
      </w:r>
    </w:p>
    <w:p>
      <w:pPr>
        <w:spacing w:after="0" w:line="68" w:lineRule="exact"/>
        <w:rPr>
          <w:rFonts w:ascii="Arial" w:cs="Arial" w:eastAsia="Arial" w:hAnsi="Arial"/>
          <w:sz w:val="18"/>
          <w:szCs w:val="18"/>
          <w:color w:val="auto"/>
        </w:rPr>
      </w:pPr>
    </w:p>
    <w:p>
      <w:pPr>
        <w:ind w:left="440" w:right="280" w:firstLine="229"/>
        <w:spacing w:after="0" w:line="289" w:lineRule="auto"/>
        <w:tabs>
          <w:tab w:leader="none" w:pos="970" w:val="left"/>
        </w:tabs>
        <w:numPr>
          <w:ilvl w:val="1"/>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Pricing Disclosure Package</w:t>
      </w:r>
      <w:r>
        <w:rPr>
          <w:rFonts w:ascii="Arial" w:cs="Arial" w:eastAsia="Arial" w:hAnsi="Arial"/>
          <w:sz w:val="17"/>
          <w:szCs w:val="17"/>
          <w:color w:val="auto"/>
        </w:rPr>
        <w:t xml:space="preserve">” means, as of the Applicable Time, the most recent Preliminary Prospectus together with (A) the pricing information identified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and (B) each Issuer Free Writing Prospectus filed or used by the Partnership on or before the Applicable Time, other than a road show that is an Issuer Free Writing Prospectus under Rule 433 of the Rules and Regulations;</w:t>
      </w:r>
    </w:p>
    <w:p>
      <w:pPr>
        <w:spacing w:after="0" w:line="50" w:lineRule="exact"/>
        <w:rPr>
          <w:rFonts w:ascii="Arial" w:cs="Arial" w:eastAsia="Arial" w:hAnsi="Arial"/>
          <w:sz w:val="17"/>
          <w:szCs w:val="17"/>
          <w:color w:val="auto"/>
        </w:rPr>
      </w:pPr>
    </w:p>
    <w:p>
      <w:pPr>
        <w:ind w:left="1020" w:hanging="351"/>
        <w:spacing w:after="0"/>
        <w:tabs>
          <w:tab w:leader="none" w:pos="1020" w:val="left"/>
        </w:tabs>
        <w:numPr>
          <w:ilvl w:val="1"/>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means the final prospectus relating to the Units, including the Base Prospectus and any prospectus supplement thereto relating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t>the Units, as filed with the Commission pursuant to Rule 424(b) of the Rules and Regulations; and</w:t>
      </w:r>
    </w:p>
    <w:p>
      <w:pPr>
        <w:spacing w:after="0" w:line="113" w:lineRule="exact"/>
        <w:rPr>
          <w:sz w:val="20"/>
          <w:szCs w:val="20"/>
          <w:color w:val="auto"/>
        </w:rPr>
      </w:pPr>
    </w:p>
    <w:p>
      <w:pPr>
        <w:ind w:left="460" w:right="660" w:firstLine="229"/>
        <w:spacing w:after="0" w:line="282" w:lineRule="auto"/>
        <w:tabs>
          <w:tab w:leader="none" w:pos="109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the registration statement on Form S-3 (File No. 333-162475), as amended as of the Effective Date, including any Preliminary Prospectus or the Prospectus and all exhibits to such registration statement.</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Any reference to the Registration Statement, any Preliminary Prospectus, the Pricing Disclosure Package or the Prospectus shall be deemed to refer to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include any documents incorporated by reference therein pursuant to Form S-3 under the Securities Act as of the date of such Registration Statement,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Preliminary Prospectus or Prospectus, as the case may be, or in the case of the Pricing Disclosure Package, as of the Applicable Time. Any reference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most recent Preliminary Prospectus</w:t>
      </w:r>
      <w:r>
        <w:rPr>
          <w:rFonts w:ascii="Arial" w:cs="Arial" w:eastAsia="Arial" w:hAnsi="Arial"/>
          <w:sz w:val="16"/>
          <w:szCs w:val="16"/>
          <w:color w:val="auto"/>
        </w:rPr>
        <w:t>” shall be deemed to refer to the latest Preliminary Prospectus included in the Registration Statement or filed pursuant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Rule 424(b) of the Rules and Regulations prior to or on the date hereof (including, for purposes hereof, any documents incorporated by reference therein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to or on the date hereof). Any reference to any amendment or supplement to any Preliminary Prospectus or the Prospectus shall be deemed to refer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include any document filed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after the date of such Preliminary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the Prospectus, as the case may be, and incorporated by reference in such Preliminary Prospectus or the Prospectus, as the case may be. Any reference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amendment to the Registration Statement shall be deemed to include any periodic report of the Partnership filed with the Commission pursuant to Section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13(a) or 15(d) of the Exchange Act after the Effective Date that is incorporated by reference in the Registration Statement. As used herein, the term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Incorporated Documents</w:t>
      </w:r>
      <w:r>
        <w:rPr>
          <w:rFonts w:ascii="Arial" w:cs="Arial" w:eastAsia="Arial" w:hAnsi="Arial"/>
          <w:sz w:val="16"/>
          <w:szCs w:val="16"/>
          <w:color w:val="auto"/>
        </w:rPr>
        <w:t>” means the documents that at the time are incorporated by reference in the Registration Statement, the Preliminary Prospectus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Prospectus or any amendment or supplement thereto. The Commission has not issued any order preventing or suspending the use of any Preliminary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or the Prospectus or suspending the effectiveness of the Registration Statement, and no proceeding for such purpose has been instituted or,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Partnership’s knowledge, threatened by the Commission. The Commission has not notified the Partnership of any objection to the use of the form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w:t>
      </w:r>
    </w:p>
    <w:p>
      <w:pPr>
        <w:spacing w:after="0" w:line="103" w:lineRule="exact"/>
        <w:rPr>
          <w:sz w:val="20"/>
          <w:szCs w:val="20"/>
          <w:color w:val="auto"/>
        </w:rPr>
      </w:pPr>
    </w:p>
    <w:p>
      <w:pPr>
        <w:ind w:right="80" w:firstLine="458"/>
        <w:spacing w:after="0" w:line="293" w:lineRule="auto"/>
        <w:tabs>
          <w:tab w:leader="none" w:pos="70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Form of Documents</w:t>
      </w:r>
      <w:r>
        <w:rPr>
          <w:rFonts w:ascii="Arial" w:cs="Arial" w:eastAsia="Arial" w:hAnsi="Arial"/>
          <w:sz w:val="16"/>
          <w:szCs w:val="16"/>
          <w:color w:val="auto"/>
        </w:rPr>
        <w:t>. The Registration Statement conformed in all material respects on the Effective Date and on each applicable Delivery Date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and on each applicable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w:t>
      </w:r>
    </w:p>
    <w:p>
      <w:pPr>
        <w:spacing w:after="0" w:line="56" w:lineRule="exact"/>
        <w:rPr>
          <w:rFonts w:ascii="Arial" w:cs="Arial" w:eastAsia="Arial" w:hAnsi="Arial"/>
          <w:sz w:val="16"/>
          <w:szCs w:val="16"/>
          <w:color w:val="auto"/>
        </w:rPr>
      </w:pPr>
    </w:p>
    <w:p>
      <w:pPr>
        <w:ind w:right="20" w:firstLine="458"/>
        <w:spacing w:after="0" w:line="277"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Registration Statement</w:t>
      </w:r>
      <w:r>
        <w:rPr>
          <w:rFonts w:ascii="Arial" w:cs="Arial" w:eastAsia="Arial" w:hAnsi="Arial"/>
          <w:sz w:val="18"/>
          <w:szCs w:val="18"/>
          <w:color w:val="auto"/>
        </w:rPr>
        <w:t>. The Registration Statement did not, as of its most recent Effective Date,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an untrue statement of a material fact or omit to state a material fact required to be stated therein or necessary to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right="180"/>
        <w:spacing w:after="0" w:line="264" w:lineRule="auto"/>
        <w:rPr>
          <w:sz w:val="20"/>
          <w:szCs w:val="20"/>
          <w:color w:val="auto"/>
        </w:rPr>
      </w:pPr>
      <w:r>
        <w:rPr>
          <w:rFonts w:ascii="Arial" w:cs="Arial" w:eastAsia="Arial" w:hAnsi="Arial"/>
          <w:sz w:val="18"/>
          <w:szCs w:val="18"/>
          <w:color w:val="auto"/>
        </w:rPr>
        <w:t xml:space="preserve">make the statements therein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Registration Statement in reliance upon and in conformity with written information furnished to the Partnership through the Representatives by or on behalf of any Underwriter specifically for inclusion therein, which information is specified in Section 12.</w:t>
      </w:r>
    </w:p>
    <w:p>
      <w:pPr>
        <w:spacing w:after="0" w:line="73" w:lineRule="exact"/>
        <w:rPr>
          <w:sz w:val="20"/>
          <w:szCs w:val="20"/>
          <w:color w:val="auto"/>
        </w:rPr>
      </w:pPr>
    </w:p>
    <w:p>
      <w:pPr>
        <w:ind w:right="140" w:firstLine="458"/>
        <w:spacing w:after="0" w:line="257"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Prospectus</w:t>
      </w:r>
      <w:r>
        <w:rPr>
          <w:rFonts w:ascii="Arial" w:cs="Arial" w:eastAsia="Arial" w:hAnsi="Arial"/>
          <w:sz w:val="18"/>
          <w:szCs w:val="18"/>
          <w:color w:val="auto"/>
        </w:rPr>
        <w:t>. The Prospectus will not, as of its date and on the applicable Delivery Date, include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Prospectus in reliance upon and in conformity with written information furnished to the Partnership through the Representatives by or on behalf of any Underwriter specifically for inclusion therein, which information is specified in Section 12.</w:t>
      </w:r>
    </w:p>
    <w:p>
      <w:pPr>
        <w:spacing w:after="0" w:line="80" w:lineRule="exact"/>
        <w:rPr>
          <w:rFonts w:ascii="Arial" w:cs="Arial" w:eastAsia="Arial" w:hAnsi="Arial"/>
          <w:sz w:val="18"/>
          <w:szCs w:val="18"/>
          <w:color w:val="auto"/>
        </w:rPr>
      </w:pPr>
    </w:p>
    <w:p>
      <w:pPr>
        <w:jc w:val="both"/>
        <w:ind w:right="40" w:firstLine="458"/>
        <w:spacing w:after="0" w:line="264"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Documents Incorporated by Reference</w:t>
      </w:r>
      <w:r>
        <w:rPr>
          <w:rFonts w:ascii="Arial" w:cs="Arial" w:eastAsia="Arial" w:hAnsi="Arial"/>
          <w:sz w:val="18"/>
          <w:szCs w:val="18"/>
          <w:color w:val="auto"/>
        </w:rPr>
        <w:t>. The Incorporated Documents, when filed with the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did not and will not include an untrue statement of a material fact or omit to state a material fact necessary in order to make the statements therein, in the light of the circumstances under which they were made, not misleading.</w:t>
      </w:r>
    </w:p>
    <w:p>
      <w:pPr>
        <w:spacing w:after="0" w:line="73" w:lineRule="exact"/>
        <w:rPr>
          <w:rFonts w:ascii="Arial" w:cs="Arial" w:eastAsia="Arial" w:hAnsi="Arial"/>
          <w:sz w:val="18"/>
          <w:szCs w:val="18"/>
          <w:color w:val="auto"/>
        </w:rPr>
      </w:pPr>
    </w:p>
    <w:p>
      <w:pPr>
        <w:ind w:firstLine="458"/>
        <w:spacing w:after="0" w:line="276" w:lineRule="auto"/>
        <w:tabs>
          <w:tab w:leader="none" w:pos="67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Pricing Disclosure Package</w:t>
      </w:r>
      <w:r>
        <w:rPr>
          <w:rFonts w:ascii="Arial" w:cs="Arial" w:eastAsia="Arial" w:hAnsi="Arial"/>
          <w:sz w:val="17"/>
          <w:szCs w:val="17"/>
          <w:color w:val="auto"/>
        </w:rPr>
        <w:t>. The Pricing Disclosure Package did not, as of the Applicable Time,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Pricing Disclosure Package in reliance upon and in conformity with written information furnished to the Partnership through the Representatives by or on behalf of any Underwriter specifically for inclusion therein, which information is specified in Section 12.</w:t>
      </w:r>
    </w:p>
    <w:p>
      <w:pPr>
        <w:spacing w:after="0" w:line="64" w:lineRule="exact"/>
        <w:rPr>
          <w:rFonts w:ascii="Arial" w:cs="Arial" w:eastAsia="Arial" w:hAnsi="Arial"/>
          <w:sz w:val="17"/>
          <w:szCs w:val="17"/>
          <w:color w:val="auto"/>
        </w:rPr>
      </w:pPr>
    </w:p>
    <w:p>
      <w:pPr>
        <w:ind w:right="100" w:firstLine="458"/>
        <w:spacing w:after="0" w:line="255"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Issuer Free Writing Prospectus and Pricing Disclosure Package</w:t>
      </w:r>
      <w:r>
        <w:rPr>
          <w:rFonts w:ascii="Arial" w:cs="Arial" w:eastAsia="Arial" w:hAnsi="Arial"/>
          <w:sz w:val="18"/>
          <w:szCs w:val="18"/>
          <w:color w:val="auto"/>
        </w:rPr>
        <w:t>. Each Issuer Free Writing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such Issuer Free Writing Prospectus in reliance upon and in conformity with written information furnished to the Partnership through the Representatives by or on behalf of any Underwriter specifically for inclusion therein, which information is specified in Section 12.</w:t>
      </w:r>
    </w:p>
    <w:p>
      <w:pPr>
        <w:spacing w:after="0" w:line="81" w:lineRule="exact"/>
        <w:rPr>
          <w:rFonts w:ascii="Arial" w:cs="Arial" w:eastAsia="Arial" w:hAnsi="Arial"/>
          <w:sz w:val="18"/>
          <w:szCs w:val="18"/>
          <w:color w:val="auto"/>
        </w:rPr>
      </w:pPr>
    </w:p>
    <w:p>
      <w:pPr>
        <w:jc w:val="both"/>
        <w:ind w:right="100" w:firstLine="458"/>
        <w:spacing w:after="0" w:line="312" w:lineRule="auto"/>
        <w:tabs>
          <w:tab w:leader="none" w:pos="70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 Conform to the Requirements of the Securities Act</w:t>
      </w:r>
      <w:r>
        <w:rPr>
          <w:rFonts w:ascii="Arial" w:cs="Arial" w:eastAsia="Arial" w:hAnsi="Arial"/>
          <w:sz w:val="16"/>
          <w:szCs w:val="16"/>
          <w:color w:val="auto"/>
        </w:rPr>
        <w:t>. Each Issuer Free Writing Prospectus conformed or will conform</w:t>
      </w:r>
      <w:r>
        <w:rPr>
          <w:rFonts w:ascii="Arial" w:cs="Arial" w:eastAsia="Arial" w:hAnsi="Arial"/>
          <w:sz w:val="16"/>
          <w:szCs w:val="16"/>
          <w:i w:val="1"/>
          <w:iCs w:val="1"/>
          <w:color w:val="auto"/>
        </w:rPr>
        <w:t xml:space="preserve"> </w:t>
      </w:r>
      <w:r>
        <w:rPr>
          <w:rFonts w:ascii="Arial" w:cs="Arial" w:eastAsia="Arial" w:hAnsi="Arial"/>
          <w:sz w:val="16"/>
          <w:szCs w:val="16"/>
          <w:color w:val="auto"/>
        </w:rPr>
        <w:t>in all material respects to the requirements of the Securities Act and the Rules and Regulations on the date of first use, and the Partnership has complied with any filing requirements applicable to such Issuer Free Writing Prospectus pursuant to the Rules and Regulations. The Partnership has not made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180"/>
        <w:spacing w:after="0" w:line="279" w:lineRule="auto"/>
        <w:rPr>
          <w:sz w:val="20"/>
          <w:szCs w:val="20"/>
          <w:color w:val="auto"/>
        </w:rPr>
      </w:pPr>
      <w:r>
        <w:rPr>
          <w:rFonts w:ascii="Arial" w:cs="Arial" w:eastAsia="Arial" w:hAnsi="Arial"/>
          <w:sz w:val="17"/>
          <w:szCs w:val="17"/>
          <w:color w:val="auto"/>
        </w:rPr>
        <w:t>any offer relating to the Units that would constitute an Issuer Free Writing Prospectus without the prior written consent of the Representatives. The Partnership has retained in accordance with the Rules and Regulations all Issuer Free Writing Prospectuses that were not required to be filed pursuant to the Rules and Regulations. The Partnership has taken all actions necessary so that any road show (as defined in Rule 433 of the Rules and Regulations) in connection with the offering of the Units will not be required to be filed pursuant to the Rules and Regulations.</w:t>
      </w:r>
    </w:p>
    <w:p>
      <w:pPr>
        <w:spacing w:after="0" w:line="63" w:lineRule="exact"/>
        <w:rPr>
          <w:sz w:val="20"/>
          <w:szCs w:val="20"/>
          <w:color w:val="auto"/>
        </w:rPr>
      </w:pPr>
    </w:p>
    <w:p>
      <w:pPr>
        <w:ind w:firstLine="458"/>
        <w:spacing w:after="0" w:line="259" w:lineRule="auto"/>
        <w:tabs>
          <w:tab w:leader="none" w:pos="665"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Well-Known Seasoned Issuer and Not an Ineligible Issuer</w:t>
      </w:r>
      <w:r>
        <w:rPr>
          <w:rFonts w:ascii="Arial" w:cs="Arial" w:eastAsia="Arial" w:hAnsi="Arial"/>
          <w:sz w:val="18"/>
          <w:szCs w:val="18"/>
          <w:color w:val="auto"/>
        </w:rPr>
        <w:t>. The Partnership is a “well-known seasoned issuer” (as defined in Rule 405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Act). At the earliest time after the initial filing of the Registration Statement that the Partnership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under the Securities Act) of the Units, the Partnership was not an “ineligible issuer,” as defined in Rule 405 under the Securities Act.</w:t>
      </w:r>
    </w:p>
    <w:p>
      <w:pPr>
        <w:spacing w:after="0" w:line="78" w:lineRule="exact"/>
        <w:rPr>
          <w:rFonts w:ascii="Arial" w:cs="Arial" w:eastAsia="Arial" w:hAnsi="Arial"/>
          <w:sz w:val="18"/>
          <w:szCs w:val="18"/>
          <w:color w:val="auto"/>
        </w:rPr>
      </w:pPr>
    </w:p>
    <w:p>
      <w:pPr>
        <w:ind w:firstLine="458"/>
        <w:spacing w:after="0" w:line="283" w:lineRule="auto"/>
        <w:tabs>
          <w:tab w:leader="none" w:pos="665"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Formation and Qualification of Certain Entities</w:t>
      </w:r>
      <w:r>
        <w:rPr>
          <w:rFonts w:ascii="Arial" w:cs="Arial" w:eastAsia="Arial" w:hAnsi="Arial"/>
          <w:sz w:val="16"/>
          <w:szCs w:val="16"/>
          <w:color w:val="auto"/>
        </w:rPr>
        <w:t>. Each of the Partnership, the GP Entities and the Material Subsidiaries has been duly formed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Partnership,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or indirect majority owned subsidiaries (collectively, the “</w:t>
      </w:r>
      <w:r>
        <w:rPr>
          <w:rFonts w:ascii="Arial" w:cs="Arial" w:eastAsia="Arial" w:hAnsi="Arial"/>
          <w:sz w:val="16"/>
          <w:szCs w:val="16"/>
          <w:b w:val="1"/>
          <w:bCs w:val="1"/>
          <w:color w:val="auto"/>
        </w:rPr>
        <w:t>Subsidiaries</w:t>
      </w:r>
      <w:r>
        <w:rPr>
          <w:rFonts w:ascii="Arial" w:cs="Arial" w:eastAsia="Arial" w:hAnsi="Arial"/>
          <w:sz w:val="16"/>
          <w:szCs w:val="16"/>
          <w:color w:val="auto"/>
        </w:rPr>
        <w:t>”) and the Partnership (collectively, the “</w:t>
      </w:r>
      <w:r>
        <w:rPr>
          <w:rFonts w:ascii="Arial" w:cs="Arial" w:eastAsia="Arial" w:hAnsi="Arial"/>
          <w:sz w:val="16"/>
          <w:szCs w:val="16"/>
          <w:b w:val="1"/>
          <w:bCs w:val="1"/>
          <w:color w:val="auto"/>
        </w:rPr>
        <w:t>Plains Entities</w:t>
      </w:r>
      <w:r>
        <w:rPr>
          <w:rFonts w:ascii="Arial" w:cs="Arial" w:eastAsia="Arial" w:hAnsi="Arial"/>
          <w:sz w:val="16"/>
          <w:szCs w:val="16"/>
          <w:color w:val="auto"/>
        </w:rPr>
        <w:t>”), taken as a whole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or</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the limited partners of the Partnership to any material liability or disability.</w:t>
      </w:r>
    </w:p>
    <w:p>
      <w:pPr>
        <w:spacing w:after="0" w:line="102" w:lineRule="exact"/>
        <w:rPr>
          <w:rFonts w:ascii="Arial" w:cs="Arial" w:eastAsia="Arial" w:hAnsi="Arial"/>
          <w:sz w:val="18"/>
          <w:szCs w:val="18"/>
          <w:color w:val="auto"/>
        </w:rPr>
      </w:pPr>
    </w:p>
    <w:p>
      <w:pPr>
        <w:jc w:val="both"/>
        <w:ind w:right="20" w:firstLine="458"/>
        <w:spacing w:after="0" w:line="264" w:lineRule="auto"/>
        <w:tabs>
          <w:tab w:leader="none" w:pos="705"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General Partners</w:t>
      </w:r>
      <w:r>
        <w:rPr>
          <w:rFonts w:ascii="Arial" w:cs="Arial" w:eastAsia="Arial" w:hAnsi="Arial"/>
          <w:sz w:val="18"/>
          <w:szCs w:val="18"/>
          <w:color w:val="auto"/>
        </w:rPr>
        <w:t>. Each Plains Entity or GP Entity that serves as a general partner of another Plains Entity or GP Entity has full corporate or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company power and authority, as the case may be, to serve as general partner of such Plains Entity or GP Entity, in each case in all material respects, as disclosed in the Pricing Disclosure Package and the Prospectus.</w:t>
      </w:r>
    </w:p>
    <w:p>
      <w:pPr>
        <w:spacing w:after="0" w:line="73" w:lineRule="exact"/>
        <w:rPr>
          <w:rFonts w:ascii="Arial" w:cs="Arial" w:eastAsia="Arial" w:hAnsi="Arial"/>
          <w:sz w:val="18"/>
          <w:szCs w:val="18"/>
          <w:color w:val="auto"/>
        </w:rPr>
      </w:pPr>
    </w:p>
    <w:p>
      <w:pPr>
        <w:ind w:right="20" w:firstLine="458"/>
        <w:spacing w:after="0" w:line="276" w:lineRule="auto"/>
        <w:tabs>
          <w:tab w:leader="none" w:pos="665"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Ownership of Interests in the Partnership, the General Partner and Plains AAP</w:t>
      </w:r>
      <w:r>
        <w:rPr>
          <w:rFonts w:ascii="Arial" w:cs="Arial" w:eastAsia="Arial" w:hAnsi="Arial"/>
          <w:sz w:val="17"/>
          <w:szCs w:val="17"/>
          <w:color w:val="auto"/>
        </w:rPr>
        <w:t>. The GP Entities hold the general partner and membership interests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Limited Liability Company Agreement of the General Partner (as the same may be amended or restated prior to the Delivery Date, such agreement being referred to herein as the “</w:t>
      </w:r>
      <w:r>
        <w:rPr>
          <w:rFonts w:ascii="Arial" w:cs="Arial" w:eastAsia="Arial" w:hAnsi="Arial"/>
          <w:sz w:val="17"/>
          <w:szCs w:val="17"/>
          <w:b w:val="1"/>
          <w:bCs w:val="1"/>
          <w:color w:val="auto"/>
        </w:rPr>
        <w:t>General Partner LLC Agreement</w:t>
      </w:r>
      <w:r>
        <w:rPr>
          <w:rFonts w:ascii="Arial" w:cs="Arial" w:eastAsia="Arial" w:hAnsi="Arial"/>
          <w:sz w:val="17"/>
          <w:szCs w:val="17"/>
          <w:color w:val="auto"/>
        </w:rPr>
        <w:t>”) and nonassessable (except as such nonassessability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7"/>
          <w:szCs w:val="17"/>
          <w:color w:val="auto"/>
        </w:rPr>
        <w:t>may be affected by Sections 18-607 and 18-804 of the Delaware Limited Liability Company Act (the “</w:t>
      </w:r>
      <w:r>
        <w:rPr>
          <w:rFonts w:ascii="Arial" w:cs="Arial" w:eastAsia="Arial" w:hAnsi="Arial"/>
          <w:sz w:val="17"/>
          <w:szCs w:val="17"/>
          <w:b w:val="1"/>
          <w:bCs w:val="1"/>
          <w:color w:val="auto"/>
        </w:rPr>
        <w:t>Delaware LLC Act</w:t>
      </w:r>
      <w:r>
        <w:rPr>
          <w:rFonts w:ascii="Arial" w:cs="Arial" w:eastAsia="Arial" w:hAnsi="Arial"/>
          <w:sz w:val="17"/>
          <w:szCs w:val="17"/>
          <w:color w:val="auto"/>
        </w:rPr>
        <w:t>”)); and such general partner and membership interests held by the GP Entities are owned free and clear of all liens, encumbrances, security interests, equities, charges or claims (“</w:t>
      </w:r>
      <w:r>
        <w:rPr>
          <w:rFonts w:ascii="Arial" w:cs="Arial" w:eastAsia="Arial" w:hAnsi="Arial"/>
          <w:sz w:val="17"/>
          <w:szCs w:val="17"/>
          <w:b w:val="1"/>
          <w:bCs w:val="1"/>
          <w:color w:val="auto"/>
        </w:rPr>
        <w:t>Liens</w:t>
      </w:r>
      <w:r>
        <w:rPr>
          <w:rFonts w:ascii="Arial" w:cs="Arial" w:eastAsia="Arial" w:hAnsi="Arial"/>
          <w:sz w:val="17"/>
          <w:szCs w:val="17"/>
          <w:color w:val="auto"/>
        </w:rPr>
        <w:t>”), except as disclosed in the Pricing Disclosure Package and the Prospectus and except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Pricing Disclosure Package and the Prospectus to be conducted.</w:t>
      </w:r>
    </w:p>
    <w:p>
      <w:pPr>
        <w:spacing w:after="0" w:line="64" w:lineRule="exact"/>
        <w:rPr>
          <w:sz w:val="20"/>
          <w:szCs w:val="20"/>
          <w:color w:val="auto"/>
        </w:rPr>
      </w:pPr>
    </w:p>
    <w:p>
      <w:pPr>
        <w:ind w:firstLine="458"/>
        <w:spacing w:after="0" w:line="286" w:lineRule="auto"/>
        <w:tabs>
          <w:tab w:leader="none" w:pos="75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Ownership of Material Subsidiaries</w:t>
      </w:r>
      <w:r>
        <w:rPr>
          <w:rFonts w:ascii="Arial" w:cs="Arial" w:eastAsia="Arial" w:hAnsi="Arial"/>
          <w:sz w:val="16"/>
          <w:szCs w:val="16"/>
          <w:color w:val="auto"/>
        </w:rPr>
        <w:t>. All of the outstanding shares of capital stock or other equity interests of each Material Subsidiary (a)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date hereof and as the same may be amended or restated prior to the Delivery Date) (the “</w:t>
      </w:r>
      <w:r>
        <w:rPr>
          <w:rFonts w:ascii="Arial" w:cs="Arial" w:eastAsia="Arial" w:hAnsi="Arial"/>
          <w:sz w:val="16"/>
          <w:szCs w:val="16"/>
          <w:b w:val="1"/>
          <w:bCs w:val="1"/>
          <w:color w:val="auto"/>
        </w:rPr>
        <w:t>Organizational Documents</w:t>
      </w:r>
      <w:r>
        <w:rPr>
          <w:rFonts w:ascii="Arial" w:cs="Arial" w:eastAsia="Arial" w:hAnsi="Arial"/>
          <w:sz w:val="16"/>
          <w:szCs w:val="16"/>
          <w:color w:val="auto"/>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Arial" w:cs="Arial" w:eastAsia="Arial" w:hAnsi="Arial"/>
          <w:sz w:val="16"/>
          <w:szCs w:val="16"/>
          <w:b w:val="1"/>
          <w:bCs w:val="1"/>
          <w:color w:val="auto"/>
        </w:rPr>
        <w:t>Delaware LP Act</w:t>
      </w:r>
      <w:r>
        <w:rPr>
          <w:rFonts w:ascii="Arial" w:cs="Arial" w:eastAsia="Arial" w:hAnsi="Arial"/>
          <w:sz w:val="16"/>
          <w:szCs w:val="16"/>
          <w:color w:val="auto"/>
        </w:rPr>
        <w: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except for an approximately 25.2% limited partner interest in PAA Natural Gas Storage, L.P. (“</w:t>
      </w:r>
      <w:r>
        <w:rPr>
          <w:rFonts w:ascii="Arial" w:cs="Arial" w:eastAsia="Arial" w:hAnsi="Arial"/>
          <w:sz w:val="16"/>
          <w:szCs w:val="16"/>
          <w:b w:val="1"/>
          <w:bCs w:val="1"/>
          <w:color w:val="auto"/>
        </w:rPr>
        <w:t>PNG</w:t>
      </w:r>
      <w:r>
        <w:rPr>
          <w:rFonts w:ascii="Arial" w:cs="Arial" w:eastAsia="Arial" w:hAnsi="Arial"/>
          <w:sz w:val="16"/>
          <w:szCs w:val="16"/>
          <w:color w:val="auto"/>
        </w:rPr>
        <w:t>”) and a 25% membership interest in SLC Pipeline LLC owned by an affiliate of Holly Energy Partners-Operating, L.P., are owned, directly or indirectly, by the Partnership, free and clear of all Liens. The Subsidiaries other than the Material Subsidiaries did not, individually or in the aggregate, account for (i) more than 10% of the total assets of the Plains Entities, taken as a whole, as of September 30, 2010 or (ii) more than 10% of the net income of the Plains Entities, taken as a whole, for the nine months ended September 30, 2010.</w:t>
      </w:r>
    </w:p>
    <w:p>
      <w:pPr>
        <w:spacing w:after="0" w:line="60" w:lineRule="exact"/>
        <w:rPr>
          <w:rFonts w:ascii="Arial" w:cs="Arial" w:eastAsia="Arial" w:hAnsi="Arial"/>
          <w:sz w:val="16"/>
          <w:szCs w:val="16"/>
          <w:color w:val="auto"/>
        </w:rPr>
      </w:pPr>
    </w:p>
    <w:p>
      <w:pPr>
        <w:ind w:firstLine="458"/>
        <w:spacing w:after="0" w:line="273" w:lineRule="auto"/>
        <w:tabs>
          <w:tab w:leader="none" w:pos="70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Capitalization</w:t>
      </w:r>
      <w:r>
        <w:rPr>
          <w:rFonts w:ascii="Arial" w:cs="Arial" w:eastAsia="Arial" w:hAnsi="Arial"/>
          <w:sz w:val="17"/>
          <w:szCs w:val="17"/>
          <w:color w:val="auto"/>
        </w:rPr>
        <w:t>. As of the date hereof, the issued and outstanding limited partner interests of the Partnership consist of 136,419,175 Common Units</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Incentive Distribution Rights (as such capitalized term is defined in the Partnership Agreement). All outstanding Common Units and Incentive Distribution Rights and the limited partner interests represented thereby have been duly authorized and validly issued in accordance with the Partnership Agreement and are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Pricing Disclosure Package and the Prospectus.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2" w:name="page13"/>
    <w:bookmarkEnd w:id="12"/>
    <w:p>
      <w:pPr>
        <w:ind w:right="180" w:firstLine="458"/>
        <w:spacing w:after="0" w:line="302"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Duly Authorized and Validly Issued Units</w:t>
      </w:r>
      <w:r>
        <w:rPr>
          <w:rFonts w:ascii="Arial" w:cs="Arial" w:eastAsia="Arial" w:hAnsi="Arial"/>
          <w:sz w:val="16"/>
          <w:szCs w:val="16"/>
          <w:color w:val="auto"/>
        </w:rPr>
        <w:t>. At the applicable Delivery Date, the Units to be sold by the Partnership and the limited partner interests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thereby will be duly authorized in accordance with the Partnership Agreement and, when issued and delivered to the Underwriters against payment therefor in accordance with the terms hereof, will be validly issued, fully paid (to the extent required under the Partnership Agreement) and nonassessable (except as such nonassessability may be affected by Sections 17-607 and 17-804 of the Delaware LP Act).</w:t>
      </w:r>
    </w:p>
    <w:p>
      <w:pPr>
        <w:spacing w:after="0" w:line="46" w:lineRule="exact"/>
        <w:rPr>
          <w:rFonts w:ascii="Arial" w:cs="Arial" w:eastAsia="Arial" w:hAnsi="Arial"/>
          <w:sz w:val="16"/>
          <w:szCs w:val="16"/>
          <w:color w:val="auto"/>
        </w:rPr>
      </w:pPr>
    </w:p>
    <w:p>
      <w:pPr>
        <w:ind w:firstLine="458"/>
        <w:spacing w:after="0" w:line="293"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No Preemptive or Other Rights</w:t>
      </w:r>
      <w:r>
        <w:rPr>
          <w:rFonts w:ascii="Arial" w:cs="Arial" w:eastAsia="Arial" w:hAnsi="Arial"/>
          <w:sz w:val="16"/>
          <w:szCs w:val="16"/>
          <w:color w:val="auto"/>
        </w:rPr>
        <w:t>. Except as described in the Pricing Disclosure Package and the Prospectus or as provided in the Organizational</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there are no preemptive rights or other rights to subscribe for or to purchase, nor any restriction upon the voting or transfer of, any interests in the Partnership pursuant to any agreement or other instrument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except such rights as have been waived or satisfied. Except as described in the Pricing Disclosure Package and the Prospectus, there are no outstanding options or warrants to purchase any Common Units or other equity interests in the Partnership.</w:t>
      </w:r>
    </w:p>
    <w:p>
      <w:pPr>
        <w:spacing w:after="0" w:line="56" w:lineRule="exact"/>
        <w:rPr>
          <w:rFonts w:ascii="Arial" w:cs="Arial" w:eastAsia="Arial" w:hAnsi="Arial"/>
          <w:sz w:val="16"/>
          <w:szCs w:val="16"/>
          <w:color w:val="auto"/>
        </w:rPr>
      </w:pPr>
    </w:p>
    <w:p>
      <w:pPr>
        <w:ind w:right="140" w:firstLine="458"/>
        <w:spacing w:after="0" w:line="257" w:lineRule="auto"/>
        <w:tabs>
          <w:tab w:leader="none" w:pos="70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Authority</w:t>
      </w:r>
      <w:r>
        <w:rPr>
          <w:rFonts w:ascii="Arial" w:cs="Arial" w:eastAsia="Arial" w:hAnsi="Arial"/>
          <w:sz w:val="18"/>
          <w:szCs w:val="18"/>
          <w:color w:val="auto"/>
        </w:rPr>
        <w:t>. The Partnership has all requisite power and authority to issue, sell and deliver the Units, in accordance with and upon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set forth in this Agreement, the Partnership Agreement, the Registration Statement, the Pricing Disclosure Package and the Prospectus. At the applicable Delivery Date, all action required to be taken by the Partnership or its partners for (i) the due and proper authorization, execution and delivery of this Agreement, (ii) the authorization, issuance, sale and delivery of the Units and (iii) the consummation of the other transactions contemplated hereby shall have been duly and validly taken.</w:t>
      </w:r>
    </w:p>
    <w:p>
      <w:pPr>
        <w:spacing w:after="0" w:line="80" w:lineRule="exact"/>
        <w:rPr>
          <w:rFonts w:ascii="Arial" w:cs="Arial" w:eastAsia="Arial" w:hAnsi="Arial"/>
          <w:sz w:val="18"/>
          <w:szCs w:val="18"/>
          <w:color w:val="auto"/>
        </w:rPr>
      </w:pPr>
    </w:p>
    <w:p>
      <w:pPr>
        <w:ind w:right="320" w:firstLine="458"/>
        <w:spacing w:after="0" w:line="277" w:lineRule="auto"/>
        <w:tabs>
          <w:tab w:leader="none" w:pos="671"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Authorization, Execution and Delivery of this Agreement</w:t>
      </w:r>
      <w:r>
        <w:rPr>
          <w:rFonts w:ascii="Arial" w:cs="Arial" w:eastAsia="Arial" w:hAnsi="Arial"/>
          <w:sz w:val="18"/>
          <w:szCs w:val="18"/>
          <w:color w:val="auto"/>
        </w:rPr>
        <w:t>. This Agreement has been duly and validly authorized, executed and delivered by or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the Partnership.</w:t>
      </w:r>
    </w:p>
    <w:p>
      <w:pPr>
        <w:spacing w:after="0" w:line="62" w:lineRule="exact"/>
        <w:rPr>
          <w:rFonts w:ascii="Arial" w:cs="Arial" w:eastAsia="Arial" w:hAnsi="Arial"/>
          <w:sz w:val="18"/>
          <w:szCs w:val="18"/>
          <w:color w:val="auto"/>
        </w:rPr>
      </w:pPr>
    </w:p>
    <w:p>
      <w:pPr>
        <w:ind w:right="240" w:firstLine="458"/>
        <w:spacing w:after="0" w:line="273" w:lineRule="auto"/>
        <w:tabs>
          <w:tab w:leader="none" w:pos="682"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Authorization, Execution and Enforceability of the Operating Agreements</w:t>
      </w:r>
      <w:r>
        <w:rPr>
          <w:rFonts w:ascii="Arial" w:cs="Arial" w:eastAsia="Arial" w:hAnsi="Arial"/>
          <w:sz w:val="17"/>
          <w:szCs w:val="17"/>
          <w:color w:val="auto"/>
        </w:rPr>
        <w:t>. The partnership agreement or limited liability company agreement,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applicable, of each of the Partnership, the GP Entities and the Material Subsidiaries has been duly authorized, executed and delivered by the parties thereto and is a valid and legally binding agreement of such parties thereto, enforceable against the parties thereto in accordance with their respective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70" w:lineRule="exact"/>
        <w:rPr>
          <w:rFonts w:ascii="Arial" w:cs="Arial" w:eastAsia="Arial" w:hAnsi="Arial"/>
          <w:sz w:val="17"/>
          <w:szCs w:val="17"/>
          <w:color w:val="auto"/>
        </w:rPr>
      </w:pPr>
    </w:p>
    <w:p>
      <w:pPr>
        <w:ind w:firstLine="458"/>
        <w:spacing w:after="0" w:line="264" w:lineRule="auto"/>
        <w:tabs>
          <w:tab w:leader="none" w:pos="66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No Conflicts or Violations</w:t>
      </w:r>
      <w:r>
        <w:rPr>
          <w:rFonts w:ascii="Arial" w:cs="Arial" w:eastAsia="Arial" w:hAnsi="Arial"/>
          <w:sz w:val="18"/>
          <w:szCs w:val="18"/>
          <w:color w:val="auto"/>
        </w:rPr>
        <w:t>. None of the offering, issuance and sale by the Partnership of the Units, the execution, delivery and performance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by the Partnership, or the consummation of the transactions contemplated by this Agreement (i) conflicts or will conflict with or constitutes or will constitute a violation of the Organizational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40"/>
        <w:spacing w:after="0" w:line="270" w:lineRule="auto"/>
        <w:rPr>
          <w:sz w:val="20"/>
          <w:szCs w:val="20"/>
          <w:color w:val="auto"/>
        </w:rPr>
      </w:pPr>
      <w:r>
        <w:rPr>
          <w:rFonts w:ascii="Arial" w:cs="Arial" w:eastAsia="Arial" w:hAnsi="Arial"/>
          <w:sz w:val="17"/>
          <w:szCs w:val="17"/>
          <w:color w:val="auto"/>
        </w:rPr>
        <w:t>Documents of the Partnership, any of the GP Entities or any of the Material Subsidiaries, (ii)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Partnership, any of the GP Entities or any of the Material Subsidiaries is a party or by which any of them or any of their respective properties may be bound, (iii) violates or will violate any statute, law or regulation or any order, judgment, decree or injunction of any court or governmental agency or body directed to the Partnership, any of the GP Entities or any of the Material Subsidiaries or any of their properties in a proceeding to which any of them or their property is a party or (iv) results or will result in the creation or imposition of any Lien upon any property or assets of the Partnership, any of the GP Entities or any of the Material Subsidiaries, which conflicts, breaches, violations, defaults or Liens, in the case of clauses (ii), (iii) or (iv), would reasonably be expected to have a Material Adverse Effect or materially impair the ability of the Partnership to consummate the transactions contemplated by this Agreement.</w:t>
      </w:r>
    </w:p>
    <w:p>
      <w:pPr>
        <w:spacing w:after="0" w:line="74" w:lineRule="exact"/>
        <w:rPr>
          <w:sz w:val="20"/>
          <w:szCs w:val="20"/>
          <w:color w:val="auto"/>
        </w:rPr>
      </w:pPr>
    </w:p>
    <w:p>
      <w:pPr>
        <w:jc w:val="both"/>
        <w:ind w:right="200" w:firstLine="458"/>
        <w:spacing w:after="0" w:line="288" w:lineRule="auto"/>
        <w:tabs>
          <w:tab w:leader="none" w:pos="705"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No Consents</w:t>
      </w:r>
      <w:r>
        <w:rPr>
          <w:rFonts w:ascii="Arial" w:cs="Arial" w:eastAsia="Arial" w:hAnsi="Arial"/>
          <w:sz w:val="16"/>
          <w:szCs w:val="16"/>
          <w:color w:val="auto"/>
        </w:rPr>
        <w:t>. No consent, approval, authorization, filing with or order of any court, governmental agency or body having jurisdiction over any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Plains Entities or the GP Entities or any of their respective properties is required in connection with the offering, issuance and sale by the Partnership of the Units, the execution, delivery and performance of, or the consummation by the Partnership of the transactions contemplated by this Agreement, except</w:t>
      </w:r>
    </w:p>
    <w:p>
      <w:pPr>
        <w:ind w:firstLine="8"/>
        <w:spacing w:after="0" w:line="253"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as have been obtained under the Securities Act, (ii) such as may be required under the blue sky laws of any jurisdiction or the by-laws and rules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in connection with the purchase and distribution by the Underwriters of the Units in the manner contemplated herein and in the Pricing Disclosure Package and the Prospectus, and (iii) such that the failure to obtain or make would not reasonably be expected to have a Material Adverse Effect or materially impair the ability of the Partnership to consummate the transactions contemplated by this Agreement.</w:t>
      </w:r>
    </w:p>
    <w:p>
      <w:pPr>
        <w:spacing w:after="0" w:line="83" w:lineRule="exact"/>
        <w:rPr>
          <w:rFonts w:ascii="Arial" w:cs="Arial" w:eastAsia="Arial" w:hAnsi="Arial"/>
          <w:sz w:val="18"/>
          <w:szCs w:val="18"/>
          <w:color w:val="auto"/>
        </w:rPr>
      </w:pPr>
    </w:p>
    <w:p>
      <w:pPr>
        <w:ind w:right="100" w:firstLine="458"/>
        <w:spacing w:after="0" w:line="271" w:lineRule="auto"/>
        <w:tabs>
          <w:tab w:leader="none" w:pos="705"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No Default</w:t>
      </w:r>
      <w:r>
        <w:rPr>
          <w:rFonts w:ascii="Arial" w:cs="Arial" w:eastAsia="Arial" w:hAnsi="Arial"/>
          <w:sz w:val="17"/>
          <w:szCs w:val="17"/>
          <w:color w:val="auto"/>
        </w:rPr>
        <w:t>. (i) None of the Partnership, the GP Entities or the Material Subsidiaries is in violation of its Organizational Documents in any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(ii) none of the Partnership, the GP Entities or the Material Subsidiaries is in violation of any law, statute, ordinance, administrative or governmental rule or regulation applicable to it or of any decree of any court or governmental agency or body having jurisdiction over it and (iii) none of the Partnership,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 Adverse Effect or materially impair the ability of the Partnership to perform its obligations under this Agreement.</w:t>
      </w:r>
    </w:p>
    <w:p>
      <w:pPr>
        <w:spacing w:after="0" w:line="70" w:lineRule="exact"/>
        <w:rPr>
          <w:rFonts w:ascii="Arial" w:cs="Arial" w:eastAsia="Arial" w:hAnsi="Arial"/>
          <w:sz w:val="17"/>
          <w:szCs w:val="17"/>
          <w:color w:val="auto"/>
        </w:rPr>
      </w:pPr>
    </w:p>
    <w:p>
      <w:pPr>
        <w:ind w:right="60" w:firstLine="458"/>
        <w:spacing w:after="0" w:line="312" w:lineRule="auto"/>
        <w:tabs>
          <w:tab w:leader="none" w:pos="745"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Independent Registered Public Accounting Firm</w:t>
      </w:r>
      <w:r>
        <w:rPr>
          <w:rFonts w:ascii="Arial" w:cs="Arial" w:eastAsia="Arial" w:hAnsi="Arial"/>
          <w:sz w:val="16"/>
          <w:szCs w:val="16"/>
          <w:color w:val="auto"/>
        </w:rPr>
        <w:t>. PricewaterhouseCoopers LLP, which has certified the audited financial statements included or</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by reference in the Registration Statement, the most recent Preliminary Prospectus and the Prospectus (and any amendment or supplement thereto), are an independent registered public accounting firm with respect to the GP Entities and the Partnership and its consolidated subsidiaries as required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by the Securities Act and the Rules and Regulations and the Public Company Accounting Oversight Board.</w:t>
      </w:r>
    </w:p>
    <w:p>
      <w:pPr>
        <w:spacing w:after="0" w:line="117" w:lineRule="exact"/>
        <w:rPr>
          <w:sz w:val="20"/>
          <w:szCs w:val="20"/>
          <w:color w:val="auto"/>
        </w:rPr>
      </w:pPr>
    </w:p>
    <w:p>
      <w:pPr>
        <w:ind w:right="40" w:firstLine="458"/>
        <w:spacing w:after="0" w:line="285" w:lineRule="auto"/>
        <w:tabs>
          <w:tab w:leader="none" w:pos="7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Financial Statements. At September 30, 2010, the Partnership would have had, on a pro forma as adjusted basis as indicated in the Prospectus (and any amendment or supplement thereto), a total capitalization as set forth therein. The financial statements (including the related notes and supporting schedules) and other financial information included or incorporated by reference in the Registration Statement, the most recent Preliminary Prospectus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 as described therein. The pro forma financial statements and other pro forma financial information, if any, included or incorporated by reference in the Registration Statement, the most recent Preliminary Prospectus and the Prospectus (and any amendment or supplement thereto) (i) 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the most recent Preliminary Prospectus and the Prospectus (and any amendment or supplement thereto) are reasonable, and the adjustments used therein are appropriate to give effect to the transactions or circumstances referred to therein. No other financial statements or schedules of the Partnership are required by the Securities Act or the Exchange Act to be included in the Registration Statement, the most recent Preliminary Prospectus or the Prospectus.</w:t>
      </w:r>
    </w:p>
    <w:p>
      <w:pPr>
        <w:spacing w:after="0" w:line="285" w:lineRule="exact"/>
        <w:rPr>
          <w:rFonts w:ascii="Arial" w:cs="Arial" w:eastAsia="Arial" w:hAnsi="Arial"/>
          <w:sz w:val="16"/>
          <w:szCs w:val="16"/>
          <w:color w:val="auto"/>
        </w:rPr>
      </w:pPr>
    </w:p>
    <w:p>
      <w:pPr>
        <w:ind w:firstLine="458"/>
        <w:spacing w:after="0" w:line="270" w:lineRule="auto"/>
        <w:tabs>
          <w:tab w:leader="none" w:pos="705"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Material Adverse Change. None of the Plains Entities or the GP Entities has sustained, since the date of the latest audited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right="160"/>
        <w:spacing w:after="0" w:line="277" w:lineRule="auto"/>
        <w:rPr>
          <w:sz w:val="20"/>
          <w:szCs w:val="20"/>
          <w:color w:val="auto"/>
        </w:rPr>
      </w:pPr>
      <w:r>
        <w:rPr>
          <w:rFonts w:ascii="Arial" w:cs="Arial" w:eastAsia="Arial" w:hAnsi="Arial"/>
          <w:sz w:val="18"/>
          <w:szCs w:val="18"/>
          <w:color w:val="auto"/>
        </w:rPr>
        <w:t>or distribution of any kind declared, paid or made on the security interests of any of the Plains Entities or the GP Entities, in each case other than as set forth in the Registration Statement, the Pricing Disclosure Package and the Prospectus.</w:t>
      </w:r>
    </w:p>
    <w:p>
      <w:pPr>
        <w:spacing w:after="0" w:line="62" w:lineRule="exact"/>
        <w:rPr>
          <w:sz w:val="20"/>
          <w:szCs w:val="20"/>
          <w:color w:val="auto"/>
        </w:rPr>
      </w:pPr>
    </w:p>
    <w:p>
      <w:pPr>
        <w:ind w:firstLine="458"/>
        <w:spacing w:after="0" w:line="255"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Required Disclosures and Descriptions</w:t>
      </w:r>
      <w:r>
        <w:rPr>
          <w:rFonts w:ascii="Arial" w:cs="Arial" w:eastAsia="Arial" w:hAnsi="Arial"/>
          <w:sz w:val="18"/>
          <w:szCs w:val="18"/>
          <w:color w:val="auto"/>
        </w:rPr>
        <w:t>. There are no legal or governmental proceedings pending or, to the knowledge of the Partnership, threatened,</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any of the Plains Entities or the GP Entities, or to which any of the Plains Entities or the GP Entities is a party, or to 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85" w:lineRule="exact"/>
        <w:rPr>
          <w:sz w:val="20"/>
          <w:szCs w:val="20"/>
          <w:color w:val="auto"/>
        </w:rPr>
      </w:pPr>
    </w:p>
    <w:p>
      <w:pPr>
        <w:ind w:firstLine="458"/>
        <w:spacing w:after="0" w:line="291" w:lineRule="auto"/>
        <w:tabs>
          <w:tab w:leader="none" w:pos="77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Title to Properties</w:t>
      </w:r>
      <w:r>
        <w:rPr>
          <w:rFonts w:ascii="Arial" w:cs="Arial" w:eastAsia="Arial" w:hAnsi="Arial"/>
          <w:sz w:val="16"/>
          <w:szCs w:val="16"/>
          <w:color w:val="auto"/>
        </w:rPr>
        <w:t>. The Plains Entities, directly or indirectly, have good and indefeasible title to all real property and good title to all personal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described in the Pricing Disclosure Package and the Prospectus as being owned by them, free and clear of all Liens except (i) as provided in the Second Restated Credit Agreement dated November 6, 2008, as amended (the “</w:t>
      </w:r>
      <w:r>
        <w:rPr>
          <w:rFonts w:ascii="Arial" w:cs="Arial" w:eastAsia="Arial" w:hAnsi="Arial"/>
          <w:sz w:val="16"/>
          <w:szCs w:val="16"/>
          <w:b w:val="1"/>
          <w:bCs w:val="1"/>
          <w:color w:val="auto"/>
        </w:rPr>
        <w:t>Restated Facility</w:t>
      </w:r>
      <w:r>
        <w:rPr>
          <w:rFonts w:ascii="Arial" w:cs="Arial" w:eastAsia="Arial" w:hAnsi="Arial"/>
          <w:sz w:val="16"/>
          <w:szCs w:val="16"/>
          <w:color w:val="auto"/>
        </w:rPr>
        <w:t>”), among Plains Marketing GP Inc., a Delaware corporation (“</w:t>
      </w:r>
      <w:r>
        <w:rPr>
          <w:rFonts w:ascii="Arial" w:cs="Arial" w:eastAsia="Arial" w:hAnsi="Arial"/>
          <w:sz w:val="16"/>
          <w:szCs w:val="16"/>
          <w:b w:val="1"/>
          <w:bCs w:val="1"/>
          <w:color w:val="auto"/>
        </w:rPr>
        <w:t>GP Inc.</w:t>
      </w:r>
      <w:r>
        <w:rPr>
          <w:rFonts w:ascii="Arial" w:cs="Arial" w:eastAsia="Arial" w:hAnsi="Arial"/>
          <w:sz w:val="16"/>
          <w:szCs w:val="16"/>
          <w:color w:val="auto"/>
        </w:rPr>
        <w:t>”), Bank of America, N.A., as administrative agent thereunder and the lenders from time to time party thereto, described in the Pricing Disclosure Package and the Prospectus and (ii) such as would not reasonably be expected to have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Pricing Disclosure Package and the Prospectus.</w:t>
      </w:r>
    </w:p>
    <w:p>
      <w:pPr>
        <w:spacing w:after="0" w:line="59" w:lineRule="exact"/>
        <w:rPr>
          <w:rFonts w:ascii="Arial" w:cs="Arial" w:eastAsia="Arial" w:hAnsi="Arial"/>
          <w:sz w:val="16"/>
          <w:szCs w:val="16"/>
          <w:color w:val="auto"/>
        </w:rPr>
      </w:pPr>
    </w:p>
    <w:p>
      <w:pPr>
        <w:ind w:right="60" w:firstLine="458"/>
        <w:spacing w:after="0" w:line="272" w:lineRule="auto"/>
        <w:tabs>
          <w:tab w:leader="none" w:pos="79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Permits</w:t>
      </w:r>
      <w:r>
        <w:rPr>
          <w:rFonts w:ascii="Arial" w:cs="Arial" w:eastAsia="Arial" w:hAnsi="Arial"/>
          <w:sz w:val="17"/>
          <w:szCs w:val="17"/>
          <w:color w:val="auto"/>
        </w:rPr>
        <w:t>. Each of the Plains Entities, directly or indirectly, has such permits, consents, licenses, franchises, certificates and authorizations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authorities (“</w:t>
      </w:r>
      <w:r>
        <w:rPr>
          <w:rFonts w:ascii="Arial" w:cs="Arial" w:eastAsia="Arial" w:hAnsi="Arial"/>
          <w:sz w:val="17"/>
          <w:szCs w:val="17"/>
          <w:b w:val="1"/>
          <w:bCs w:val="1"/>
          <w:color w:val="auto"/>
        </w:rPr>
        <w:t>Permits</w:t>
      </w:r>
      <w:r>
        <w:rPr>
          <w:rFonts w:ascii="Arial" w:cs="Arial" w:eastAsia="Arial" w:hAnsi="Arial"/>
          <w:sz w:val="17"/>
          <w:szCs w:val="17"/>
          <w:color w:val="auto"/>
        </w:rPr>
        <w:t>”) as are necessary to own its properties and to conduct its 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individually or in the aggregate, have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Pricing Disclosure Package and the Prospectus.</w:t>
      </w:r>
    </w:p>
    <w:p>
      <w:pPr>
        <w:spacing w:after="0" w:line="65" w:lineRule="exact"/>
        <w:rPr>
          <w:rFonts w:ascii="Arial" w:cs="Arial" w:eastAsia="Arial" w:hAnsi="Arial"/>
          <w:sz w:val="17"/>
          <w:szCs w:val="17"/>
          <w:color w:val="auto"/>
        </w:rPr>
      </w:pPr>
    </w:p>
    <w:p>
      <w:pPr>
        <w:ind w:right="60" w:firstLine="458"/>
        <w:spacing w:after="0" w:line="258" w:lineRule="auto"/>
        <w:tabs>
          <w:tab w:leader="none" w:pos="77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Rights-of-Way</w:t>
      </w:r>
      <w:r>
        <w:rPr>
          <w:rFonts w:ascii="Arial" w:cs="Arial" w:eastAsia="Arial" w:hAnsi="Arial"/>
          <w:sz w:val="18"/>
          <w:szCs w:val="18"/>
          <w:color w:val="auto"/>
        </w:rPr>
        <w:t>. Each of the Plains Entities, directly or indirectly, has such consents, easements, rights-of-way or licenses from any person (“</w:t>
      </w:r>
      <w:r>
        <w:rPr>
          <w:rFonts w:ascii="Arial" w:cs="Arial" w:eastAsia="Arial" w:hAnsi="Arial"/>
          <w:sz w:val="18"/>
          <w:szCs w:val="18"/>
          <w:b w:val="1"/>
          <w:bCs w:val="1"/>
          <w:color w:val="auto"/>
        </w:rPr>
        <w:t>rights-of-way</w:t>
      </w:r>
      <w:r>
        <w:rPr>
          <w:rFonts w:ascii="Arial" w:cs="Arial" w:eastAsia="Arial" w:hAnsi="Arial"/>
          <w:sz w:val="18"/>
          <w:szCs w:val="18"/>
          <w:color w:val="auto"/>
        </w:rPr>
        <w:t>”) as are necessary to conduct its business in the manner described in the Pricing Disclosure Package and the Prospectus, subject to such qualifications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set forth in the Pricing Disclosure Package and the Prospectus and except for such rights-of-way the failure of which to have obtained would not reasonably be expected to, individually or in the aggregate, have a Material Adverse Effect; each of the Plains Entities, directly or indirectly, has fulfilled and performed all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jc w:val="both"/>
        <w:ind w:right="160"/>
        <w:spacing w:after="0" w:line="259" w:lineRule="auto"/>
        <w:rPr>
          <w:sz w:val="20"/>
          <w:szCs w:val="20"/>
          <w:color w:val="auto"/>
        </w:rPr>
      </w:pPr>
      <w:r>
        <w:rPr>
          <w:rFonts w:ascii="Arial" w:cs="Arial" w:eastAsia="Arial" w:hAnsi="Arial"/>
          <w:sz w:val="18"/>
          <w:szCs w:val="18"/>
          <w:color w:val="auto"/>
        </w:rPr>
        <w:t>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a Material Adverse Effect, subject in each case to such qualification as may be set forth in the Pricing Disclosure Package and the Prospectus.</w:t>
      </w:r>
    </w:p>
    <w:p>
      <w:pPr>
        <w:spacing w:after="0" w:line="79" w:lineRule="exact"/>
        <w:rPr>
          <w:sz w:val="20"/>
          <w:szCs w:val="20"/>
          <w:color w:val="auto"/>
        </w:rPr>
      </w:pPr>
    </w:p>
    <w:p>
      <w:pPr>
        <w:ind w:right="140" w:firstLine="458"/>
        <w:spacing w:after="0" w:line="293" w:lineRule="auto"/>
        <w:tabs>
          <w:tab w:leader="none" w:pos="79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Investment Company</w:t>
      </w:r>
      <w:r>
        <w:rPr>
          <w:rFonts w:ascii="Arial" w:cs="Arial" w:eastAsia="Arial" w:hAnsi="Arial"/>
          <w:sz w:val="16"/>
          <w:szCs w:val="16"/>
          <w:color w:val="auto"/>
        </w:rPr>
        <w:t>. None of the Plains Entities is now, and after sale of the Units to be sold by the Partnership hereunder and application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spacing w:after="0" w:line="56" w:lineRule="exact"/>
        <w:rPr>
          <w:rFonts w:ascii="Arial" w:cs="Arial" w:eastAsia="Arial" w:hAnsi="Arial"/>
          <w:sz w:val="16"/>
          <w:szCs w:val="16"/>
          <w:color w:val="auto"/>
        </w:rPr>
      </w:pPr>
    </w:p>
    <w:p>
      <w:pPr>
        <w:ind w:right="20" w:firstLine="458"/>
        <w:spacing w:after="0" w:line="273" w:lineRule="auto"/>
        <w:tabs>
          <w:tab w:leader="none" w:pos="775"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Environmental Compliance</w:t>
      </w:r>
      <w:r>
        <w:rPr>
          <w:rFonts w:ascii="Arial" w:cs="Arial" w:eastAsia="Arial" w:hAnsi="Arial"/>
          <w:sz w:val="17"/>
          <w:szCs w:val="17"/>
          <w:color w:val="auto"/>
        </w:rPr>
        <w:t>. Except as described in the Pricing Disclosure Package and the Prospectus, none of the Plains Entities,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or lacks any permits, licenses or other approvals required of them under applicable Environmental Laws to own, lease or operate their properties and conduct their business as described in the Pricing Disclosure Package and the Prospectus or is violating any terms and conditions of any such permit, license or approval, which in each case would reasonably be expected to have a Material Adverse Effect.</w:t>
      </w:r>
    </w:p>
    <w:p>
      <w:pPr>
        <w:spacing w:after="0" w:line="70" w:lineRule="exact"/>
        <w:rPr>
          <w:rFonts w:ascii="Arial" w:cs="Arial" w:eastAsia="Arial" w:hAnsi="Arial"/>
          <w:sz w:val="17"/>
          <w:szCs w:val="17"/>
          <w:color w:val="auto"/>
        </w:rPr>
      </w:pPr>
    </w:p>
    <w:p>
      <w:pPr>
        <w:ind w:right="760" w:firstLine="458"/>
        <w:spacing w:after="0" w:line="277" w:lineRule="auto"/>
        <w:tabs>
          <w:tab w:leader="none" w:pos="731"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No Labor Disputes</w:t>
      </w:r>
      <w:r>
        <w:rPr>
          <w:rFonts w:ascii="Arial" w:cs="Arial" w:eastAsia="Arial" w:hAnsi="Arial"/>
          <w:sz w:val="18"/>
          <w:szCs w:val="18"/>
          <w:color w:val="auto"/>
        </w:rPr>
        <w:t>. No labor dispute with the employees of any of the Plains Entities or the GP Entities exists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is imminent, that would reasonably be expected to have a Material Adverse Effect.</w:t>
      </w:r>
    </w:p>
    <w:p>
      <w:pPr>
        <w:spacing w:after="0" w:line="62" w:lineRule="exact"/>
        <w:rPr>
          <w:rFonts w:ascii="Arial" w:cs="Arial" w:eastAsia="Arial" w:hAnsi="Arial"/>
          <w:sz w:val="18"/>
          <w:szCs w:val="18"/>
          <w:color w:val="auto"/>
        </w:rPr>
      </w:pPr>
    </w:p>
    <w:p>
      <w:pPr>
        <w:ind w:firstLine="458"/>
        <w:spacing w:after="0" w:line="312" w:lineRule="auto"/>
        <w:tabs>
          <w:tab w:leader="none" w:pos="79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Partnership maintains or is entitled to the benefits of insurance covering its properties, operations, personnel and businesses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such losses and risks as are reasonably adequate to protect it and its businesses in a manner consistent with other businesses similarly situated. All such insurance is outstanding and duly in force on the date hereof and will be outstanding and duly in force on each applicable Delivery Date.</w:t>
      </w:r>
    </w:p>
    <w:p>
      <w:pPr>
        <w:spacing w:after="0" w:line="38" w:lineRule="exact"/>
        <w:rPr>
          <w:rFonts w:ascii="Arial" w:cs="Arial" w:eastAsia="Arial" w:hAnsi="Arial"/>
          <w:sz w:val="16"/>
          <w:szCs w:val="16"/>
          <w:color w:val="auto"/>
        </w:rPr>
      </w:pPr>
    </w:p>
    <w:p>
      <w:pPr>
        <w:jc w:val="both"/>
        <w:ind w:right="60" w:firstLine="458"/>
        <w:spacing w:after="0" w:line="297" w:lineRule="auto"/>
        <w:tabs>
          <w:tab w:leader="none" w:pos="79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No Legal Actions</w:t>
      </w:r>
      <w:r>
        <w:rPr>
          <w:rFonts w:ascii="Arial" w:cs="Arial" w:eastAsia="Arial" w:hAnsi="Arial"/>
          <w:sz w:val="16"/>
          <w:szCs w:val="16"/>
          <w:color w:val="auto"/>
        </w:rPr>
        <w:t>. Except as described in the Pricing Disclosure Package and the Prospectus, there is (i) no action, suit or proceeding before or by</w:t>
      </w:r>
      <w:r>
        <w:rPr>
          <w:rFonts w:ascii="Arial" w:cs="Arial" w:eastAsia="Arial" w:hAnsi="Arial"/>
          <w:sz w:val="16"/>
          <w:szCs w:val="16"/>
          <w:i w:val="1"/>
          <w:iCs w:val="1"/>
          <w:color w:val="auto"/>
        </w:rPr>
        <w:t xml:space="preserve"> </w:t>
      </w:r>
      <w:r>
        <w:rPr>
          <w:rFonts w:ascii="Arial" w:cs="Arial" w:eastAsia="Arial" w:hAnsi="Arial"/>
          <w:sz w:val="16"/>
          <w:szCs w:val="16"/>
          <w:color w:val="auto"/>
        </w:rPr>
        <w:t>any court, arbitrator or governmental agency, body or official, domestic or foreign, now pending or, to the knowledge of the Partnership,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clauses (i) and (ii) above, would reasonably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be expected to have, individually or in the aggregate, a Material Adverse Effect or prevent or result in the suspension of the offering and issuance of the Units.</w:t>
      </w:r>
    </w:p>
    <w:p>
      <w:pPr>
        <w:spacing w:after="0" w:line="140" w:lineRule="exact"/>
        <w:rPr>
          <w:sz w:val="20"/>
          <w:szCs w:val="20"/>
          <w:color w:val="auto"/>
        </w:rPr>
      </w:pPr>
    </w:p>
    <w:p>
      <w:pPr>
        <w:ind w:right="40" w:firstLine="458"/>
        <w:spacing w:after="0" w:line="271" w:lineRule="auto"/>
        <w:tabs>
          <w:tab w:leader="none" w:pos="715"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Distribution Restrictions</w:t>
      </w:r>
      <w:r>
        <w:rPr>
          <w:rFonts w:ascii="Arial" w:cs="Arial" w:eastAsia="Arial" w:hAnsi="Arial"/>
          <w:sz w:val="17"/>
          <w:szCs w:val="17"/>
          <w:color w:val="auto"/>
        </w:rPr>
        <w:t>. No Subsidiary is currently prohibited, directly or indirectly, from making any distributions to the Partnership or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Pricing Disclosure Package and the Prospectus (exclusive of any amendment or supplement thereto), (ii) as provided in the Credit Agreement dated April 1, 2010 (the “</w:t>
      </w:r>
      <w:r>
        <w:rPr>
          <w:rFonts w:ascii="Arial" w:cs="Arial" w:eastAsia="Arial" w:hAnsi="Arial"/>
          <w:sz w:val="17"/>
          <w:szCs w:val="17"/>
          <w:b w:val="1"/>
          <w:bCs w:val="1"/>
          <w:color w:val="auto"/>
        </w:rPr>
        <w:t>PNG Facility</w:t>
      </w:r>
      <w:r>
        <w:rPr>
          <w:rFonts w:ascii="Arial" w:cs="Arial" w:eastAsia="Arial" w:hAnsi="Arial"/>
          <w:sz w:val="17"/>
          <w:szCs w:val="17"/>
          <w:color w:val="auto"/>
        </w:rPr>
        <w:t>”) among PNG, Bank of America, N.A., DnB Nor Bank ASA, Wells Fargo Bank, National Association, UBS Loan Finance LLC and Citibank, N.A. and the other lenders from time to time party thereto, (iii) such prohibitions mandated by the laws of each such Subsidiary’s state of formation and the terms of any such Subsidiary’s Organizational Documents and (iv) where such prohibition would not reasonably be expected to have a Material Adverse Effect.</w:t>
      </w:r>
    </w:p>
    <w:p>
      <w:pPr>
        <w:spacing w:after="0" w:line="70" w:lineRule="exact"/>
        <w:rPr>
          <w:rFonts w:ascii="Arial" w:cs="Arial" w:eastAsia="Arial" w:hAnsi="Arial"/>
          <w:sz w:val="17"/>
          <w:szCs w:val="17"/>
          <w:color w:val="auto"/>
        </w:rPr>
      </w:pPr>
    </w:p>
    <w:p>
      <w:pPr>
        <w:ind w:right="100" w:firstLine="458"/>
        <w:spacing w:after="0" w:line="257" w:lineRule="auto"/>
        <w:tabs>
          <w:tab w:leader="none" w:pos="71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No Distribution of Other Offering Materials</w:t>
      </w:r>
      <w:r>
        <w:rPr>
          <w:rFonts w:ascii="Arial" w:cs="Arial" w:eastAsia="Arial" w:hAnsi="Arial"/>
          <w:sz w:val="18"/>
          <w:szCs w:val="18"/>
          <w:color w:val="auto"/>
        </w:rPr>
        <w:t>. None of the Plains Entities or the GP Entities has distributed and, prior to the later to occur of (i) any</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Date and (ii) completion of the distribution of the Firm Units or Option Units, as the case may be, will not distribute, any prospectus (as defined under the Securities Act) in connection with the offering and sale of the Units other than any Preliminary Prospectus, the Prospectus, any Issuer Free Writing Prospectus, subject to the conditions in Section 1(h) of this Agreement, or other materials, if any, permitted by the Securities Act, including Rule 134 of the Rules and Regulations.</w:t>
      </w:r>
    </w:p>
    <w:p>
      <w:pPr>
        <w:spacing w:after="0" w:line="76" w:lineRule="exact"/>
        <w:rPr>
          <w:rFonts w:ascii="Arial" w:cs="Arial" w:eastAsia="Arial" w:hAnsi="Arial"/>
          <w:sz w:val="18"/>
          <w:szCs w:val="18"/>
          <w:color w:val="auto"/>
        </w:rPr>
      </w:pPr>
    </w:p>
    <w:p>
      <w:pPr>
        <w:ind w:right="60" w:firstLine="458"/>
        <w:spacing w:after="0" w:line="282" w:lineRule="auto"/>
        <w:tabs>
          <w:tab w:leader="none" w:pos="79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NYSE Listing of Common Units</w:t>
      </w:r>
      <w:r>
        <w:rPr>
          <w:rFonts w:ascii="Arial" w:cs="Arial" w:eastAsia="Arial" w:hAnsi="Arial"/>
          <w:sz w:val="18"/>
          <w:szCs w:val="18"/>
          <w:color w:val="auto"/>
        </w:rPr>
        <w:t>. The Common Units are listed on the New York Stock Exchange (“</w:t>
      </w:r>
      <w:r>
        <w:rPr>
          <w:rFonts w:ascii="Arial" w:cs="Arial" w:eastAsia="Arial" w:hAnsi="Arial"/>
          <w:sz w:val="18"/>
          <w:szCs w:val="18"/>
          <w:b w:val="1"/>
          <w:bCs w:val="1"/>
          <w:color w:val="auto"/>
        </w:rPr>
        <w:t>NYSE</w:t>
      </w:r>
      <w:r>
        <w:rPr>
          <w:rFonts w:ascii="Arial" w:cs="Arial" w:eastAsia="Arial" w:hAnsi="Arial"/>
          <w:sz w:val="18"/>
          <w:szCs w:val="18"/>
          <w:color w:val="auto"/>
        </w:rPr>
        <w:t>”), and prior to the Initial Delivery Date,</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Units will be approved for listing on the NYSE subject only to official notice of issuance.</w:t>
      </w:r>
    </w:p>
    <w:p>
      <w:pPr>
        <w:spacing w:after="0" w:line="57" w:lineRule="exact"/>
        <w:rPr>
          <w:rFonts w:ascii="Arial" w:cs="Arial" w:eastAsia="Arial" w:hAnsi="Arial"/>
          <w:sz w:val="18"/>
          <w:szCs w:val="18"/>
          <w:color w:val="auto"/>
        </w:rPr>
      </w:pPr>
    </w:p>
    <w:p>
      <w:pPr>
        <w:ind w:right="20" w:firstLine="458"/>
        <w:spacing w:after="0" w:line="276" w:lineRule="auto"/>
        <w:tabs>
          <w:tab w:leader="none" w:pos="715"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Books and Records; Accounting Controls</w:t>
      </w:r>
      <w:r>
        <w:rPr>
          <w:rFonts w:ascii="Arial" w:cs="Arial" w:eastAsia="Arial" w:hAnsi="Arial"/>
          <w:sz w:val="17"/>
          <w:szCs w:val="17"/>
          <w:color w:val="auto"/>
        </w:rPr>
        <w:t>. The Partnership maintains a system of internal accounting controls sufficient to provide reasonable</w:t>
      </w:r>
      <w:r>
        <w:rPr>
          <w:rFonts w:ascii="Arial" w:cs="Arial" w:eastAsia="Arial" w:hAnsi="Arial"/>
          <w:sz w:val="17"/>
          <w:szCs w:val="17"/>
          <w:i w:val="1"/>
          <w:iCs w:val="1"/>
          <w:color w:val="auto"/>
        </w:rPr>
        <w:t xml:space="preserve"> </w:t>
      </w:r>
      <w:r>
        <w:rPr>
          <w:rFonts w:ascii="Arial" w:cs="Arial" w:eastAsia="Arial" w:hAnsi="Arial"/>
          <w:sz w:val="17"/>
          <w:szCs w:val="17"/>
          <w:color w:val="auto"/>
        </w:rPr>
        <w:t>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64" w:lineRule="exact"/>
        <w:rPr>
          <w:rFonts w:ascii="Arial" w:cs="Arial" w:eastAsia="Arial" w:hAnsi="Arial"/>
          <w:sz w:val="17"/>
          <w:szCs w:val="17"/>
          <w:color w:val="auto"/>
        </w:rPr>
      </w:pPr>
    </w:p>
    <w:p>
      <w:pPr>
        <w:ind w:right="220" w:firstLine="458"/>
        <w:spacing w:after="0" w:line="264"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Partnership and, to the knowledge of the Partnership, the directors and officers of GP LLC in their capacities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are in compliance in all material respects with all applicable and effective provisions of the Sarbanes-Oxley Act of 2002 and the rules and regulations promulgated thereunder.</w:t>
      </w:r>
    </w:p>
    <w:p>
      <w:pPr>
        <w:spacing w:after="0" w:line="73" w:lineRule="exact"/>
        <w:rPr>
          <w:rFonts w:ascii="Arial" w:cs="Arial" w:eastAsia="Arial" w:hAnsi="Arial"/>
          <w:sz w:val="18"/>
          <w:szCs w:val="18"/>
          <w:color w:val="auto"/>
        </w:rPr>
      </w:pPr>
    </w:p>
    <w:p>
      <w:pPr>
        <w:ind w:left="800" w:hanging="342"/>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Disclosure Controls</w:t>
      </w:r>
      <w:r>
        <w:rPr>
          <w:rFonts w:ascii="Arial" w:cs="Arial" w:eastAsia="Arial" w:hAnsi="Arial"/>
          <w:sz w:val="17"/>
          <w:szCs w:val="17"/>
          <w:color w:val="auto"/>
        </w:rPr>
        <w:t>. The Partnership maintains disclosure controls and procedures (to the extent required by and as such term is defined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Rules 13a-15 and 15d-15 under the Exchange Act), that (i) are designed to provide reasonable assurance that material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right="20"/>
        <w:spacing w:after="0" w:line="302" w:lineRule="auto"/>
        <w:rPr>
          <w:sz w:val="20"/>
          <w:szCs w:val="20"/>
          <w:color w:val="auto"/>
        </w:rPr>
      </w:pPr>
      <w:r>
        <w:rPr>
          <w:rFonts w:ascii="Arial" w:cs="Arial" w:eastAsia="Arial" w:hAnsi="Arial"/>
          <w:sz w:val="16"/>
          <w:szCs w:val="16"/>
          <w:color w:val="auto"/>
        </w:rPr>
        <w:t>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46" w:lineRule="exact"/>
        <w:rPr>
          <w:sz w:val="20"/>
          <w:szCs w:val="20"/>
          <w:color w:val="auto"/>
        </w:rPr>
      </w:pPr>
    </w:p>
    <w:p>
      <w:pPr>
        <w:ind w:right="20" w:firstLine="458"/>
        <w:spacing w:after="0" w:line="257" w:lineRule="auto"/>
        <w:tabs>
          <w:tab w:leader="none" w:pos="79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No Deficiency in Internal Controls</w:t>
      </w:r>
      <w:r>
        <w:rPr>
          <w:rFonts w:ascii="Arial" w:cs="Arial" w:eastAsia="Arial" w:hAnsi="Arial"/>
          <w:sz w:val="18"/>
          <w:szCs w:val="18"/>
          <w:color w:val="auto"/>
        </w:rPr>
        <w:t>. Based on the evaluation of its disclosure controls and procedures conducted in connection with the preparation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filing of the Partnership’s Annual Report on Form 10-K for the period ended December 31, 2009,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80" w:lineRule="exact"/>
        <w:rPr>
          <w:rFonts w:ascii="Arial" w:cs="Arial" w:eastAsia="Arial" w:hAnsi="Arial"/>
          <w:sz w:val="18"/>
          <w:szCs w:val="18"/>
          <w:color w:val="auto"/>
        </w:rPr>
      </w:pPr>
    </w:p>
    <w:p>
      <w:pPr>
        <w:jc w:val="both"/>
        <w:ind w:firstLine="458"/>
        <w:spacing w:after="0" w:line="286" w:lineRule="auto"/>
        <w:tabs>
          <w:tab w:leader="none" w:pos="79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FCPA</w:t>
      </w:r>
      <w:r>
        <w:rPr>
          <w:rFonts w:ascii="Arial" w:cs="Arial" w:eastAsia="Arial" w:hAnsi="Arial"/>
          <w:sz w:val="17"/>
          <w:szCs w:val="17"/>
          <w:color w:val="auto"/>
        </w:rPr>
        <w:t>. None of the Plains Entities or the GP Entities nor, to the knowledge of the Partnership, any director, officer, agent or employee of the Plains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57" w:lineRule="exact"/>
        <w:rPr>
          <w:rFonts w:ascii="Arial" w:cs="Arial" w:eastAsia="Arial" w:hAnsi="Arial"/>
          <w:sz w:val="17"/>
          <w:szCs w:val="17"/>
          <w:color w:val="auto"/>
        </w:rPr>
      </w:pPr>
    </w:p>
    <w:p>
      <w:pPr>
        <w:ind w:right="220" w:firstLine="458"/>
        <w:spacing w:after="0" w:line="342" w:lineRule="auto"/>
        <w:tabs>
          <w:tab w:leader="none" w:pos="79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Money Laundering Laws</w:t>
      </w:r>
      <w:r>
        <w:rPr>
          <w:rFonts w:ascii="Arial" w:cs="Arial" w:eastAsia="Arial" w:hAnsi="Arial"/>
          <w:sz w:val="16"/>
          <w:szCs w:val="16"/>
          <w:color w:val="auto"/>
        </w:rPr>
        <w:t>. No action, suit or proceeding by or before any court or governmental agency, authority or body or any arbitrator</w:t>
      </w:r>
      <w:r>
        <w:rPr>
          <w:rFonts w:ascii="Arial" w:cs="Arial" w:eastAsia="Arial" w:hAnsi="Arial"/>
          <w:sz w:val="16"/>
          <w:szCs w:val="16"/>
          <w:i w:val="1"/>
          <w:iCs w:val="1"/>
          <w:color w:val="auto"/>
        </w:rPr>
        <w:t xml:space="preserve"> </w:t>
      </w:r>
      <w:r>
        <w:rPr>
          <w:rFonts w:ascii="Arial" w:cs="Arial" w:eastAsia="Arial" w:hAnsi="Arial"/>
          <w:sz w:val="16"/>
          <w:szCs w:val="16"/>
          <w:color w:val="auto"/>
        </w:rPr>
        <w:t>involving the Plains Entities or the GP Entities that involve allegations of money laundering is pending or, to the knowledge of the Partnership, threatened.</w:t>
      </w:r>
    </w:p>
    <w:p>
      <w:pPr>
        <w:spacing w:after="0" w:line="15" w:lineRule="exact"/>
        <w:rPr>
          <w:rFonts w:ascii="Arial" w:cs="Arial" w:eastAsia="Arial" w:hAnsi="Arial"/>
          <w:sz w:val="16"/>
          <w:szCs w:val="16"/>
          <w:color w:val="auto"/>
        </w:rPr>
      </w:pPr>
    </w:p>
    <w:p>
      <w:pPr>
        <w:ind w:right="100" w:firstLine="458"/>
        <w:spacing w:after="0" w:line="264" w:lineRule="auto"/>
        <w:tabs>
          <w:tab w:leader="none" w:pos="73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OFAC</w:t>
      </w:r>
      <w:r>
        <w:rPr>
          <w:rFonts w:ascii="Arial" w:cs="Arial" w:eastAsia="Arial" w:hAnsi="Arial"/>
          <w:sz w:val="18"/>
          <w:szCs w:val="18"/>
          <w:color w:val="auto"/>
        </w:rPr>
        <w:t>. None of the Plains Entities or the GP Entities nor, to the knowledge of the Partnership, any director, officer or employee of the Plains</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or the GP Entities (in their capacity as director, officer or employee) has received notice that it is subject to any sanctions administered by the Office of Foreign Assets Control of the U.S. Treasury Department.</w:t>
      </w:r>
    </w:p>
    <w:p>
      <w:pPr>
        <w:spacing w:after="0" w:line="73"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The applicable statements made in the certificates described in Sections 7(i) and 7(l) shall be deemed representations and warranties by the Partnership, as to matters covered thereby, to the Underwriters.</w:t>
      </w:r>
    </w:p>
    <w:p>
      <w:pPr>
        <w:spacing w:after="0" w:line="62" w:lineRule="exact"/>
        <w:rPr>
          <w:sz w:val="20"/>
          <w:szCs w:val="20"/>
          <w:color w:val="auto"/>
        </w:rPr>
      </w:pPr>
    </w:p>
    <w:p>
      <w:pPr>
        <w:ind w:right="100" w:firstLine="458"/>
        <w:spacing w:after="0" w:line="312" w:lineRule="auto"/>
        <w:tabs>
          <w:tab w:leader="none" w:pos="63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Purchase and Sale</w:t>
      </w:r>
      <w:r>
        <w:rPr>
          <w:rFonts w:ascii="Arial" w:cs="Arial" w:eastAsia="Arial" w:hAnsi="Arial"/>
          <w:sz w:val="16"/>
          <w:szCs w:val="16"/>
          <w:color w:val="auto"/>
        </w:rPr>
        <w:t xml:space="preserve">. (a) Subject to the terms and conditions and in reliance upon the representations and warranties herein set forth, the Partnership agrees to sell to each Underwriter, and each Underwriter agrees, severally and not jointly, to purchase from the Partnership, at a purchase price of $60.68 per Unit, the number of Firm Units set forth opposite such Underwriter’s name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subject to adjustment as set forth in Section 9 hereof.</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Subject to the terms and conditions and in reliance upon the representations and warranties herein set forth, the Partnership hereby grants an option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9" w:name="page20"/>
    <w:bookmarkEnd w:id="19"/>
    <w:p>
      <w:pPr>
        <w:ind w:right="40"/>
        <w:spacing w:after="0" w:line="255" w:lineRule="auto"/>
        <w:rPr>
          <w:sz w:val="20"/>
          <w:szCs w:val="20"/>
          <w:color w:val="auto"/>
        </w:rPr>
      </w:pPr>
      <w:r>
        <w:rPr>
          <w:rFonts w:ascii="Arial" w:cs="Arial" w:eastAsia="Arial" w:hAnsi="Arial"/>
          <w:sz w:val="18"/>
          <w:szCs w:val="18"/>
          <w:color w:val="auto"/>
        </w:rPr>
        <w:t xml:space="preserve">several Underwriters to purchase, severally and not jointly, up to 630,000 Option Units at the same purchase price per Unit as the Underwriters shall pay for the Firm Units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Said option may be exercised in whole or in part at any time and from time to time on or before the 30th day after the date of the Prospectus upon written or telegraphic notice by the Representatives to the Partnership setting forth the number of Option Units as to which the several Underwriters are exercising the option and the settlement date. The number of Option Units to be purchased by each Underwriter shall be the same percentage of the total number of Option Units to be purchased by the several Underwriters as such Underwriter is purchasing of the Firm Units, subject to (i) such adjustments as the Representatives in their absolute discretion shall make to eliminate any fractional shares and (ii) adjustment as set forth in Section 9 hereof.</w:t>
      </w:r>
    </w:p>
    <w:p>
      <w:pPr>
        <w:spacing w:after="0" w:line="81" w:lineRule="exact"/>
        <w:rPr>
          <w:sz w:val="20"/>
          <w:szCs w:val="20"/>
          <w:color w:val="auto"/>
        </w:rPr>
      </w:pPr>
    </w:p>
    <w:p>
      <w:pPr>
        <w:ind w:firstLine="458"/>
        <w:spacing w:after="0" w:line="290" w:lineRule="auto"/>
        <w:tabs>
          <w:tab w:leader="none" w:pos="63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Delivery of and payment for the Firm Units and the Option Units (if the option provided for in Section 2(b) hereof shall have been exercised on or before the third business day prior to the Initial Delivery Date) shall be made at the office of Vinson &amp; Elkins L.L.P., 1001 Fannin, Houston, Texas 77002 at 9:00 a.m., Houston time, on November 19, 2010, or at such time on such later date not more than three business days after the foregoing date as the Representatives shall designate, which date and time may be postponed by agreement between the Representatives and the Partnership or as provided in Section 9 hereof (such date and time of delivery and payment for the Units being herein called the “</w:t>
      </w:r>
      <w:r>
        <w:rPr>
          <w:rFonts w:ascii="Arial" w:cs="Arial" w:eastAsia="Arial" w:hAnsi="Arial"/>
          <w:sz w:val="16"/>
          <w:szCs w:val="16"/>
          <w:b w:val="1"/>
          <w:bCs w:val="1"/>
          <w:color w:val="auto"/>
        </w:rPr>
        <w:t>Initial Delivery Date</w:t>
      </w:r>
      <w:r>
        <w:rPr>
          <w:rFonts w:ascii="Arial" w:cs="Arial" w:eastAsia="Arial" w:hAnsi="Arial"/>
          <w:sz w:val="16"/>
          <w:szCs w:val="16"/>
          <w:color w:val="auto"/>
        </w:rPr>
        <w:t>”). Delivery of the Units shall be made to the Underwriters for the respective accounts of the several Underwriters against payment by the several Underwriters of the purchase price thereof to or upon the order of the Partnership by wire transfer payable in same-day funds to an account specified by the Partnership. Delivery of the Firm Units and the Option Units shall be made through the facilities of The Depository Trust Company unless the Representatives shall otherwise instruct.</w:t>
      </w:r>
    </w:p>
    <w:p>
      <w:pPr>
        <w:spacing w:after="0" w:line="58" w:lineRule="exact"/>
        <w:rPr>
          <w:sz w:val="20"/>
          <w:szCs w:val="20"/>
          <w:color w:val="auto"/>
        </w:rPr>
      </w:pPr>
    </w:p>
    <w:p>
      <w:pPr>
        <w:ind w:right="40" w:firstLine="450"/>
        <w:spacing w:after="0" w:line="290" w:lineRule="auto"/>
        <w:rPr>
          <w:sz w:val="20"/>
          <w:szCs w:val="20"/>
          <w:color w:val="auto"/>
        </w:rPr>
      </w:pPr>
      <w:r>
        <w:rPr>
          <w:rFonts w:ascii="Arial" w:cs="Arial" w:eastAsia="Arial" w:hAnsi="Arial"/>
          <w:sz w:val="16"/>
          <w:szCs w:val="16"/>
          <w:color w:val="auto"/>
        </w:rPr>
        <w:t>If the option provided for in Section 2(b) hereof is exercised after the third business day prior to the Initial Delivery Date, the Partnership will deliver the Option Units (at the expense of the Partnership) to the Representatives on the date (an “</w:t>
      </w:r>
      <w:r>
        <w:rPr>
          <w:rFonts w:ascii="Arial" w:cs="Arial" w:eastAsia="Arial" w:hAnsi="Arial"/>
          <w:sz w:val="16"/>
          <w:szCs w:val="16"/>
          <w:b w:val="1"/>
          <w:bCs w:val="1"/>
          <w:color w:val="auto"/>
        </w:rPr>
        <w:t>Option Units Delivery Date</w:t>
      </w:r>
      <w:r>
        <w:rPr>
          <w:rFonts w:ascii="Arial" w:cs="Arial" w:eastAsia="Arial" w:hAnsi="Arial"/>
          <w:sz w:val="16"/>
          <w:szCs w:val="16"/>
          <w:color w:val="auto"/>
        </w:rPr>
        <w:t>”) specified by the Underwriters (which shall be within three business days after each exercise of said option), for the respective accounts of the several Underwriters, against payment by the several Underwriters of the purchase price thereof to or upon the order of the Partnership by wire transfer payable in same-day funds to an account specified by the Partnership. If settlement for the Option Units occurs after the Initial Delivery Date, the Partnership will deliver to the Underwriters on the Option Units Delivery Date for the Option Units, and the obligation of the Underwriters to purchase the Option Units shall be conditioned upon receipt of, supplemental opinions, certificates and letters confirming as of such date the opinions, certificates and letters delivered on the Initial Delivery Date pursuant to Section 7 hereof. The Initial Delivery Date and any Option Units Delivery Date are each sometimes referred to as a “</w:t>
      </w:r>
      <w:r>
        <w:rPr>
          <w:rFonts w:ascii="Arial" w:cs="Arial" w:eastAsia="Arial" w:hAnsi="Arial"/>
          <w:sz w:val="16"/>
          <w:szCs w:val="16"/>
          <w:b w:val="1"/>
          <w:bCs w:val="1"/>
          <w:color w:val="auto"/>
        </w:rPr>
        <w:t>Delivery Date</w:t>
      </w:r>
      <w:r>
        <w:rPr>
          <w:rFonts w:ascii="Arial" w:cs="Arial" w:eastAsia="Arial" w:hAnsi="Arial"/>
          <w:sz w:val="16"/>
          <w:szCs w:val="16"/>
          <w:color w:val="auto"/>
        </w:rPr>
        <w:t>.”</w:t>
      </w:r>
    </w:p>
    <w:p>
      <w:pPr>
        <w:spacing w:after="0" w:line="58" w:lineRule="exact"/>
        <w:rPr>
          <w:sz w:val="20"/>
          <w:szCs w:val="20"/>
          <w:color w:val="auto"/>
        </w:rPr>
      </w:pPr>
    </w:p>
    <w:p>
      <w:pPr>
        <w:ind w:right="560" w:firstLine="458"/>
        <w:spacing w:after="0" w:line="277" w:lineRule="auto"/>
        <w:tabs>
          <w:tab w:leader="none" w:pos="63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Offering by the Underwriters</w:t>
      </w:r>
      <w:r>
        <w:rPr>
          <w:rFonts w:ascii="Arial" w:cs="Arial" w:eastAsia="Arial" w:hAnsi="Arial"/>
          <w:sz w:val="18"/>
          <w:szCs w:val="18"/>
          <w:color w:val="auto"/>
        </w:rPr>
        <w:t>. It is understood that the several Underwriters propose to offer the Units for sale to the public as set forth in the Prospectus.</w:t>
      </w:r>
    </w:p>
    <w:p>
      <w:pPr>
        <w:spacing w:after="0" w:line="62" w:lineRule="exact"/>
        <w:rPr>
          <w:rFonts w:ascii="Arial" w:cs="Arial" w:eastAsia="Arial" w:hAnsi="Arial"/>
          <w:sz w:val="18"/>
          <w:szCs w:val="18"/>
          <w:color w:val="auto"/>
        </w:rPr>
      </w:pPr>
    </w:p>
    <w:p>
      <w:pPr>
        <w:ind w:left="640" w:hanging="18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Agreements of the Partnership</w:t>
      </w:r>
      <w:r>
        <w:rPr>
          <w:rFonts w:ascii="Arial" w:cs="Arial" w:eastAsia="Arial" w:hAnsi="Arial"/>
          <w:sz w:val="18"/>
          <w:szCs w:val="18"/>
          <w:color w:val="auto"/>
        </w:rPr>
        <w:t>. The Partnership acknowledges and agrees with the Underwriters that:</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0" w:name="page21"/>
    <w:bookmarkEnd w:id="20"/>
    <w:p>
      <w:pPr>
        <w:jc w:val="both"/>
        <w:ind w:right="160" w:firstLine="458"/>
        <w:spacing w:after="0" w:line="259"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Post-Effective Amendments</w:t>
      </w:r>
      <w:r>
        <w:rPr>
          <w:rFonts w:ascii="Arial" w:cs="Arial" w:eastAsia="Arial" w:hAnsi="Arial"/>
          <w:sz w:val="18"/>
          <w:szCs w:val="18"/>
          <w:color w:val="auto"/>
        </w:rPr>
        <w:t>. If, at the Applicable Time, it is necessary for a post-effective amendment to the Registration Statement to be declared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before the offering of the Units may commence, the Partnership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spacing w:after="0" w:line="78" w:lineRule="exact"/>
        <w:rPr>
          <w:rFonts w:ascii="Arial" w:cs="Arial" w:eastAsia="Arial" w:hAnsi="Arial"/>
          <w:sz w:val="18"/>
          <w:szCs w:val="18"/>
          <w:color w:val="auto"/>
        </w:rPr>
      </w:pPr>
    </w:p>
    <w:p>
      <w:pPr>
        <w:ind w:left="720" w:hanging="262"/>
        <w:spacing w:after="0"/>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Preparation of Prospectus and Registration Statement</w:t>
      </w:r>
      <w:r>
        <w:rPr>
          <w:rFonts w:ascii="Arial" w:cs="Arial" w:eastAsia="Arial" w:hAnsi="Arial"/>
          <w:sz w:val="17"/>
          <w:szCs w:val="17"/>
          <w:color w:val="auto"/>
        </w:rPr>
        <w:t>. The Partnership will advise the Representatives promptly and, if requested by the</w:t>
      </w:r>
    </w:p>
    <w:p>
      <w:pPr>
        <w:spacing w:after="0" w:line="34" w:lineRule="exact"/>
        <w:rPr>
          <w:rFonts w:ascii="Arial" w:cs="Arial" w:eastAsia="Arial" w:hAnsi="Arial"/>
          <w:sz w:val="17"/>
          <w:szCs w:val="17"/>
          <w:color w:val="auto"/>
        </w:rPr>
      </w:pPr>
    </w:p>
    <w:p>
      <w:pPr>
        <w:spacing w:after="0" w:line="285" w:lineRule="auto"/>
        <w:rPr>
          <w:rFonts w:ascii="Arial" w:cs="Arial" w:eastAsia="Arial" w:hAnsi="Arial"/>
          <w:sz w:val="17"/>
          <w:szCs w:val="17"/>
          <w:color w:val="auto"/>
        </w:rPr>
      </w:pPr>
      <w:r>
        <w:rPr>
          <w:rFonts w:ascii="Arial" w:cs="Arial" w:eastAsia="Arial" w:hAnsi="Arial"/>
          <w:sz w:val="16"/>
          <w:szCs w:val="16"/>
          <w:color w:val="auto"/>
        </w:rPr>
        <w:t>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Units for offering or sale in any jurisdiction or the initiation of any proceeding for such purpose; and (iii) within the period of time referred to in paragraph (e)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64" w:lineRule="exact"/>
        <w:rPr>
          <w:rFonts w:ascii="Arial" w:cs="Arial" w:eastAsia="Arial" w:hAnsi="Arial"/>
          <w:sz w:val="17"/>
          <w:szCs w:val="17"/>
          <w:color w:val="auto"/>
        </w:rPr>
      </w:pPr>
    </w:p>
    <w:p>
      <w:pPr>
        <w:ind w:right="100" w:firstLine="458"/>
        <w:spacing w:after="0" w:line="273" w:lineRule="auto"/>
        <w:tabs>
          <w:tab w:leader="none" w:pos="69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Copies of Registration Statement</w:t>
      </w:r>
      <w:r>
        <w:rPr>
          <w:rFonts w:ascii="Arial" w:cs="Arial" w:eastAsia="Arial" w:hAnsi="Arial"/>
          <w:sz w:val="17"/>
          <w:szCs w:val="17"/>
          <w:color w:val="auto"/>
        </w:rPr>
        <w:t>. The Partnership will furnish to the Underwriters, without charge, (i) one copy of the manually signed copy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corresponding to the Commission’s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version filed with the Commission and of each amendment thereto, including financial statements and all exhibits to the registration statement, (ii) such number of conformed copies of the registration statement as originally filed and of each amendment thereto, but without exhibits, as the Underwriters or the Underwriters’ counsel may reasonably request, (iii) such number of copies of the Incorporated Documents, without exhibits, as the Underwriters may request, and (iv) such number of copies of the exhibits to the Incorporated Documents as the Underwriters may request.</w:t>
      </w:r>
    </w:p>
    <w:p>
      <w:pPr>
        <w:spacing w:after="0" w:line="70" w:lineRule="exact"/>
        <w:rPr>
          <w:rFonts w:ascii="Arial" w:cs="Arial" w:eastAsia="Arial" w:hAnsi="Arial"/>
          <w:sz w:val="17"/>
          <w:szCs w:val="17"/>
          <w:color w:val="auto"/>
        </w:rPr>
      </w:pPr>
    </w:p>
    <w:p>
      <w:pPr>
        <w:ind w:right="40" w:firstLine="458"/>
        <w:spacing w:after="0" w:line="259"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Filing of Amendment or Supplement</w:t>
      </w:r>
      <w:r>
        <w:rPr>
          <w:rFonts w:ascii="Arial" w:cs="Arial" w:eastAsia="Arial" w:hAnsi="Arial"/>
          <w:sz w:val="18"/>
          <w:szCs w:val="18"/>
          <w:color w:val="auto"/>
        </w:rPr>
        <w:t>. For such period as in the opinion of counsel for the Underwriters a prospectus is required by the 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to be delivered in connection with sales by any Underwriter or dealer, the Partnership will not file any amendment to the Registration Statement, supplement to the Prospectus (or any other prospectus relating to the Units filed pursuant to Rule 424(b) of the Rules and Regulations that differs from the Prospectus as filed pursuant to such Rule 424(b)), or any Preliminary Prospectus or Issuer Free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right="40"/>
        <w:spacing w:after="0" w:line="279" w:lineRule="auto"/>
        <w:rPr>
          <w:sz w:val="20"/>
          <w:szCs w:val="20"/>
          <w:color w:val="auto"/>
        </w:rPr>
      </w:pPr>
      <w:r>
        <w:rPr>
          <w:rFonts w:ascii="Arial" w:cs="Arial" w:eastAsia="Arial" w:hAnsi="Arial"/>
          <w:sz w:val="17"/>
          <w:szCs w:val="17"/>
          <w:color w:val="auto"/>
        </w:rPr>
        <w:t>Writing Prospectus of which the Representatives shall not previously have been advised or to which the Representatives shall have reasonably objected in writing after being so advised unless the Partnership shall have determined based upon the advice of counsel that such amendment, supplement or other filing is required by law; and the Partnership will promptly notify the Representatives after it shall have received notice thereof of the time when any amendment to the Registration Statement becomes effective or when any supplement to the Prospectus has been filed.</w:t>
      </w:r>
    </w:p>
    <w:p>
      <w:pPr>
        <w:spacing w:after="0" w:line="63" w:lineRule="exact"/>
        <w:rPr>
          <w:sz w:val="20"/>
          <w:szCs w:val="20"/>
          <w:color w:val="auto"/>
        </w:rPr>
      </w:pPr>
    </w:p>
    <w:p>
      <w:pPr>
        <w:ind w:firstLine="458"/>
        <w:spacing w:after="0" w:line="285" w:lineRule="auto"/>
        <w:tabs>
          <w:tab w:leader="none" w:pos="695"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Copies of Documents to the Underwriters</w:t>
      </w:r>
      <w:r>
        <w:rPr>
          <w:rFonts w:ascii="Arial" w:cs="Arial" w:eastAsia="Arial" w:hAnsi="Arial"/>
          <w:sz w:val="16"/>
          <w:szCs w:val="16"/>
          <w:color w:val="auto"/>
        </w:rPr>
        <w:t>. As soon after the Applicable Time as possible and thereafter from time to time for such period as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opinion of counsel for the Underwriters a prospectus is required by the Securities Act to be delivered in connection with sales by any Underwriter or dealer, the Partnership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Partnership will deliver as many copies of an amended or supplemented Prospectus complying with Section 10(a)(3) of the Securities Act as the Underwriters may reasonably request, provided that a prospectus is required by the Securities Act to be delivered in connection with sales of Units by any Underwriter or dealer. The Partnership consents to the use of the Prospectus (and of any amendment or supplement thereto) in accordance with the provisions of the Securities Act and with the securities or Blue Sky laws of the jurisdictions in which the Units are offered by the Underwriters and by all dealers to whom Units may be sold, both in connection with the offering and sale of the Units and for such period of time thereafter as the Prospectus is required by the Securities Act to be delivered in connection with sales by any Underwriter or dealer. If during such period of time any event shall occur that in the judgment of the Partnership or in the opinion of counsel for the Underwriters and the Partnership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Partnership will forthwith prepare and, subject to the provisions of paragraph (e) above, file with the Commission an appropriate supplement or amendment thereto (or to such document), and will expeditiously furnish to the Underwriters and dealers a reasonable number of copies thereof; provided that, if any such event necessitating a supplement or amendment to the Prospectus occurs at any time after nine months after the time of issuance of the Prospectus, such supplement or amendment shall be prepared at the Underwriters’ expense. In the event that the Partnership and the Representatives agree that the Prospectus should be amended or supplemented, the Partnership, if requested by the Representatives, will promptly issue a press release announcing or disclosing the matters to be covered by the proposed amendment or supplement unless the Partnership shall have determined, based on the advice of counsel, that the issuance of such press release would not be required by law.</w:t>
      </w:r>
    </w:p>
    <w:p>
      <w:pPr>
        <w:spacing w:after="0" w:line="276" w:lineRule="exact"/>
        <w:rPr>
          <w:rFonts w:ascii="Arial" w:cs="Arial" w:eastAsia="Arial" w:hAnsi="Arial"/>
          <w:sz w:val="16"/>
          <w:szCs w:val="16"/>
          <w:color w:val="auto"/>
        </w:rPr>
      </w:pPr>
    </w:p>
    <w:p>
      <w:pPr>
        <w:ind w:right="60" w:firstLine="458"/>
        <w:spacing w:after="0" w:line="264" w:lineRule="auto"/>
        <w:tabs>
          <w:tab w:leader="none" w:pos="67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Blue Sky Laws</w:t>
      </w:r>
      <w:r>
        <w:rPr>
          <w:rFonts w:ascii="Arial" w:cs="Arial" w:eastAsia="Arial" w:hAnsi="Arial"/>
          <w:sz w:val="18"/>
          <w:szCs w:val="18"/>
          <w:color w:val="auto"/>
        </w:rPr>
        <w:t>. The Partnership will cooperate with the Representatives and with counsel for the Underwriters in connection with the registration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qualification of the Units for offering and sale by the Underwriters and by dealers under the securities or Blue Sky laws of such jurisdictions as the Underwriters may reasonably designate and will file such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ind w:right="80"/>
        <w:spacing w:after="0" w:line="276" w:lineRule="auto"/>
        <w:rPr>
          <w:sz w:val="20"/>
          <w:szCs w:val="20"/>
          <w:color w:val="auto"/>
        </w:rPr>
      </w:pPr>
      <w:r>
        <w:rPr>
          <w:rFonts w:ascii="Arial" w:cs="Arial" w:eastAsia="Arial" w:hAnsi="Arial"/>
          <w:sz w:val="17"/>
          <w:szCs w:val="17"/>
          <w:color w:val="auto"/>
        </w:rPr>
        <w:t>consents to service of process or other documents reasonably necessary or appropriate in order to effect such registration or qualification; provided that in no event shall any Plains Entity be obligated to qualify to do business in any jurisdiction where it is not now so qualified or to take any action that would subject it to service of process in suits, other than those arising out of the offering or sale of the Units, in any jurisdiction where it is not now so subject. The Partnership will promptly notify the Representatives of the receipt by the Partnership of any notification with respect to the suspension of the qualification of the Units for sale in any jurisdiction or the initiation or threatening of any proceeding for such purpose.</w:t>
      </w:r>
    </w:p>
    <w:p>
      <w:pPr>
        <w:spacing w:after="0" w:line="64" w:lineRule="exact"/>
        <w:rPr>
          <w:sz w:val="20"/>
          <w:szCs w:val="20"/>
          <w:color w:val="auto"/>
        </w:rPr>
      </w:pPr>
    </w:p>
    <w:p>
      <w:pPr>
        <w:ind w:right="100" w:firstLine="458"/>
        <w:spacing w:after="0" w:line="259"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Reports to Security Holders</w:t>
      </w:r>
      <w:r>
        <w:rPr>
          <w:rFonts w:ascii="Arial" w:cs="Arial" w:eastAsia="Arial" w:hAnsi="Arial"/>
          <w:sz w:val="18"/>
          <w:szCs w:val="18"/>
          <w:color w:val="auto"/>
        </w:rPr>
        <w:t>. In accordance with Section 11(a) of the Securities Act and Rule 158 of the Rules and Regulations, the Partnership will</w:t>
      </w:r>
      <w:r>
        <w:rPr>
          <w:rFonts w:ascii="Arial" w:cs="Arial" w:eastAsia="Arial" w:hAnsi="Arial"/>
          <w:sz w:val="18"/>
          <w:szCs w:val="18"/>
          <w:i w:val="1"/>
          <w:iCs w:val="1"/>
          <w:color w:val="auto"/>
        </w:rPr>
        <w:t xml:space="preserve"> </w:t>
      </w:r>
      <w:r>
        <w:rPr>
          <w:rFonts w:ascii="Arial" w:cs="Arial" w:eastAsia="Arial" w:hAnsi="Arial"/>
          <w:sz w:val="18"/>
          <w:szCs w:val="18"/>
          <w:color w:val="auto"/>
        </w:rPr>
        <w:t>make generally 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w:t>
      </w:r>
    </w:p>
    <w:p>
      <w:pPr>
        <w:spacing w:after="0" w:line="78" w:lineRule="exact"/>
        <w:rPr>
          <w:rFonts w:ascii="Arial" w:cs="Arial" w:eastAsia="Arial" w:hAnsi="Arial"/>
          <w:sz w:val="18"/>
          <w:szCs w:val="18"/>
          <w:color w:val="auto"/>
        </w:rPr>
      </w:pPr>
    </w:p>
    <w:p>
      <w:pPr>
        <w:ind w:firstLine="458"/>
        <w:spacing w:after="0" w:line="259"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Copies of Reports</w:t>
      </w:r>
      <w:r>
        <w:rPr>
          <w:rFonts w:ascii="Arial" w:cs="Arial" w:eastAsia="Arial" w:hAnsi="Arial"/>
          <w:sz w:val="18"/>
          <w:szCs w:val="18"/>
          <w:color w:val="auto"/>
        </w:rPr>
        <w:t>. Unless otherwise available on EDGAR, during the period of two years hereafter, the Partnership will furnish or make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Underwriters (i) as soon as publicly available, a copy of each report of the Partnership mailed to unitholders or filed with the Commission or the principal national securities exchange or automated quotation system upon which the Units may be listed, and (ii) from time to time such other information concerning the Partnership as the Underwriters may reasonably request.</w:t>
      </w:r>
    </w:p>
    <w:p>
      <w:pPr>
        <w:spacing w:after="0" w:line="78" w:lineRule="exact"/>
        <w:rPr>
          <w:rFonts w:ascii="Arial" w:cs="Arial" w:eastAsia="Arial" w:hAnsi="Arial"/>
          <w:sz w:val="18"/>
          <w:szCs w:val="18"/>
          <w:color w:val="auto"/>
        </w:rPr>
      </w:pPr>
    </w:p>
    <w:p>
      <w:pPr>
        <w:ind w:right="260" w:firstLine="458"/>
        <w:spacing w:after="0" w:line="257" w:lineRule="auto"/>
        <w:tabs>
          <w:tab w:leader="none" w:pos="66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Termination Expenses</w:t>
      </w:r>
      <w:r>
        <w:rPr>
          <w:rFonts w:ascii="Arial" w:cs="Arial" w:eastAsia="Arial" w:hAnsi="Arial"/>
          <w:sz w:val="18"/>
          <w:szCs w:val="18"/>
          <w:color w:val="auto"/>
        </w:rPr>
        <w:t>. If this Agreement shall terminate or shall be terminated after execution pursuant to any provisions hereof (otherwise than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9 hereof or Section 10 hereof (except pursuant to the first clause of Section 10(i))) or if this Agreement shall be terminated by the Underwriters because of any failure or refusal on the part of the Partnership to comply with the terms or fulfill any of the conditions of this Agreement, the Partnership agrees to reimburse the Underwriters for all reasonable out-of-pocket expenses (including reasonable fees and expenses of counsel for the Underwriters) incurred by the Underwriters in connection herewith.</w:t>
      </w:r>
    </w:p>
    <w:p>
      <w:pPr>
        <w:spacing w:after="0" w:line="80" w:lineRule="exact"/>
        <w:rPr>
          <w:rFonts w:ascii="Arial" w:cs="Arial" w:eastAsia="Arial" w:hAnsi="Arial"/>
          <w:sz w:val="18"/>
          <w:szCs w:val="18"/>
          <w:color w:val="auto"/>
        </w:rPr>
      </w:pPr>
    </w:p>
    <w:p>
      <w:pPr>
        <w:ind w:right="40" w:firstLine="458"/>
        <w:spacing w:after="0" w:line="277" w:lineRule="auto"/>
        <w:tabs>
          <w:tab w:leader="none" w:pos="662"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Application of Proceeds</w:t>
      </w:r>
      <w:r>
        <w:rPr>
          <w:rFonts w:ascii="Arial" w:cs="Arial" w:eastAsia="Arial" w:hAnsi="Arial"/>
          <w:sz w:val="18"/>
          <w:szCs w:val="18"/>
          <w:color w:val="auto"/>
        </w:rPr>
        <w:t>. The Partnership will apply the net proceeds from the sale of the Units in accordance with the description set forth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caption “Use of Proceeds” in the Pricing Disclosure Package and the Prospectus.</w:t>
      </w:r>
    </w:p>
    <w:p>
      <w:pPr>
        <w:spacing w:after="0" w:line="62" w:lineRule="exact"/>
        <w:rPr>
          <w:rFonts w:ascii="Arial" w:cs="Arial" w:eastAsia="Arial" w:hAnsi="Arial"/>
          <w:sz w:val="18"/>
          <w:szCs w:val="18"/>
          <w:color w:val="auto"/>
        </w:rPr>
      </w:pPr>
    </w:p>
    <w:p>
      <w:pPr>
        <w:ind w:right="380" w:firstLine="458"/>
        <w:spacing w:after="0" w:line="277"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Filing of Prospectus</w:t>
      </w:r>
      <w:r>
        <w:rPr>
          <w:rFonts w:ascii="Arial" w:cs="Arial" w:eastAsia="Arial" w:hAnsi="Arial"/>
          <w:sz w:val="18"/>
          <w:szCs w:val="18"/>
          <w:color w:val="auto"/>
        </w:rPr>
        <w:t>. The Partnership will timely file the Prospectus, and any amendment or supplement thereto, pursuant to Rule 424(b)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Rules and Regulations and will advise the Underwriters of the time and manner of such filing.</w:t>
      </w:r>
    </w:p>
    <w:p>
      <w:pPr>
        <w:spacing w:after="0" w:line="62" w:lineRule="exact"/>
        <w:rPr>
          <w:rFonts w:ascii="Arial" w:cs="Arial" w:eastAsia="Arial" w:hAnsi="Arial"/>
          <w:sz w:val="18"/>
          <w:szCs w:val="18"/>
          <w:color w:val="auto"/>
        </w:rPr>
      </w:pPr>
    </w:p>
    <w:p>
      <w:pPr>
        <w:ind w:right="20" w:firstLine="458"/>
        <w:spacing w:after="0" w:line="302" w:lineRule="auto"/>
        <w:tabs>
          <w:tab w:leader="none" w:pos="66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Lock-Up Period</w:t>
      </w:r>
      <w:r>
        <w:rPr>
          <w:rFonts w:ascii="Arial" w:cs="Arial" w:eastAsia="Arial" w:hAnsi="Arial"/>
          <w:sz w:val="16"/>
          <w:szCs w:val="16"/>
          <w:color w:val="auto"/>
        </w:rPr>
        <w:t>. Except as provided in this Agreement, the Partnership will not (i) offer, sell, contract to sell, pledge or otherwise dispose of (or</w:t>
      </w:r>
      <w:r>
        <w:rPr>
          <w:rFonts w:ascii="Arial" w:cs="Arial" w:eastAsia="Arial" w:hAnsi="Arial"/>
          <w:sz w:val="16"/>
          <w:szCs w:val="16"/>
          <w:i w:val="1"/>
          <w:iCs w:val="1"/>
          <w:color w:val="auto"/>
        </w:rPr>
        <w:t xml:space="preserve"> </w:t>
      </w:r>
      <w:r>
        <w:rPr>
          <w:rFonts w:ascii="Arial" w:cs="Arial" w:eastAsia="Arial" w:hAnsi="Arial"/>
          <w:sz w:val="16"/>
          <w:szCs w:val="16"/>
          <w:color w:val="auto"/>
        </w:rPr>
        <w:t>enter into any transaction that is designed to, or might reasonably be expected to, result in the disposition (whether by actual disposition or effective economic disposition due to cash settlement or otherwise) by the Partnership or any of its controlled affiliates or any person in privity with the Partnership or any of its controlled affiliates) directly or indirectly, including the filing (or participation in the filing) of a registration statement with the Commission in respect of,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spacing w:after="0" w:line="287" w:lineRule="auto"/>
        <w:rPr>
          <w:sz w:val="20"/>
          <w:szCs w:val="20"/>
          <w:color w:val="auto"/>
        </w:rPr>
      </w:pPr>
      <w:r>
        <w:rPr>
          <w:rFonts w:ascii="Arial" w:cs="Arial" w:eastAsia="Arial" w:hAnsi="Arial"/>
          <w:sz w:val="16"/>
          <w:szCs w:val="16"/>
          <w:color w:val="auto"/>
        </w:rPr>
        <w:t xml:space="preserve">establish or increase a put equivalent position or liquidate or decrease a call equivalent position within the meaning of Section 16 of the Exchange Act with respect to, any Common Units or any securities that are convertible into, or exercisable or exchangeable for, or that represent the right to receive, Common Units or any securities that are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Common Units, or publicly announce an intention to effect any such transaction or (ii) grant any options or warrants to purchase Common Units for a period of 45 days after the date of the Prospectus (the “</w:t>
      </w:r>
      <w:r>
        <w:rPr>
          <w:rFonts w:ascii="Arial" w:cs="Arial" w:eastAsia="Arial" w:hAnsi="Arial"/>
          <w:sz w:val="16"/>
          <w:szCs w:val="16"/>
          <w:b w:val="1"/>
          <w:bCs w:val="1"/>
          <w:color w:val="auto"/>
        </w:rPr>
        <w:t>Lock-Up Period</w:t>
      </w:r>
      <w:r>
        <w:rPr>
          <w:rFonts w:ascii="Arial" w:cs="Arial" w:eastAsia="Arial" w:hAnsi="Arial"/>
          <w:sz w:val="16"/>
          <w:szCs w:val="16"/>
          <w:color w:val="auto"/>
        </w:rPr>
        <w:t xml:space="preserve">”) without the prior written consent of the Representatives, except that (A) the Partnership may issue the Units, (B) the Partnership may issue Common Units or any securities convertible or exchangeable into Common Units as payment of any part of the purchase price for businesses that are acquired by the Partnership and its affiliates or any third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recipient of such Common Units must agree in writing to be bound by the terms of this Section 5(l) for the remaining term of the Lock-Up Period, (C) the Partnership may issue and sell Common Units or securities convertible into or exchangeable for Common Units pursuant to any existing long-term incentive plan, employee unit option plan, unit ownership plan or dividend reinvestment plan of the Partnership (or adopted by a GP Entity) in effect at the Applicable Time, and (D) the Partnership may issue or deliver Common Units issuable upon the conversion, vesting or exercise of securities (including long-term incentive plan awards, options and warrants) outstanding at the Applicable Time.</w:t>
      </w:r>
    </w:p>
    <w:p>
      <w:pPr>
        <w:spacing w:after="0" w:line="65" w:lineRule="exact"/>
        <w:rPr>
          <w:sz w:val="20"/>
          <w:szCs w:val="20"/>
          <w:color w:val="auto"/>
        </w:rPr>
      </w:pPr>
    </w:p>
    <w:p>
      <w:pPr>
        <w:ind w:right="60" w:firstLine="458"/>
        <w:spacing w:after="0" w:line="264" w:lineRule="auto"/>
        <w:tabs>
          <w:tab w:leader="none" w:pos="7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Stabilization</w:t>
      </w:r>
      <w:r>
        <w:rPr>
          <w:rFonts w:ascii="Arial" w:cs="Arial" w:eastAsia="Arial" w:hAnsi="Arial"/>
          <w:sz w:val="18"/>
          <w:szCs w:val="18"/>
          <w:color w:val="auto"/>
        </w:rPr>
        <w:t>. Except as stated in this Agreement and the Prospectus, the Partnership has not taken, nor will it take, directly or indirectly,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or that might reasonably be expected to cause or result in stabilization or manipulation of the price of the Common Units to facilitate the sale or resale of the Units.</w:t>
      </w:r>
    </w:p>
    <w:p>
      <w:pPr>
        <w:spacing w:after="0" w:line="73" w:lineRule="exact"/>
        <w:rPr>
          <w:rFonts w:ascii="Arial" w:cs="Arial" w:eastAsia="Arial" w:hAnsi="Arial"/>
          <w:sz w:val="18"/>
          <w:szCs w:val="18"/>
          <w:color w:val="auto"/>
        </w:rPr>
      </w:pPr>
    </w:p>
    <w:p>
      <w:pPr>
        <w:ind w:right="60" w:firstLine="458"/>
        <w:spacing w:after="0" w:line="264"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Investment Company</w:t>
      </w:r>
      <w:r>
        <w:rPr>
          <w:rFonts w:ascii="Arial" w:cs="Arial" w:eastAsia="Arial" w:hAnsi="Arial"/>
          <w:sz w:val="18"/>
          <w:szCs w:val="18"/>
          <w:color w:val="auto"/>
        </w:rPr>
        <w:t>. The Partnership will take such steps as shall be necessary to ensure that none of the Plains Entities or the GP Entities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become an “investment company” within the meaning of such term under the Investment Company Act of 1940, as amended, and the rules and regulations of the Commission thereunder.</w:t>
      </w:r>
    </w:p>
    <w:p>
      <w:pPr>
        <w:spacing w:after="0" w:line="73" w:lineRule="exact"/>
        <w:rPr>
          <w:rFonts w:ascii="Arial" w:cs="Arial" w:eastAsia="Arial" w:hAnsi="Arial"/>
          <w:sz w:val="18"/>
          <w:szCs w:val="18"/>
          <w:color w:val="auto"/>
        </w:rPr>
      </w:pPr>
    </w:p>
    <w:p>
      <w:pPr>
        <w:ind w:right="800" w:firstLine="458"/>
        <w:spacing w:after="0" w:line="277" w:lineRule="auto"/>
        <w:tabs>
          <w:tab w:leader="none" w:pos="702"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Additional Capital Contributions</w:t>
      </w:r>
      <w:r>
        <w:rPr>
          <w:rFonts w:ascii="Arial" w:cs="Arial" w:eastAsia="Arial" w:hAnsi="Arial"/>
          <w:sz w:val="18"/>
          <w:szCs w:val="18"/>
          <w:color w:val="auto"/>
        </w:rPr>
        <w:t>. Upon the issuance of the Units by the Partnership, the General Partner shall make the additional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to the Partnership as required by Section 5.2(b) of the Partnership Agreement.</w:t>
      </w:r>
    </w:p>
    <w:p>
      <w:pPr>
        <w:spacing w:after="0" w:line="62" w:lineRule="exact"/>
        <w:rPr>
          <w:rFonts w:ascii="Arial" w:cs="Arial" w:eastAsia="Arial" w:hAnsi="Arial"/>
          <w:sz w:val="18"/>
          <w:szCs w:val="18"/>
          <w:color w:val="auto"/>
        </w:rPr>
      </w:pPr>
    </w:p>
    <w:p>
      <w:pPr>
        <w:ind w:right="440" w:firstLine="458"/>
        <w:spacing w:after="0" w:line="308" w:lineRule="auto"/>
        <w:tabs>
          <w:tab w:leader="none" w:pos="705"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Exchange Act Reports</w:t>
      </w:r>
      <w:r>
        <w:rPr>
          <w:rFonts w:ascii="Arial" w:cs="Arial" w:eastAsia="Arial" w:hAnsi="Arial"/>
          <w:sz w:val="17"/>
          <w:szCs w:val="17"/>
          <w:color w:val="auto"/>
        </w:rPr>
        <w:t>. The Partnership, during the period when the Prospectus is required to be delivered under the Securities Act, will file all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required to be filed with the Commission pursuant to the Exchange Act within the time periods required by the Exchange Act.</w:t>
      </w:r>
    </w:p>
    <w:p>
      <w:pPr>
        <w:spacing w:after="0" w:line="38" w:lineRule="exact"/>
        <w:rPr>
          <w:rFonts w:ascii="Arial" w:cs="Arial" w:eastAsia="Arial" w:hAnsi="Arial"/>
          <w:sz w:val="17"/>
          <w:szCs w:val="17"/>
          <w:color w:val="auto"/>
        </w:rPr>
      </w:pPr>
    </w:p>
    <w:p>
      <w:pPr>
        <w:ind w:right="100" w:firstLine="458"/>
        <w:spacing w:after="0" w:line="255"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Free Writing Prospectuses</w:t>
      </w:r>
      <w:r>
        <w:rPr>
          <w:rFonts w:ascii="Arial" w:cs="Arial" w:eastAsia="Arial" w:hAnsi="Arial"/>
          <w:sz w:val="18"/>
          <w:szCs w:val="18"/>
          <w:color w:val="auto"/>
        </w:rPr>
        <w:t>. The Partnership has complied and will comply with the requirements of Rule 433 under the Securities Act applicable to</w:t>
      </w:r>
      <w:r>
        <w:rPr>
          <w:rFonts w:ascii="Arial" w:cs="Arial" w:eastAsia="Arial" w:hAnsi="Arial"/>
          <w:sz w:val="18"/>
          <w:szCs w:val="18"/>
          <w:i w:val="1"/>
          <w:iCs w:val="1"/>
          <w:color w:val="auto"/>
        </w:rPr>
        <w:t xml:space="preserve"> </w:t>
      </w:r>
      <w:r>
        <w:rPr>
          <w:rFonts w:ascii="Arial" w:cs="Arial" w:eastAsia="Arial" w:hAnsi="Arial"/>
          <w:sz w:val="18"/>
          <w:szCs w:val="18"/>
          <w:color w:val="auto"/>
        </w:rPr>
        <w:t>any Issuer Free Writing Prospectus, including appropriate legending and timely filing with the Commission or retention where required. The Partnership represents that it has satisfied and agrees that it will satisfy the conditions under Rule 433 under the Securities Act to avoid a requirement to file with the Commission any electronic road show. The Partnership agrees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spacing w:after="0" w:line="255" w:lineRule="auto"/>
        <w:rPr>
          <w:sz w:val="20"/>
          <w:szCs w:val="20"/>
          <w:color w:val="auto"/>
        </w:rPr>
      </w:pPr>
      <w:r>
        <w:rPr>
          <w:rFonts w:ascii="Arial" w:cs="Arial" w:eastAsia="Arial" w:hAnsi="Arial"/>
          <w:sz w:val="18"/>
          <w:szCs w:val="18"/>
          <w:color w:val="auto"/>
        </w:rPr>
        <w:t xml:space="preserve">statement of a material fact or omit to state any material fact necessary in order to make the statements therein, in the light of the circumstances then prevailing, not misleading, the Partnership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representation and warranty shall not apply to any statements or omissions in an Issuer Free Writing Prospectus made in reliance upon and in conformity with information furnished in writing to the Partnership by an Underwriter through the Representatives expressly for use therein, which information is specified in Section 12.</w:t>
      </w:r>
    </w:p>
    <w:p>
      <w:pPr>
        <w:spacing w:after="0" w:line="85" w:lineRule="exact"/>
        <w:rPr>
          <w:sz w:val="20"/>
          <w:szCs w:val="20"/>
          <w:color w:val="auto"/>
        </w:rPr>
      </w:pPr>
    </w:p>
    <w:p>
      <w:pPr>
        <w:ind w:left="640" w:hanging="18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85" w:lineRule="auto"/>
        <w:tabs>
          <w:tab w:leader="none" w:pos="6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Partnership agrees to indemnify and hold harmless each Underwriter, the directors, officers, employees and agents of each Underwriter, each affiliate of any Underwriter who has participated in the distribution of the Units as underwriters, each broker-dealer affiliate of any Underwriter and each other affiliate of any Underwriter within the meaning of Rule 405 under the Securities Act,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Arial" w:cs="Arial" w:eastAsia="Arial" w:hAnsi="Arial"/>
          <w:sz w:val="16"/>
          <w:szCs w:val="16"/>
          <w:b w:val="1"/>
          <w:bCs w:val="1"/>
          <w:color w:val="auto"/>
        </w:rPr>
        <w:t>Non-Prospectus Road Show</w:t>
      </w:r>
      <w:r>
        <w:rPr>
          <w:rFonts w:ascii="Arial" w:cs="Arial" w:eastAsia="Arial" w:hAnsi="Arial"/>
          <w:sz w:val="16"/>
          <w:szCs w:val="16"/>
          <w:color w:val="auto"/>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Partnership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Partnership through the Representatives by or on behalf of any Underwriter specifically for inclusion therein, which information consists solely of the information specified in Section 12. The foregoing indemnity agreement is in addition to any liability that the Partnership may otherwise have to any Underwriter or to any director, officer, employee or controlling person of that Underwriter.</w:t>
      </w: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5" w:name="page26"/>
    <w:bookmarkEnd w:id="25"/>
    <w:p>
      <w:pPr>
        <w:ind w:left="-8" w:firstLine="458"/>
        <w:spacing w:after="0" w:line="283" w:lineRule="auto"/>
        <w:tabs>
          <w:tab w:leader="none" w:pos="697" w:val="left"/>
        </w:tabs>
        <w:numPr>
          <w:ilvl w:val="1"/>
          <w:numId w:val="27"/>
        </w:numPr>
        <w:rPr>
          <w:rFonts w:ascii="Arial" w:cs="Arial" w:eastAsia="Arial" w:hAnsi="Arial"/>
          <w:sz w:val="16"/>
          <w:szCs w:val="16"/>
          <w:color w:val="auto"/>
        </w:rPr>
      </w:pPr>
      <w:r>
        <w:rPr>
          <w:rFonts w:ascii="Arial" w:cs="Arial" w:eastAsia="Arial" w:hAnsi="Arial"/>
          <w:sz w:val="16"/>
          <w:szCs w:val="16"/>
          <w:color w:val="auto"/>
        </w:rPr>
        <w:t>If any action, suit or proceeding shall be brought against any Underwriter, any director, officer, employee or agent of any Underwriter or any person controlling any Underwriter in respect of which indemnity may be sought against the Partnership, such Underwriter or such director, officer, employee, agent or controlling person shall promptly notify the Partnership in writing, and the Partnership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Partnership has agreed in writing to pay such fees and expenses, (ii) the Partnership has failed to assume the defense and employ counsel within a reasonable period of time in light of the circumstances or</w:t>
      </w:r>
    </w:p>
    <w:p>
      <w:pPr>
        <w:spacing w:after="0" w:line="6" w:lineRule="exact"/>
        <w:rPr>
          <w:rFonts w:ascii="Arial" w:cs="Arial" w:eastAsia="Arial" w:hAnsi="Arial"/>
          <w:sz w:val="16"/>
          <w:szCs w:val="16"/>
          <w:color w:val="auto"/>
        </w:rPr>
      </w:pPr>
    </w:p>
    <w:p>
      <w:pPr>
        <w:ind w:left="-8" w:right="20" w:firstLine="8"/>
        <w:spacing w:after="0" w:line="270" w:lineRule="auto"/>
        <w:tabs>
          <w:tab w:leader="none" w:pos="307"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such indemnified party or parties shall have reasonably concluded, based on the advice of counsel, that there may be defenses available to it or them that are different from, additional to or in conflict with those available to the Partnership (in which case the Partnership shall not have the right to direct the defense of such action, suit or proceeding on behalf of the indemnified party or parties), in any of which events the Partnership shall pay the reasonable fees and expenses of such counsel as such fees and expenses are incurred (it being understood, however, that the Partnership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70" w:lineRule="exact"/>
        <w:rPr>
          <w:rFonts w:ascii="Arial" w:cs="Arial" w:eastAsia="Arial" w:hAnsi="Arial"/>
          <w:sz w:val="17"/>
          <w:szCs w:val="17"/>
          <w:color w:val="auto"/>
        </w:rPr>
      </w:pPr>
    </w:p>
    <w:p>
      <w:pPr>
        <w:ind w:left="-8" w:firstLine="458"/>
        <w:spacing w:after="0" w:line="286" w:lineRule="auto"/>
        <w:tabs>
          <w:tab w:leader="none" w:pos="687" w:val="left"/>
        </w:tabs>
        <w:numPr>
          <w:ilvl w:val="1"/>
          <w:numId w:val="28"/>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Partnership, GP LLC’s directors and the officers who sign the Registration Statement, and any person who controls the Partnership within the meaning of Section 15 of the Securities Act or Section 20 of the Exchange Act, to the same extent as the foregoing indemnity from the Partnership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Section 12. If any action, suit or proceeding shall be brought against the Partnership,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paragraph (c), such Underwriter shall have the rights and duties given to the Partnership by paragraph (b) above (except that if the Partnership shall have assumed the defense thereof such Underwriter shall not be required to do so, but may employ separate counsel therein and participate in (but not control) the defense thereof, but the fees and expenses of such counsel shall be at such Underwriter’s expense), and the Partnership, any of such directors and officers and any such controlling person shall have the rights and duties given to the Underwriters by paragraph (b) above. The foregoing indemnity agreement shall be in addition to any liability that the Underwriters may otherwise have.</w:t>
      </w:r>
    </w:p>
    <w:p>
      <w:pPr>
        <w:spacing w:after="0" w:line="14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26" w:name="page27"/>
    <w:bookmarkEnd w:id="26"/>
    <w:p>
      <w:pPr>
        <w:ind w:left="-20" w:right="60" w:firstLine="458"/>
        <w:spacing w:after="0" w:line="286" w:lineRule="auto"/>
        <w:tabs>
          <w:tab w:leader="none" w:pos="685"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6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Partnership on the one hand and the Underwriters on the other hand from the offering of the Units, or (ii) if the allocation provided by clause (i) above is not permitted by applicable law, in such proportion as is appropriate to reflect not only the relative benefits referred to in clause (i) above but also the relative fault of the Partnership on the one hand and the Underwriters on the other in connection with the statements or omissions that resulted in such losses, claims, damages, liabilities or expenses, as well as any other relevant equitable considerations. The relative benefits received by the Partnership on the one hand and the Underwriters on the other shall be deemed to be in the same proportion as the total net proceeds from the offering (before deducting expenses) received by the Partnership bear to the total underwriting discounts and commissions received by the Underwriters, in each case as set forth in the table on the cover page of the Prospectus. The relative fault of the Partnership on the one hand and the Underwriters on the other hand shall be determined by reference to, among other things, whether the untrue or alleged untrue statement of a material fact or the omission or alleged omission to state a material fact relates to information supplied by the Partnership or any affiliate of the Partnership on the one hand, or by the Underwriters on the other hand, and the parties’ relative intent, knowledge, access to information and opportunity to correct or prevent such statement or omission.</w:t>
      </w:r>
    </w:p>
    <w:p>
      <w:pPr>
        <w:spacing w:after="0" w:line="66" w:lineRule="exact"/>
        <w:rPr>
          <w:rFonts w:ascii="Arial" w:cs="Arial" w:eastAsia="Arial" w:hAnsi="Arial"/>
          <w:sz w:val="16"/>
          <w:szCs w:val="16"/>
          <w:color w:val="auto"/>
        </w:rPr>
      </w:pPr>
    </w:p>
    <w:p>
      <w:pPr>
        <w:ind w:left="-20" w:firstLine="458"/>
        <w:spacing w:after="0" w:line="270" w:lineRule="auto"/>
        <w:tabs>
          <w:tab w:leader="none" w:pos="67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Partnership and the Underwriters agree that it would not be just and equitable if contribution pursuant to this Section 6 were determined by a pro rata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6, no Underwriter shall be required to contribute any amount in excess of the amount by which the total price of the Units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6 are several and not joint.</w:t>
      </w:r>
    </w:p>
    <w:p>
      <w:pPr>
        <w:spacing w:after="0" w:line="69" w:lineRule="exact"/>
        <w:rPr>
          <w:rFonts w:ascii="Arial" w:cs="Arial" w:eastAsia="Arial" w:hAnsi="Arial"/>
          <w:sz w:val="17"/>
          <w:szCs w:val="17"/>
          <w:color w:val="auto"/>
        </w:rPr>
      </w:pPr>
    </w:p>
    <w:p>
      <w:pPr>
        <w:ind w:left="-20" w:right="60" w:firstLine="458"/>
        <w:spacing w:after="0" w:line="25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27" w:name="page28"/>
    <w:bookmarkEnd w:id="27"/>
    <w:p>
      <w:pPr>
        <w:jc w:val="both"/>
        <w:ind w:right="80"/>
        <w:spacing w:after="0" w:line="259" w:lineRule="auto"/>
        <w:rPr>
          <w:sz w:val="20"/>
          <w:szCs w:val="20"/>
          <w:color w:val="auto"/>
        </w:rPr>
      </w:pPr>
      <w:r>
        <w:rPr>
          <w:rFonts w:ascii="Arial" w:cs="Arial" w:eastAsia="Arial" w:hAnsi="Arial"/>
          <w:sz w:val="18"/>
          <w:szCs w:val="18"/>
          <w:color w:val="auto"/>
        </w:rPr>
        <w:t>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 Any losses, claims, damages, liabilities or expenses for which an indemnified party is entitled to indemnification or contribution under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6 shall be paid by the indemnifying party to the indemnified party as such losses, claims, damages, liabilities or expenses are incurred. The indemnity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contribution agreements contained in this Section 6 and the covenants, representations and warranties of the Partnership set forth in this Agreement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remain operative and in full force and effect, regardless of (i) any investigation made by or on behalf of any Underwriter or any person controlling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Underwriter, the Partnership or any of GP LLC’s directors or officers or any person controlling the Partnership, (ii) acceptance of any Units and payment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therefor in accordance with the terms of this Agreement, and (iii) any termination of this Agreement. A successor to any Underwriter or any person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controlling any Underwriter, or to the Partnership or any of GP LLC’s directors or officers or any person controlling the Partnership shall be entitled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benefits of the indemnity, contribution and reimbursement agreements contained in this Section 6.</w:t>
      </w:r>
    </w:p>
    <w:p>
      <w:pPr>
        <w:spacing w:after="0" w:line="103" w:lineRule="exact"/>
        <w:rPr>
          <w:sz w:val="20"/>
          <w:szCs w:val="20"/>
          <w:color w:val="auto"/>
        </w:rPr>
      </w:pPr>
    </w:p>
    <w:p>
      <w:pPr>
        <w:ind w:right="220" w:firstLine="458"/>
        <w:spacing w:after="0" w:line="277" w:lineRule="auto"/>
        <w:tabs>
          <w:tab w:leader="none" w:pos="63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several obligations of the Underwriters to purchase the Firm Units and the Option Units, as the case may be, hereunder are subject to the following conditions:</w:t>
      </w:r>
    </w:p>
    <w:p>
      <w:pPr>
        <w:spacing w:after="0" w:line="62" w:lineRule="exact"/>
        <w:rPr>
          <w:sz w:val="20"/>
          <w:szCs w:val="20"/>
          <w:color w:val="auto"/>
        </w:rPr>
      </w:pPr>
    </w:p>
    <w:p>
      <w:pPr>
        <w:ind w:firstLine="458"/>
        <w:spacing w:after="0" w:line="255" w:lineRule="auto"/>
        <w:tabs>
          <w:tab w:leader="none" w:pos="6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filings required by Rule 424 and Rule 430B of the Rules and Regulations shall have been made. All material required to be filed by the Partnership pursuant to Rule 433(d) under the Securities Act shall have been filed with the Commission within the applicable time period prescribed for such filing by Rule 433 under the Securities Act.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Partnership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spacing w:after="0" w:line="81" w:lineRule="exact"/>
        <w:rPr>
          <w:rFonts w:ascii="Arial" w:cs="Arial" w:eastAsia="Arial" w:hAnsi="Arial"/>
          <w:sz w:val="18"/>
          <w:szCs w:val="18"/>
          <w:color w:val="auto"/>
        </w:rPr>
      </w:pPr>
    </w:p>
    <w:p>
      <w:pPr>
        <w:ind w:right="180" w:firstLine="458"/>
        <w:spacing w:after="0" w:line="255"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Units, or (ii) any event or development relating to or involving any of the Plains Entities or any executive officer or director of any of such entities that makes any statement made in the Prospectus untrue or which, in the opinion of the Partnership and its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ind w:right="200"/>
        <w:spacing w:after="0" w:line="277" w:lineRule="auto"/>
        <w:rPr>
          <w:sz w:val="20"/>
          <w:szCs w:val="20"/>
          <w:color w:val="auto"/>
        </w:rPr>
      </w:pPr>
      <w:r>
        <w:rPr>
          <w:rFonts w:ascii="Arial" w:cs="Arial" w:eastAsia="Arial" w:hAnsi="Arial"/>
          <w:sz w:val="18"/>
          <w:szCs w:val="18"/>
          <w:color w:val="auto"/>
        </w:rPr>
        <w:t>misleading, if amending or supplementing the Prospectus to reflect such event or development would, in the Representatives’ opinion, materially adversely affect the market for the Units.</w:t>
      </w:r>
    </w:p>
    <w:p>
      <w:pPr>
        <w:spacing w:after="0" w:line="62" w:lineRule="exact"/>
        <w:rPr>
          <w:sz w:val="20"/>
          <w:szCs w:val="20"/>
          <w:color w:val="auto"/>
        </w:rPr>
      </w:pPr>
    </w:p>
    <w:p>
      <w:pPr>
        <w:ind w:right="100" w:firstLine="458"/>
        <w:spacing w:after="0" w:line="277" w:lineRule="auto"/>
        <w:tabs>
          <w:tab w:leader="none" w:pos="6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Representatives shall have received on each applicable Delivery Date, an opinion of Vinson &amp; Elkins L.L.P., counsel for the Partnership, dated the applicable Delivery Date and addressed to the Underwriters, to the effect that:</w:t>
      </w:r>
    </w:p>
    <w:p>
      <w:pPr>
        <w:spacing w:after="0" w:line="62" w:lineRule="exact"/>
        <w:rPr>
          <w:sz w:val="20"/>
          <w:szCs w:val="20"/>
          <w:color w:val="auto"/>
        </w:rPr>
      </w:pPr>
    </w:p>
    <w:p>
      <w:pPr>
        <w:ind w:left="460" w:firstLine="4"/>
        <w:spacing w:after="0" w:line="259" w:lineRule="auto"/>
        <w:tabs>
          <w:tab w:leader="none" w:pos="6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the Partnership, the GP Entities and the Domestic Subsidiaries has been duly formed or incorporated and is validly existing in good standing as a limited partnership, limited liability company or corporation under the laws of its respective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78" w:lineRule="exact"/>
        <w:rPr>
          <w:rFonts w:ascii="Arial" w:cs="Arial" w:eastAsia="Arial" w:hAnsi="Arial"/>
          <w:sz w:val="18"/>
          <w:szCs w:val="18"/>
          <w:color w:val="auto"/>
        </w:rPr>
      </w:pPr>
    </w:p>
    <w:p>
      <w:pPr>
        <w:ind w:left="460" w:right="200" w:firstLine="4"/>
        <w:spacing w:after="0" w:line="264" w:lineRule="auto"/>
        <w:tabs>
          <w:tab w:leader="none" w:pos="72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Domestic Subsidiary or GP Entity that serves as a general partner of another Domestic Subsidiary or GP Entity has full corporate or limited liability company power and authority, as the case may be, to serve as general partner of such Domestic Subsidiary or GP Entity, in each case in all material respects.</w:t>
      </w:r>
    </w:p>
    <w:p>
      <w:pPr>
        <w:spacing w:after="0" w:line="73" w:lineRule="exact"/>
        <w:rPr>
          <w:rFonts w:ascii="Arial" w:cs="Arial" w:eastAsia="Arial" w:hAnsi="Arial"/>
          <w:sz w:val="18"/>
          <w:szCs w:val="18"/>
          <w:color w:val="auto"/>
        </w:rPr>
      </w:pPr>
    </w:p>
    <w:p>
      <w:pPr>
        <w:ind w:left="460" w:firstLine="4"/>
        <w:spacing w:after="0" w:line="259" w:lineRule="auto"/>
        <w:tabs>
          <w:tab w:leader="none" w:pos="7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w:t>
      </w:r>
    </w:p>
    <w:p>
      <w:pPr>
        <w:spacing w:after="0" w:line="78" w:lineRule="exact"/>
        <w:rPr>
          <w:rFonts w:ascii="Arial" w:cs="Arial" w:eastAsia="Arial" w:hAnsi="Arial"/>
          <w:sz w:val="18"/>
          <w:szCs w:val="18"/>
          <w:color w:val="auto"/>
        </w:rPr>
      </w:pPr>
    </w:p>
    <w:p>
      <w:pPr>
        <w:ind w:left="460" w:right="100" w:firstLine="4"/>
        <w:spacing w:after="0" w:line="270" w:lineRule="auto"/>
        <w:tabs>
          <w:tab w:leader="none" w:pos="7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of the outstanding shares of capital stock or other equity interests (other than general partner interests) of each Domestic Subsidiary (a) have been duly authorized and validly issued (in the case of an interest in a limited 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except for an approximately 25.2% limited partnership interest in PNG, are owned, directly or indirectly, by the Partnership, free and clear of all Liens (A) in respect of which a financing statement under the Uniform Commercial Code of the States of Delaware or Texas naming the Partnership as debtor or, in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ind w:right="100"/>
        <w:spacing w:after="0" w:line="279" w:lineRule="auto"/>
        <w:rPr>
          <w:sz w:val="20"/>
          <w:szCs w:val="20"/>
          <w:color w:val="auto"/>
        </w:rPr>
      </w:pPr>
      <w:r>
        <w:rPr>
          <w:rFonts w:ascii="Arial" w:cs="Arial" w:eastAsia="Arial" w:hAnsi="Arial"/>
          <w:sz w:val="17"/>
          <w:szCs w:val="17"/>
          <w:color w:val="auto"/>
        </w:rPr>
        <w:t>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Domestic Subsidiary, as the case may be.</w:t>
      </w:r>
    </w:p>
    <w:p>
      <w:pPr>
        <w:spacing w:after="0" w:line="63" w:lineRule="exact"/>
        <w:rPr>
          <w:sz w:val="20"/>
          <w:szCs w:val="20"/>
          <w:color w:val="auto"/>
        </w:rPr>
      </w:pPr>
    </w:p>
    <w:p>
      <w:pPr>
        <w:ind w:right="60" w:firstLine="4"/>
        <w:spacing w:after="0" w:line="272" w:lineRule="auto"/>
        <w:tabs>
          <w:tab w:leader="none" w:pos="245"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w:t>
      </w:r>
    </w:p>
    <w:p>
      <w:pPr>
        <w:spacing w:after="0" w:line="69" w:lineRule="exact"/>
        <w:rPr>
          <w:rFonts w:ascii="Arial" w:cs="Arial" w:eastAsia="Arial" w:hAnsi="Arial"/>
          <w:sz w:val="17"/>
          <w:szCs w:val="17"/>
          <w:color w:val="auto"/>
        </w:rPr>
      </w:pPr>
    </w:p>
    <w:p>
      <w:pPr>
        <w:ind w:firstLine="4"/>
        <w:spacing w:after="0" w:line="259" w:lineRule="auto"/>
        <w:tabs>
          <w:tab w:leader="none" w:pos="30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Firm Units to be issued and sold to the Underwriters by the Partnership pursuant to this Agreement and the limited partner interests represented thereby have been duly authorized by the Partnership Agreement and, when issued and delivered against payment therefor as provided in this Agreement, will be validly issued, fully paid (to the extent required under the Partnership Agreement) and nonassessable (except as such nonassessability may be affected by Sections 17-607 and 17-804 of the Delaware LP Act).</w:t>
      </w:r>
    </w:p>
    <w:p>
      <w:pPr>
        <w:spacing w:after="0" w:line="78" w:lineRule="exact"/>
        <w:rPr>
          <w:rFonts w:ascii="Arial" w:cs="Arial" w:eastAsia="Arial" w:hAnsi="Arial"/>
          <w:sz w:val="18"/>
          <w:szCs w:val="18"/>
          <w:color w:val="auto"/>
        </w:rPr>
      </w:pPr>
    </w:p>
    <w:p>
      <w:pPr>
        <w:ind w:right="20" w:firstLine="4"/>
        <w:spacing w:after="0" w:line="254" w:lineRule="auto"/>
        <w:tabs>
          <w:tab w:leader="none" w:pos="3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as have been waived or satisfied, there are no preemptive rights or other rights to subscribe for or to purchase, nor any restriction upon the voting or transfer of, any interests in the Partnership pursuant to the Organizational Documents of the Partnership or any of the Incorporated Documents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pursuant to any of the documents or agreements included as exhibits to any of the Incorporated Documents, except such rights as have been waived or satisfied. The Partnership has all requisite power and authority to issue, sell and deliver the Units, in accordance with and upon the terms and conditions set forth in this Agreement, the Partnership Agreement and the Registration Statement, the Pricing Disclosure Package and the Prospectus.</w:t>
      </w:r>
    </w:p>
    <w:p>
      <w:pPr>
        <w:spacing w:after="0" w:line="84" w:lineRule="exact"/>
        <w:rPr>
          <w:rFonts w:ascii="Arial" w:cs="Arial" w:eastAsia="Arial" w:hAnsi="Arial"/>
          <w:sz w:val="18"/>
          <w:szCs w:val="18"/>
          <w:color w:val="auto"/>
        </w:rPr>
      </w:pPr>
    </w:p>
    <w:p>
      <w:pPr>
        <w:ind w:left="400" w:hanging="396"/>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Agreement has been duly authorized and validly executed and delivered by the Partnership.</w:t>
      </w:r>
    </w:p>
    <w:p>
      <w:pPr>
        <w:spacing w:after="0" w:line="1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30" w:name="page31"/>
    <w:bookmarkEnd w:id="30"/>
    <w:p>
      <w:pPr>
        <w:ind w:right="60" w:firstLine="4"/>
        <w:spacing w:after="0" w:line="272" w:lineRule="auto"/>
        <w:tabs>
          <w:tab w:leader="none" w:pos="2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 or before each applicable Delivery Date, 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69" w:lineRule="exact"/>
        <w:rPr>
          <w:rFonts w:ascii="Arial" w:cs="Arial" w:eastAsia="Arial" w:hAnsi="Arial"/>
          <w:sz w:val="17"/>
          <w:szCs w:val="17"/>
          <w:color w:val="auto"/>
        </w:rPr>
      </w:pPr>
    </w:p>
    <w:p>
      <w:pPr>
        <w:ind w:firstLine="4"/>
        <w:spacing w:after="0" w:line="269" w:lineRule="auto"/>
        <w:tabs>
          <w:tab w:leader="none" w:pos="2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None of the offering, issuance and sale by the Partnership of the Units, the execution, delivery and performance of this Agreement by the Partnership or the consummation of the transactions contemplated by this Agreement (A) constitutes or will constitute a violation of the Organizational Documents of the Partnership or any of the Domestic Subsidiaries or the GP Entities, (B)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any Incorporated Document, the Credit Agreement dated January 3, 2008 (as amended, the “</w:t>
      </w:r>
      <w:r>
        <w:rPr>
          <w:rFonts w:ascii="Arial" w:cs="Arial" w:eastAsia="Arial" w:hAnsi="Arial"/>
          <w:sz w:val="17"/>
          <w:szCs w:val="17"/>
          <w:b w:val="1"/>
          <w:bCs w:val="1"/>
          <w:color w:val="auto"/>
        </w:rPr>
        <w:t>Plains AAP Facility</w:t>
      </w:r>
      <w:r>
        <w:rPr>
          <w:rFonts w:ascii="Arial" w:cs="Arial" w:eastAsia="Arial" w:hAnsi="Arial"/>
          <w:sz w:val="17"/>
          <w:szCs w:val="17"/>
          <w:color w:val="auto"/>
        </w:rPr>
        <w:t>”), by and among Plains AAP, the lenders party thereto and Citibank, N.A., as Administrative Agent or the PNG Facility, (C) results or will result in any violation of the Delaware LP Act, the Delaware LLC Act, the Delaware General Corporation Law (the “</w:t>
      </w:r>
      <w:r>
        <w:rPr>
          <w:rFonts w:ascii="Arial" w:cs="Arial" w:eastAsia="Arial" w:hAnsi="Arial"/>
          <w:sz w:val="17"/>
          <w:szCs w:val="17"/>
          <w:b w:val="1"/>
          <w:bCs w:val="1"/>
          <w:color w:val="auto"/>
        </w:rPr>
        <w:t>DGCL</w:t>
      </w:r>
      <w:r>
        <w:rPr>
          <w:rFonts w:ascii="Arial" w:cs="Arial" w:eastAsia="Arial" w:hAnsi="Arial"/>
          <w:sz w:val="17"/>
          <w:szCs w:val="17"/>
          <w:color w:val="auto"/>
        </w:rPr>
        <w:t>”), the laws of the State of Texas or federal law, or (D) results or will result in the creation or imposition of any Lien upon any property or assets of any of the Partnership, the Domestic Subsidiaries or the GP Entities, which conflicts, breaches, violations or defaults in the case of clauses (B), (C) or (D) would reasonably be expected to have a Material Adverse Effect or materially impair the ability of the Partnership to consummate the transactions contemplated by this Agreement, it being understood that such counsel need not express an opinion in clause (C) of this paragraph (x) with respect to any securities or other anti-fraud law.</w:t>
      </w:r>
    </w:p>
    <w:p>
      <w:pPr>
        <w:spacing w:after="0" w:line="71" w:lineRule="exact"/>
        <w:rPr>
          <w:rFonts w:ascii="Arial" w:cs="Arial" w:eastAsia="Arial" w:hAnsi="Arial"/>
          <w:sz w:val="17"/>
          <w:szCs w:val="17"/>
          <w:color w:val="auto"/>
        </w:rPr>
      </w:pPr>
    </w:p>
    <w:p>
      <w:pPr>
        <w:ind w:right="60" w:firstLine="4"/>
        <w:spacing w:after="0" w:line="255" w:lineRule="auto"/>
        <w:tabs>
          <w:tab w:leader="none" w:pos="3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federal, Delaware or Texas court, governmental agency or body having jurisdiction over the Partnership, the GP Entities the Domestic Subsidiaries or any of their respective properties is required in connection with the transactions contemplated by this Agreement, the execution, delivery and performance of this Agreement by the Partnership and the consummation of the transactions contemplated by this Agreement, except (A) such as have been obtained under the Securities Act (as to which such counsel need not express any opinion), and (B) such as may be required under the blue sky laws of any jurisdiction or the by-laws and rules of FINRA in connection with the purchase and distribution by the Underwriters of</w:t>
      </w:r>
    </w:p>
    <w:p>
      <w:pPr>
        <w:spacing w:after="0" w:line="16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5" w:right="259" w:bottom="1440" w:gutter="0" w:footer="0" w:header="0"/>
        </w:sectPr>
      </w:pPr>
    </w:p>
    <w:bookmarkStart w:id="31" w:name="page32"/>
    <w:bookmarkEnd w:id="31"/>
    <w:p>
      <w:pPr>
        <w:jc w:val="both"/>
        <w:ind w:left="460" w:right="140"/>
        <w:spacing w:after="0" w:line="259" w:lineRule="auto"/>
        <w:rPr>
          <w:sz w:val="20"/>
          <w:szCs w:val="20"/>
          <w:color w:val="auto"/>
        </w:rPr>
      </w:pPr>
      <w:r>
        <w:rPr>
          <w:rFonts w:ascii="Arial" w:cs="Arial" w:eastAsia="Arial" w:hAnsi="Arial"/>
          <w:sz w:val="18"/>
          <w:szCs w:val="18"/>
          <w:color w:val="auto"/>
        </w:rPr>
        <w:t>the Units in the manner contemplated herein and in the Pricing Disclosure Package and the Prospectus (as to which such counsel need not express any opinion), (C) such that the failure to obtain would not reasonably be expected to have a Material Adverse Effect or materially impair the ability of the Partnership to consummate the transactions contemplated by this Agreement and (D) such other that have been obtained or taken and are in full force and effect.</w:t>
      </w:r>
    </w:p>
    <w:p>
      <w:pPr>
        <w:spacing w:after="0" w:line="79" w:lineRule="exact"/>
        <w:rPr>
          <w:sz w:val="20"/>
          <w:szCs w:val="20"/>
          <w:color w:val="auto"/>
        </w:rPr>
      </w:pPr>
    </w:p>
    <w:p>
      <w:pPr>
        <w:ind w:left="460" w:right="80" w:firstLine="4"/>
        <w:spacing w:after="0" w:line="302" w:lineRule="auto"/>
        <w:tabs>
          <w:tab w:leader="none" w:pos="81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statements in the Registration Statement, the Pricing Disclosure Package and the Prospectus under the captions “Description of Our Common Units,” “Cash Distribution Policy” and “Description of Our Partnership Agreement,” insofar as they constitute descriptions of agreements or refer to statements of law or legal conclusions, are accurate in all material respects, and the Units, the Common Units and the Incentive Distribution Rights conform in all material respects to the descriptions thereof contained in the Registration Statement, the Pricing Disclosure Package and the Prospectus.</w:t>
      </w:r>
    </w:p>
    <w:p>
      <w:pPr>
        <w:spacing w:after="0" w:line="46" w:lineRule="exact"/>
        <w:rPr>
          <w:rFonts w:ascii="Arial" w:cs="Arial" w:eastAsia="Arial" w:hAnsi="Arial"/>
          <w:sz w:val="16"/>
          <w:szCs w:val="16"/>
          <w:color w:val="auto"/>
        </w:rPr>
      </w:pPr>
    </w:p>
    <w:p>
      <w:pPr>
        <w:ind w:left="460" w:right="120" w:firstLine="4"/>
        <w:spacing w:after="0" w:line="277" w:lineRule="auto"/>
        <w:tabs>
          <w:tab w:leader="none" w:pos="8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opinion of Vinson &amp; Elkins L.L.P. that is filed as Exhibit 8.1 to the Registration Statement is confirmed and the Underwriters may rely upon such opinion as if it were addressed to them.</w:t>
      </w:r>
    </w:p>
    <w:p>
      <w:pPr>
        <w:spacing w:after="0" w:line="62" w:lineRule="exact"/>
        <w:rPr>
          <w:rFonts w:ascii="Arial" w:cs="Arial" w:eastAsia="Arial" w:hAnsi="Arial"/>
          <w:sz w:val="18"/>
          <w:szCs w:val="18"/>
          <w:color w:val="auto"/>
        </w:rPr>
      </w:pPr>
    </w:p>
    <w:p>
      <w:pPr>
        <w:ind w:left="460" w:right="200" w:firstLine="4"/>
        <w:spacing w:after="0" w:line="259" w:lineRule="auto"/>
        <w:tabs>
          <w:tab w:leader="none" w:pos="8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Registration Statement became effective under the Securities Act upon its filing on October 14, 2009; to the knowledge of such counsel, no stop order suspending the effectiveness of the Registration Statement has been issued and no proceedings for that purpose have been instituted or threatened by the Commission; and any required filing of the Prospectus pursuant to Rule 424(b) has been made in the manner and within the time period required by such Rule.</w:t>
      </w:r>
    </w:p>
    <w:p>
      <w:pPr>
        <w:spacing w:after="0" w:line="78" w:lineRule="exact"/>
        <w:rPr>
          <w:rFonts w:ascii="Arial" w:cs="Arial" w:eastAsia="Arial" w:hAnsi="Arial"/>
          <w:sz w:val="18"/>
          <w:szCs w:val="18"/>
          <w:color w:val="auto"/>
        </w:rPr>
      </w:pPr>
    </w:p>
    <w:p>
      <w:pPr>
        <w:ind w:left="460" w:right="20" w:firstLine="4"/>
        <w:spacing w:after="0" w:line="259" w:lineRule="auto"/>
        <w:tabs>
          <w:tab w:leader="none" w:pos="80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comply as to form in all material respects with the requirements of the Securities Act and the Exchange Act and the rules and regulations promulgated thereunder.</w:t>
      </w:r>
    </w:p>
    <w:p>
      <w:pPr>
        <w:spacing w:after="0" w:line="78" w:lineRule="exact"/>
        <w:rPr>
          <w:rFonts w:ascii="Arial" w:cs="Arial" w:eastAsia="Arial" w:hAnsi="Arial"/>
          <w:sz w:val="18"/>
          <w:szCs w:val="18"/>
          <w:color w:val="auto"/>
        </w:rPr>
      </w:pPr>
    </w:p>
    <w:p>
      <w:pPr>
        <w:ind w:left="460" w:right="60" w:firstLine="4"/>
        <w:spacing w:after="0" w:line="264" w:lineRule="auto"/>
        <w:tabs>
          <w:tab w:leader="none" w:pos="8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None of the Plains Entities is now, and after sale of the Units to be sold by the Partnership hereunder and application of the net proceeds from such sale as described in the Pricing Disclosure Package and the Prospectus under the caption “Use of Proceeds,” none of the Plains Entities will be, an “investment company” as such term is defined in the Investment Company Act.</w:t>
      </w:r>
    </w:p>
    <w:p>
      <w:pPr>
        <w:spacing w:after="0" w:line="73"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In addition, such counsel shall state that they have participated in conferences with officers and other representatives of the Partnership and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ind w:right="200"/>
        <w:spacing w:after="0" w:line="342" w:lineRule="auto"/>
        <w:rPr>
          <w:sz w:val="20"/>
          <w:szCs w:val="20"/>
          <w:color w:val="auto"/>
        </w:rPr>
      </w:pPr>
      <w:r>
        <w:rPr>
          <w:rFonts w:ascii="Arial" w:cs="Arial" w:eastAsia="Arial" w:hAnsi="Arial"/>
          <w:sz w:val="16"/>
          <w:szCs w:val="16"/>
          <w:color w:val="auto"/>
        </w:rPr>
        <w:t>completeness or fairness of the statements contained in, the Registration Statement, the Pricing Disclosure Package and the Prospectus (except to the extent specified in opinion (xii above)), on the basis of the foregoing, no facts have come to the attention of such counsel that lead them to believe that:</w:t>
      </w:r>
    </w:p>
    <w:p>
      <w:pPr>
        <w:spacing w:after="0" w:line="16" w:lineRule="exact"/>
        <w:rPr>
          <w:sz w:val="20"/>
          <w:szCs w:val="20"/>
          <w:color w:val="auto"/>
        </w:rPr>
      </w:pPr>
    </w:p>
    <w:p>
      <w:pPr>
        <w:ind w:right="140" w:firstLine="458"/>
        <w:spacing w:after="0" w:line="277" w:lineRule="auto"/>
        <w:tabs>
          <w:tab w:leader="none" w:pos="7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62" w:lineRule="exact"/>
        <w:rPr>
          <w:rFonts w:ascii="Arial" w:cs="Arial" w:eastAsia="Arial" w:hAnsi="Arial"/>
          <w:sz w:val="18"/>
          <w:szCs w:val="18"/>
          <w:color w:val="auto"/>
        </w:rPr>
      </w:pPr>
    </w:p>
    <w:p>
      <w:pPr>
        <w:ind w:right="600" w:firstLine="458"/>
        <w:spacing w:after="0" w:line="342" w:lineRule="auto"/>
        <w:tabs>
          <w:tab w:leader="none" w:pos="73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5" w:lineRule="exact"/>
        <w:rPr>
          <w:rFonts w:ascii="Arial" w:cs="Arial" w:eastAsia="Arial" w:hAnsi="Arial"/>
          <w:sz w:val="16"/>
          <w:szCs w:val="16"/>
          <w:color w:val="auto"/>
        </w:rPr>
      </w:pPr>
    </w:p>
    <w:p>
      <w:pPr>
        <w:ind w:firstLine="458"/>
        <w:spacing w:after="0" w:line="342" w:lineRule="auto"/>
        <w:tabs>
          <w:tab w:leader="none" w:pos="73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Prospectus, as of its date and as of each applicable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79" w:lineRule="exact"/>
        <w:rPr>
          <w:sz w:val="20"/>
          <w:szCs w:val="20"/>
          <w:color w:val="auto"/>
        </w:rPr>
      </w:pPr>
    </w:p>
    <w:p>
      <w:pPr>
        <w:ind w:right="20" w:firstLine="450"/>
        <w:spacing w:after="0" w:line="288" w:lineRule="auto"/>
        <w:rPr>
          <w:sz w:val="20"/>
          <w:szCs w:val="20"/>
          <w:color w:val="auto"/>
        </w:rPr>
      </w:pPr>
      <w:r>
        <w:rPr>
          <w:rFonts w:ascii="Arial" w:cs="Arial" w:eastAsia="Arial" w:hAnsi="Arial"/>
          <w:sz w:val="16"/>
          <w:szCs w:val="16"/>
          <w:color w:val="auto"/>
        </w:rPr>
        <w:t>In rendering such opinion, such counsel may (A) rely in respect of matters of fact upon certificates of officers and employees of GP LLC and the Partnership, to the extent they deem appropriate, and information obtained from public officials, (B) assume that all documents submitted to them as originals are authentic, that all copies submitted to them conform to the originals thereof, and that the signatures on all documents examined by them are genuine,</w:t>
      </w:r>
    </w:p>
    <w:p>
      <w:pPr>
        <w:ind w:right="40" w:firstLine="8"/>
        <w:spacing w:after="0" w:line="255" w:lineRule="auto"/>
        <w:tabs>
          <w:tab w:leader="none" w:pos="2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state that their opinion is limited to federal laws, the Delaware LP Act, the Delaware LLC Act, the DGCL and the laws of the State of Texas and (D) state that they express no opinion with respect to (i) any permits to own or operate any real or personal property or (ii) state or local taxes or tax statutes to which any of the limited partners of the Partnership or any of the Plains Entities may be subject.</w:t>
      </w:r>
    </w:p>
    <w:p>
      <w:pPr>
        <w:spacing w:after="0" w:line="82" w:lineRule="exact"/>
        <w:rPr>
          <w:rFonts w:ascii="Arial" w:cs="Arial" w:eastAsia="Arial" w:hAnsi="Arial"/>
          <w:sz w:val="18"/>
          <w:szCs w:val="18"/>
          <w:color w:val="auto"/>
        </w:rPr>
      </w:pPr>
    </w:p>
    <w:p>
      <w:pPr>
        <w:ind w:right="620" w:firstLine="458"/>
        <w:spacing w:after="0" w:line="277" w:lineRule="auto"/>
        <w:tabs>
          <w:tab w:leader="none" w:pos="70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Representatives shall have received on each applicable Delivery Date an opinion of Tim Moore, general counsel for GP LLC, dated the applicable Delivery Date and addressed to the Underwriters, to the effect that:</w:t>
      </w:r>
    </w:p>
    <w:p>
      <w:pPr>
        <w:spacing w:after="0" w:line="62" w:lineRule="exact"/>
        <w:rPr>
          <w:sz w:val="20"/>
          <w:szCs w:val="20"/>
          <w:color w:val="auto"/>
        </w:rPr>
      </w:pPr>
    </w:p>
    <w:p>
      <w:pPr>
        <w:ind w:left="460" w:right="120" w:firstLine="4"/>
        <w:spacing w:after="0" w:line="259" w:lineRule="auto"/>
        <w:tabs>
          <w:tab w:leader="none" w:pos="6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None of the offering, issuance and sale by the Partnership of the Units, the execution, delivery and performance by the Partnership of this Agreement, the consummation of the transactions contemplated by this Agreement (A) constitutes or will constitute a breach or violation of, a change of control or a default (or an event which, with notice or lapse of time or both, would constitute such an event) under any bond, debenture, note or any other evidence of indebtedness, indenture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3" w:name="page34"/>
    <w:bookmarkEnd w:id="33"/>
    <w:p>
      <w:pPr>
        <w:ind w:left="460"/>
        <w:spacing w:after="0" w:line="255" w:lineRule="auto"/>
        <w:rPr>
          <w:sz w:val="20"/>
          <w:szCs w:val="20"/>
          <w:color w:val="auto"/>
        </w:rPr>
      </w:pPr>
      <w:r>
        <w:rPr>
          <w:rFonts w:ascii="Arial" w:cs="Arial" w:eastAsia="Arial" w:hAnsi="Arial"/>
          <w:sz w:val="18"/>
          <w:szCs w:val="18"/>
          <w:color w:val="auto"/>
        </w:rPr>
        <w:t>or any other material agreement or instrument known to such counsel to which the Partnership, any of the GP Entities or any of the Material Subsidiaries is a party or by which any one of them may be bound (other than any other document or agreement filed as an exhibit to the Registration Statement or an Incorporated Document, the Plains AAP Facility or the PNG Facility) or (B) violates or will violate any statute, law or regulation or any order, judgment, decree or injunction known to such counsel of any court or governmental agency or body directed to the Partnership, any of the GP Entities or any of the Material Subsidiaries or any of their respective properties in a proceeding to which any of them is a party, which would, in the case of either (A) or (B), reasonably be expected to have a Material Adverse Effect or materially impair the ability of the Partnership to consummate the transactions contemplated by this Agreement.</w:t>
      </w:r>
    </w:p>
    <w:p>
      <w:pPr>
        <w:spacing w:after="0" w:line="81" w:lineRule="exact"/>
        <w:rPr>
          <w:sz w:val="20"/>
          <w:szCs w:val="20"/>
          <w:color w:val="auto"/>
        </w:rPr>
      </w:pPr>
    </w:p>
    <w:p>
      <w:pPr>
        <w:ind w:left="460" w:right="200" w:firstLine="4"/>
        <w:spacing w:after="0" w:line="264" w:lineRule="auto"/>
        <w:tabs>
          <w:tab w:leader="none" w:pos="72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knowledge of such counsel, there is no legal or governmental proceeding pending or threatened to which the Partnership or any of the Subsidiaries is a party or to which any of their respective properties is subject that is required to be disclosed in the Pricing Disclosure Package or the Prospectus and is not so disclosed.</w:t>
      </w:r>
    </w:p>
    <w:p>
      <w:pPr>
        <w:spacing w:after="0" w:line="73" w:lineRule="exact"/>
        <w:rPr>
          <w:rFonts w:ascii="Arial" w:cs="Arial" w:eastAsia="Arial" w:hAnsi="Arial"/>
          <w:sz w:val="18"/>
          <w:szCs w:val="18"/>
          <w:color w:val="auto"/>
        </w:rPr>
      </w:pPr>
    </w:p>
    <w:p>
      <w:pPr>
        <w:jc w:val="both"/>
        <w:ind w:left="460" w:right="300" w:firstLine="4"/>
        <w:spacing w:after="0" w:line="264" w:lineRule="auto"/>
        <w:tabs>
          <w:tab w:leader="none" w:pos="7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knowledge of such counsel, except as described in the Pricing Disclosure Package and the Prospectus or as have been issued pursuant to compensation plans adopted or administered by the General Partner, there are no outstanding options or warrants to purchase any Common Units or other equity interests in the Partnership.</w:t>
      </w:r>
    </w:p>
    <w:p>
      <w:pPr>
        <w:spacing w:after="0" w:line="73" w:lineRule="exact"/>
        <w:rPr>
          <w:rFonts w:ascii="Arial" w:cs="Arial" w:eastAsia="Arial" w:hAnsi="Arial"/>
          <w:sz w:val="18"/>
          <w:szCs w:val="18"/>
          <w:color w:val="auto"/>
        </w:rPr>
      </w:pPr>
    </w:p>
    <w:p>
      <w:pPr>
        <w:ind w:left="460" w:right="240" w:firstLine="4"/>
        <w:spacing w:after="0" w:line="286" w:lineRule="auto"/>
        <w:tabs>
          <w:tab w:leader="none" w:pos="762"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the knowledge of such counsel, there are no agreements, contracts or other documents to which the Partnership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57" w:lineRule="exact"/>
        <w:rPr>
          <w:sz w:val="20"/>
          <w:szCs w:val="20"/>
          <w:color w:val="auto"/>
        </w:rPr>
      </w:pPr>
    </w:p>
    <w:p>
      <w:pPr>
        <w:ind w:right="20" w:firstLine="450"/>
        <w:spacing w:after="0" w:line="297" w:lineRule="auto"/>
        <w:rPr>
          <w:sz w:val="20"/>
          <w:szCs w:val="20"/>
          <w:color w:val="auto"/>
        </w:rPr>
      </w:pPr>
      <w:r>
        <w:rPr>
          <w:rFonts w:ascii="Arial" w:cs="Arial" w:eastAsia="Arial" w:hAnsi="Arial"/>
          <w:sz w:val="16"/>
          <w:szCs w:val="16"/>
          <w:color w:val="auto"/>
        </w:rPr>
        <w:t>In addition, such counsel shall state that he has participated in discussions with officers and other representatives of GP LLC and the Partnership and the independent public accountants of the Partnership and the Underwriters’ representatives,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on the basis of the foregoing, no facts have come to the attention of such counsel that lead him to believe that:</w:t>
      </w:r>
    </w:p>
    <w:p>
      <w:pPr>
        <w:spacing w:after="0" w:line="50" w:lineRule="exact"/>
        <w:rPr>
          <w:sz w:val="20"/>
          <w:szCs w:val="20"/>
          <w:color w:val="auto"/>
        </w:rPr>
      </w:pPr>
    </w:p>
    <w:p>
      <w:pPr>
        <w:ind w:right="160" w:firstLine="458"/>
        <w:spacing w:after="0" w:line="277" w:lineRule="auto"/>
        <w:tabs>
          <w:tab w:leader="none" w:pos="7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ind w:right="600" w:firstLine="458"/>
        <w:spacing w:after="0" w:line="342" w:lineRule="auto"/>
        <w:tabs>
          <w:tab w:leader="none" w:pos="73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5" w:lineRule="exact"/>
        <w:rPr>
          <w:rFonts w:ascii="Arial" w:cs="Arial" w:eastAsia="Arial" w:hAnsi="Arial"/>
          <w:sz w:val="16"/>
          <w:szCs w:val="16"/>
          <w:color w:val="auto"/>
        </w:rPr>
      </w:pPr>
    </w:p>
    <w:p>
      <w:pPr>
        <w:ind w:firstLine="458"/>
        <w:spacing w:after="0" w:line="342" w:lineRule="auto"/>
        <w:tabs>
          <w:tab w:leader="none" w:pos="73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Prospectus, as of its date and as of each applicable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or statistical information included or incorporated by reference in the Registration Statement, the Pricing Disclosure Package and the Prospectus.</w:t>
      </w:r>
    </w:p>
    <w:p>
      <w:pPr>
        <w:spacing w:after="0" w:line="79" w:lineRule="exact"/>
        <w:rPr>
          <w:sz w:val="20"/>
          <w:szCs w:val="20"/>
          <w:color w:val="auto"/>
        </w:rPr>
      </w:pPr>
    </w:p>
    <w:p>
      <w:pPr>
        <w:ind w:right="360" w:firstLine="450"/>
        <w:spacing w:after="0" w:line="255" w:lineRule="auto"/>
        <w:rPr>
          <w:sz w:val="20"/>
          <w:szCs w:val="20"/>
          <w:color w:val="auto"/>
        </w:rPr>
      </w:pPr>
      <w:r>
        <w:rPr>
          <w:rFonts w:ascii="Arial" w:cs="Arial" w:eastAsia="Arial" w:hAnsi="Arial"/>
          <w:sz w:val="18"/>
          <w:szCs w:val="18"/>
          <w:color w:val="auto"/>
        </w:rPr>
        <w:t>In rendering such opinion, such counsel may (A) rely in respect of matters of fact upon certificates of officers and employees of GP LLC and the Partnership, to the extent he deems appropriate, and upon information obtained from public officials, (B) assume that all documents submitted to him as originals are authentic, that all copies submitted to him conform to the originals thereof, and that the signatures on all documents examined by him are genuine, (C) state that such opinions are limited to federal laws and the Delaware LP Act, the Delaware LLC Act, the DGCL and the laws of the State of Texas and (D) state that he expresses no opinion with respect to either federal or state securities laws in clause (B) of paragraph (i) above or state or local taxes or tax statutes.</w:t>
      </w:r>
    </w:p>
    <w:p>
      <w:pPr>
        <w:spacing w:after="0" w:line="85" w:lineRule="exact"/>
        <w:rPr>
          <w:sz w:val="20"/>
          <w:szCs w:val="20"/>
          <w:color w:val="auto"/>
        </w:rPr>
      </w:pPr>
    </w:p>
    <w:p>
      <w:pPr>
        <w:ind w:right="20" w:firstLine="458"/>
        <w:spacing w:after="0" w:line="308" w:lineRule="auto"/>
        <w:tabs>
          <w:tab w:leader="none" w:pos="692"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Representatives shall have received on each applicable Delivery Date, an opinion of Bennett Jones LLP with respect to the Province of Alberta, the Province of Nova Scotia and the federal laws of Canada, dated the Closing Date and addressed to the Underwriters, to the effect that:</w:t>
      </w:r>
    </w:p>
    <w:p>
      <w:pPr>
        <w:spacing w:after="0" w:line="38" w:lineRule="exact"/>
        <w:rPr>
          <w:sz w:val="20"/>
          <w:szCs w:val="20"/>
          <w:color w:val="auto"/>
        </w:rPr>
      </w:pPr>
    </w:p>
    <w:p>
      <w:pPr>
        <w:ind w:left="460" w:right="20" w:firstLine="4"/>
        <w:spacing w:after="0" w:line="272" w:lineRule="auto"/>
        <w:tabs>
          <w:tab w:leader="none" w:pos="675"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Each of the Canadian Subsidiaries has been duly formed and is validly existing in good standing as a corporation, limited partnership or unlimited liability company under the laws of its jurisdiction of formation with all necessary partnership or corporate power and authority to own or lease its properties, as the case may be, in all material respects as described in the Pricing Disclosure Package and the Prospectus, and to conduct its business as currently conducted and as proposed in the Pricing Disclosure Package and the Prospectus to be conducted. PMC NS has all necessary corporate power and authority to act as general partner of PMC LP in all material respects as described in the Pricing Disclosure Package and the Prospectus. Each of the Canadian Subsidiaries is duly registered extra-provincially for the transaction of business and is in good standing under the laws of the jurisdictions set forth on Exhibit A to this 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35" w:name="page36"/>
    <w:bookmarkEnd w:id="35"/>
    <w:p>
      <w:pPr>
        <w:ind w:firstLine="4"/>
        <w:spacing w:after="0" w:line="256" w:lineRule="auto"/>
        <w:tabs>
          <w:tab w:leader="none" w:pos="2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PMC (Nova Scotia) Company, a Nova Scotia unlimited liability company (“</w:t>
      </w:r>
      <w:r>
        <w:rPr>
          <w:rFonts w:ascii="Arial" w:cs="Arial" w:eastAsia="Arial" w:hAnsi="Arial"/>
          <w:sz w:val="18"/>
          <w:szCs w:val="18"/>
          <w:b w:val="1"/>
          <w:bCs w:val="1"/>
          <w:color w:val="auto"/>
        </w:rPr>
        <w:t>PMC NS</w:t>
      </w:r>
      <w:r>
        <w:rPr>
          <w:rFonts w:ascii="Arial" w:cs="Arial" w:eastAsia="Arial" w:hAnsi="Arial"/>
          <w:sz w:val="18"/>
          <w:szCs w:val="18"/>
          <w:color w:val="auto"/>
        </w:rPr>
        <w:t>”), is the sole general partner of Plains Marketing Canada, L.P., an Alberta limited partnership (“</w:t>
      </w:r>
      <w:r>
        <w:rPr>
          <w:rFonts w:ascii="Arial" w:cs="Arial" w:eastAsia="Arial" w:hAnsi="Arial"/>
          <w:sz w:val="18"/>
          <w:szCs w:val="18"/>
          <w:b w:val="1"/>
          <w:bCs w:val="1"/>
          <w:color w:val="auto"/>
        </w:rPr>
        <w:t>PMC LP</w:t>
      </w:r>
      <w:r>
        <w:rPr>
          <w:rFonts w:ascii="Arial" w:cs="Arial" w:eastAsia="Arial" w:hAnsi="Arial"/>
          <w:sz w:val="18"/>
          <w:szCs w:val="18"/>
          <w:color w:val="auto"/>
        </w:rPr>
        <w:t>”), with a 0.01% interest in PMC LP; such interest has been duly authorized and validly issued in accordance with the agreement of limited partnership of PMC LP (as in effect on the date hereof and as the same may be amended or restated prior to each applicable Delivery Date, the “</w:t>
      </w:r>
      <w:r>
        <w:rPr>
          <w:rFonts w:ascii="Arial" w:cs="Arial" w:eastAsia="Arial" w:hAnsi="Arial"/>
          <w:sz w:val="18"/>
          <w:szCs w:val="18"/>
          <w:b w:val="1"/>
          <w:bCs w:val="1"/>
          <w:color w:val="auto"/>
        </w:rPr>
        <w:t>PMC LP Partnership Agreement</w:t>
      </w:r>
      <w:r>
        <w:rPr>
          <w:rFonts w:ascii="Arial" w:cs="Arial" w:eastAsia="Arial" w:hAnsi="Arial"/>
          <w:sz w:val="18"/>
          <w:szCs w:val="18"/>
          <w:color w:val="auto"/>
        </w:rPr>
        <w:t>”); and PMC NS owns such interest free and clear of all liens, encumbrances, security interests, charges or claims in respect of which a financing statement under the laws of the Provinces of Nova Scotia or Alberta naming PMC NS as debtor is on file.</w:t>
      </w:r>
    </w:p>
    <w:p>
      <w:pPr>
        <w:spacing w:after="0" w:line="83" w:lineRule="exact"/>
        <w:rPr>
          <w:rFonts w:ascii="Arial" w:cs="Arial" w:eastAsia="Arial" w:hAnsi="Arial"/>
          <w:sz w:val="18"/>
          <w:szCs w:val="18"/>
          <w:color w:val="auto"/>
        </w:rPr>
      </w:pPr>
    </w:p>
    <w:p>
      <w:pPr>
        <w:jc w:val="both"/>
        <w:ind w:right="20" w:firstLine="4"/>
        <w:spacing w:after="0" w:line="259" w:lineRule="auto"/>
        <w:tabs>
          <w:tab w:leader="none" w:pos="3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Plains Marketing is the sole limited partner of PMC LP with a 99.99% limited partner interest in PMC LP; such limited partner interest has been duly authorized and validly issued in accordance with the PMC LP Partnership Agreement and is fully paid (to the extent required under the PMC LP Partnership Agreement) and nonassessable (except as such nonassessability may be affected by matters described in the PMC LP Partnership Agreement).</w:t>
      </w:r>
    </w:p>
    <w:p>
      <w:pPr>
        <w:spacing w:after="0" w:line="74" w:lineRule="exact"/>
        <w:rPr>
          <w:rFonts w:ascii="Arial" w:cs="Arial" w:eastAsia="Arial" w:hAnsi="Arial"/>
          <w:sz w:val="18"/>
          <w:szCs w:val="18"/>
          <w:color w:val="auto"/>
        </w:rPr>
      </w:pPr>
    </w:p>
    <w:p>
      <w:pPr>
        <w:ind w:right="120" w:firstLine="4"/>
        <w:spacing w:after="0" w:line="261" w:lineRule="auto"/>
        <w:tabs>
          <w:tab w:leader="none" w:pos="3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Plains Marketing Canada LLC, a Delaware limited liability company (“</w:t>
      </w:r>
      <w:r>
        <w:rPr>
          <w:rFonts w:ascii="Arial" w:cs="Arial" w:eastAsia="Arial" w:hAnsi="Arial"/>
          <w:sz w:val="18"/>
          <w:szCs w:val="18"/>
          <w:b w:val="1"/>
          <w:bCs w:val="1"/>
          <w:color w:val="auto"/>
        </w:rPr>
        <w:t>PMC LLC</w:t>
      </w:r>
      <w:r>
        <w:rPr>
          <w:rFonts w:ascii="Arial" w:cs="Arial" w:eastAsia="Arial" w:hAnsi="Arial"/>
          <w:sz w:val="18"/>
          <w:szCs w:val="18"/>
          <w:color w:val="auto"/>
        </w:rPr>
        <w:t>”), is the registered holder of 100% of the issued and outstanding capital stock of PMC NS; such share capital has been duly authorized and validly issued in accordance with the PMC NS Memorandum and Articles of Association, as fully paid and nonassessable shares (except as such nonassessability may be affected by the laws of the Province of Nova Scotia).</w:t>
      </w:r>
    </w:p>
    <w:p>
      <w:pPr>
        <w:spacing w:after="0" w:line="71" w:lineRule="exact"/>
        <w:rPr>
          <w:rFonts w:ascii="Arial" w:cs="Arial" w:eastAsia="Arial" w:hAnsi="Arial"/>
          <w:sz w:val="18"/>
          <w:szCs w:val="18"/>
          <w:color w:val="auto"/>
        </w:rPr>
      </w:pPr>
    </w:p>
    <w:p>
      <w:pPr>
        <w:jc w:val="both"/>
        <w:ind w:right="100" w:firstLine="4"/>
        <w:spacing w:after="0" w:line="281" w:lineRule="auto"/>
        <w:tabs>
          <w:tab w:leader="none" w:pos="2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Plains Midstream, L.P., a Delaware limited partnership (“</w:t>
      </w:r>
      <w:r>
        <w:rPr>
          <w:rFonts w:ascii="Arial" w:cs="Arial" w:eastAsia="Arial" w:hAnsi="Arial"/>
          <w:sz w:val="17"/>
          <w:szCs w:val="17"/>
          <w:b w:val="1"/>
          <w:bCs w:val="1"/>
          <w:color w:val="auto"/>
        </w:rPr>
        <w:t>Plains Midstream LP</w:t>
      </w:r>
      <w:r>
        <w:rPr>
          <w:rFonts w:ascii="Arial" w:cs="Arial" w:eastAsia="Arial" w:hAnsi="Arial"/>
          <w:sz w:val="17"/>
          <w:szCs w:val="17"/>
          <w:color w:val="auto"/>
        </w:rPr>
        <w:t>”), is the registered holder of 100% of the issued and outstanding capital stock of Plains Midstream Canada ULC, an Alberta unlimited liability company (“</w:t>
      </w:r>
      <w:r>
        <w:rPr>
          <w:rFonts w:ascii="Arial" w:cs="Arial" w:eastAsia="Arial" w:hAnsi="Arial"/>
          <w:sz w:val="17"/>
          <w:szCs w:val="17"/>
          <w:b w:val="1"/>
          <w:bCs w:val="1"/>
          <w:color w:val="auto"/>
        </w:rPr>
        <w:t>Plains Midstream Canada”)</w:t>
      </w:r>
      <w:r>
        <w:rPr>
          <w:rFonts w:ascii="Arial" w:cs="Arial" w:eastAsia="Arial" w:hAnsi="Arial"/>
          <w:sz w:val="17"/>
          <w:szCs w:val="17"/>
          <w:color w:val="auto"/>
        </w:rPr>
        <w:t>; such share capital has been duly authorized and validly issued in accordance with the Plains Midstream Canada Articles of Incorporation, as fully paid and nonassessable shares (except as such nonassessability may be affected by the laws of the Province of Alberta).</w:t>
      </w:r>
    </w:p>
    <w:p>
      <w:pPr>
        <w:spacing w:after="0" w:line="60" w:lineRule="exact"/>
        <w:rPr>
          <w:rFonts w:ascii="Arial" w:cs="Arial" w:eastAsia="Arial" w:hAnsi="Arial"/>
          <w:sz w:val="17"/>
          <w:szCs w:val="17"/>
          <w:color w:val="auto"/>
        </w:rPr>
      </w:pPr>
    </w:p>
    <w:p>
      <w:pPr>
        <w:ind w:right="180" w:firstLine="4"/>
        <w:spacing w:after="0" w:line="308" w:lineRule="auto"/>
        <w:tabs>
          <w:tab w:leader="none" w:pos="305"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 permit, consent, approval, authorization, order, registration, filing or qualification of or with any court, governmental agency or body of the federal government of Canada or the Province of Alberta is required for the offering, issuance and sale by the Partnership of the Units.</w:t>
      </w:r>
    </w:p>
    <w:p>
      <w:pPr>
        <w:spacing w:after="0" w:line="38" w:lineRule="exact"/>
        <w:rPr>
          <w:rFonts w:ascii="Arial" w:cs="Arial" w:eastAsia="Arial" w:hAnsi="Arial"/>
          <w:sz w:val="17"/>
          <w:szCs w:val="17"/>
          <w:color w:val="auto"/>
        </w:rPr>
      </w:pPr>
    </w:p>
    <w:p>
      <w:pPr>
        <w:ind w:right="40" w:firstLine="4"/>
        <w:spacing w:after="0" w:line="276" w:lineRule="auto"/>
        <w:tabs>
          <w:tab w:leader="none" w:pos="352"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PMC LP Partnership Agreement has been duly authorized, executed and delivered by PMC NS and is a valid and legally binding agreement of PMC NS and Plains Marketing enforceable against each of them in accordance with its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limitation periods,</w:t>
      </w:r>
    </w:p>
    <w:p>
      <w:pPr>
        <w:spacing w:after="0" w:line="14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700" w:top="931" w:right="39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t>fiduciary duties and indemnification and an implied covenant of good faith and fair dealing.</w:t>
      </w:r>
    </w:p>
    <w:p>
      <w:pPr>
        <w:spacing w:after="0" w:line="117" w:lineRule="exact"/>
        <w:rPr>
          <w:sz w:val="20"/>
          <w:szCs w:val="20"/>
          <w:color w:val="auto"/>
        </w:rPr>
      </w:pPr>
    </w:p>
    <w:p>
      <w:pPr>
        <w:ind w:left="460" w:right="20" w:firstLine="4"/>
        <w:spacing w:after="0" w:line="297" w:lineRule="auto"/>
        <w:tabs>
          <w:tab w:leader="none" w:pos="865"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None of the offering, issuance and sale by the Partnership of the Units, the execution, delivery and performance of this Agreement by the Partnership or the consummation of the transactions contemplated hereby constitutes or will constitute a violation of the Organizational Documents of the Canadian Subsidiaries or any statute, law or regulation of Canada or the Provinces of Alberta and Nova Scotia or, to the knowledge of such counsel, any order, judgment, decree or injunction of any court or governmental agency or body of Canada or the Provinces of Alberta and Nova Scotia directed to any of the Canadian Subsidiaries or their properties in a proceeding to which any of them or their property is a party.</w:t>
      </w:r>
    </w:p>
    <w:p>
      <w:pPr>
        <w:spacing w:after="0" w:line="50" w:lineRule="exact"/>
        <w:rPr>
          <w:rFonts w:ascii="Arial" w:cs="Arial" w:eastAsia="Arial" w:hAnsi="Arial"/>
          <w:sz w:val="16"/>
          <w:szCs w:val="16"/>
          <w:color w:val="auto"/>
        </w:rPr>
      </w:pPr>
    </w:p>
    <w:p>
      <w:pPr>
        <w:ind w:left="460" w:right="40" w:firstLine="4"/>
        <w:spacing w:after="0" w:line="276" w:lineRule="auto"/>
        <w:tabs>
          <w:tab w:leader="none" w:pos="76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the knowledge of such counsel, each of the Canadian Subsidiaries has such Permits issued by the appropriate federal or provincial or regulatory authorities as are necessary to own or lease its properties and to conduct its business as currently conducted and as proposed in the Pricing Disclosure Package and the Prospectus to be conducted, subject to such qualifications as may be set forth in the Pricing Disclosure Package and the Prospectus, and except for such Permits which, if not obtained would not reasonably be expected to, individually or in the aggregate, materially adversely effect the operations conducted by the Canadian Subsidiaries, taken as a whole.</w:t>
      </w:r>
    </w:p>
    <w:p>
      <w:pPr>
        <w:spacing w:after="0" w:line="64"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In rendering such opinion, such counsel may (A) rely in respect of matters of fact upon certificates of officers and employees of GP LLC and the Partnership, to the extent they deem proper, and upon information obtained from public officials,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Provinces of Alberta and Nova Scotia, excepting therefrom municipal and local ordinances and regulations and (D) state that they express no opinion with respect to state or local taxes or tax statutes to which any of the limited partners of the Partnership or the Plains Entities may be subject.</w:t>
      </w:r>
    </w:p>
    <w:p>
      <w:pPr>
        <w:spacing w:after="0" w:line="85" w:lineRule="exact"/>
        <w:rPr>
          <w:sz w:val="20"/>
          <w:szCs w:val="20"/>
          <w:color w:val="auto"/>
        </w:rPr>
      </w:pPr>
    </w:p>
    <w:p>
      <w:pPr>
        <w:ind w:right="60" w:firstLine="450"/>
        <w:spacing w:after="0" w:line="279" w:lineRule="auto"/>
        <w:rPr>
          <w:sz w:val="20"/>
          <w:szCs w:val="20"/>
          <w:color w:val="auto"/>
        </w:rPr>
      </w:pPr>
      <w:r>
        <w:rPr>
          <w:rFonts w:ascii="Arial" w:cs="Arial" w:eastAsia="Arial" w:hAnsi="Arial"/>
          <w:sz w:val="17"/>
          <w:szCs w:val="17"/>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63" w:lineRule="exact"/>
        <w:rPr>
          <w:sz w:val="20"/>
          <w:szCs w:val="20"/>
          <w:color w:val="auto"/>
        </w:rPr>
      </w:pPr>
    </w:p>
    <w:p>
      <w:pPr>
        <w:ind w:right="120" w:firstLine="458"/>
        <w:spacing w:after="0" w:line="264" w:lineRule="auto"/>
        <w:tabs>
          <w:tab w:leader="none" w:pos="6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Representatives shall have received on each applicable Delivery Date an opinion of Baker Botts L.L.P., counsel for the Underwriters, dated the applicable Delivery Date and addressed to the Underwriters, with respect to the offering, issuance and sale of the Units, the Registration Statement, the Pricing Disclosure Package, the Prospectus (together with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any amendment or supplement thereto) and other related matters the Underwriters may reasonably require.</w:t>
      </w:r>
    </w:p>
    <w:p>
      <w:pPr>
        <w:spacing w:after="0" w:line="117" w:lineRule="exact"/>
        <w:rPr>
          <w:sz w:val="20"/>
          <w:szCs w:val="20"/>
          <w:color w:val="auto"/>
        </w:rPr>
      </w:pPr>
    </w:p>
    <w:p>
      <w:pPr>
        <w:ind w:right="180" w:firstLine="458"/>
        <w:spacing w:after="0" w:line="255"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the time of the execution of this Agreement, the Representatives shall have received from PricewaterhouseCoopers LLP, independent public accountants, letters dated such date, in form and substance satisfactory to the Representatives, together with signed or reproduced copies of such letters for each of the other Underwriters, containing statements and information of the type ordinarily included in accountants’ “comfort letters” to underwriters with respect to the financial statements and certain financial information contained in the Registration Statement, the Pricing Disclosure Package and the Prospectus; provided that the cut-off date for the procedures performed by such accountants and described in such letters shall be a date not more than five days prior to the date of such letter.</w:t>
      </w:r>
    </w:p>
    <w:p>
      <w:pPr>
        <w:spacing w:after="0" w:line="85" w:lineRule="exact"/>
        <w:rPr>
          <w:rFonts w:ascii="Arial" w:cs="Arial" w:eastAsia="Arial" w:hAnsi="Arial"/>
          <w:sz w:val="18"/>
          <w:szCs w:val="18"/>
          <w:color w:val="auto"/>
        </w:rPr>
      </w:pPr>
    </w:p>
    <w:p>
      <w:pPr>
        <w:ind w:right="300" w:firstLine="458"/>
        <w:spacing w:after="0" w:line="312"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each applicable the Delivery Date, the Representatives shall have received from PricewaterhouseCoopers LLP a letter, dated as of each such Delivery Date, to the effect that they reaffirm the statements made in the letter furnished pursuant to paragraph (g) of this Section 7, except that the date referred to in the proviso in Section 7(g) hereof shall be a date not more than three business days prior to each such Delivery Date.</w:t>
      </w:r>
    </w:p>
    <w:p>
      <w:pPr>
        <w:spacing w:after="0" w:line="38" w:lineRule="exact"/>
        <w:rPr>
          <w:rFonts w:ascii="Arial" w:cs="Arial" w:eastAsia="Arial" w:hAnsi="Arial"/>
          <w:sz w:val="16"/>
          <w:szCs w:val="16"/>
          <w:color w:val="auto"/>
        </w:rPr>
      </w:pPr>
    </w:p>
    <w:p>
      <w:pPr>
        <w:ind w:right="80" w:firstLine="458"/>
        <w:spacing w:after="0" w:line="259" w:lineRule="auto"/>
        <w:tabs>
          <w:tab w:leader="none" w:pos="6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Partnership shall have furnished to the Representatives at each applicable Delivery Date a certificate of the Partnership, signed on behalf of the Partnership by the President or any Vice President and the Chief Financial Officer of GP LLC, dated the applicable Delivery Date, to the effect that the signers of such certificate have examined the Registration Statement, the Pricing Disclosure Package, the Prospectus and any amendment or supplement thereto, and this Agreement and that:</w:t>
      </w:r>
    </w:p>
    <w:p>
      <w:pPr>
        <w:spacing w:after="0" w:line="78" w:lineRule="exact"/>
        <w:rPr>
          <w:rFonts w:ascii="Arial" w:cs="Arial" w:eastAsia="Arial" w:hAnsi="Arial"/>
          <w:sz w:val="18"/>
          <w:szCs w:val="18"/>
          <w:color w:val="auto"/>
        </w:rPr>
      </w:pPr>
    </w:p>
    <w:p>
      <w:pPr>
        <w:ind w:left="460" w:firstLine="4"/>
        <w:spacing w:after="0" w:line="264" w:lineRule="auto"/>
        <w:tabs>
          <w:tab w:leader="none" w:pos="7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representations and warranties of the Partnership in this Agreement are true and correct on and as of the applicable Delivery Date with the same effect as if made on the applicable Delivery Date and the Partnership has complied in all material respects with all the agreements and satisfied all the conditions on its part to be performed or satisfied at or prior to the applicable Delivery Date;</w:t>
      </w:r>
    </w:p>
    <w:p>
      <w:pPr>
        <w:spacing w:after="0" w:line="73" w:lineRule="exact"/>
        <w:rPr>
          <w:rFonts w:ascii="Arial" w:cs="Arial" w:eastAsia="Arial" w:hAnsi="Arial"/>
          <w:sz w:val="18"/>
          <w:szCs w:val="18"/>
          <w:color w:val="auto"/>
        </w:rPr>
      </w:pPr>
    </w:p>
    <w:p>
      <w:pPr>
        <w:ind w:left="460" w:right="180" w:firstLine="4"/>
        <w:spacing w:after="0" w:line="277" w:lineRule="auto"/>
        <w:tabs>
          <w:tab w:leader="none" w:pos="745"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Partnership’s knowledge, threatened; and</w:t>
      </w:r>
    </w:p>
    <w:p>
      <w:pPr>
        <w:spacing w:after="0" w:line="62" w:lineRule="exact"/>
        <w:rPr>
          <w:rFonts w:ascii="Arial" w:cs="Arial" w:eastAsia="Arial" w:hAnsi="Arial"/>
          <w:sz w:val="18"/>
          <w:szCs w:val="18"/>
          <w:color w:val="auto"/>
        </w:rPr>
      </w:pPr>
    </w:p>
    <w:p>
      <w:pPr>
        <w:ind w:left="460" w:firstLine="4"/>
        <w:spacing w:after="0" w:line="259" w:lineRule="auto"/>
        <w:tabs>
          <w:tab w:leader="none" w:pos="745" w:val="left"/>
        </w:tabs>
        <w:numPr>
          <w:ilvl w:val="1"/>
          <w:numId w:val="48"/>
        </w:numPr>
        <w:rPr>
          <w:rFonts w:ascii="Arial" w:cs="Arial" w:eastAsia="Arial" w:hAnsi="Arial"/>
          <w:sz w:val="18"/>
          <w:szCs w:val="18"/>
          <w:color w:val="auto"/>
        </w:rPr>
      </w:pPr>
      <w:r>
        <w:rPr>
          <w:rFonts w:ascii="Arial" w:cs="Arial" w:eastAsia="Arial" w:hAnsi="Arial"/>
          <w:sz w:val="18"/>
          <w:szCs w:val="18"/>
          <w:color w:val="auto"/>
        </w:rPr>
        <w:t>(i) the Registration Statement, as of the Effective Date, (ii) the Prospectus, as of its date and on the applicable Delivery Date, and (iii)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78" w:lineRule="exact"/>
        <w:rPr>
          <w:rFonts w:ascii="Arial" w:cs="Arial" w:eastAsia="Arial" w:hAnsi="Arial"/>
          <w:sz w:val="18"/>
          <w:szCs w:val="18"/>
          <w:color w:val="auto"/>
        </w:rPr>
      </w:pPr>
    </w:p>
    <w:p>
      <w:pPr>
        <w:ind w:left="660" w:hanging="20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NYSE shall have approved the Units for listing, subject only to official notice of issuance and evidence of satisfactory distribution.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8" w:name="page39"/>
    <w:bookmarkEnd w:id="38"/>
    <w:p>
      <w:pPr>
        <w:ind w:left="720" w:hanging="262"/>
        <w:spacing w:after="0"/>
        <w:tabs>
          <w:tab w:leader="none" w:pos="7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On or prior to the date hereof, the Partnership shall have furnished to the Underwriters a letter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from</w:t>
      </w:r>
    </w:p>
    <w:p>
      <w:pPr>
        <w:spacing w:after="0" w:line="46" w:lineRule="exact"/>
        <w:rPr>
          <w:rFonts w:ascii="Arial" w:cs="Arial" w:eastAsia="Arial" w:hAnsi="Arial"/>
          <w:sz w:val="16"/>
          <w:szCs w:val="16"/>
          <w:color w:val="auto"/>
        </w:rPr>
      </w:pPr>
    </w:p>
    <w:p>
      <w:pPr>
        <w:ind w:right="280" w:firstLine="8"/>
        <w:spacing w:after="0" w:line="261" w:lineRule="auto"/>
        <w:tabs>
          <w:tab w:leader="none" w:pos="212" w:val="left"/>
        </w:tabs>
        <w:numPr>
          <w:ilvl w:val="0"/>
          <w:numId w:val="50"/>
        </w:numPr>
        <w:rPr>
          <w:rFonts w:ascii="Arial" w:cs="Arial" w:eastAsia="Arial" w:hAnsi="Arial"/>
          <w:sz w:val="18"/>
          <w:szCs w:val="18"/>
          <w:color w:val="auto"/>
        </w:rPr>
      </w:pPr>
      <w:r>
        <w:rPr>
          <w:rFonts w:ascii="Arial" w:cs="Arial" w:eastAsia="Arial" w:hAnsi="Arial"/>
          <w:sz w:val="18"/>
          <w:szCs w:val="18"/>
          <w:color w:val="auto"/>
        </w:rPr>
        <w:t>Vulcan Energy Corporation, (ii) each officer (as defined in Rule 16a-1(f) of the rules and regulations under the Exchange Act) of GP LLC and (iii) each director of GP LLC.</w:t>
      </w:r>
    </w:p>
    <w:p>
      <w:pPr>
        <w:spacing w:after="0" w:line="75" w:lineRule="exact"/>
        <w:rPr>
          <w:rFonts w:ascii="Arial" w:cs="Arial" w:eastAsia="Arial" w:hAnsi="Arial"/>
          <w:sz w:val="18"/>
          <w:szCs w:val="18"/>
          <w:color w:val="auto"/>
        </w:rPr>
      </w:pPr>
    </w:p>
    <w:p>
      <w:pPr>
        <w:ind w:right="80" w:firstLine="458"/>
        <w:spacing w:after="0" w:line="277" w:lineRule="auto"/>
        <w:tabs>
          <w:tab w:leader="none" w:pos="655"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At the time of the execution of this Agreement, the Representatives shall have received from the Partnership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and signed by the chief financial officer of the General Partner.</w:t>
      </w:r>
    </w:p>
    <w:p>
      <w:pPr>
        <w:spacing w:after="0" w:line="62"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All such opinions, certificates, letters and other documents referred to in this Section 7 will be in compliance with the provisions hereof only if they are reasonably satisfactory in form and substance to the Representatives and counsel for the Underwriters. The Partnership shall furnish to the Underwriters conformed copies of such opinions, certificates, letters and other documents in such number as they shall reasonably request.</w:t>
      </w:r>
    </w:p>
    <w:p>
      <w:pPr>
        <w:spacing w:after="0" w:line="57" w:lineRule="exact"/>
        <w:rPr>
          <w:sz w:val="20"/>
          <w:szCs w:val="20"/>
          <w:color w:val="auto"/>
        </w:rPr>
      </w:pPr>
    </w:p>
    <w:p>
      <w:pPr>
        <w:ind w:right="140" w:firstLine="447"/>
        <w:spacing w:after="0" w:line="257" w:lineRule="auto"/>
        <w:rPr>
          <w:sz w:val="20"/>
          <w:szCs w:val="20"/>
          <w:color w:val="auto"/>
        </w:rPr>
      </w:pPr>
      <w:r>
        <w:rPr>
          <w:rFonts w:ascii="Arial" w:cs="Arial" w:eastAsia="Arial" w:hAnsi="Arial"/>
          <w:sz w:val="18"/>
          <w:szCs w:val="18"/>
          <w:color w:val="auto"/>
        </w:rPr>
        <w:t>The several obligations of the Underwriters to purchase Option Units hereunder are subject to the satisfaction on and as of any Option Units Delivery Date of the conditions set forth in this Section 7, except that, if any Option Units Delivery Date is other than the Initial Delivery Date, (i) the certificates, opinions and letters referred to in paragraphs (c) through (f), (h) and (i) shall be dated the Option Units Delivery Date in question, (ii) the opinions called for by paragraphs (c), (d), (e) and (f), as applicable, shall be revised to reflect the sale of Option Units and (iii) any references in Section 7 to the Initial Delivery Date shall be deemed to be such Option Units Delivery Date.</w:t>
      </w:r>
    </w:p>
    <w:p>
      <w:pPr>
        <w:spacing w:after="0" w:line="80"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applicable Delivery Date by the Underwriters. Notice of such cancellation shall be given to the Partnership in writing or by telephone or facsimile confirmed in writing.</w:t>
      </w:r>
    </w:p>
    <w:p>
      <w:pPr>
        <w:spacing w:after="0" w:line="80" w:lineRule="exact"/>
        <w:rPr>
          <w:sz w:val="20"/>
          <w:szCs w:val="20"/>
          <w:color w:val="auto"/>
        </w:rPr>
      </w:pPr>
    </w:p>
    <w:p>
      <w:pPr>
        <w:ind w:right="140" w:firstLine="458"/>
        <w:spacing w:after="0" w:line="284" w:lineRule="auto"/>
        <w:tabs>
          <w:tab w:leader="none" w:pos="630"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Partnership agrees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Units; (iii) the preparation, printing, authentication, issuance and delivery of certificates for the Units, including any stamp taxes in connection with the original issuance and sale of the Units;</w:t>
      </w:r>
    </w:p>
    <w:p>
      <w:pPr>
        <w:spacing w:after="0" w:line="2" w:lineRule="exact"/>
        <w:rPr>
          <w:rFonts w:ascii="Arial" w:cs="Arial" w:eastAsia="Arial" w:hAnsi="Arial"/>
          <w:sz w:val="16"/>
          <w:szCs w:val="16"/>
          <w:color w:val="auto"/>
        </w:rPr>
      </w:pPr>
    </w:p>
    <w:p>
      <w:pPr>
        <w:ind w:right="540" w:firstLine="8"/>
        <w:spacing w:after="0" w:line="261" w:lineRule="auto"/>
        <w:tabs>
          <w:tab w:leader="none" w:pos="3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printing (or reproduction) and delivery of this Agreement, the preliminary and supplemental Blue Sky Memoranda, and all other agreements or documents printed (or reproduced) and delivered in connection with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ind w:right="40"/>
        <w:spacing w:after="0" w:line="272" w:lineRule="auto"/>
        <w:rPr>
          <w:sz w:val="20"/>
          <w:szCs w:val="20"/>
          <w:color w:val="auto"/>
        </w:rPr>
      </w:pPr>
      <w:r>
        <w:rPr>
          <w:rFonts w:ascii="Arial" w:cs="Arial" w:eastAsia="Arial" w:hAnsi="Arial"/>
          <w:sz w:val="17"/>
          <w:szCs w:val="17"/>
          <w:color w:val="auto"/>
        </w:rPr>
        <w:t>offering of the Units; (v) the registration of the Common Units under the Exchange Act and the listing of the Units on the NYSE and any applicable listing or other similar fees; (vi) the registration or qualification of the Units for offer and sale under the securities or Blue Sky laws of the several states as provided in Section 5(f)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or the Partnership in connection with presentations to prospective purchasers of the Units; and (ix) the fees and expenses of the Partnership’s accountants and the fees and expenses of counsel (including local and special counsel) for the Partnership.</w:t>
      </w:r>
    </w:p>
    <w:p>
      <w:pPr>
        <w:spacing w:after="0" w:line="70"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It is understood, however, that except as otherwise provided in this Section 8 or Section 5(i) hereof, the Underwriters will pay all of their own costs and expenses, including the fees of their counsel, transfer taxes on any resale of the Units by any Underwriter, any advertising expenses connected with any offers they may make and the transportation and other expenses incurred by the Underwriters on their own behalf in connection with presentations to prospective purchasers of the Units.</w:t>
      </w:r>
    </w:p>
    <w:p>
      <w:pPr>
        <w:spacing w:after="0" w:line="79" w:lineRule="exact"/>
        <w:rPr>
          <w:sz w:val="20"/>
          <w:szCs w:val="20"/>
          <w:color w:val="auto"/>
        </w:rPr>
      </w:pPr>
    </w:p>
    <w:p>
      <w:pPr>
        <w:ind w:firstLine="458"/>
        <w:spacing w:after="0" w:line="267" w:lineRule="auto"/>
        <w:tabs>
          <w:tab w:leader="none" w:pos="63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of the Underwriters shall fail or refuse to purchase Units that it or they are obligated to purchase hereunder on the Initial Delivery Date, and the aggregate number of Units that such defaulting Underwriter or Underwriters are obligated but fail or refuse to purchase is not more than one-tenth of the aggregate number of the Units that the Underwriters are obligated to purchase on the Initial Delivery Date, each non-defaulting Underwriter shall be obligated, severally, in the proportion that the number of Firm Units set forth opposite its name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bears to the aggregate number of Firm Units set forth opposite the names of all non-defaulting Underwriters or in such other proportion as the Representatives may specify in accordance with the Agreement Among Underwriters of Citigroup Global Markets Inc. to purchase the Units that such defaulting Underwriter or Underwriters are obligated, but fail or refuse, to purchase. If any one or more of the Underwriters shall fail or refuse to purchase Units that it or they are obligated to purchase on the Initial Delivery Date and the aggregate number of Units with respect to which such default occurs is more than one-tenth of the aggregate number of Units that the Underwriters are obligated to purchase on the Initial Delivery Date and arrangements satisfactory to the Representatives and the Partnership for the purchase of such Units by one or more non-defaulting Underwriters or other party or parties approved by the Representatives and the Partnership are not made within five business days after such default, this Agreement will terminate without liability on the part of any party hereto (other than the defaulting Underwriter). In any such case that does not result in termination of this Agreement, either the Representatives or the Partnership shall have the right to postpone the Initial Delivery Date, but in no event for longer than seven days, in order that the required changes, if any, in the Registration Statement and the Prospectus or any other documents or arrangements may be effected. If any one or more of the Underwriters shall fail or refuse to purchase Option Units that it or they are obligated to purchase hereunder on the Option Units Delivery Date, each non-defaulting Underwriter shall be obligated, severally, in the proportion that the number of Firm Units set forth opposite its name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bears to the aggregate number of Firm Units set forth opposite the names 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0" w:name="page41"/>
    <w:bookmarkEnd w:id="40"/>
    <w:p>
      <w:pPr>
        <w:ind w:right="20"/>
        <w:spacing w:after="0" w:line="255" w:lineRule="auto"/>
        <w:rPr>
          <w:sz w:val="20"/>
          <w:szCs w:val="20"/>
          <w:color w:val="auto"/>
        </w:rPr>
      </w:pPr>
      <w:r>
        <w:rPr>
          <w:rFonts w:ascii="Arial" w:cs="Arial" w:eastAsia="Arial" w:hAnsi="Arial"/>
          <w:sz w:val="18"/>
          <w:szCs w:val="18"/>
          <w:color w:val="auto"/>
        </w:rPr>
        <w:t xml:space="preserve">all non-defaulting Underwriters or in such other proportion as the Representatives may specify in accordance with the Agreement Among Underwriters of Citigroup Global Markets Inc., to purchase the Option Units that such defaulting Underwriter or Underwriters are obligated, but fail or refuse, to purchase. Any action taken under this paragraph shall not relieve any defaulting Underwriter from liability in respect of any such default of any such Underwriter under this Agreement. The term “Underwriter” as used in this Agreement includes, for all purposes of this Agreement, any party not listed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who, with the Representatives’ approval and the approval of the Partnership, purchases Units that a defaulting Underwriter is obligated, but fails or refuses, to purchase.</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notice under this Section 9 may be given by telegram, telecopy or telephone but shall be subsequently confirmed by letter.</w:t>
      </w:r>
    </w:p>
    <w:p>
      <w:pPr>
        <w:spacing w:after="0" w:line="117" w:lineRule="exact"/>
        <w:rPr>
          <w:sz w:val="20"/>
          <w:szCs w:val="20"/>
          <w:color w:val="auto"/>
        </w:rPr>
      </w:pPr>
    </w:p>
    <w:p>
      <w:pPr>
        <w:ind w:right="80" w:firstLine="458"/>
        <w:spacing w:after="0" w:line="287" w:lineRule="auto"/>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Termination of Agreement</w:t>
      </w:r>
      <w:r>
        <w:rPr>
          <w:rFonts w:ascii="Arial" w:cs="Arial" w:eastAsia="Arial" w:hAnsi="Arial"/>
          <w:sz w:val="16"/>
          <w:szCs w:val="16"/>
          <w:color w:val="auto"/>
        </w:rPr>
        <w:t>. This Agreement shall be subject to termination in the Representatives’ absolute discretion, without liability on the part of any Underwriters to the Partnership, by notice to the Partnership, if prior to the Initial Delivery Date or any Option Units Delivery Date (if different from the Initial Delivery Date and then only as to the Option Units), as the case may be, (i) trading in the Common Units shall have been suspended by the Commission or the NYSE or 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Units as contemplated by the Prospectus (exclusive of any amendment or supplement thereto). Notice of such termination may be given to the Partnership by telegram, telecopy or telephone and shall be subsequently confirmed by letter.</w:t>
      </w:r>
    </w:p>
    <w:p>
      <w:pPr>
        <w:spacing w:after="0" w:line="64" w:lineRule="exact"/>
        <w:rPr>
          <w:rFonts w:ascii="Arial" w:cs="Arial" w:eastAsia="Arial" w:hAnsi="Arial"/>
          <w:sz w:val="16"/>
          <w:szCs w:val="16"/>
          <w:color w:val="auto"/>
        </w:rPr>
      </w:pPr>
    </w:p>
    <w:p>
      <w:pPr>
        <w:ind w:firstLine="458"/>
        <w:spacing w:after="0" w:line="259" w:lineRule="auto"/>
        <w:tabs>
          <w:tab w:leader="none" w:pos="71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Notice; Successors</w:t>
      </w:r>
      <w:r>
        <w:rPr>
          <w:rFonts w:ascii="Arial" w:cs="Arial" w:eastAsia="Arial" w:hAnsi="Arial"/>
          <w:sz w:val="18"/>
          <w:szCs w:val="18"/>
          <w:color w:val="auto"/>
        </w:rPr>
        <w:t>. Except as otherwise provided in Sections 5, 9 and 10 hereof, all communications hereunder will be in writing and effective only on receipt, and, if sent to the Underwriters, will be mailed, delivered or telefaxed to the Representatives c/o Citigroup Global Markets Inc., 388 Greenwich Street, New York, New York 10013, Attention: General Counsel; or, if sent to the Partnership, will be mailed, delivered or telefaxed to (713) 646-4313 and confirmed to it at 333 Clay St., Suite 1600, Houston, Texas 77002, Attention: Tim Moore.</w:t>
      </w:r>
    </w:p>
    <w:p>
      <w:pPr>
        <w:spacing w:after="0" w:line="79" w:lineRule="exact"/>
        <w:rPr>
          <w:sz w:val="20"/>
          <w:szCs w:val="20"/>
          <w:color w:val="auto"/>
        </w:rPr>
      </w:pPr>
    </w:p>
    <w:p>
      <w:pPr>
        <w:ind w:right="40" w:firstLine="447"/>
        <w:spacing w:after="0" w:line="259" w:lineRule="auto"/>
        <w:rPr>
          <w:sz w:val="20"/>
          <w:szCs w:val="20"/>
          <w:color w:val="auto"/>
        </w:rPr>
      </w:pPr>
      <w:r>
        <w:rPr>
          <w:rFonts w:ascii="Arial" w:cs="Arial" w:eastAsia="Arial" w:hAnsi="Arial"/>
          <w:sz w:val="18"/>
          <w:szCs w:val="18"/>
          <w:color w:val="auto"/>
        </w:rPr>
        <w:t>This Agreement has been and is made solely for the benefit of the several Underwriters, the Partnership, their directors and officers, and the other controlling persons referred to in Section 6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Units in his status as such purchaser.</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1" w:name="page42"/>
    <w:bookmarkEnd w:id="41"/>
    <w:p>
      <w:pPr>
        <w:ind w:left="-100" w:right="20" w:firstLine="458"/>
        <w:spacing w:after="0" w:line="276"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Information Furnished by the Underwriters</w:t>
      </w:r>
      <w:r>
        <w:rPr>
          <w:rFonts w:ascii="Arial" w:cs="Arial" w:eastAsia="Arial" w:hAnsi="Arial"/>
          <w:sz w:val="17"/>
          <w:szCs w:val="17"/>
          <w:color w:val="auto"/>
        </w:rPr>
        <w:t>. The Partnership acknowledges that the following statements set forth in the most recent Preliminary Prospectus and the Prospectus constitute the only information furnished by or on behalf of the Underwriters through the Representatives as such information is referred to in Sections 1(c), 1(d), 1(f), 1(g), 5(q), 6(a) and 6(c) hereof: (A) the names of the Underwriters, (B) the table under the first paragraph under the heading “Underwriting,” (C) the sentence in the fourth paragraph under the heading “Underwriting” related to concessions and (D) the paragraphs under the heading “Underwriting—Price Stabilizations, Short Positions and Penalty Bids.”</w:t>
      </w:r>
    </w:p>
    <w:p>
      <w:pPr>
        <w:spacing w:after="0" w:line="64" w:lineRule="exact"/>
        <w:rPr>
          <w:rFonts w:ascii="Arial" w:cs="Arial" w:eastAsia="Arial" w:hAnsi="Arial"/>
          <w:sz w:val="17"/>
          <w:szCs w:val="17"/>
          <w:color w:val="auto"/>
        </w:rPr>
      </w:pPr>
    </w:p>
    <w:p>
      <w:pPr>
        <w:ind w:left="-100" w:firstLine="458"/>
        <w:spacing w:after="0" w:line="270"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Research Analyst Independence</w:t>
      </w:r>
      <w:r>
        <w:rPr>
          <w:rFonts w:ascii="Arial" w:cs="Arial" w:eastAsia="Arial" w:hAnsi="Arial"/>
          <w:sz w:val="17"/>
          <w:szCs w:val="17"/>
          <w:color w:val="auto"/>
        </w:rPr>
        <w:t>. The Partnership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Partnership and/or the offering that differ from the views of their respective investment banking divisions. The Partnership hereby waives and releases, to the fullest extent permitted by law, any claims that the Partnership may have against the Underwriters with respect to any conflict of interest that may arise from the fact that the views expressed by their independent research analysts and research departments may be different from or inconsistent with the views or advice communicated to the Partnership by such Underwriters’ investment banking divisions. The Partnership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69" w:lineRule="exact"/>
        <w:rPr>
          <w:rFonts w:ascii="Arial" w:cs="Arial" w:eastAsia="Arial" w:hAnsi="Arial"/>
          <w:sz w:val="17"/>
          <w:szCs w:val="17"/>
          <w:color w:val="auto"/>
        </w:rPr>
      </w:pPr>
    </w:p>
    <w:p>
      <w:pPr>
        <w:ind w:left="-100" w:right="640" w:firstLine="458"/>
        <w:spacing w:after="0" w:line="277" w:lineRule="auto"/>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Partnership and the Underwriters, or any of them, with respect to the subject matter hereof.</w:t>
      </w:r>
    </w:p>
    <w:p>
      <w:pPr>
        <w:spacing w:after="0" w:line="62" w:lineRule="exact"/>
        <w:rPr>
          <w:rFonts w:ascii="Arial" w:cs="Arial" w:eastAsia="Arial" w:hAnsi="Arial"/>
          <w:sz w:val="18"/>
          <w:szCs w:val="18"/>
          <w:color w:val="auto"/>
        </w:rPr>
      </w:pPr>
    </w:p>
    <w:p>
      <w:pPr>
        <w:ind w:left="620" w:hanging="262"/>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117" w:lineRule="exact"/>
        <w:rPr>
          <w:rFonts w:ascii="Arial" w:cs="Arial" w:eastAsia="Arial" w:hAnsi="Arial"/>
          <w:sz w:val="18"/>
          <w:szCs w:val="18"/>
          <w:color w:val="auto"/>
        </w:rPr>
      </w:pPr>
    </w:p>
    <w:p>
      <w:pPr>
        <w:ind w:left="620" w:hanging="262"/>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Effective Date of Agreement</w:t>
      </w:r>
      <w:r>
        <w:rPr>
          <w:rFonts w:ascii="Arial" w:cs="Arial" w:eastAsia="Arial" w:hAnsi="Arial"/>
          <w:sz w:val="18"/>
          <w:szCs w:val="18"/>
          <w:color w:val="auto"/>
        </w:rPr>
        <w:t>. This Agreement shall become effective upon the execution and delivery hereof by the parties hereto.</w:t>
      </w:r>
    </w:p>
    <w:p>
      <w:pPr>
        <w:spacing w:after="0" w:line="117" w:lineRule="exact"/>
        <w:rPr>
          <w:rFonts w:ascii="Arial" w:cs="Arial" w:eastAsia="Arial" w:hAnsi="Arial"/>
          <w:sz w:val="18"/>
          <w:szCs w:val="18"/>
          <w:color w:val="auto"/>
        </w:rPr>
      </w:pPr>
    </w:p>
    <w:p>
      <w:pPr>
        <w:ind w:left="-100" w:right="40" w:firstLine="458"/>
        <w:spacing w:after="0" w:line="272"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Partnership acknowledges and agrees that in connection with this offering, sale of the Units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Partnership and any other person, on the one hand, and the Underwriters, on the other hand, exists; (ii) the Underwriters are not acting as advisors, expert or otherwise, to the Partnership, including, without limitation, with respect to the determination of the public offering price of the Units, and such relationship between the Partnership, on the one hand, and the Underwriters, on the other, is entirely and solely commercial, based on arms-length negotiations; (iii) any duties and obligations that the Underwriters may have to the Partnership shall be limited to those duties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40" w:top="935" w:right="339" w:bottom="1440" w:gutter="0" w:footer="0" w:header="0"/>
        </w:sectPr>
      </w:pPr>
    </w:p>
    <w:bookmarkStart w:id="42" w:name="page43"/>
    <w:bookmarkEnd w:id="42"/>
    <w:p>
      <w:pPr>
        <w:spacing w:after="0" w:line="264" w:lineRule="auto"/>
        <w:rPr>
          <w:sz w:val="20"/>
          <w:szCs w:val="20"/>
          <w:color w:val="auto"/>
        </w:rPr>
      </w:pPr>
      <w:r>
        <w:rPr>
          <w:rFonts w:ascii="Arial" w:cs="Arial" w:eastAsia="Arial" w:hAnsi="Arial"/>
          <w:sz w:val="18"/>
          <w:szCs w:val="18"/>
          <w:color w:val="auto"/>
        </w:rPr>
        <w:t>and obligations specifically stated herein; and (iv) the Underwriters and their respective affiliates may have interests that differ from those of the Partnership. The Partnership hereby waives any claims that it may have against the Underwriters with respect to any breach of fiduciary duty in connection with this offering.</w:t>
      </w:r>
    </w:p>
    <w:p>
      <w:pPr>
        <w:spacing w:after="0" w:line="73" w:lineRule="exact"/>
        <w:rPr>
          <w:sz w:val="20"/>
          <w:szCs w:val="20"/>
          <w:color w:val="auto"/>
        </w:rPr>
      </w:pPr>
    </w:p>
    <w:p>
      <w:pPr>
        <w:jc w:val="both"/>
        <w:ind w:right="40" w:firstLine="458"/>
        <w:spacing w:after="0" w:line="259"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Applicable Law; Counterparts</w:t>
      </w:r>
      <w:r>
        <w:rPr>
          <w:rFonts w:ascii="Arial" w:cs="Arial" w:eastAsia="Arial" w:hAnsi="Arial"/>
          <w:sz w:val="18"/>
          <w:szCs w:val="18"/>
          <w:color w:val="auto"/>
        </w:rPr>
        <w:t>.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Please confirm that the foregoing correctly sets forth the agreement among the Partnership and the Underwriters.</w:t>
      </w:r>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PAA GP LLC,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PLAINS AAP, L.P.,</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PLAINS ALL AMERICAN GP LLC,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A. Patrick Diamond</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A. Patrick Diamond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-130810</wp:posOffset>
            </wp:positionV>
            <wp:extent cx="27616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335" w:lineRule="exact"/>
        <w:rPr>
          <w:sz w:val="20"/>
          <w:szCs w:val="20"/>
          <w:color w:val="auto"/>
        </w:rPr>
      </w:pPr>
    </w:p>
    <w:p>
      <w:pPr>
        <w:ind w:left="3680"/>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407035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59"/>
          </w:cols>
          <w:pgMar w:left="700" w:top="936" w:right="1440"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The foregoing Agreement is hereby confirmed and accepted as of the date first above written.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Michael Casey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Michael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69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INCORPORATED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Paul Davis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Paul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69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INCORPORATED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Jason Holton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Jason Holton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69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David Herman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David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698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335" w:lineRule="exact"/>
        <w:rPr>
          <w:sz w:val="20"/>
          <w:szCs w:val="20"/>
          <w:color w:val="auto"/>
        </w:rPr>
      </w:pPr>
    </w:p>
    <w:p>
      <w:pPr>
        <w:jc w:val="right"/>
        <w:ind w:right="2939"/>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7300" w:type="dxa"/>
            <w:vAlign w:val="bottom"/>
            <w:gridSpan w:val="4"/>
          </w:tcPr>
          <w:p>
            <w:pPr>
              <w:jc w:val="center"/>
              <w:ind w:right="4120"/>
              <w:spacing w:after="0"/>
              <w:rPr>
                <w:sz w:val="20"/>
                <w:szCs w:val="20"/>
                <w:color w:val="auto"/>
              </w:rPr>
            </w:pPr>
            <w:r>
              <w:rPr>
                <w:rFonts w:ascii="Arial" w:cs="Arial" w:eastAsia="Arial" w:hAnsi="Arial"/>
                <w:sz w:val="18"/>
                <w:szCs w:val="18"/>
                <w:b w:val="1"/>
                <w:bCs w:val="1"/>
                <w:color w:val="auto"/>
              </w:rPr>
              <w:t>SCHEDULE I</w:t>
            </w:r>
          </w:p>
        </w:tc>
      </w:tr>
      <w:tr>
        <w:trPr>
          <w:trHeight w:val="32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300" w:type="dxa"/>
            <w:vAlign w:val="bottom"/>
            <w:gridSpan w:val="4"/>
          </w:tcPr>
          <w:p>
            <w:pPr>
              <w:jc w:val="center"/>
              <w:ind w:right="4100"/>
              <w:spacing w:after="0"/>
              <w:rPr>
                <w:sz w:val="20"/>
                <w:szCs w:val="20"/>
                <w:color w:val="auto"/>
              </w:rPr>
            </w:pPr>
            <w:r>
              <w:rPr>
                <w:rFonts w:ascii="Arial" w:cs="Arial" w:eastAsia="Arial" w:hAnsi="Arial"/>
                <w:sz w:val="18"/>
                <w:szCs w:val="18"/>
                <w:color w:val="auto"/>
                <w:w w:val="93"/>
              </w:rPr>
              <w:t>Plains All American Pipeline, L.P.</w:t>
            </w:r>
          </w:p>
        </w:tc>
      </w:tr>
      <w:tr>
        <w:trPr>
          <w:trHeight w:val="34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Number of Firm Units</w:t>
            </w:r>
          </w:p>
        </w:tc>
      </w:tr>
      <w:tr>
        <w:trPr>
          <w:trHeight w:val="167"/>
        </w:trPr>
        <w:tc>
          <w:tcPr>
            <w:tcW w:w="4120" w:type="dxa"/>
            <w:vAlign w:val="bottom"/>
            <w:gridSpan w:val="2"/>
          </w:tcPr>
          <w:p>
            <w:pPr>
              <w:spacing w:after="0"/>
              <w:rPr>
                <w:sz w:val="20"/>
                <w:szCs w:val="20"/>
                <w:color w:val="auto"/>
              </w:rPr>
            </w:pPr>
            <w:r>
              <w:rPr>
                <w:rFonts w:ascii="Arial" w:cs="Arial" w:eastAsia="Arial" w:hAnsi="Arial"/>
                <w:sz w:val="14"/>
                <w:szCs w:val="14"/>
                <w:color w:val="auto"/>
              </w:rPr>
              <w:t>Underwriter</w:t>
            </w:r>
          </w:p>
        </w:tc>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to be Purchased</w:t>
            </w:r>
          </w:p>
        </w:tc>
      </w:t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53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Merrill Lynch, Pierce, Fenner &amp; Smith Incorporated</w:t>
            </w:r>
          </w:p>
        </w:tc>
        <w:tc>
          <w:tcPr>
            <w:tcW w:w="7300" w:type="dxa"/>
            <w:vAlign w:val="bottom"/>
            <w:gridSpan w:val="4"/>
          </w:tcPr>
          <w:p>
            <w:pPr>
              <w:jc w:val="right"/>
              <w:ind w:right="100"/>
              <w:spacing w:after="0"/>
              <w:rPr>
                <w:sz w:val="20"/>
                <w:szCs w:val="20"/>
                <w:color w:val="auto"/>
              </w:rPr>
            </w:pPr>
            <w:r>
              <w:rPr>
                <w:rFonts w:ascii="Arial" w:cs="Arial" w:eastAsia="Arial" w:hAnsi="Arial"/>
                <w:sz w:val="18"/>
                <w:szCs w:val="18"/>
                <w:color w:val="auto"/>
              </w:rPr>
              <w:t>630,000</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7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630,000</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7300" w:type="dxa"/>
            <w:vAlign w:val="bottom"/>
            <w:gridSpan w:val="4"/>
          </w:tcPr>
          <w:p>
            <w:pPr>
              <w:jc w:val="right"/>
              <w:ind w:right="100"/>
              <w:spacing w:after="0"/>
              <w:rPr>
                <w:sz w:val="20"/>
                <w:szCs w:val="20"/>
                <w:color w:val="auto"/>
              </w:rPr>
            </w:pPr>
            <w:r>
              <w:rPr>
                <w:rFonts w:ascii="Arial" w:cs="Arial" w:eastAsia="Arial" w:hAnsi="Arial"/>
                <w:sz w:val="18"/>
                <w:szCs w:val="18"/>
                <w:color w:val="auto"/>
              </w:rPr>
              <w:t>630,000</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7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336,000</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7300" w:type="dxa"/>
            <w:vAlign w:val="bottom"/>
            <w:gridSpan w:val="4"/>
          </w:tcPr>
          <w:p>
            <w:pPr>
              <w:jc w:val="right"/>
              <w:ind w:right="100"/>
              <w:spacing w:after="0"/>
              <w:rPr>
                <w:sz w:val="20"/>
                <w:szCs w:val="20"/>
                <w:color w:val="auto"/>
              </w:rPr>
            </w:pPr>
            <w:r>
              <w:rPr>
                <w:rFonts w:ascii="Arial" w:cs="Arial" w:eastAsia="Arial" w:hAnsi="Arial"/>
                <w:sz w:val="18"/>
                <w:szCs w:val="18"/>
                <w:color w:val="auto"/>
              </w:rPr>
              <w:t>336,000</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7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336,000</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UBS Securities LLC</w:t>
            </w:r>
          </w:p>
        </w:tc>
        <w:tc>
          <w:tcPr>
            <w:tcW w:w="7300" w:type="dxa"/>
            <w:vAlign w:val="bottom"/>
            <w:gridSpan w:val="4"/>
          </w:tcPr>
          <w:p>
            <w:pPr>
              <w:jc w:val="right"/>
              <w:ind w:right="100"/>
              <w:spacing w:after="0"/>
              <w:rPr>
                <w:sz w:val="20"/>
                <w:szCs w:val="20"/>
                <w:color w:val="auto"/>
              </w:rPr>
            </w:pPr>
            <w:r>
              <w:rPr>
                <w:rFonts w:ascii="Arial" w:cs="Arial" w:eastAsia="Arial" w:hAnsi="Arial"/>
                <w:sz w:val="18"/>
                <w:szCs w:val="18"/>
                <w:color w:val="auto"/>
              </w:rPr>
              <w:t>336,000</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Morgan Keegan &amp; Company, Inc.</w:t>
            </w:r>
          </w:p>
        </w:tc>
        <w:tc>
          <w:tcPr>
            <w:tcW w:w="7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168,000</w:t>
            </w: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RBC Capital Markets, LLC</w:t>
            </w:r>
          </w:p>
        </w:tc>
        <w:tc>
          <w:tcPr>
            <w:tcW w:w="5900" w:type="dxa"/>
            <w:vAlign w:val="bottom"/>
            <w:gridSpan w:val="2"/>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7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4,200,000</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Schedule 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9460" w:type="dxa"/>
            <w:vAlign w:val="bottom"/>
          </w:tcPr>
          <w:p>
            <w:pPr>
              <w:jc w:val="center"/>
              <w:ind w:right="1870"/>
              <w:spacing w:after="0"/>
              <w:rPr>
                <w:sz w:val="20"/>
                <w:szCs w:val="20"/>
                <w:color w:val="auto"/>
              </w:rPr>
            </w:pPr>
            <w:r>
              <w:rPr>
                <w:rFonts w:ascii="Arial" w:cs="Arial" w:eastAsia="Arial" w:hAnsi="Arial"/>
                <w:sz w:val="18"/>
                <w:szCs w:val="18"/>
                <w:b w:val="1"/>
                <w:bCs w:val="1"/>
                <w:color w:val="auto"/>
              </w:rPr>
              <w:t>SCHEDULE II</w:t>
            </w:r>
          </w:p>
        </w:tc>
      </w:tr>
      <w:tr>
        <w:trPr>
          <w:trHeight w:val="324"/>
        </w:trPr>
        <w:tc>
          <w:tcPr>
            <w:tcW w:w="1960" w:type="dxa"/>
            <w:vAlign w:val="bottom"/>
          </w:tcPr>
          <w:p>
            <w:pPr>
              <w:spacing w:after="0"/>
              <w:rPr>
                <w:sz w:val="24"/>
                <w:szCs w:val="24"/>
                <w:color w:val="auto"/>
              </w:rPr>
            </w:pPr>
          </w:p>
        </w:tc>
        <w:tc>
          <w:tcPr>
            <w:tcW w:w="9460" w:type="dxa"/>
            <w:vAlign w:val="bottom"/>
          </w:tcPr>
          <w:p>
            <w:pPr>
              <w:jc w:val="center"/>
              <w:ind w:right="1870"/>
              <w:spacing w:after="0"/>
              <w:rPr>
                <w:sz w:val="20"/>
                <w:szCs w:val="20"/>
                <w:color w:val="auto"/>
              </w:rPr>
            </w:pPr>
            <w:r>
              <w:rPr>
                <w:rFonts w:ascii="Arial" w:cs="Arial" w:eastAsia="Arial" w:hAnsi="Arial"/>
                <w:sz w:val="18"/>
                <w:szCs w:val="18"/>
                <w:b w:val="1"/>
                <w:bCs w:val="1"/>
                <w:color w:val="auto"/>
                <w:w w:val="89"/>
              </w:rPr>
              <w:t>Additional Pricing Disclosure Package</w:t>
            </w:r>
          </w:p>
        </w:tc>
      </w:tr>
      <w:tr>
        <w:trPr>
          <w:trHeight w:val="432"/>
        </w:trPr>
        <w:tc>
          <w:tcPr>
            <w:tcW w:w="1960" w:type="dxa"/>
            <w:vAlign w:val="bottom"/>
          </w:tcPr>
          <w:p>
            <w:pPr>
              <w:spacing w:after="0"/>
              <w:rPr>
                <w:sz w:val="20"/>
                <w:szCs w:val="20"/>
                <w:color w:val="auto"/>
              </w:rPr>
            </w:pPr>
            <w:r>
              <w:rPr>
                <w:rFonts w:ascii="Arial" w:cs="Arial" w:eastAsia="Arial" w:hAnsi="Arial"/>
                <w:sz w:val="18"/>
                <w:szCs w:val="18"/>
                <w:b w:val="1"/>
                <w:bCs w:val="1"/>
                <w:color w:val="auto"/>
              </w:rPr>
              <w:t>Pricing Information:</w:t>
            </w:r>
          </w:p>
        </w:tc>
        <w:tc>
          <w:tcPr>
            <w:tcW w:w="9460" w:type="dxa"/>
            <w:vAlign w:val="bottom"/>
          </w:tcPr>
          <w:p>
            <w:pPr>
              <w:spacing w:after="0"/>
              <w:rPr>
                <w:sz w:val="24"/>
                <w:szCs w:val="24"/>
                <w:color w:val="auto"/>
              </w:rPr>
            </w:pP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Number of Units:</w:t>
            </w:r>
          </w:p>
        </w:tc>
        <w:tc>
          <w:tcPr>
            <w:tcW w:w="9460" w:type="dxa"/>
            <w:vAlign w:val="bottom"/>
          </w:tcPr>
          <w:p>
            <w:pPr>
              <w:ind w:left="340"/>
              <w:spacing w:after="0"/>
              <w:rPr>
                <w:sz w:val="20"/>
                <w:szCs w:val="20"/>
                <w:color w:val="auto"/>
              </w:rPr>
            </w:pPr>
            <w:r>
              <w:rPr>
                <w:rFonts w:ascii="Arial" w:cs="Arial" w:eastAsia="Arial" w:hAnsi="Arial"/>
                <w:sz w:val="18"/>
                <w:szCs w:val="18"/>
                <w:color w:val="auto"/>
                <w:w w:val="95"/>
              </w:rPr>
              <w:t>4,200,000 Firm Units or, if the Underwriters exercise in full their option to purchase additional Units granted in Section 2</w:t>
            </w:r>
          </w:p>
        </w:tc>
      </w:tr>
      <w:tr>
        <w:trPr>
          <w:trHeight w:val="230"/>
        </w:trPr>
        <w:tc>
          <w:tcPr>
            <w:tcW w:w="1960" w:type="dxa"/>
            <w:vAlign w:val="bottom"/>
          </w:tcPr>
          <w:p>
            <w:pPr>
              <w:spacing w:after="0"/>
              <w:rPr>
                <w:sz w:val="20"/>
                <w:szCs w:val="20"/>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hereof, 4,830,000 Units</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Public offering price</w:t>
            </w:r>
          </w:p>
        </w:tc>
        <w:tc>
          <w:tcPr>
            <w:tcW w:w="9460" w:type="dxa"/>
            <w:vAlign w:val="bottom"/>
          </w:tcPr>
          <w:p>
            <w:pPr>
              <w:spacing w:after="0"/>
              <w:rPr>
                <w:sz w:val="24"/>
                <w:szCs w:val="24"/>
                <w:color w:val="auto"/>
              </w:rPr>
            </w:pPr>
          </w:p>
        </w:tc>
      </w:tr>
      <w:tr>
        <w:trPr>
          <w:trHeight w:val="230"/>
        </w:trPr>
        <w:tc>
          <w:tcPr>
            <w:tcW w:w="1960" w:type="dxa"/>
            <w:vAlign w:val="bottom"/>
          </w:tcPr>
          <w:p>
            <w:pPr>
              <w:ind w:left="220"/>
              <w:spacing w:after="0"/>
              <w:rPr>
                <w:sz w:val="20"/>
                <w:szCs w:val="20"/>
                <w:color w:val="auto"/>
              </w:rPr>
            </w:pPr>
            <w:r>
              <w:rPr>
                <w:rFonts w:ascii="Arial" w:cs="Arial" w:eastAsia="Arial" w:hAnsi="Arial"/>
                <w:sz w:val="18"/>
                <w:szCs w:val="18"/>
                <w:color w:val="auto"/>
              </w:rPr>
              <w:t>for the Units:</w:t>
            </w:r>
          </w:p>
        </w:tc>
        <w:tc>
          <w:tcPr>
            <w:tcW w:w="9460" w:type="dxa"/>
            <w:vAlign w:val="bottom"/>
          </w:tcPr>
          <w:p>
            <w:pPr>
              <w:ind w:left="340"/>
              <w:spacing w:after="0"/>
              <w:rPr>
                <w:sz w:val="20"/>
                <w:szCs w:val="20"/>
                <w:color w:val="auto"/>
              </w:rPr>
            </w:pPr>
            <w:r>
              <w:rPr>
                <w:rFonts w:ascii="Arial" w:cs="Arial" w:eastAsia="Arial" w:hAnsi="Arial"/>
                <w:sz w:val="18"/>
                <w:szCs w:val="18"/>
                <w:color w:val="auto"/>
              </w:rPr>
              <w:t>$62.60 per unit</w:t>
            </w:r>
          </w:p>
        </w:tc>
      </w:tr>
      <w:tr>
        <w:trPr>
          <w:trHeight w:val="540"/>
        </w:trPr>
        <w:tc>
          <w:tcPr>
            <w:tcW w:w="1960" w:type="dxa"/>
            <w:vAlign w:val="bottom"/>
          </w:tcPr>
          <w:p>
            <w:pPr>
              <w:spacing w:after="0"/>
              <w:rPr>
                <w:sz w:val="24"/>
                <w:szCs w:val="24"/>
                <w:color w:val="auto"/>
              </w:rPr>
            </w:pPr>
          </w:p>
        </w:tc>
        <w:tc>
          <w:tcPr>
            <w:tcW w:w="9460" w:type="dxa"/>
            <w:vAlign w:val="bottom"/>
          </w:tcPr>
          <w:p>
            <w:pPr>
              <w:jc w:val="center"/>
              <w:ind w:right="1850"/>
              <w:spacing w:after="0"/>
              <w:rPr>
                <w:sz w:val="20"/>
                <w:szCs w:val="20"/>
                <w:color w:val="auto"/>
              </w:rPr>
            </w:pPr>
            <w:r>
              <w:rPr>
                <w:rFonts w:ascii="Arial" w:cs="Arial" w:eastAsia="Arial" w:hAnsi="Arial"/>
                <w:sz w:val="18"/>
                <w:szCs w:val="18"/>
                <w:i w:val="1"/>
                <w:iCs w:val="1"/>
                <w:color w:val="auto"/>
                <w:w w:val="91"/>
              </w:rPr>
              <w:t>Schedule II to Underwriting Agreement</w:t>
            </w:r>
          </w:p>
        </w:tc>
      </w:tr>
      <w:tr>
        <w:trPr>
          <w:trHeight w:val="632"/>
        </w:trPr>
        <w:tc>
          <w:tcPr>
            <w:tcW w:w="1960" w:type="dxa"/>
            <w:vAlign w:val="bottom"/>
            <w:tcBorders>
              <w:bottom w:val="single" w:sz="8" w:color="808080"/>
            </w:tcBorders>
          </w:tcPr>
          <w:p>
            <w:pPr>
              <w:spacing w:after="0"/>
              <w:rPr>
                <w:sz w:val="24"/>
                <w:szCs w:val="24"/>
                <w:color w:val="auto"/>
              </w:rPr>
            </w:pPr>
          </w:p>
        </w:tc>
        <w:tc>
          <w:tcPr>
            <w:tcW w:w="9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7" w:name="page48"/>
    <w:bookmarkEnd w:id="47"/>
    <w:p>
      <w:pPr>
        <w:jc w:val="center"/>
        <w:ind w:right="-1200"/>
        <w:spacing w:after="0"/>
        <w:rPr>
          <w:sz w:val="20"/>
          <w:szCs w:val="20"/>
          <w:color w:val="auto"/>
        </w:rPr>
      </w:pPr>
      <w:r>
        <w:rPr>
          <w:rFonts w:ascii="Arial" w:cs="Arial" w:eastAsia="Arial" w:hAnsi="Arial"/>
          <w:sz w:val="18"/>
          <w:szCs w:val="18"/>
          <w:b w:val="1"/>
          <w:bCs w:val="1"/>
          <w:color w:val="auto"/>
        </w:rPr>
        <w:t>SCHEDULE III</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Material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GP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Pacific Energy Group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Canada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GP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Canada,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PMC (Nova Scotia)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PICSCO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PAA Natural Gas Storage,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PNGS GP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PAA Natural Gas Storage,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Bluewater Natural Gas Holding,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Bluewater Gas Storage,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BGS Kimball Gas Storage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Pine Prairie Holding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PPEC Bondholder, LLC</w:t>
      </w:r>
    </w:p>
    <w:p>
      <w:pPr>
        <w:spacing w:after="0" w:line="333" w:lineRule="exact"/>
        <w:rPr>
          <w:sz w:val="20"/>
          <w:szCs w:val="20"/>
          <w:color w:val="auto"/>
        </w:rPr>
      </w:pPr>
    </w:p>
    <w:p>
      <w:pPr>
        <w:jc w:val="right"/>
        <w:ind w:right="3059"/>
        <w:spacing w:after="0"/>
        <w:rPr>
          <w:sz w:val="20"/>
          <w:szCs w:val="20"/>
          <w:color w:val="auto"/>
        </w:rPr>
      </w:pPr>
      <w:r>
        <w:rPr>
          <w:rFonts w:ascii="Arial" w:cs="Arial" w:eastAsia="Arial" w:hAnsi="Arial"/>
          <w:sz w:val="18"/>
          <w:szCs w:val="18"/>
          <w:i w:val="1"/>
          <w:iCs w:val="1"/>
          <w:color w:val="auto"/>
        </w:rPr>
        <w:t>Schedule III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9" w:right="1440" w:bottom="1440" w:gutter="0" w:footer="0" w:header="0"/>
        </w:sectPr>
      </w:pPr>
    </w:p>
    <w:bookmarkStart w:id="48" w:name="page49"/>
    <w:bookmarkEnd w:id="48"/>
    <w:p>
      <w:pPr>
        <w:jc w:val="center"/>
        <w:ind w:right="-1200"/>
        <w:spacing w:after="0"/>
        <w:rPr>
          <w:sz w:val="20"/>
          <w:szCs w:val="20"/>
          <w:color w:val="auto"/>
        </w:rPr>
      </w:pPr>
      <w:r>
        <w:rPr>
          <w:rFonts w:ascii="Arial" w:cs="Arial" w:eastAsia="Arial" w:hAnsi="Arial"/>
          <w:sz w:val="18"/>
          <w:szCs w:val="18"/>
          <w:b w:val="1"/>
          <w:bCs w:val="1"/>
          <w:color w:val="auto"/>
        </w:rPr>
        <w:t>SCHEDULE IV</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Domestic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GP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Pacific Energy Group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Canada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GP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PICSCO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PAA Natural Gas Storage,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PNGS GP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PAA Natural Gas Storage,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Bluewater Natural Gas Holding,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Bluewater Gas Storage,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BGS Kimball Gas Storage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Pine Prairie Holding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PPEC Bondholder, LLC</w:t>
      </w:r>
    </w:p>
    <w:p>
      <w:pPr>
        <w:spacing w:after="0" w:line="333" w:lineRule="exact"/>
        <w:rPr>
          <w:sz w:val="20"/>
          <w:szCs w:val="20"/>
          <w:color w:val="auto"/>
        </w:rPr>
      </w:pPr>
    </w:p>
    <w:p>
      <w:pPr>
        <w:jc w:val="right"/>
        <w:ind w:right="3059"/>
        <w:spacing w:after="0"/>
        <w:rPr>
          <w:sz w:val="20"/>
          <w:szCs w:val="20"/>
          <w:color w:val="auto"/>
        </w:rPr>
      </w:pPr>
      <w:r>
        <w:rPr>
          <w:rFonts w:ascii="Arial" w:cs="Arial" w:eastAsia="Arial" w:hAnsi="Arial"/>
          <w:sz w:val="18"/>
          <w:szCs w:val="18"/>
          <w:i w:val="1"/>
          <w:iCs w:val="1"/>
          <w:color w:val="auto"/>
        </w:rPr>
        <w:t>Schedule IV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9" w:right="1440" w:bottom="1440" w:gutter="0" w:footer="0" w:header="0"/>
        </w:sectPr>
      </w:pPr>
    </w:p>
    <w:bookmarkStart w:id="49" w:name="page50"/>
    <w:bookmarkEnd w:id="49"/>
    <w:p>
      <w:pPr>
        <w:jc w:val="center"/>
        <w:ind w:right="-1220"/>
        <w:spacing w:after="0"/>
        <w:rPr>
          <w:sz w:val="20"/>
          <w:szCs w:val="20"/>
          <w:color w:val="auto"/>
        </w:rPr>
      </w:pPr>
      <w:r>
        <w:rPr>
          <w:rFonts w:ascii="Arial" w:cs="Arial" w:eastAsia="Arial" w:hAnsi="Arial"/>
          <w:sz w:val="18"/>
          <w:szCs w:val="18"/>
          <w:b w:val="1"/>
          <w:bCs w:val="1"/>
          <w:color w:val="auto"/>
        </w:rPr>
        <w:t>SCHEDULE V</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Canadian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Canada,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PMC (Nova Scotia) Company</w:t>
      </w:r>
    </w:p>
    <w:p>
      <w:pPr>
        <w:spacing w:after="0" w:line="333" w:lineRule="exact"/>
        <w:rPr>
          <w:sz w:val="20"/>
          <w:szCs w:val="20"/>
          <w:color w:val="auto"/>
        </w:rPr>
      </w:pPr>
    </w:p>
    <w:p>
      <w:pPr>
        <w:jc w:val="right"/>
        <w:ind w:right="3079"/>
        <w:spacing w:after="0"/>
        <w:rPr>
          <w:sz w:val="20"/>
          <w:szCs w:val="20"/>
          <w:color w:val="auto"/>
        </w:rPr>
      </w:pPr>
      <w:r>
        <w:rPr>
          <w:rFonts w:ascii="Arial" w:cs="Arial" w:eastAsia="Arial" w:hAnsi="Arial"/>
          <w:sz w:val="18"/>
          <w:szCs w:val="18"/>
          <w:i w:val="1"/>
          <w:iCs w:val="1"/>
          <w:color w:val="auto"/>
        </w:rPr>
        <w:t>Schedule V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tcPr>
          <w:p>
            <w:pPr>
              <w:ind w:left="1580"/>
              <w:spacing w:after="0"/>
              <w:rPr>
                <w:sz w:val="20"/>
                <w:szCs w:val="20"/>
                <w:color w:val="auto"/>
              </w:rPr>
            </w:pPr>
            <w:r>
              <w:rPr>
                <w:rFonts w:ascii="Arial" w:cs="Arial" w:eastAsia="Arial" w:hAnsi="Arial"/>
                <w:sz w:val="18"/>
                <w:szCs w:val="18"/>
                <w:b w:val="1"/>
                <w:bCs w:val="1"/>
                <w:color w:val="auto"/>
              </w:rPr>
              <w:t>EXHIBIT A</w:t>
            </w:r>
          </w:p>
        </w:tc>
      </w:tr>
      <w:tr>
        <w:trPr>
          <w:trHeight w:val="365"/>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Entity</w:t>
            </w:r>
          </w:p>
        </w:tc>
        <w:tc>
          <w:tcPr>
            <w:tcW w:w="220" w:type="dxa"/>
            <w:vAlign w:val="bottom"/>
          </w:tcPr>
          <w:p>
            <w:pPr>
              <w:spacing w:after="0"/>
              <w:rPr>
                <w:sz w:val="24"/>
                <w:szCs w:val="24"/>
                <w:color w:val="auto"/>
              </w:rPr>
            </w:pPr>
          </w:p>
        </w:tc>
        <w:tc>
          <w:tcPr>
            <w:tcW w:w="7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Jurisdiction in which registered or qualified</w:t>
            </w:r>
          </w:p>
        </w:tc>
      </w:tr>
      <w:tr>
        <w:trPr>
          <w:trHeight w:val="411"/>
        </w:trPr>
        <w:tc>
          <w:tcPr>
            <w:tcW w:w="3440" w:type="dxa"/>
            <w:vAlign w:val="bottom"/>
          </w:tcPr>
          <w:p>
            <w:pPr>
              <w:spacing w:after="0"/>
              <w:rPr>
                <w:sz w:val="20"/>
                <w:szCs w:val="20"/>
                <w:color w:val="auto"/>
              </w:rPr>
            </w:pPr>
            <w:r>
              <w:rPr>
                <w:rFonts w:ascii="Arial" w:cs="Arial" w:eastAsia="Arial" w:hAnsi="Arial"/>
                <w:sz w:val="18"/>
                <w:szCs w:val="18"/>
                <w:color w:val="auto"/>
              </w:rPr>
              <w:t>Plains All American Pipeline, L.P.</w:t>
            </w:r>
          </w:p>
        </w:tc>
        <w:tc>
          <w:tcPr>
            <w:tcW w:w="22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PAA GP LLC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Plains AAP, L.P.</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Plains All American GP LLC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California, Illinois, Louisiana, Oklahoma,</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Plains Marketing GP Inc.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California, Illinois, Louisiana, Oklahoma,</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Plains Marketing, L.P.</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California, Illinois, Louisiana, Oklahoma</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Plains Pipeline, L.P.</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California, Illinois, Louisiana, Oklahoma</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Pacific Energy Group LLC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Plains Products Terminals LLC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Plains Marketing Canada LLC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Plains Midstream GP LLC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Plains Midstream, L.P.</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Plains Midstream Canada ULC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Plains Marketing Canada, L.P.</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Saskatchewan, California, Louisiana, Maryland, Michigan, North Dakota, Oklahoma, Texas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PMC (Nova Scotia) Company</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Alberta, Saskatchewan</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Pacific Pipeline System LLC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Plains West Coast Terminals LLC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PICSCO LLC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Louisiana, Texas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Rocky Mountain Pipeline System LLC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Utah</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PAA Natural Gas Storage, L.P.</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PNGS GP LLC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Louisiana, Michigan, Texas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PAA Natural Gas Storage, LLC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Louisiana, Michigan</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Bluewater Natural Gas Holding, LLC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Michigan</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Bluewater Gas Storage, LLC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Michigan</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BGS Kimball Gas Storage LLC</w:t>
            </w:r>
          </w:p>
        </w:tc>
        <w:tc>
          <w:tcPr>
            <w:tcW w:w="2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Michigan</w:t>
            </w:r>
          </w:p>
        </w:tc>
      </w:tr>
      <w:tr>
        <w:trPr>
          <w:trHeight w:val="405"/>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60" w:type="dxa"/>
            <w:vAlign w:val="bottom"/>
          </w:tcPr>
          <w:p>
            <w:pPr>
              <w:ind w:left="1620"/>
              <w:spacing w:after="0"/>
              <w:rPr>
                <w:sz w:val="20"/>
                <w:szCs w:val="20"/>
                <w:color w:val="auto"/>
              </w:rPr>
            </w:pPr>
            <w:r>
              <w:rPr>
                <w:rFonts w:ascii="Arial" w:cs="Arial" w:eastAsia="Arial" w:hAnsi="Arial"/>
                <w:sz w:val="18"/>
                <w:szCs w:val="18"/>
                <w:color w:val="auto"/>
              </w:rPr>
              <w:t>Exhibit A-1</w:t>
            </w:r>
          </w:p>
        </w:tc>
      </w:tr>
      <w:tr>
        <w:trPr>
          <w:trHeight w:val="226"/>
        </w:trPr>
        <w:tc>
          <w:tcPr>
            <w:tcW w:w="3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7"/>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Entity</w:t>
            </w:r>
          </w:p>
        </w:tc>
        <w:tc>
          <w:tcPr>
            <w:tcW w:w="220" w:type="dxa"/>
            <w:vAlign w:val="bottom"/>
          </w:tcPr>
          <w:p>
            <w:pPr>
              <w:spacing w:after="0"/>
              <w:rPr>
                <w:sz w:val="14"/>
                <w:szCs w:val="14"/>
                <w:color w:val="auto"/>
              </w:rPr>
            </w:pPr>
          </w:p>
        </w:tc>
        <w:tc>
          <w:tcPr>
            <w:tcW w:w="7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Jurisdiction in which registered or qualified</w:t>
            </w:r>
          </w:p>
        </w:tc>
      </w:tr>
      <w:tr>
        <w:trPr>
          <w:trHeight w:val="411"/>
        </w:trPr>
        <w:tc>
          <w:tcPr>
            <w:tcW w:w="3440" w:type="dxa"/>
            <w:vAlign w:val="bottom"/>
          </w:tcPr>
          <w:p>
            <w:pPr>
              <w:spacing w:after="0"/>
              <w:rPr>
                <w:sz w:val="20"/>
                <w:szCs w:val="20"/>
                <w:color w:val="auto"/>
              </w:rPr>
            </w:pPr>
            <w:r>
              <w:rPr>
                <w:rFonts w:ascii="Arial" w:cs="Arial" w:eastAsia="Arial" w:hAnsi="Arial"/>
                <w:sz w:val="18"/>
                <w:szCs w:val="18"/>
                <w:color w:val="auto"/>
              </w:rPr>
              <w:t>Pine Prairie Holding LLC</w:t>
            </w:r>
          </w:p>
        </w:tc>
        <w:tc>
          <w:tcPr>
            <w:tcW w:w="22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Louisiana</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Pine Prairie Energy Center, LLC</w:t>
            </w: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Louisiana</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PPEC Bondholder, LLC</w:t>
            </w:r>
          </w:p>
        </w:tc>
        <w:tc>
          <w:tcPr>
            <w:tcW w:w="22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05"/>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60" w:type="dxa"/>
            <w:vAlign w:val="bottom"/>
          </w:tcPr>
          <w:p>
            <w:pPr>
              <w:ind w:left="1620"/>
              <w:spacing w:after="0"/>
              <w:rPr>
                <w:sz w:val="20"/>
                <w:szCs w:val="20"/>
                <w:color w:val="auto"/>
              </w:rPr>
            </w:pPr>
            <w:r>
              <w:rPr>
                <w:rFonts w:ascii="Arial" w:cs="Arial" w:eastAsia="Arial" w:hAnsi="Arial"/>
                <w:sz w:val="18"/>
                <w:szCs w:val="18"/>
                <w:color w:val="auto"/>
              </w:rPr>
              <w:t>Exhibit A-2</w:t>
            </w:r>
          </w:p>
        </w:tc>
      </w:tr>
      <w:tr>
        <w:trPr>
          <w:trHeight w:val="226"/>
        </w:trPr>
        <w:tc>
          <w:tcPr>
            <w:tcW w:w="3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52" w:name="page53"/>
    <w:bookmarkEnd w:id="52"/>
    <w:p>
      <w:pPr>
        <w:ind w:left="5240"/>
        <w:spacing w:after="0"/>
        <w:rPr>
          <w:sz w:val="20"/>
          <w:szCs w:val="20"/>
          <w:color w:val="auto"/>
        </w:rPr>
      </w:pPr>
      <w:r>
        <w:rPr>
          <w:rFonts w:ascii="Arial" w:cs="Arial" w:eastAsia="Arial" w:hAnsi="Arial"/>
          <w:sz w:val="18"/>
          <w:szCs w:val="18"/>
          <w:b w:val="1"/>
          <w:bCs w:val="1"/>
          <w:color w:val="auto"/>
        </w:rPr>
        <w:t>EXHIBIT B</w:t>
      </w:r>
    </w:p>
    <w:p>
      <w:pPr>
        <w:spacing w:after="0" w:line="12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November 16, 2010</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Public Offering of Common Units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 34th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540" w:firstLine="222"/>
        <w:spacing w:after="0" w:line="302" w:lineRule="auto"/>
        <w:rPr>
          <w:sz w:val="20"/>
          <w:szCs w:val="20"/>
          <w:color w:val="auto"/>
        </w:rPr>
      </w:pPr>
      <w:r>
        <w:rPr>
          <w:rFonts w:ascii="Arial" w:cs="Arial" w:eastAsia="Arial" w:hAnsi="Arial"/>
          <w:sz w:val="16"/>
          <w:szCs w:val="16"/>
          <w:color w:val="auto"/>
        </w:rPr>
        <w:t>This letter is being delivered to you in connection with the proposed Underwriting Agreement (the “Underwriting Agreement”) among Plains All American Pipeline, L.P., a Delaware limited partnership (the “Partnership”) and Citigroup Global Markets Inc., Merrill Lynch, Pierce, Fenner &amp; Smith Incorporated, Morgan Stanley &amp; Co. Incorporated and Wells Fargo Securities, LLC and any other party thereto named therein as an underwriter (the “Underwriters”) relating to an underwritten public offering of common units representing limited partner interests of the Partnership.</w:t>
      </w:r>
    </w:p>
    <w:p>
      <w:pPr>
        <w:spacing w:after="0" w:line="46"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To induce you and the other underwriters to enter into the Underwriting Agreement, the undersigned agrees that, except for transfers of Common Units (as defined in the Underwriting Agreement) in connection with (i) the exercise, termination or other disposition of options (or common units underlying such options) under the Plains All American 2001 Performance Option Plan (the “Option Plan”) and (ii) sales to pay tax liabilities associated with the vesting of Restricted Unit or Phantom Unit awards under the Plains All American GP LLC 1998, 2005 or PPX Successor Long-Term Incentive Plans or with the exercise of options under the Option Plan, the undersigned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53" w:name="page54"/>
    <w:bookmarkEnd w:id="53"/>
    <w:p>
      <w:pPr>
        <w:spacing w:after="0" w:line="255" w:lineRule="auto"/>
        <w:rPr>
          <w:sz w:val="20"/>
          <w:szCs w:val="20"/>
          <w:color w:val="auto"/>
        </w:rPr>
      </w:pPr>
      <w:r>
        <w:rPr>
          <w:rFonts w:ascii="Arial" w:cs="Arial" w:eastAsia="Arial" w:hAnsi="Arial"/>
          <w:sz w:val="18"/>
          <w:szCs w:val="18"/>
          <w:color w:val="auto"/>
        </w:rPr>
        <w:t xml:space="preserve">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Common Units or any securities that are convertible into, or exercisable or exchangeable for, or that represent the right to receive, Common Units or any securities that are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Common Units, or publicly announce an intention to effect any such transaction, for a period of 45 days after the date of the Prospectus (as defined in the Underwriting Agreement) (the “Lock-Up Period”) without your prior written consent.</w:t>
      </w:r>
    </w:p>
    <w:p>
      <w:pPr>
        <w:spacing w:after="0" w:line="85"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If for any reason the Underwriting Agreement is terminated before the applicable Delivery Date (as defined in the Underwriting Agreement), the agreement set forth above shall likewise be terminated.</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 Individuals</w:t>
      </w: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-130175</wp:posOffset>
            </wp:positionV>
            <wp:extent cx="30359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 Vulcan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Vulcan Energy Corporation</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-130810</wp:posOffset>
            </wp:positionV>
            <wp:extent cx="28130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Address: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54" w:name="page55"/>
    <w:bookmarkEnd w:id="54"/>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OFFICER’S CERTIFICATE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November 16, 2010</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undersigned, in his capacity as the Chief Financial Officer of PAA GP LLC, a Delaware limited liability company and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net current assets of the Partnership since September 30, 2010. In addition as of the date of this certificate, the total debt of the Partnership is approximately $[ ]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1610995</wp:posOffset>
            </wp:positionH>
            <wp:positionV relativeFrom="paragraph">
              <wp:posOffset>-33655</wp:posOffset>
            </wp:positionV>
            <wp:extent cx="1428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60"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Capitalized terms used but not defined herein have the meanings assigned to them in the Underwriting Agreement dated as of the date hereof by and among the Partnership and Citigroup Global Markets Inc., Merrill Lynch, Pierce, Fenner &amp; Smith Incorporated, Morgan Stanley &amp; Co. Incorporated and Wells Fargo Securities, LLC, as the representatives of the Underwriters.</w:t>
      </w:r>
    </w:p>
    <w:p>
      <w:pPr>
        <w:spacing w:after="0" w:line="73"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This certificate is to assist the Underwriters in conducting and documenting their investigation of the affairs of the Partnership in connection with the offering of the Units covered by the Registration Statement, the Pricing Disclosure Package and the Prospectus.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IN WITNESS WHEREOF, the undersigned has hereunto affixed his signature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6841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6"/>
          <w:szCs w:val="16"/>
          <w:i w:val="1"/>
          <w:iCs w:val="1"/>
          <w:color w:val="auto"/>
        </w:rPr>
        <w:t>Senior Vice President and Chief Financial Officer</w:t>
      </w:r>
    </w:p>
    <w:p>
      <w:pPr>
        <w:spacing w:after="0" w:line="200" w:lineRule="exact"/>
        <w:rPr>
          <w:sz w:val="20"/>
          <w:szCs w:val="20"/>
          <w:color w:val="auto"/>
        </w:rPr>
      </w:pPr>
    </w:p>
    <w:p>
      <w:pPr>
        <w:spacing w:after="0" w:line="2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Exhibit C-2</w:t>
      </w:r>
    </w:p>
    <w:p>
      <w:pPr>
        <w:sectPr>
          <w:pgSz w:w="11900" w:h="16838" w:orient="portrait"/>
          <w:cols w:equalWidth="0" w:num="1">
            <w:col w:w="10219"/>
          </w:cols>
          <w:pgMar w:left="240" w:top="935"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1466215"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466215" cy="180340"/>
                    </a:xfrm>
                    <a:prstGeom prst="rect">
                      <a:avLst/>
                    </a:prstGeom>
                    <a:noFill/>
                  </pic:spPr>
                </pic:pic>
              </a:graphicData>
            </a:graphic>
          </wp:anchor>
        </w:drawing>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We have acted as counsel for Plains All American Pipeline, L.P., a Delaware limited partnership (the “Partnership”), with respect to certain legal matters in connection with the registration by the Partnership under the Securities Act of 1933, as amended (the “Securities Act”), of the offer and sale by the Partnership of up to 4,830,000 common units representing limited partner interests in the Partnership (the “Units”). We have participated in the preparation of a Prospectus Supplement dated November 16, 2010 (the “Prospectus Supplement”) and the Prospectus dated October 14, 2009 (the “Prospectus”) forming part of the Registration Statement on Form S-3 (No. 333-162475) (the “Registration Statement”) to which this opinion is an exhibit. The Prospectus Supplement has been filed pursuant to Rule 424(b) promulgated under the Securities Act.</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rendering the opinions set forth below, we have examined and relied upon (i) the Registration Statement, the Prospectus Supplement and the Prospectus;</w:t>
      </w:r>
    </w:p>
    <w:p>
      <w:pPr>
        <w:spacing w:after="0" w:line="46" w:lineRule="exact"/>
        <w:rPr>
          <w:sz w:val="20"/>
          <w:szCs w:val="20"/>
          <w:color w:val="auto"/>
        </w:rPr>
      </w:pPr>
    </w:p>
    <w:p>
      <w:pPr>
        <w:ind w:left="280" w:hanging="272"/>
        <w:spacing w:after="0"/>
        <w:tabs>
          <w:tab w:leader="none" w:pos="2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Third Amended and Restated Agreement of Limited Partnership of the Partnership, dated as of June 27, 2001, as amended as of the date hereof,</w:t>
      </w:r>
    </w:p>
    <w:p>
      <w:pPr>
        <w:spacing w:after="0" w:line="32" w:lineRule="exact"/>
        <w:rPr>
          <w:rFonts w:ascii="Arial" w:cs="Arial" w:eastAsia="Arial" w:hAnsi="Arial"/>
          <w:sz w:val="16"/>
          <w:szCs w:val="16"/>
          <w:color w:val="auto"/>
        </w:rPr>
      </w:pPr>
    </w:p>
    <w:p>
      <w:pPr>
        <w:jc w:val="both"/>
        <w:ind w:right="80" w:firstLine="8"/>
        <w:spacing w:after="0" w:line="254" w:lineRule="auto"/>
        <w:tabs>
          <w:tab w:leader="none" w:pos="3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Underwriting Agreement, dated November 16, 2010 relating to the offering and sale of the Units (the “Underwriting Agreement”), a copy of which is being filed with the Securities and Exchange Commission as an exhibit to the Partnership’s Current Report on Form 8-K prior to the closing of the sale of the Units and (iv) such other certificates, statutes and other instruments and documents as we consider appropriate for purposes of the opinions hereafter expressed.</w:t>
      </w:r>
    </w:p>
    <w:p>
      <w:pPr>
        <w:spacing w:after="0" w:line="82" w:lineRule="exact"/>
        <w:rPr>
          <w:sz w:val="20"/>
          <w:szCs w:val="20"/>
          <w:color w:val="auto"/>
        </w:rPr>
      </w:pPr>
    </w:p>
    <w:p>
      <w:pPr>
        <w:ind w:right="920" w:firstLine="225"/>
        <w:spacing w:after="0" w:line="277" w:lineRule="auto"/>
        <w:rPr>
          <w:sz w:val="20"/>
          <w:szCs w:val="20"/>
          <w:color w:val="auto"/>
        </w:rPr>
      </w:pPr>
      <w:r>
        <w:rPr>
          <w:rFonts w:ascii="Arial" w:cs="Arial" w:eastAsia="Arial" w:hAnsi="Arial"/>
          <w:sz w:val="18"/>
          <w:szCs w:val="18"/>
          <w:color w:val="auto"/>
        </w:rPr>
        <w:t>In connection with this opinion, we have assumed that all Units will be issued and sold in compliance with the manner stated in the Prospectus Supplement, the Prospectus and the Underwriting Agreement.</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Based upon and subject to the foregoing and the assumptions, limitations and qualifications set forth herein, we are of the opinion that when the Units have been issued and delivered in accordance with terms of the Underwriting Agreement, the Units will be validly issued, fully paid and non-assessable, except as described in the Prospectus Supplement and the Prospectus.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117" w:lineRule="exact"/>
        <w:rPr>
          <w:sz w:val="20"/>
          <w:szCs w:val="20"/>
          <w:color w:val="auto"/>
        </w:rPr>
      </w:pPr>
    </w:p>
    <w:p>
      <w:pPr>
        <w:ind w:right="260" w:firstLine="215"/>
        <w:spacing w:after="0" w:line="277" w:lineRule="auto"/>
        <w:rPr>
          <w:sz w:val="20"/>
          <w:szCs w:val="20"/>
          <w:color w:val="auto"/>
        </w:rPr>
      </w:pPr>
      <w:r>
        <w:rPr>
          <w:rFonts w:ascii="Arial" w:cs="Arial" w:eastAsia="Arial" w:hAnsi="Arial"/>
          <w:sz w:val="18"/>
          <w:szCs w:val="18"/>
          <w:color w:val="auto"/>
        </w:rPr>
        <w:t>A. We have assumed, without independent verification, that the certificates for the Units will conform to the specimens thereof examined by us and will have been duly countersigned by a transfer agent and duly registered by a registrar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57" w:name="page58"/>
    <w:bookmarkEnd w:id="57"/>
    <w:p>
      <w:pPr>
        <w:ind w:right="60" w:firstLine="225"/>
        <w:spacing w:after="0" w:line="286" w:lineRule="auto"/>
        <w:rPr>
          <w:sz w:val="20"/>
          <w:szCs w:val="20"/>
          <w:color w:val="auto"/>
        </w:rPr>
      </w:pPr>
      <w:r>
        <w:rPr>
          <w:rFonts w:ascii="Arial" w:cs="Arial" w:eastAsia="Arial" w:hAnsi="Arial"/>
          <w:sz w:val="17"/>
          <w:szCs w:val="17"/>
          <w:color w:val="auto"/>
        </w:rPr>
        <w:t>B. 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p>
      <w:pPr>
        <w:spacing w:after="0" w:line="57"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C. This opinion is limited in all respects to federal laws, the Delaware Revised Uniform Limited Partnership Act and the Constitution of the State of Delaware, as interpreted by the courts of the State of Delaware and of the United States.</w:t>
      </w:r>
    </w:p>
    <w:p>
      <w:pPr>
        <w:spacing w:after="0" w:line="62" w:lineRule="exact"/>
        <w:rPr>
          <w:sz w:val="20"/>
          <w:szCs w:val="20"/>
          <w:color w:val="auto"/>
        </w:rPr>
      </w:pPr>
    </w:p>
    <w:p>
      <w:pPr>
        <w:jc w:val="both"/>
        <w:ind w:firstLine="222"/>
        <w:spacing w:after="0" w:line="279" w:lineRule="auto"/>
        <w:rPr>
          <w:sz w:val="20"/>
          <w:szCs w:val="20"/>
          <w:color w:val="auto"/>
        </w:rPr>
      </w:pPr>
      <w:r>
        <w:rPr>
          <w:rFonts w:ascii="Arial" w:cs="Arial" w:eastAsia="Arial" w:hAnsi="Arial"/>
          <w:sz w:val="17"/>
          <w:szCs w:val="17"/>
          <w:color w:val="auto"/>
        </w:rPr>
        <w:t>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7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Vinson &amp; Elkins L.L.P.</w:t>
      </w:r>
    </w:p>
    <w:p>
      <w:pPr>
        <w:sectPr>
          <w:pgSz w:w="11900" w:h="16838" w:orient="portrait"/>
          <w:cols w:equalWidth="0" w:num="1">
            <w:col w:w="11340"/>
          </w:cols>
          <w:pgMar w:left="240" w:top="936" w:right="3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66215"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466215" cy="180340"/>
                    </a:xfrm>
                    <a:prstGeom prst="rect">
                      <a:avLst/>
                    </a:prstGeom>
                    <a:noFill/>
                  </pic:spPr>
                </pic:pic>
              </a:graphicData>
            </a:graphic>
          </wp:anchor>
        </w:drawing>
        <w:t>Exhibit 8.1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PLAINS ALL AMERICAN PIPELINE,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40" w:firstLine="222"/>
        <w:spacing w:after="0" w:line="303" w:lineRule="auto"/>
        <w:rPr>
          <w:sz w:val="20"/>
          <w:szCs w:val="20"/>
          <w:color w:val="auto"/>
        </w:rPr>
      </w:pPr>
      <w:r>
        <w:rPr>
          <w:rFonts w:ascii="Arial" w:cs="Arial" w:eastAsia="Arial" w:hAnsi="Arial"/>
          <w:sz w:val="16"/>
          <w:szCs w:val="16"/>
          <w:color w:val="auto"/>
        </w:rPr>
        <w:t>We have acted as counsel for Plains All American Pipeline, L.P., a Delaware limited partnership (the “</w:t>
      </w:r>
      <w:r>
        <w:rPr>
          <w:rFonts w:ascii="Arial" w:cs="Arial" w:eastAsia="Arial" w:hAnsi="Arial"/>
          <w:sz w:val="16"/>
          <w:szCs w:val="16"/>
          <w:b w:val="1"/>
          <w:bCs w:val="1"/>
          <w:color w:val="auto"/>
        </w:rPr>
        <w:t>Partnership</w:t>
      </w:r>
      <w:r>
        <w:rPr>
          <w:rFonts w:ascii="Arial" w:cs="Arial" w:eastAsia="Arial" w:hAnsi="Arial"/>
          <w:sz w:val="16"/>
          <w:szCs w:val="16"/>
          <w:color w:val="auto"/>
        </w:rPr>
        <w:t>”), with respect to certain legal matters in connection with the offer and sale by the Partnership of common units representing limited partner interests in the Partnership. We have also participated in the preparation of a prospectus supplement dated November 16, 2010 (“</w:t>
      </w:r>
      <w:r>
        <w:rPr>
          <w:rFonts w:ascii="Arial" w:cs="Arial" w:eastAsia="Arial" w:hAnsi="Arial"/>
          <w:sz w:val="16"/>
          <w:szCs w:val="16"/>
          <w:b w:val="1"/>
          <w:bCs w:val="1"/>
          <w:color w:val="auto"/>
        </w:rPr>
        <w:t>Prospectus Supplement</w:t>
      </w:r>
      <w:r>
        <w:rPr>
          <w:rFonts w:ascii="Arial" w:cs="Arial" w:eastAsia="Arial" w:hAnsi="Arial"/>
          <w:sz w:val="16"/>
          <w:szCs w:val="16"/>
          <w:color w:val="auto"/>
        </w:rPr>
        <w:t>”) and the base prospectus (the “</w:t>
      </w:r>
      <w:r>
        <w:rPr>
          <w:rFonts w:ascii="Arial" w:cs="Arial" w:eastAsia="Arial" w:hAnsi="Arial"/>
          <w:sz w:val="16"/>
          <w:szCs w:val="16"/>
          <w:b w:val="1"/>
          <w:bCs w:val="1"/>
          <w:color w:val="auto"/>
        </w:rPr>
        <w:t>Prospectus</w:t>
      </w:r>
      <w:r>
        <w:rPr>
          <w:rFonts w:ascii="Arial" w:cs="Arial" w:eastAsia="Arial" w:hAnsi="Arial"/>
          <w:sz w:val="16"/>
          <w:szCs w:val="16"/>
          <w:color w:val="auto"/>
        </w:rPr>
        <w:t>”) forming part of the Registration Statement on Form S-3 (No. 333-162475)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to which this opinion is an exhibit.</w:t>
      </w:r>
    </w:p>
    <w:p>
      <w:pPr>
        <w:spacing w:after="0" w:line="47" w:lineRule="exact"/>
        <w:rPr>
          <w:sz w:val="20"/>
          <w:szCs w:val="20"/>
          <w:color w:val="auto"/>
        </w:rPr>
      </w:pPr>
    </w:p>
    <w:p>
      <w:pPr>
        <w:ind w:right="620" w:firstLine="225"/>
        <w:spacing w:after="0" w:line="342" w:lineRule="auto"/>
        <w:rPr>
          <w:sz w:val="20"/>
          <w:szCs w:val="20"/>
          <w:color w:val="auto"/>
        </w:rPr>
      </w:pPr>
      <w:r>
        <w:rPr>
          <w:rFonts w:ascii="Arial" w:cs="Arial" w:eastAsia="Arial" w:hAnsi="Arial"/>
          <w:sz w:val="16"/>
          <w:szCs w:val="16"/>
          <w:color w:val="auto"/>
        </w:rPr>
        <w:t>In connection therewith, we prepared the discussion set forth under the captions “Material Income Tax Considerations” in the Prospectus and the discussion set forth under the caption “Material U.S. Federal Income Tax Consequences” in the Prospectus Supplement (together, the “</w:t>
      </w:r>
      <w:r>
        <w:rPr>
          <w:rFonts w:ascii="Arial" w:cs="Arial" w:eastAsia="Arial" w:hAnsi="Arial"/>
          <w:sz w:val="16"/>
          <w:szCs w:val="16"/>
          <w:b w:val="1"/>
          <w:bCs w:val="1"/>
          <w:color w:val="auto"/>
        </w:rPr>
        <w:t>Discussions</w:t>
      </w:r>
      <w:r>
        <w:rPr>
          <w:rFonts w:ascii="Arial" w:cs="Arial" w:eastAsia="Arial" w:hAnsi="Arial"/>
          <w:sz w:val="16"/>
          <w:szCs w:val="16"/>
          <w:color w:val="auto"/>
        </w:rPr>
        <w:t>”).</w:t>
      </w:r>
    </w:p>
    <w:p>
      <w:pPr>
        <w:spacing w:after="0" w:line="16" w:lineRule="exact"/>
        <w:rPr>
          <w:sz w:val="20"/>
          <w:szCs w:val="20"/>
          <w:color w:val="auto"/>
        </w:rPr>
      </w:pPr>
    </w:p>
    <w:p>
      <w:pPr>
        <w:ind w:right="120" w:firstLine="215"/>
        <w:spacing w:after="0" w:line="273" w:lineRule="auto"/>
        <w:rPr>
          <w:sz w:val="20"/>
          <w:szCs w:val="20"/>
          <w:color w:val="auto"/>
        </w:rPr>
      </w:pPr>
      <w:r>
        <w:rPr>
          <w:rFonts w:ascii="Arial" w:cs="Arial" w:eastAsia="Arial" w:hAnsi="Arial"/>
          <w:sz w:val="17"/>
          <w:szCs w:val="17"/>
          <w:color w:val="auto"/>
        </w:rPr>
        <w:t>All statements of legal conclusions contained in the Discussions, unless otherwise noted, are our opinion with respect to the matters set forth therein (i) as of the date of the Prospectus in respect of the discussion set forth under the caption “Material Income Tax Considerations” and (ii) as of the date of the Prospectus Supplement in respect of the discussion set forth under the caption “Material U.S. Federal Income Tax Consequences” in both cases qualified by the limitations contained in the Discussions. In addition, we are of the opinion that the Discussions with respect to those matters as to which no legal conclusions are provided are accurate discussions of such federal income tax matters (except for the representations and statements of fact of the Partnership and its general partner, included in the Discussions, as to which we express no opinion).</w:t>
      </w:r>
    </w:p>
    <w:p>
      <w:pPr>
        <w:spacing w:after="0" w:line="70"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We hereby consent to the filing of this opinion of counsel as Exhibit 8.1 to the Current Report on Form 8-K of the Partnership dated on or about the date hereof, to the incorporation by reference of this opinion of counsel into the Registration Statement and to the reference to our firm in the Prospectus Supplement and the Prospectus. In giving such consent, we do not admit that we are within the category of persons whose consent is required under Section 7 of the Securities Act or the rules and regulations of the Securities and Exchange Commission issued thereunder.</w:t>
      </w:r>
    </w:p>
    <w:p>
      <w:pPr>
        <w:spacing w:after="0" w:line="17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Vinson &amp; Elkins LLP</w:t>
      </w:r>
    </w:p>
    <w:p>
      <w:pPr>
        <w:sectPr>
          <w:pgSz w:w="11900" w:h="16838" w:orient="portrait"/>
          <w:cols w:equalWidth="0" w:num="1">
            <w:col w:w="11420"/>
          </w:cols>
          <w:pgMar w:left="240" w:top="6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223520</wp:posOffset>
            </wp:positionV>
            <wp:extent cx="4776470" cy="8058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7647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3300" w:type="dxa"/>
            <w:vAlign w:val="bottom"/>
          </w:tcPr>
          <w:p>
            <w:pPr>
              <w:ind w:left="320"/>
              <w:spacing w:after="0"/>
              <w:rPr>
                <w:sz w:val="20"/>
                <w:szCs w:val="20"/>
                <w:color w:val="auto"/>
              </w:rPr>
            </w:pPr>
            <w:r>
              <w:rPr>
                <w:rFonts w:ascii="Arial" w:cs="Arial" w:eastAsia="Arial" w:hAnsi="Arial"/>
                <w:sz w:val="18"/>
                <w:szCs w:val="18"/>
                <w:b w:val="1"/>
                <w:bCs w:val="1"/>
                <w:color w:val="auto"/>
              </w:rPr>
              <w:t>Roy I. Lamoreaux</w:t>
            </w:r>
          </w:p>
        </w:tc>
        <w:tc>
          <w:tcPr>
            <w:tcW w:w="2980" w:type="dxa"/>
            <w:vAlign w:val="bottom"/>
          </w:tcPr>
          <w:p>
            <w:pPr>
              <w:ind w:left="680"/>
              <w:spacing w:after="0"/>
              <w:rPr>
                <w:sz w:val="20"/>
                <w:szCs w:val="20"/>
                <w:color w:val="auto"/>
              </w:rPr>
            </w:pPr>
            <w:r>
              <w:rPr>
                <w:rFonts w:ascii="Arial" w:cs="Arial" w:eastAsia="Arial" w:hAnsi="Arial"/>
                <w:sz w:val="18"/>
                <w:szCs w:val="18"/>
                <w:b w:val="1"/>
                <w:bCs w:val="1"/>
                <w:color w:val="auto"/>
              </w:rPr>
              <w:t>Al Swanson</w:t>
            </w:r>
          </w:p>
        </w:tc>
      </w:tr>
      <w:tr>
        <w:trPr>
          <w:trHeight w:val="218"/>
        </w:trPr>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tcPr>
          <w:p>
            <w:pPr>
              <w:ind w:left="320"/>
              <w:spacing w:after="0"/>
              <w:rPr>
                <w:sz w:val="20"/>
                <w:szCs w:val="20"/>
                <w:color w:val="auto"/>
              </w:rPr>
            </w:pPr>
            <w:r>
              <w:rPr>
                <w:rFonts w:ascii="Arial" w:cs="Arial" w:eastAsia="Arial" w:hAnsi="Arial"/>
                <w:sz w:val="18"/>
                <w:szCs w:val="18"/>
                <w:b w:val="1"/>
                <w:bCs w:val="1"/>
                <w:color w:val="auto"/>
              </w:rPr>
              <w:t>Director, Investor Relations</w:t>
            </w:r>
          </w:p>
        </w:tc>
        <w:tc>
          <w:tcPr>
            <w:tcW w:w="2980" w:type="dxa"/>
            <w:vAlign w:val="bottom"/>
          </w:tcPr>
          <w:p>
            <w:pPr>
              <w:ind w:left="680"/>
              <w:spacing w:after="0"/>
              <w:rPr>
                <w:sz w:val="20"/>
                <w:szCs w:val="20"/>
                <w:color w:val="auto"/>
              </w:rPr>
            </w:pPr>
            <w:r>
              <w:rPr>
                <w:rFonts w:ascii="Arial" w:cs="Arial" w:eastAsia="Arial" w:hAnsi="Arial"/>
                <w:sz w:val="18"/>
                <w:szCs w:val="18"/>
                <w:b w:val="1"/>
                <w:bCs w:val="1"/>
                <w:color w:val="auto"/>
                <w:w w:val="92"/>
              </w:rPr>
              <w:t>Senior Vice President &amp; CFO</w:t>
            </w:r>
          </w:p>
        </w:tc>
      </w:tr>
      <w:tr>
        <w:trPr>
          <w:trHeight w:val="234"/>
        </w:trPr>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00" w:type="dxa"/>
            <w:vAlign w:val="bottom"/>
          </w:tcPr>
          <w:p>
            <w:pPr>
              <w:ind w:left="320"/>
              <w:spacing w:after="0"/>
              <w:rPr>
                <w:sz w:val="20"/>
                <w:szCs w:val="20"/>
                <w:color w:val="auto"/>
              </w:rPr>
            </w:pPr>
            <w:r>
              <w:rPr>
                <w:rFonts w:ascii="Arial" w:cs="Arial" w:eastAsia="Arial" w:hAnsi="Arial"/>
                <w:sz w:val="18"/>
                <w:szCs w:val="18"/>
                <w:b w:val="1"/>
                <w:bCs w:val="1"/>
                <w:color w:val="auto"/>
              </w:rPr>
              <w:t>713-646-4222 — 800-564-3036</w:t>
            </w:r>
          </w:p>
        </w:tc>
        <w:tc>
          <w:tcPr>
            <w:tcW w:w="2980" w:type="dxa"/>
            <w:vAlign w:val="bottom"/>
          </w:tcPr>
          <w:p>
            <w:pPr>
              <w:ind w:left="680"/>
              <w:spacing w:after="0"/>
              <w:rPr>
                <w:sz w:val="20"/>
                <w:szCs w:val="20"/>
                <w:color w:val="auto"/>
              </w:rPr>
            </w:pPr>
            <w:r>
              <w:rPr>
                <w:rFonts w:ascii="Arial" w:cs="Arial" w:eastAsia="Arial" w:hAnsi="Arial"/>
                <w:sz w:val="18"/>
                <w:szCs w:val="18"/>
                <w:b w:val="1"/>
                <w:bCs w:val="1"/>
                <w:color w:val="auto"/>
                <w:w w:val="90"/>
              </w:rPr>
              <w:t>713-646-4455 — 800-564-3036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Prices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Offering of Common Units</w:t>
      </w:r>
    </w:p>
    <w:p>
      <w:pPr>
        <w:spacing w:after="0" w:line="103"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(Houston — November 16, 2010) Plains All American Pipeline, L.P. (NYSE: PAA) announced today that it has priced an underwritten public offering of 4,200,000 of its common units representing limited partner interests at $62.60 per common unit. The offering is expected to close on November 19, 2010. The Partnership has also granted the underwriters a 30-day option to purchase up to 630,000 additional common units to cover over-allotments, if any.</w:t>
      </w:r>
    </w:p>
    <w:p>
      <w:pPr>
        <w:spacing w:after="0" w:line="39" w:lineRule="exact"/>
        <w:rPr>
          <w:sz w:val="20"/>
          <w:szCs w:val="20"/>
          <w:color w:val="auto"/>
        </w:rPr>
      </w:pPr>
    </w:p>
    <w:p>
      <w:pPr>
        <w:ind w:right="220" w:firstLine="222"/>
        <w:spacing w:after="0" w:line="312" w:lineRule="auto"/>
        <w:rPr>
          <w:sz w:val="20"/>
          <w:szCs w:val="20"/>
          <w:color w:val="auto"/>
        </w:rPr>
      </w:pPr>
      <w:r>
        <w:rPr>
          <w:rFonts w:ascii="Arial" w:cs="Arial" w:eastAsia="Arial" w:hAnsi="Arial"/>
          <w:sz w:val="16"/>
          <w:szCs w:val="16"/>
          <w:color w:val="auto"/>
        </w:rPr>
        <w:t>The Partnership intends to use the net proceeds from the offering, including the proceeds from any exercise of the over-allotment option, to reduce outstanding borrowings under its credit facilities and for general partnership purposes. Amounts repaid under the Partnership’s credit facilities may be reborrowed to fund its ongoing capital program, potential future acquisitions, including the pending Nexen acquisition, or for general partnership purposes.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Citi, BofA Merrill Lynch, Morgan Stanley and Wells Fargo Securities are joint book-running managers of the offering.</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When available, copies of the prospectus supplement and accompanying base prospectus relating to the offering may be obtained from the underwriters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Citi</w:t>
            </w:r>
          </w:p>
        </w:tc>
        <w:tc>
          <w:tcPr>
            <w:tcW w:w="6260" w:type="dxa"/>
            <w:vAlign w:val="bottom"/>
            <w:gridSpan w:val="4"/>
          </w:tcPr>
          <w:p>
            <w:pPr>
              <w:spacing w:after="0"/>
              <w:rPr>
                <w:sz w:val="20"/>
                <w:szCs w:val="20"/>
                <w:color w:val="auto"/>
              </w:rPr>
            </w:pPr>
            <w:r>
              <w:rPr>
                <w:rFonts w:ascii="Arial" w:cs="Arial" w:eastAsia="Arial" w:hAnsi="Arial"/>
                <w:sz w:val="18"/>
                <w:szCs w:val="18"/>
                <w:color w:val="auto"/>
              </w:rPr>
              <w:t>Morgan Stanley</w:t>
            </w: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Brooklyn Army Terminal</w:t>
            </w:r>
          </w:p>
        </w:tc>
        <w:tc>
          <w:tcPr>
            <w:tcW w:w="6260" w:type="dxa"/>
            <w:vAlign w:val="bottom"/>
            <w:gridSpan w:val="4"/>
          </w:tcPr>
          <w:p>
            <w:pPr>
              <w:spacing w:after="0"/>
              <w:rPr>
                <w:sz w:val="20"/>
                <w:szCs w:val="20"/>
                <w:color w:val="auto"/>
              </w:rPr>
            </w:pPr>
            <w:r>
              <w:rPr>
                <w:rFonts w:ascii="Arial" w:cs="Arial" w:eastAsia="Arial" w:hAnsi="Arial"/>
                <w:sz w:val="18"/>
                <w:szCs w:val="18"/>
                <w:color w:val="auto"/>
              </w:rPr>
              <w:t>Attn: Prospectus Dept.</w:t>
            </w: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Attention: Prospectus Delivery Dept.</w:t>
            </w:r>
          </w:p>
        </w:tc>
        <w:tc>
          <w:tcPr>
            <w:tcW w:w="6260" w:type="dxa"/>
            <w:vAlign w:val="bottom"/>
            <w:gridSpan w:val="4"/>
          </w:tcPr>
          <w:p>
            <w:pPr>
              <w:spacing w:after="0"/>
              <w:rPr>
                <w:sz w:val="20"/>
                <w:szCs w:val="20"/>
                <w:color w:val="auto"/>
              </w:rPr>
            </w:pPr>
            <w:r>
              <w:rPr>
                <w:rFonts w:ascii="Arial" w:cs="Arial" w:eastAsia="Arial" w:hAnsi="Arial"/>
                <w:sz w:val="18"/>
                <w:szCs w:val="18"/>
                <w:color w:val="auto"/>
              </w:rPr>
              <w:t>180 Varick Street, 2nd Floor</w:t>
            </w: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140 58</w:t>
            </w:r>
            <w:r>
              <w:rPr>
                <w:rFonts w:ascii="Arial" w:cs="Arial" w:eastAsia="Arial" w:hAnsi="Arial"/>
                <w:sz w:val="15"/>
                <w:szCs w:val="15"/>
                <w:color w:val="auto"/>
              </w:rPr>
              <w:t>th</w:t>
            </w:r>
            <w:r>
              <w:rPr>
                <w:rFonts w:ascii="Arial" w:cs="Arial" w:eastAsia="Arial" w:hAnsi="Arial"/>
                <w:sz w:val="18"/>
                <w:szCs w:val="18"/>
                <w:color w:val="auto"/>
              </w:rPr>
              <w:t xml:space="preserve"> Street, Brooklyn, NY 11220</w:t>
            </w:r>
          </w:p>
        </w:tc>
        <w:tc>
          <w:tcPr>
            <w:tcW w:w="6260" w:type="dxa"/>
            <w:vAlign w:val="bottom"/>
            <w:gridSpan w:val="4"/>
          </w:tcPr>
          <w:p>
            <w:pPr>
              <w:spacing w:after="0"/>
              <w:rPr>
                <w:sz w:val="20"/>
                <w:szCs w:val="20"/>
                <w:color w:val="auto"/>
              </w:rPr>
            </w:pPr>
            <w:r>
              <w:rPr>
                <w:rFonts w:ascii="Arial" w:cs="Arial" w:eastAsia="Arial" w:hAnsi="Arial"/>
                <w:sz w:val="18"/>
                <w:szCs w:val="18"/>
                <w:color w:val="auto"/>
              </w:rPr>
              <w:t>New York, NY 10014</w:t>
            </w: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Telephone: (800) 831-9146</w:t>
            </w:r>
          </w:p>
        </w:tc>
        <w:tc>
          <w:tcPr>
            <w:tcW w:w="6260" w:type="dxa"/>
            <w:vAlign w:val="bottom"/>
            <w:gridSpan w:val="4"/>
          </w:tcPr>
          <w:p>
            <w:pPr>
              <w:spacing w:after="0"/>
              <w:rPr>
                <w:sz w:val="20"/>
                <w:szCs w:val="20"/>
                <w:color w:val="auto"/>
              </w:rPr>
            </w:pPr>
            <w:r>
              <w:rPr>
                <w:rFonts w:ascii="Arial" w:cs="Arial" w:eastAsia="Arial" w:hAnsi="Arial"/>
                <w:sz w:val="18"/>
                <w:szCs w:val="18"/>
                <w:color w:val="auto"/>
              </w:rPr>
              <w:t>Tel: (866) 718-1649</w:t>
            </w:r>
          </w:p>
        </w:tc>
      </w:tr>
      <w:tr>
        <w:trPr>
          <w:trHeight w:val="190"/>
        </w:trPr>
        <w:tc>
          <w:tcPr>
            <w:tcW w:w="2060" w:type="dxa"/>
            <w:vAlign w:val="bottom"/>
          </w:tcPr>
          <w:p>
            <w:pPr>
              <w:spacing w:after="0" w:line="190" w:lineRule="exact"/>
              <w:rPr>
                <w:sz w:val="20"/>
                <w:szCs w:val="20"/>
                <w:color w:val="auto"/>
              </w:rPr>
            </w:pPr>
            <w:r>
              <w:rPr>
                <w:rFonts w:ascii="Arial" w:cs="Arial" w:eastAsia="Arial" w:hAnsi="Arial"/>
                <w:sz w:val="18"/>
                <w:szCs w:val="18"/>
                <w:color w:val="auto"/>
                <w:w w:val="89"/>
              </w:rPr>
              <w:t>batprospectusdept@citi.com</w:t>
            </w:r>
          </w:p>
        </w:tc>
        <w:tc>
          <w:tcPr>
            <w:tcW w:w="3100" w:type="dxa"/>
            <w:vAlign w:val="bottom"/>
            <w:gridSpan w:val="2"/>
          </w:tcPr>
          <w:p>
            <w:pPr>
              <w:spacing w:after="0"/>
              <w:rPr>
                <w:sz w:val="16"/>
                <w:szCs w:val="16"/>
                <w:color w:val="auto"/>
              </w:rPr>
            </w:pPr>
          </w:p>
        </w:tc>
        <w:tc>
          <w:tcPr>
            <w:tcW w:w="6260" w:type="dxa"/>
            <w:vAlign w:val="bottom"/>
            <w:gridSpan w:val="4"/>
          </w:tcPr>
          <w:p>
            <w:pPr>
              <w:spacing w:after="0" w:line="190" w:lineRule="exact"/>
              <w:rPr>
                <w:sz w:val="20"/>
                <w:szCs w:val="20"/>
                <w:color w:val="auto"/>
              </w:rPr>
            </w:pPr>
            <w:r>
              <w:rPr>
                <w:rFonts w:ascii="Arial" w:cs="Arial" w:eastAsia="Arial" w:hAnsi="Arial"/>
                <w:sz w:val="18"/>
                <w:szCs w:val="18"/>
                <w:color w:val="auto"/>
              </w:rPr>
              <w:t>Email: prospectus@morganstanley.com</w:t>
            </w:r>
          </w:p>
        </w:tc>
      </w:tr>
      <w:tr>
        <w:trPr>
          <w:trHeight w:val="20"/>
        </w:trPr>
        <w:tc>
          <w:tcPr>
            <w:tcW w:w="2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38"/>
        </w:trPr>
        <w:tc>
          <w:tcPr>
            <w:tcW w:w="2060" w:type="dxa"/>
            <w:vAlign w:val="bottom"/>
          </w:tcPr>
          <w:p>
            <w:pPr>
              <w:spacing w:after="0"/>
              <w:rPr>
                <w:sz w:val="20"/>
                <w:szCs w:val="20"/>
                <w:color w:val="auto"/>
              </w:rPr>
            </w:pPr>
            <w:r>
              <w:rPr>
                <w:rFonts w:ascii="Arial" w:cs="Arial" w:eastAsia="Arial" w:hAnsi="Arial"/>
                <w:sz w:val="18"/>
                <w:szCs w:val="18"/>
                <w:color w:val="auto"/>
              </w:rPr>
              <w:t>BofA Merrill Lynch</w:t>
            </w:r>
          </w:p>
        </w:tc>
        <w:tc>
          <w:tcPr>
            <w:tcW w:w="3100" w:type="dxa"/>
            <w:vAlign w:val="bottom"/>
            <w:gridSpan w:val="2"/>
          </w:tcPr>
          <w:p>
            <w:pPr>
              <w:spacing w:after="0"/>
              <w:rPr>
                <w:sz w:val="24"/>
                <w:szCs w:val="24"/>
                <w:color w:val="auto"/>
              </w:rPr>
            </w:pPr>
          </w:p>
        </w:tc>
        <w:tc>
          <w:tcPr>
            <w:tcW w:w="6260" w:type="dxa"/>
            <w:vAlign w:val="bottom"/>
            <w:gridSpan w:val="4"/>
          </w:tcPr>
          <w:p>
            <w:pPr>
              <w:spacing w:after="0"/>
              <w:rPr>
                <w:sz w:val="20"/>
                <w:szCs w:val="20"/>
                <w:color w:val="auto"/>
              </w:rPr>
            </w:pPr>
            <w:r>
              <w:rPr>
                <w:rFonts w:ascii="Arial" w:cs="Arial" w:eastAsia="Arial" w:hAnsi="Arial"/>
                <w:sz w:val="18"/>
                <w:szCs w:val="18"/>
                <w:color w:val="auto"/>
              </w:rPr>
              <w:t>Wells Fargo Securities</w:t>
            </w: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4 World Financial Center</w:t>
            </w:r>
          </w:p>
        </w:tc>
        <w:tc>
          <w:tcPr>
            <w:tcW w:w="6260" w:type="dxa"/>
            <w:vAlign w:val="bottom"/>
            <w:gridSpan w:val="4"/>
          </w:tcPr>
          <w:p>
            <w:pPr>
              <w:spacing w:after="0"/>
              <w:rPr>
                <w:sz w:val="20"/>
                <w:szCs w:val="20"/>
                <w:color w:val="auto"/>
              </w:rPr>
            </w:pPr>
            <w:r>
              <w:rPr>
                <w:rFonts w:ascii="Arial" w:cs="Arial" w:eastAsia="Arial" w:hAnsi="Arial"/>
                <w:sz w:val="18"/>
                <w:szCs w:val="18"/>
                <w:color w:val="auto"/>
              </w:rPr>
              <w:t>Attn: Equity Syndicate Dept.</w:t>
            </w: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New York, New York 10080</w:t>
            </w:r>
          </w:p>
        </w:tc>
        <w:tc>
          <w:tcPr>
            <w:tcW w:w="6260" w:type="dxa"/>
            <w:vAlign w:val="bottom"/>
            <w:gridSpan w:val="4"/>
          </w:tcPr>
          <w:p>
            <w:pPr>
              <w:spacing w:after="0"/>
              <w:rPr>
                <w:sz w:val="20"/>
                <w:szCs w:val="20"/>
                <w:color w:val="auto"/>
              </w:rPr>
            </w:pPr>
            <w:r>
              <w:rPr>
                <w:rFonts w:ascii="Arial" w:cs="Arial" w:eastAsia="Arial" w:hAnsi="Arial"/>
                <w:sz w:val="18"/>
                <w:szCs w:val="18"/>
                <w:color w:val="auto"/>
              </w:rPr>
              <w:t>375 Park Avenue</w:t>
            </w: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Attn: Prospectus Department</w:t>
            </w:r>
          </w:p>
        </w:tc>
        <w:tc>
          <w:tcPr>
            <w:tcW w:w="6260" w:type="dxa"/>
            <w:vAlign w:val="bottom"/>
            <w:gridSpan w:val="4"/>
          </w:tcPr>
          <w:p>
            <w:pPr>
              <w:spacing w:after="0"/>
              <w:rPr>
                <w:sz w:val="20"/>
                <w:szCs w:val="20"/>
                <w:color w:val="auto"/>
              </w:rPr>
            </w:pPr>
            <w:r>
              <w:rPr>
                <w:rFonts w:ascii="Arial" w:cs="Arial" w:eastAsia="Arial" w:hAnsi="Arial"/>
                <w:sz w:val="18"/>
                <w:szCs w:val="18"/>
                <w:color w:val="auto"/>
              </w:rPr>
              <w:t>New York, New York 10152</w:t>
            </w:r>
          </w:p>
        </w:tc>
      </w:tr>
      <w:tr>
        <w:trPr>
          <w:trHeight w:val="190"/>
        </w:trPr>
        <w:tc>
          <w:tcPr>
            <w:tcW w:w="5160" w:type="dxa"/>
            <w:vAlign w:val="bottom"/>
            <w:gridSpan w:val="3"/>
          </w:tcPr>
          <w:p>
            <w:pPr>
              <w:spacing w:after="0" w:line="190" w:lineRule="exact"/>
              <w:rPr>
                <w:sz w:val="20"/>
                <w:szCs w:val="20"/>
                <w:color w:val="auto"/>
              </w:rPr>
            </w:pPr>
            <w:r>
              <w:rPr>
                <w:rFonts w:ascii="Arial" w:cs="Arial" w:eastAsia="Arial" w:hAnsi="Arial"/>
                <w:sz w:val="18"/>
                <w:szCs w:val="18"/>
                <w:color w:val="auto"/>
              </w:rPr>
              <w:t>dg.prospectus_requests@baml.com</w:t>
            </w:r>
          </w:p>
        </w:tc>
        <w:tc>
          <w:tcPr>
            <w:tcW w:w="6260" w:type="dxa"/>
            <w:vAlign w:val="bottom"/>
            <w:gridSpan w:val="4"/>
          </w:tcPr>
          <w:p>
            <w:pPr>
              <w:spacing w:after="0" w:line="190" w:lineRule="exact"/>
              <w:rPr>
                <w:sz w:val="20"/>
                <w:szCs w:val="20"/>
                <w:color w:val="auto"/>
              </w:rPr>
            </w:pPr>
            <w:r>
              <w:rPr>
                <w:rFonts w:ascii="Arial" w:cs="Arial" w:eastAsia="Arial" w:hAnsi="Arial"/>
                <w:sz w:val="18"/>
                <w:szCs w:val="18"/>
                <w:color w:val="auto"/>
              </w:rPr>
              <w:t>cmclientsupport@wellsfargo.com</w:t>
            </w:r>
          </w:p>
        </w:tc>
      </w:tr>
      <w:tr>
        <w:trPr>
          <w:trHeight w:val="237"/>
        </w:trPr>
        <w:tc>
          <w:tcPr>
            <w:tcW w:w="20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600" w:type="dxa"/>
            <w:vAlign w:val="bottom"/>
          </w:tcPr>
          <w:p>
            <w:pPr>
              <w:spacing w:after="0"/>
              <w:rPr>
                <w:sz w:val="20"/>
                <w:szCs w:val="20"/>
                <w:color w:val="auto"/>
              </w:rPr>
            </w:pPr>
          </w:p>
        </w:tc>
        <w:tc>
          <w:tcPr>
            <w:tcW w:w="2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Phone: (800) 326-5897</w:t>
            </w:r>
          </w:p>
        </w:tc>
        <w:tc>
          <w:tcPr>
            <w:tcW w:w="3820" w:type="dxa"/>
            <w:vAlign w:val="bottom"/>
            <w:gridSpan w:val="2"/>
          </w:tcPr>
          <w:p>
            <w:pPr>
              <w:spacing w:after="0"/>
              <w:rPr>
                <w:sz w:val="20"/>
                <w:szCs w:val="20"/>
                <w:color w:val="auto"/>
              </w:rPr>
            </w:pPr>
          </w:p>
        </w:tc>
      </w:tr>
      <w:tr>
        <w:trPr>
          <w:trHeight w:val="618"/>
        </w:trPr>
        <w:tc>
          <w:tcPr>
            <w:tcW w:w="20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ind w:right="600" w:firstLine="222"/>
        <w:spacing w:after="0" w:line="308" w:lineRule="auto"/>
        <w:rPr>
          <w:sz w:val="20"/>
          <w:szCs w:val="20"/>
          <w:color w:val="auto"/>
        </w:rPr>
      </w:pPr>
      <w:r>
        <w:rPr>
          <w:rFonts w:ascii="Arial" w:cs="Arial" w:eastAsia="Arial" w:hAnsi="Arial"/>
          <w:sz w:val="17"/>
          <w:szCs w:val="17"/>
          <w:color w:val="auto"/>
        </w:rPr>
        <w:t>The common units were offered and sold pursuant to an effective shelf registration statement on Form S-3 previously filed with the Securities and Exchange Commission. This news release does not constitute an offer to sell or a solicitation of an offer to buy the securities</w:t>
      </w:r>
    </w:p>
    <w:p>
      <w:pPr>
        <w:spacing w:after="0" w:line="3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described herein, nor shall there be any sale of these securities in any state or jurisdiction in which such an offer, solicitation or sale would be unlawful prior to registration or qualification under the securities laws of any such jurisdiction. The offering may be made only by means of a prospectus and related prospectus supplement.</w:t>
      </w:r>
    </w:p>
    <w:p>
      <w:pPr>
        <w:spacing w:after="0" w:line="7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Except for the historical information contained herein, the matters discussed in this news release are forward-looking statements that involve certain risks and uncertainties. These risks and uncertainties include, among other things, the stability of the capital markets and other factors and uncertainties inherent in the marketing, transportation, terminalling, gathering and storage of crude oil and other petroleum-related products discussed in the Partnership’s filings with the Securities and Exchange Commission.</w:t>
      </w:r>
    </w:p>
    <w:p>
      <w:pPr>
        <w:spacing w:after="0" w:line="79" w:lineRule="exact"/>
        <w:rPr>
          <w:sz w:val="20"/>
          <w:szCs w:val="20"/>
          <w:color w:val="auto"/>
        </w:rPr>
      </w:pPr>
    </w:p>
    <w:p>
      <w:pPr>
        <w:jc w:val="both"/>
        <w:ind w:right="260" w:firstLine="225"/>
        <w:spacing w:after="0" w:line="259" w:lineRule="auto"/>
        <w:rPr>
          <w:sz w:val="20"/>
          <w:szCs w:val="20"/>
          <w:color w:val="auto"/>
        </w:rPr>
      </w:pPr>
      <w:r>
        <w:rPr>
          <w:rFonts w:ascii="Arial" w:cs="Arial" w:eastAsia="Arial" w:hAnsi="Arial"/>
          <w:sz w:val="18"/>
          <w:szCs w:val="18"/>
          <w:color w:val="auto"/>
        </w:rPr>
        <w:t>Plains All American Pipeline, L.P. is a publicly-traded master limited partnership engaged in the transportation, storage, terminalling and marketing of crude oil, refined products and liquefied petroleum gas and other natural gas related petroleum products. Through its general partner interest and majority equity ownership position in PAA Natural Gas Storage, L.P. (NYSE: PNG), PAA is also engaged in the development and operation of natural gas storage facilities. PAA is headquartered in Houston, Texas.</w:t>
      </w: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 #</w:t>
      </w:r>
    </w:p>
    <w:sectPr>
      <w:pgSz w:w="11900" w:h="16838" w:orient="portrait"/>
      <w:cols w:equalWidth="0" w:num="1">
        <w:col w:w="11340"/>
      </w:cols>
      <w:pgMar w:left="240" w:top="93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o"/>
      <w:numFmt w:val="bullet"/>
      <w:start w:val="1"/>
    </w:lvl>
  </w:abstractNum>
  <w:abstractNum w:abstractNumId="1">
    <w:nsid w:val="3A95F874"/>
    <w:multiLevelType w:val="hybridMultilevel"/>
    <w:lvl w:ilvl="0">
      <w:lvlJc w:val="left"/>
      <w:lvlText w:val="(%1)"/>
      <w:numFmt w:val="lowerLetter"/>
      <w:start w:val="1"/>
    </w:lvl>
    <w:lvl w:ilvl="1">
      <w:lvlJc w:val="left"/>
      <w:lvlText w:val="(%2)"/>
      <w:numFmt w:val="lowerRoman"/>
      <w:start w:val="1"/>
    </w:lvl>
  </w:abstractNum>
  <w:abstractNum w:abstractNumId="2">
    <w:nsid w:val="8138641"/>
    <w:multiLevelType w:val="hybridMultilevel"/>
    <w:lvl w:ilvl="0">
      <w:lvlJc w:val="left"/>
      <w:lvlText w:val="(%1)"/>
      <w:numFmt w:val="lowerRoman"/>
      <w:start w:val="8"/>
    </w:lvl>
  </w:abstractNum>
  <w:abstractNum w:abstractNumId="3">
    <w:nsid w:val="1E7FF521"/>
    <w:multiLevelType w:val="hybridMultilevel"/>
    <w:lvl w:ilvl="0">
      <w:lvlJc w:val="left"/>
      <w:lvlText w:val="(%1)"/>
      <w:numFmt w:val="lowerLetter"/>
      <w:start w:val="2"/>
    </w:lvl>
  </w:abstractNum>
  <w:abstractNum w:abstractNumId="4">
    <w:nsid w:val="7C3DBD3D"/>
    <w:multiLevelType w:val="hybridMultilevel"/>
    <w:lvl w:ilvl="0">
      <w:lvlJc w:val="left"/>
      <w:lvlText w:val="(%1)"/>
      <w:numFmt w:val="lowerLetter"/>
      <w:start w:val="4"/>
    </w:lvl>
  </w:abstractNum>
  <w:abstractNum w:abstractNumId="5">
    <w:nsid w:val="737B8DDC"/>
    <w:multiLevelType w:val="hybridMultilevel"/>
    <w:lvl w:ilvl="0">
      <w:lvlJc w:val="left"/>
      <w:lvlText w:val="%1"/>
      <w:numFmt w:val="lowerLetter"/>
      <w:start w:val="1"/>
    </w:lvl>
    <w:lvl w:ilvl="1">
      <w:lvlJc w:val="left"/>
      <w:lvlText w:val="(%2)"/>
      <w:numFmt w:val="lowerLetter"/>
      <w:start w:val="9"/>
    </w:lvl>
  </w:abstractNum>
  <w:abstractNum w:abstractNumId="6">
    <w:nsid w:val="6CEAF087"/>
    <w:multiLevelType w:val="hybridMultilevel"/>
    <w:lvl w:ilvl="0">
      <w:lvlJc w:val="left"/>
      <w:lvlText w:val="(%1)"/>
      <w:numFmt w:val="lowerLetter"/>
      <w:start w:val="35"/>
    </w:lvl>
    <w:lvl w:ilvl="1">
      <w:lvlJc w:val="left"/>
      <w:lvlText w:val="(%2)"/>
      <w:numFmt w:val="lowerLetter"/>
      <w:start w:val="11"/>
    </w:lvl>
  </w:abstractNum>
  <w:abstractNum w:abstractNumId="7">
    <w:nsid w:val="22221A70"/>
    <w:multiLevelType w:val="hybridMultilevel"/>
    <w:lvl w:ilvl="0">
      <w:lvlJc w:val="left"/>
      <w:lvlText w:val="(%1)"/>
      <w:numFmt w:val="lowerLetter"/>
      <w:start w:val="13"/>
    </w:lvl>
  </w:abstractNum>
  <w:abstractNum w:abstractNumId="8">
    <w:nsid w:val="4516DDE9"/>
    <w:multiLevelType w:val="hybridMultilevel"/>
    <w:lvl w:ilvl="0">
      <w:lvlJc w:val="left"/>
      <w:lvlText w:val="(%1)"/>
      <w:numFmt w:val="lowerLetter"/>
      <w:start w:val="15"/>
    </w:lvl>
  </w:abstractNum>
  <w:abstractNum w:abstractNumId="9">
    <w:nsid w:val="3006C83E"/>
    <w:multiLevelType w:val="hybridMultilevel"/>
    <w:lvl w:ilvl="0">
      <w:lvlJc w:val="left"/>
      <w:lvlText w:val="%1"/>
      <w:numFmt w:val="lowerLetter"/>
      <w:start w:val="1"/>
    </w:lvl>
    <w:lvl w:ilvl="1">
      <w:lvlJc w:val="left"/>
      <w:lvlText w:val="(%2)"/>
      <w:numFmt w:val="lowerLetter"/>
      <w:start w:val="21"/>
    </w:lvl>
  </w:abstractNum>
  <w:abstractNum w:abstractNumId="10">
    <w:nsid w:val="614FD4A1"/>
    <w:multiLevelType w:val="hybridMultilevel"/>
    <w:lvl w:ilvl="0">
      <w:lvlJc w:val="left"/>
      <w:lvlText w:val="(%1)"/>
      <w:numFmt w:val="lowerLetter"/>
      <w:start w:val="9"/>
    </w:lvl>
    <w:lvl w:ilvl="1">
      <w:lvlJc w:val="left"/>
      <w:lvlText w:val="(%2)"/>
      <w:numFmt w:val="lowerLetter"/>
      <w:start w:val="22"/>
    </w:lvl>
  </w:abstractNum>
  <w:abstractNum w:abstractNumId="11">
    <w:nsid w:val="419AC241"/>
    <w:multiLevelType w:val="hybridMultilevel"/>
    <w:lvl w:ilvl="0">
      <w:lvlJc w:val="left"/>
      <w:lvlText w:val="(%1)"/>
      <w:numFmt w:val="lowerLetter"/>
      <w:start w:val="24"/>
    </w:lvl>
  </w:abstractNum>
  <w:abstractNum w:abstractNumId="12">
    <w:nsid w:val="5577F8E1"/>
    <w:multiLevelType w:val="hybridMultilevel"/>
    <w:lvl w:ilvl="0">
      <w:lvlJc w:val="left"/>
      <w:lvlText w:val="(%1)"/>
      <w:numFmt w:val="lowerLetter"/>
      <w:start w:val="26"/>
    </w:lvl>
  </w:abstractNum>
  <w:abstractNum w:abstractNumId="13">
    <w:nsid w:val="440BADFC"/>
    <w:multiLevelType w:val="hybridMultilevel"/>
    <w:lvl w:ilvl="0">
      <w:lvlJc w:val="left"/>
      <w:lvlText w:val="(%1)"/>
      <w:numFmt w:val="lowerLetter"/>
      <w:start w:val="27"/>
    </w:lvl>
  </w:abstractNum>
  <w:abstractNum w:abstractNumId="14">
    <w:nsid w:val="5072367"/>
    <w:multiLevelType w:val="hybridMultilevel"/>
    <w:lvl w:ilvl="0">
      <w:lvlJc w:val="left"/>
      <w:lvlText w:val="(%1)"/>
      <w:numFmt w:val="lowerLetter"/>
      <w:start w:val="30"/>
    </w:lvl>
  </w:abstractNum>
  <w:abstractNum w:abstractNumId="15">
    <w:nsid w:val="3804823E"/>
    <w:multiLevelType w:val="hybridMultilevel"/>
    <w:lvl w:ilvl="0">
      <w:lvlJc w:val="left"/>
      <w:lvlText w:val="(%1)"/>
      <w:numFmt w:val="lowerLetter"/>
      <w:start w:val="35"/>
    </w:lvl>
  </w:abstractNum>
  <w:abstractNum w:abstractNumId="16">
    <w:nsid w:val="77465F01"/>
    <w:multiLevelType w:val="hybridMultilevel"/>
    <w:lvl w:ilvl="0">
      <w:lvlJc w:val="left"/>
      <w:lvlText w:val="(%1)"/>
      <w:numFmt w:val="lowerLetter"/>
      <w:start w:val="41"/>
    </w:lvl>
  </w:abstractNum>
  <w:abstractNum w:abstractNumId="17">
    <w:nsid w:val="7724C67E"/>
    <w:multiLevelType w:val="hybridMultilevel"/>
    <w:lvl w:ilvl="0">
      <w:lvlJc w:val="left"/>
      <w:lvlText w:val="%1."/>
      <w:numFmt w:val="decimal"/>
      <w:start w:val="2"/>
    </w:lvl>
  </w:abstractNum>
  <w:abstractNum w:abstractNumId="18">
    <w:nsid w:val="5C482A97"/>
    <w:multiLevelType w:val="hybridMultilevel"/>
    <w:lvl w:ilvl="0">
      <w:lvlJc w:val="left"/>
      <w:lvlText w:val="%1."/>
      <w:numFmt w:val="decimal"/>
      <w:start w:val="3"/>
    </w:lvl>
  </w:abstractNum>
  <w:abstractNum w:abstractNumId="19">
    <w:nsid w:val="2463B9EA"/>
    <w:multiLevelType w:val="hybridMultilevel"/>
    <w:lvl w:ilvl="0">
      <w:lvlJc w:val="left"/>
      <w:lvlText w:val="%1."/>
      <w:numFmt w:val="decimal"/>
      <w:start w:val="4"/>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1)"/>
      <w:numFmt w:val="lowerLetter"/>
      <w:start w:val="5"/>
    </w:lvl>
  </w:abstractNum>
  <w:abstractNum w:abstractNumId="22">
    <w:nsid w:val="2D517796"/>
    <w:multiLevelType w:val="hybridMultilevel"/>
    <w:lvl w:ilvl="0">
      <w:lvlJc w:val="left"/>
      <w:lvlText w:val="(%1)"/>
      <w:numFmt w:val="lowerLetter"/>
      <w:start w:val="7"/>
    </w:lvl>
  </w:abstractNum>
  <w:abstractNum w:abstractNumId="23">
    <w:nsid w:val="580BD78F"/>
    <w:multiLevelType w:val="hybridMultilevel"/>
    <w:lvl w:ilvl="0">
      <w:lvlJc w:val="left"/>
      <w:lvlText w:val="(%1)"/>
      <w:numFmt w:val="lowerLetter"/>
      <w:start w:val="13"/>
    </w:lvl>
  </w:abstractNum>
  <w:abstractNum w:abstractNumId="24">
    <w:nsid w:val="153EA438"/>
    <w:multiLevelType w:val="hybridMultilevel"/>
    <w:lvl w:ilvl="0">
      <w:lvlJc w:val="left"/>
      <w:lvlText w:val="%1."/>
      <w:numFmt w:val="decimal"/>
      <w:start w:val="6"/>
    </w:lvl>
  </w:abstractNum>
  <w:abstractNum w:abstractNumId="25">
    <w:nsid w:val="3855585C"/>
    <w:multiLevelType w:val="hybridMultilevel"/>
    <w:lvl w:ilvl="0">
      <w:lvlJc w:val="left"/>
      <w:lvlText w:val="(%1)"/>
      <w:numFmt w:val="lowerLetter"/>
      <w:start w:val="1"/>
    </w:lvl>
  </w:abstractNum>
  <w:abstractNum w:abstractNumId="26">
    <w:nsid w:val="70A64E2A"/>
    <w:multiLevelType w:val="hybridMultilevel"/>
    <w:lvl w:ilvl="0">
      <w:lvlJc w:val="left"/>
      <w:lvlText w:val="%1"/>
      <w:numFmt w:val="lowerLetter"/>
      <w:start w:val="1"/>
    </w:lvl>
    <w:lvl w:ilvl="1">
      <w:lvlJc w:val="left"/>
      <w:lvlText w:val="(%2)"/>
      <w:numFmt w:val="lowerLetter"/>
      <w:start w:val="2"/>
    </w:lvl>
  </w:abstractNum>
  <w:abstractNum w:abstractNumId="27">
    <w:nsid w:val="6A2342EC"/>
    <w:multiLevelType w:val="hybridMultilevel"/>
    <w:lvl w:ilvl="0">
      <w:lvlJc w:val="left"/>
      <w:lvlText w:val="(%1)"/>
      <w:numFmt w:val="lowerLetter"/>
      <w:start w:val="61"/>
    </w:lvl>
    <w:lvl w:ilvl="1">
      <w:lvlJc w:val="left"/>
      <w:lvlText w:val="(%2)"/>
      <w:numFmt w:val="lowerLetter"/>
      <w:start w:val="3"/>
    </w:lvl>
  </w:abstractNum>
  <w:abstractNum w:abstractNumId="28">
    <w:nsid w:val="2A487CB0"/>
    <w:multiLevelType w:val="hybridMultilevel"/>
    <w:lvl w:ilvl="0">
      <w:lvlJc w:val="left"/>
      <w:lvlText w:val="(%1)"/>
      <w:numFmt w:val="lowerLetter"/>
      <w:start w:val="4"/>
    </w:lvl>
  </w:abstractNum>
  <w:abstractNum w:abstractNumId="29">
    <w:nsid w:val="1D4ED43B"/>
    <w:multiLevelType w:val="hybridMultilevel"/>
    <w:lvl w:ilvl="0">
      <w:lvlJc w:val="left"/>
      <w:lvlText w:val="%1."/>
      <w:numFmt w:val="decimal"/>
      <w:start w:val="7"/>
    </w:lvl>
  </w:abstractNum>
  <w:abstractNum w:abstractNumId="30">
    <w:nsid w:val="725A06FB"/>
    <w:multiLevelType w:val="hybridMultilevel"/>
    <w:lvl w:ilvl="0">
      <w:lvlJc w:val="left"/>
      <w:lvlText w:val="(%1)"/>
      <w:numFmt w:val="lowerLetter"/>
      <w:start w:val="1"/>
    </w:lvl>
  </w:abstractNum>
  <w:abstractNum w:abstractNumId="31">
    <w:nsid w:val="2CD89A32"/>
    <w:multiLevelType w:val="hybridMultilevel"/>
    <w:lvl w:ilvl="0">
      <w:lvlJc w:val="left"/>
      <w:lvlText w:val="(%1)"/>
      <w:numFmt w:val="lowerLetter"/>
      <w:start w:val="3"/>
    </w:lvl>
  </w:abstractNum>
  <w:abstractNum w:abstractNumId="32">
    <w:nsid w:val="57E4CCAF"/>
    <w:multiLevelType w:val="hybridMultilevel"/>
    <w:lvl w:ilvl="0">
      <w:lvlJc w:val="left"/>
      <w:lvlText w:val="(%1)"/>
      <w:numFmt w:val="lowerRoman"/>
      <w:start w:val="1"/>
    </w:lvl>
  </w:abstractNum>
  <w:abstractNum w:abstractNumId="33">
    <w:nsid w:val="7A6D8D3C"/>
    <w:multiLevelType w:val="hybridMultilevel"/>
    <w:lvl w:ilvl="0">
      <w:lvlJc w:val="left"/>
      <w:lvlText w:val="(%1)"/>
      <w:numFmt w:val="lowerRoman"/>
      <w:start w:val="5"/>
    </w:lvl>
  </w:abstractNum>
  <w:abstractNum w:abstractNumId="34">
    <w:nsid w:val="4B588F54"/>
    <w:multiLevelType w:val="hybridMultilevel"/>
    <w:lvl w:ilvl="0">
      <w:lvlJc w:val="left"/>
      <w:lvlText w:val="(%1)"/>
      <w:numFmt w:val="lowerRoman"/>
      <w:start w:val="9"/>
    </w:lvl>
  </w:abstractNum>
  <w:abstractNum w:abstractNumId="35">
    <w:nsid w:val="542289EC"/>
    <w:multiLevelType w:val="hybridMultilevel"/>
    <w:lvl w:ilvl="0">
      <w:lvlJc w:val="left"/>
      <w:lvlText w:val="(%1)"/>
      <w:numFmt w:val="lowerRoman"/>
      <w:start w:val="12"/>
    </w:lvl>
  </w:abstractNum>
  <w:abstractNum w:abstractNumId="36">
    <w:nsid w:val="6DE91B18"/>
    <w:multiLevelType w:val="hybridMultilevel"/>
    <w:lvl w:ilvl="0">
      <w:lvlJc w:val="left"/>
      <w:lvlText w:val="(%1)"/>
      <w:numFmt w:val="upperLetter"/>
      <w:start w:val="1"/>
    </w:lvl>
  </w:abstractNum>
  <w:abstractNum w:abstractNumId="37">
    <w:nsid w:val="38437FDB"/>
    <w:multiLevelType w:val="hybridMultilevel"/>
    <w:lvl w:ilvl="0">
      <w:lvlJc w:val="left"/>
      <w:lvlText w:val="(%1)"/>
      <w:numFmt w:val="upperLetter"/>
      <w:start w:val="3"/>
    </w:lvl>
    <w:lvl w:ilvl="1">
      <w:lvlJc w:val="left"/>
      <w:lvlText w:val="(%2)"/>
      <w:numFmt w:val="lowerLetter"/>
      <w:start w:val="4"/>
    </w:lvl>
  </w:abstractNum>
  <w:abstractNum w:abstractNumId="38">
    <w:nsid w:val="7644A45C"/>
    <w:multiLevelType w:val="hybridMultilevel"/>
    <w:lvl w:ilvl="0">
      <w:lvlJc w:val="left"/>
      <w:lvlText w:val="(%1)"/>
      <w:numFmt w:val="lowerRoman"/>
      <w:start w:val="1"/>
    </w:lvl>
  </w:abstractNum>
  <w:abstractNum w:abstractNumId="39">
    <w:nsid w:val="32FFF902"/>
    <w:multiLevelType w:val="hybridMultilevel"/>
    <w:lvl w:ilvl="0">
      <w:lvlJc w:val="left"/>
      <w:lvlText w:val="(%1)"/>
      <w:numFmt w:val="lowerRoman"/>
      <w:start w:val="2"/>
    </w:lvl>
  </w:abstractNum>
  <w:abstractNum w:abstractNumId="40">
    <w:nsid w:val="684A481A"/>
    <w:multiLevelType w:val="hybridMultilevel"/>
    <w:lvl w:ilvl="0">
      <w:lvlJc w:val="left"/>
      <w:lvlText w:val="(%1)"/>
      <w:numFmt w:val="upperLetter"/>
      <w:start w:val="1"/>
    </w:lvl>
  </w:abstractNum>
  <w:abstractNum w:abstractNumId="41">
    <w:nsid w:val="579478FE"/>
    <w:multiLevelType w:val="hybridMultilevel"/>
    <w:lvl w:ilvl="0">
      <w:lvlJc w:val="left"/>
      <w:lvlText w:val="(%1)"/>
      <w:numFmt w:val="upperLetter"/>
      <w:start w:val="2"/>
    </w:lvl>
  </w:abstractNum>
  <w:abstractNum w:abstractNumId="42">
    <w:nsid w:val="749ABB43"/>
    <w:multiLevelType w:val="hybridMultilevel"/>
    <w:lvl w:ilvl="0">
      <w:lvlJc w:val="left"/>
      <w:lvlText w:val="(%1)"/>
      <w:numFmt w:val="lowerLetter"/>
      <w:start w:val="5"/>
    </w:lvl>
  </w:abstractNum>
  <w:abstractNum w:abstractNumId="43">
    <w:nsid w:val="3DC240FB"/>
    <w:multiLevelType w:val="hybridMultilevel"/>
    <w:lvl w:ilvl="0">
      <w:lvlJc w:val="left"/>
      <w:lvlText w:val="(%1)"/>
      <w:numFmt w:val="lowerRoman"/>
      <w:start w:val="1"/>
    </w:lvl>
  </w:abstractNum>
  <w:abstractNum w:abstractNumId="44">
    <w:nsid w:val="1BA026FA"/>
    <w:multiLevelType w:val="hybridMultilevel"/>
    <w:lvl w:ilvl="0">
      <w:lvlJc w:val="left"/>
      <w:lvlText w:val="(%1)"/>
      <w:numFmt w:val="lowerRoman"/>
      <w:start w:val="2"/>
    </w:lvl>
  </w:abstractNum>
  <w:abstractNum w:abstractNumId="45">
    <w:nsid w:val="79A1DEAA"/>
    <w:multiLevelType w:val="hybridMultilevel"/>
    <w:lvl w:ilvl="0">
      <w:lvlJc w:val="left"/>
      <w:lvlText w:val="(%1)"/>
      <w:numFmt w:val="lowerRoman"/>
      <w:start w:val="8"/>
    </w:lvl>
  </w:abstractNum>
  <w:abstractNum w:abstractNumId="46">
    <w:nsid w:val="75C6C33A"/>
    <w:multiLevelType w:val="hybridMultilevel"/>
    <w:lvl w:ilvl="0">
      <w:lvlJc w:val="left"/>
      <w:lvlText w:val="(%1)"/>
      <w:numFmt w:val="lowerLetter"/>
      <w:start w:val="6"/>
    </w:lvl>
  </w:abstractNum>
  <w:abstractNum w:abstractNumId="47">
    <w:nsid w:val="12E685FB"/>
    <w:multiLevelType w:val="hybridMultilevel"/>
    <w:lvl w:ilvl="0">
      <w:lvlJc w:val="left"/>
      <w:lvlText w:val="(%1)"/>
      <w:numFmt w:val="lowerLetter"/>
      <w:start w:val="7"/>
    </w:lvl>
    <w:lvl w:ilvl="1">
      <w:lvlJc w:val="left"/>
      <w:lvlText w:val="(%2)"/>
      <w:numFmt w:val="upperLetter"/>
      <w:start w:val="1"/>
    </w:lvl>
  </w:abstractNum>
  <w:abstractNum w:abstractNumId="48">
    <w:nsid w:val="70C6A529"/>
    <w:multiLevelType w:val="hybridMultilevel"/>
    <w:lvl w:ilvl="0">
      <w:lvlJc w:val="left"/>
      <w:lvlText w:val="%1"/>
      <w:numFmt w:val="lowerLetter"/>
      <w:start w:val="1"/>
    </w:lvl>
    <w:lvl w:ilvl="1">
      <w:lvlJc w:val="left"/>
      <w:lvlText w:val="(%2)"/>
      <w:numFmt w:val="lowerLetter"/>
      <w:start w:val="11"/>
    </w:lvl>
  </w:abstractNum>
  <w:abstractNum w:abstractNumId="49">
    <w:nsid w:val="520EEDD1"/>
    <w:multiLevelType w:val="hybridMultilevel"/>
    <w:lvl w:ilvl="0">
      <w:lvlJc w:val="left"/>
      <w:lvlText w:val="(%1)"/>
      <w:numFmt w:val="lowerLetter"/>
      <w:start w:val="9"/>
    </w:lvl>
    <w:lvl w:ilvl="1">
      <w:lvlJc w:val="left"/>
      <w:lvlText w:val="(%2)"/>
      <w:numFmt w:val="lowerLetter"/>
      <w:start w:val="12"/>
    </w:lvl>
  </w:abstractNum>
  <w:abstractNum w:abstractNumId="50">
    <w:nsid w:val="374A3FE6"/>
    <w:multiLevelType w:val="hybridMultilevel"/>
    <w:lvl w:ilvl="0">
      <w:lvlJc w:val="left"/>
      <w:lvlText w:val="%1"/>
      <w:numFmt w:val="lowerRoman"/>
      <w:start w:val="1"/>
    </w:lvl>
    <w:lvl w:ilvl="1">
      <w:lvlJc w:val="left"/>
      <w:lvlText w:val="%2."/>
      <w:numFmt w:val="decimal"/>
      <w:start w:val="8"/>
    </w:lvl>
  </w:abstractNum>
  <w:abstractNum w:abstractNumId="51">
    <w:nsid w:val="4F4EF005"/>
    <w:multiLevelType w:val="hybridMultilevel"/>
    <w:lvl w:ilvl="0">
      <w:lvlJc w:val="left"/>
      <w:lvlText w:val="(%1)"/>
      <w:numFmt w:val="lowerRoman"/>
      <w:start w:val="4"/>
    </w:lvl>
    <w:lvl w:ilvl="1">
      <w:lvlJc w:val="left"/>
      <w:lvlText w:val="%2"/>
      <w:numFmt w:val="decimal"/>
      <w:start w:val="1"/>
    </w:lvl>
  </w:abstractNum>
  <w:abstractNum w:abstractNumId="52">
    <w:nsid w:val="23F9C13C"/>
    <w:multiLevelType w:val="hybridMultilevel"/>
    <w:lvl w:ilvl="0">
      <w:lvlJc w:val="left"/>
      <w:lvlText w:val="%1."/>
      <w:numFmt w:val="decimal"/>
      <w:start w:val="9"/>
    </w:lvl>
  </w:abstractNum>
  <w:abstractNum w:abstractNumId="53">
    <w:nsid w:val="649BB77C"/>
    <w:multiLevelType w:val="hybridMultilevel"/>
    <w:lvl w:ilvl="0">
      <w:lvlJc w:val="left"/>
      <w:lvlText w:val="%1."/>
      <w:numFmt w:val="decimal"/>
      <w:start w:val="10"/>
    </w:lvl>
  </w:abstractNum>
  <w:abstractNum w:abstractNumId="54">
    <w:nsid w:val="275AC794"/>
    <w:multiLevelType w:val="hybridMultilevel"/>
    <w:lvl w:ilvl="0">
      <w:lvlJc w:val="left"/>
      <w:lvlText w:val="%1."/>
      <w:numFmt w:val="decimal"/>
      <w:start w:val="12"/>
    </w:lvl>
  </w:abstractNum>
  <w:abstractNum w:abstractNumId="55">
    <w:nsid w:val="39386575"/>
    <w:multiLevelType w:val="hybridMultilevel"/>
    <w:lvl w:ilvl="0">
      <w:lvlJc w:val="left"/>
      <w:lvlText w:val="%1."/>
      <w:numFmt w:val="decimal"/>
      <w:start w:val="18"/>
    </w:lvl>
  </w:abstractNum>
  <w:abstractNum w:abstractNumId="56">
    <w:nsid w:val="1CF10FD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2020-01-29T12:25:58Z</dcterms:created>
  <dcterms:modified xsi:type="dcterms:W3CDTF">2020-01-29T12:25:58Z</dcterms:modified>
</cp:coreProperties>
</file>