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30,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8"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August 30, 2025, a wholly-owned subsidiary (the “Buyer”) of Plains All American Pipeline, L.P. (“PAA” or the “Registrant”), entered into a definitive Purchase and Sale Agreement (the “PSA”) with subsidiaries of Diamondback Energy, Inc. and Kinetik Holdings Inc. (collectively, the “Sellers”), pursuant to which Buyer will purchase from Sellers an aggregate 55% non-operated interest in EPIC Crude Holdings, LP (“EPIC Crude Holdings”), the entity that owns and operates the EPIC Crude Oil Pipeline (the “Pipeline”). The base purchase price of approximately $1.57 billion is subject to adjustments and includes approximately $600 million of debt. Buyer has also agreed to a potential earnout payment of approximately $193 million should an expansion of the Pipeline to a capacity of at least 900,000 barrels per day be formally sanctioned before the end of 2027. PAA will guaranty certain of the Buyer’s obligations under the PSA.</w:t>
      </w:r>
    </w:p>
    <w:p>
      <w:pPr>
        <w:spacing w:after="0" w:line="189" w:lineRule="exact"/>
        <w:rPr>
          <w:sz w:val="20"/>
          <w:szCs w:val="20"/>
          <w:color w:val="auto"/>
        </w:rPr>
      </w:pPr>
    </w:p>
    <w:p>
      <w:pPr>
        <w:jc w:val="both"/>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 approximately 800 miles of long-haul pipelines (including the EPIC Pipeline), operating capacity of over 600,000 barrels per day with low-cost expansion capabilities, approximately 7 million barrels of operational storage, and over 200,000 barrels per day of export capacity. The remaining 45% interest in EPIC Crude Holdings is owned by a portfolio company of Ares Management Corporation, which also serves as operator.</w:t>
      </w:r>
    </w:p>
    <w:p>
      <w:pPr>
        <w:spacing w:after="0" w:line="18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subject to satisfaction or waiver of customary closing conditions, including applicable regulatory approvals. The PSA contains customary representations, warranties, covenants and termination provisions, as well as mutual indemnification provisions for breaches of certain of the representations, warranties and covenants in the PSA, subject to certain limitations.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PSA does not purport to be complete and is qualified in its entirety by reference to the full text of the PSA, which the Registrant intends to file as an exhibit to its Quarterly Report on Form 10-Q for the quarter ended September 30, 2025.</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September 2, 2025, PAA and Plains GP Holdings, L.P. (“PAGP”) issued a press release announcing the execution of the Purchase and Sale Agreement described in Item 1.01 above. A copy of the press release is furnished as Exhibit 99.1 hereto.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r>
      <w:tr>
        <w:trPr>
          <w:trHeight w:val="169"/>
        </w:trPr>
        <w:tc>
          <w:tcPr>
            <w:tcW w:w="9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gridSpan w:val="4"/>
          </w:tcPr>
          <w:p>
            <w:pPr>
              <w:ind w:left="120"/>
              <w:spacing w:after="0" w:line="169" w:lineRule="exact"/>
              <w:rPr>
                <w:sz w:val="20"/>
                <w:szCs w:val="20"/>
                <w:color w:val="auto"/>
              </w:rPr>
            </w:pPr>
            <w:r>
              <w:rPr>
                <w:rFonts w:ascii="Times New Roman" w:cs="Times New Roman" w:eastAsia="Times New Roman" w:hAnsi="Times New Roman"/>
                <w:sz w:val="18"/>
                <w:szCs w:val="18"/>
                <w:color w:val="0000EE"/>
              </w:rPr>
              <w:t>Press Release Dated September 2, 2025.</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 w:lineRule="exact"/>
        <w:rPr>
          <w:sz w:val="20"/>
          <w:szCs w:val="20"/>
          <w:color w:val="auto"/>
        </w:rPr>
      </w:pPr>
    </w:p>
    <w:p>
      <w:pPr>
        <w:ind w:left="5560" w:right="3820" w:hanging="4945"/>
        <w:spacing w:after="0" w:line="798" w:lineRule="auto"/>
        <w:tabs>
          <w:tab w:leader="none" w:pos="15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2, 2025</w:t>
      </w:r>
      <w:r>
        <w:rPr>
          <w:sz w:val="20"/>
          <w:szCs w:val="20"/>
          <w:color w:val="auto"/>
        </w:rPr>
        <w:tab/>
      </w:r>
      <w:r>
        <w:rPr>
          <w:rFonts w:ascii="Times New Roman" w:cs="Times New Roman" w:eastAsia="Times New Roman" w:hAnsi="Times New Roman"/>
          <w:sz w:val="17"/>
          <w:szCs w:val="17"/>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571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71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to Acquire 55% Interest in EPIC Crude Holdings,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Enhancing Wellhead to Water Strategy</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HOUSTON – September 2,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announced today that a wholly owned subsidiary has entered into a definitive agreement to acquire from subsidiaries of Diamondback Energy, Inc. and Kinetik Holdings Inc., a 55% non-operated interest in EPIC Crude Holdings, LP (“EPIC Crude Holdings”), the entity that owns and operates the EPIC Crude Oil Pipeline (“EPIC Pipeline”), in a transaction valued at approximately $1.57 billion, inclusive of approximately $600 million of debt. Additionally, Plains has agreed to a potential $193 million earnout payment should an expansion of the pipeline to a capacity of at least 900,000 barrels per day be formally sanctioned before year-end 2027. The transaction is expected to be immediately accretive to distributable cash flow with synergistic opportunities expected to result in mid-teens unlevered returns. The remaining 45% interest in EPIC Crude Holdings is owned by a portfolio company of Ares Management Corporation (“EPIC Management”), which also serves as operator.</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800 miles of long-haul pipelines, including the EPIC Pipeline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capacity of over 600,000 barrels per day with low-cost expansion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 million barrels of operational storage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200,000 barrels per day of export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031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0317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3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customers with additional upstream connectivity and enhanced downstream market connectivity and optionality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and expands Plains’ existing Permian well-head to water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potential and Permian growth improves acquisition multiple over the next few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underpinned by long-term minimum volume commitments from high-quality customers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pro forma leverage ratio to remain within target range (excluding NGL divestiture proceeds); strong balance sheet utilized to finance transaction with cash and debt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immediately accretive to distributable cash flow, supporting additional return of capital opportunities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excited to work with the EPIC Management team. This transaction strengthens our position as the premier crude oil midstream provider, complements our asset footprint and enhances our customer offering. The combination of our stake in EPIC Crude Holdings coupled with our existing integrated Permian and Eagle Ford assets enhances our commitment to offering a high level of connectivity and flexibility for our customers. By further linking our Permian and Eagle Ford gathering systems to Corpus Christi, we are enhancing market access and ensuring our customers have reliable, cost-effective routes to multiple demand centers,” said Willie Chiang, Chairman, CEO and President.</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combined assets will allow us to capture synergies through additional service offerings, and drive value via expanded scale and integration. Our financial flexibility enables us to finance the acquisition utilizing our balance sheet, while maintaining a pro-forma leverage ratio within our established leverage target range. Ultimately, our interest in EPIC Crude Holdings will not only benefit Plains and our partners but also our unit holders by creating further return of capital opportunities.”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transaction is expected to be completed by early 2026, subject to customary closing conditions, including clearance under the Hart-Scott-Rodino Antitrust Improvements Act of 1976.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proposed acquisition of an interest in EPIC Crude Holdings and the terms, timing and anticipated operational, financial and strategic benefits thereof.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third-party constraints; legal constraints (including the impact of governmental regulations, orders or policies);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80"/>
      </w:cols>
      <w:pgMar w:left="32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2025-09-02T07:26:17Z</dcterms:created>
  <dcterms:modified xsi:type="dcterms:W3CDTF">2025-09-02T07:26:17Z</dcterms:modified>
</cp:coreProperties>
</file>