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12-10982_18k.htm"/>
      <w:bookmarkStart w:id="1" w:name="ksa1210982_18k"/>
      <w:bookmarkEnd w:id="0"/>
      <w:bookmarkEnd w:id="1"/>
      <w:r>
        <w:rPr>
          <w:bdr w:val="single" w:sz="24"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 </w:t>
      </w:r>
      <w:r>
        <w:rPr>
          <w:rFonts w:ascii="Times New Roman" w:hAnsi="Times New Roman"/>
          <w:b/>
          <w:sz w:val="17"/>
        </w:rPr>
        <w:t>May 7, 2012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br/>
              <w:t>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p>
      <w:pPr>
        <w:pStyle w:val="TextBody"/>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13e-4(c) under the Exchange Act (17 CFR 240.13e-4(c))</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9.01.              Financial Statements and 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Exhibit 99.1  Press Release dated May 7, 2012</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2.02 and Item 7.01. Results of Operations and Financial Condition; Regulation FD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(the Partnership) today issued a press release reporting its first-quarter 2012 results. We are furnishing the press release, attached as Exhibit 99.1, pursuant to Item 2.02 and Item 7.01 of Form 8-K.  Pursuant to Item 7.01, we are providing detailed guidance for financial performance for the second quarter and second half of calendar 2012.  In accordance with General Instruction B.2. of Form 8-K, the information presented herein under Item 2.02 and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Disclosure of Second Quarter and Second Half 2012 Guidance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To supplement our financial information presented in accordance with GAAP, management uses additional measures known as non-GAAP financial measures in its evaluation of past performance and prospects for the future.  Management believes that the presentation of such additional financial measures provides useful information to investors regarding our financial condition and results of operations because these measures, when used in conjunction with related GAAP financial measures, (i) provide additional information about our core operations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EBIT and EBITDA (each as defined below in Note 1 to the Operating and Financial Guidance table) are non-GAAP financial measures. Net income represents one of the two most directly comparable GAAP measures to EBIT and EBITDA. In Note 10 below, we reconcile net income to EBIT and EBITDA for the 2012 guidance periods presented. Cash flow from operating activities is the other most comparable GAAP measure. We do not, however, reconcile cash flows from operating activities to EBIT and EBITDA, because such reconciliations are impractical for a forecasted period. We encourage you to visit our website at </w:t>
      </w:r>
      <w:r>
        <w:rPr>
          <w:rFonts w:ascii="Times New Roman" w:hAnsi="Times New Roman"/>
          <w:i/>
          <w:sz w:val="17"/>
        </w:rPr>
        <w:t>www.paalp.com</w:t>
      </w:r>
      <w:r>
        <w:rPr>
          <w:rFonts w:ascii="Times New Roman" w:hAnsi="Times New Roman"/>
          <w:sz w:val="17"/>
        </w:rPr>
        <w:t xml:space="preserve"> (in particular the section entitled Non-GAAP Reconciliations), which presents a historical reconciliation of EBIT and EBITDA as well as certain other commonly used non-GAAP financial measures. In addition, we have highlighted the impact of (i) losses from derivative activities, (ii) equity compensation expense, (iii) acquisition related expenses and (iv) other selected items.  Due to the nature of the selected items, certain of the selected items impacting comparability may impact certain non-GAAP financial measures but not impact other non-GAAP financial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based our guidance for the three-month period ending June 30, 2012 and the six-month and twelve-month periods ending December 31, 2012 on assumptions and estimates that we believe are reasonable, given our assessment of historical trends (modified for changes in market conditions), business cycles and other reasonably available information. Projections covering multi-quarter periods contemplate inter-period changes in future performance resulting from new expansion projects, seasonal operational changes (such as NGL sales) and acquisition synergies. Our assumptions and future performance, however, are both subject to a wide range of business risks and uncertainties, so no assurance can be provided that actual performance will fall within the guidance ranges. Please refer to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May 6, 2012. We undertake no obligation to publicly update or revise any forward-looking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201341_7056"/>
      <w:bookmarkEnd w:id="2"/>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Operating and Financial Guidance</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942"/>
        <w:gridCol w:w="196"/>
        <w:gridCol w:w="143"/>
        <w:gridCol w:w="693"/>
        <w:gridCol w:w="204"/>
        <w:gridCol w:w="133"/>
        <w:gridCol w:w="663"/>
        <w:gridCol w:w="206"/>
        <w:gridCol w:w="133"/>
        <w:gridCol w:w="664"/>
        <w:gridCol w:w="204"/>
        <w:gridCol w:w="130"/>
        <w:gridCol w:w="690"/>
        <w:gridCol w:w="204"/>
        <w:gridCol w:w="130"/>
        <w:gridCol w:w="690"/>
        <w:gridCol w:w="204"/>
        <w:gridCol w:w="129"/>
        <w:gridCol w:w="690"/>
        <w:gridCol w:w="204"/>
        <w:gridCol w:w="130"/>
        <w:gridCol w:w="690"/>
        <w:gridCol w:w="133"/>
      </w:tblGrid>
      <w:tr>
        <w:trPr/>
        <w:tc>
          <w:tcPr>
            <w:tcW w:w="2942"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83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204" w:type="dxa"/>
            <w:tcBorders/>
            <w:shd w:fill="auto" w:val="clear"/>
            <w:vAlign w:val="bottom"/>
          </w:tcPr>
          <w:p>
            <w:pPr>
              <w:pStyle w:val="TableContents"/>
              <w:spacing w:before="0" w:after="0"/>
              <w:ind w:left="0" w:right="0" w:hanging="0"/>
              <w:jc w:val="center"/>
              <w:rPr/>
            </w:pPr>
            <w:r>
              <w:rPr/>
              <w:t> </w:t>
            </w:r>
          </w:p>
        </w:tc>
        <w:tc>
          <w:tcPr>
            <w:tcW w:w="5894" w:type="dxa"/>
            <w:gridSpan w:val="17"/>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Guidance </w:t>
            </w:r>
            <w:r>
              <w:rPr>
                <w:b/>
                <w:sz w:val="8"/>
              </w:rPr>
              <w:t>(1)</w:t>
            </w:r>
          </w:p>
        </w:tc>
        <w:tc>
          <w:tcPr>
            <w:tcW w:w="133" w:type="dxa"/>
            <w:tcBorders/>
            <w:shd w:fill="auto" w:val="clear"/>
            <w:vAlign w:val="bottom"/>
          </w:tcPr>
          <w:p>
            <w:pPr>
              <w:pStyle w:val="TableContents"/>
              <w:spacing w:before="0" w:after="0"/>
              <w:ind w:left="0" w:right="0" w:hanging="0"/>
              <w:jc w:val="center"/>
              <w:rPr/>
            </w:pPr>
            <w:r>
              <w:rPr/>
              <w:t> </w:t>
            </w:r>
          </w:p>
        </w:tc>
      </w:tr>
      <w:tr>
        <w:trPr/>
        <w:tc>
          <w:tcPr>
            <w:tcW w:w="2942"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83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w:t>
            </w:r>
          </w:p>
        </w:tc>
        <w:tc>
          <w:tcPr>
            <w:tcW w:w="204" w:type="dxa"/>
            <w:tcBorders/>
            <w:shd w:fill="auto" w:val="clear"/>
            <w:vAlign w:val="bottom"/>
          </w:tcPr>
          <w:p>
            <w:pPr>
              <w:pStyle w:val="TableContents"/>
              <w:spacing w:before="0" w:after="0"/>
              <w:ind w:left="0" w:right="0" w:hanging="0"/>
              <w:jc w:val="center"/>
              <w:rPr/>
            </w:pPr>
            <w:r>
              <w:rPr/>
              <w:t> </w:t>
            </w:r>
          </w:p>
        </w:tc>
        <w:tc>
          <w:tcPr>
            <w:tcW w:w="179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20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844" w:type="dxa"/>
            <w:gridSpan w:val="5"/>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6 Months Ending</w:t>
            </w:r>
          </w:p>
        </w:tc>
        <w:tc>
          <w:tcPr>
            <w:tcW w:w="20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843" w:type="dxa"/>
            <w:gridSpan w:val="5"/>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133" w:type="dxa"/>
            <w:tcBorders/>
            <w:shd w:fill="auto" w:val="clear"/>
            <w:vAlign w:val="bottom"/>
          </w:tcPr>
          <w:p>
            <w:pPr>
              <w:pStyle w:val="TableContents"/>
              <w:spacing w:before="0" w:after="0"/>
              <w:ind w:left="0" w:right="0" w:hanging="0"/>
              <w:jc w:val="center"/>
              <w:rPr/>
            </w:pPr>
            <w:r>
              <w:rPr/>
              <w:t> </w:t>
            </w:r>
          </w:p>
        </w:tc>
      </w:tr>
      <w:tr>
        <w:trPr/>
        <w:tc>
          <w:tcPr>
            <w:tcW w:w="2942"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83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204" w:type="dxa"/>
            <w:tcBorders/>
            <w:shd w:fill="auto" w:val="clear"/>
            <w:vAlign w:val="bottom"/>
          </w:tcPr>
          <w:p>
            <w:pPr>
              <w:pStyle w:val="TableContents"/>
              <w:spacing w:before="0" w:after="0"/>
              <w:ind w:left="0" w:right="0" w:hanging="0"/>
              <w:jc w:val="center"/>
              <w:rPr/>
            </w:pPr>
            <w:r>
              <w:rPr/>
              <w:t> </w:t>
            </w:r>
          </w:p>
        </w:tc>
        <w:tc>
          <w:tcPr>
            <w:tcW w:w="179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June 30, 2012</w:t>
            </w:r>
          </w:p>
        </w:tc>
        <w:tc>
          <w:tcPr>
            <w:tcW w:w="204" w:type="dxa"/>
            <w:tcBorders/>
            <w:shd w:fill="auto" w:val="clear"/>
            <w:vAlign w:val="bottom"/>
          </w:tcPr>
          <w:p>
            <w:pPr>
              <w:pStyle w:val="TableContents"/>
              <w:spacing w:before="0" w:after="0"/>
              <w:ind w:left="0" w:right="0" w:hanging="0"/>
              <w:jc w:val="center"/>
              <w:rPr/>
            </w:pPr>
            <w:r>
              <w:rPr/>
              <w:t> </w:t>
            </w:r>
          </w:p>
        </w:tc>
        <w:tc>
          <w:tcPr>
            <w:tcW w:w="184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2012</w:t>
            </w:r>
          </w:p>
        </w:tc>
        <w:tc>
          <w:tcPr>
            <w:tcW w:w="204" w:type="dxa"/>
            <w:tcBorders/>
            <w:shd w:fill="auto" w:val="clear"/>
            <w:vAlign w:val="bottom"/>
          </w:tcPr>
          <w:p>
            <w:pPr>
              <w:pStyle w:val="TableContents"/>
              <w:spacing w:before="0" w:after="0"/>
              <w:ind w:left="0" w:right="0" w:hanging="0"/>
              <w:jc w:val="center"/>
              <w:rPr/>
            </w:pPr>
            <w:r>
              <w:rPr/>
              <w:t> </w:t>
            </w:r>
          </w:p>
        </w:tc>
        <w:tc>
          <w:tcPr>
            <w:tcW w:w="184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2012</w:t>
            </w:r>
          </w:p>
        </w:tc>
        <w:tc>
          <w:tcPr>
            <w:tcW w:w="133" w:type="dxa"/>
            <w:tcBorders/>
            <w:shd w:fill="auto" w:val="clear"/>
            <w:vAlign w:val="bottom"/>
          </w:tcPr>
          <w:p>
            <w:pPr>
              <w:pStyle w:val="TableContents"/>
              <w:spacing w:before="0" w:after="0"/>
              <w:ind w:left="0" w:right="0" w:hanging="0"/>
              <w:jc w:val="center"/>
              <w:rPr/>
            </w:pPr>
            <w:r>
              <w:rPr/>
              <w:t> </w:t>
            </w:r>
          </w:p>
        </w:tc>
      </w:tr>
      <w:tr>
        <w:trPr/>
        <w:tc>
          <w:tcPr>
            <w:tcW w:w="2942"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83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3/31/2012</w:t>
            </w:r>
          </w:p>
        </w:tc>
        <w:tc>
          <w:tcPr>
            <w:tcW w:w="204" w:type="dxa"/>
            <w:tcBorders/>
            <w:shd w:fill="auto" w:val="clear"/>
            <w:vAlign w:val="bottom"/>
          </w:tcPr>
          <w:p>
            <w:pPr>
              <w:pStyle w:val="TableContents"/>
              <w:spacing w:before="0" w:after="0"/>
              <w:ind w:left="0" w:right="0" w:hanging="0"/>
              <w:jc w:val="center"/>
              <w:rPr/>
            </w:pPr>
            <w:r>
              <w:rPr/>
              <w:t> </w:t>
            </w:r>
          </w:p>
        </w:tc>
        <w:tc>
          <w:tcPr>
            <w:tcW w:w="79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0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9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204" w:type="dxa"/>
            <w:tcBorders/>
            <w:shd w:fill="auto" w:val="clear"/>
            <w:vAlign w:val="bottom"/>
          </w:tcPr>
          <w:p>
            <w:pPr>
              <w:pStyle w:val="TableContents"/>
              <w:spacing w:before="0" w:after="0"/>
              <w:ind w:left="0" w:right="0" w:hanging="0"/>
              <w:jc w:val="center"/>
              <w:rPr/>
            </w:pPr>
            <w:r>
              <w:rPr/>
              <w:t> </w:t>
            </w:r>
          </w:p>
        </w:tc>
        <w:tc>
          <w:tcPr>
            <w:tcW w:w="82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0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2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204" w:type="dxa"/>
            <w:tcBorders/>
            <w:shd w:fill="auto" w:val="clear"/>
            <w:vAlign w:val="bottom"/>
          </w:tcPr>
          <w:p>
            <w:pPr>
              <w:pStyle w:val="TableContents"/>
              <w:spacing w:before="0" w:after="0"/>
              <w:ind w:left="0" w:right="0" w:hanging="0"/>
              <w:jc w:val="center"/>
              <w:rPr/>
            </w:pPr>
            <w:r>
              <w:rPr/>
              <w:t> </w:t>
            </w:r>
          </w:p>
        </w:tc>
        <w:tc>
          <w:tcPr>
            <w:tcW w:w="81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0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2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33" w:type="dxa"/>
            <w:tcBorders/>
            <w:shd w:fill="auto" w:val="clear"/>
            <w:vAlign w:val="bottom"/>
          </w:tcPr>
          <w:p>
            <w:pPr>
              <w:pStyle w:val="TableContents"/>
              <w:spacing w:before="0" w:after="0"/>
              <w:ind w:left="0" w:right="0" w:hanging="0"/>
              <w:jc w:val="center"/>
              <w:rPr/>
            </w:pPr>
            <w:r>
              <w:rPr/>
              <w:t> </w:t>
            </w:r>
          </w:p>
        </w:tc>
      </w:tr>
      <w:tr>
        <w:trPr/>
        <w:tc>
          <w:tcPr>
            <w:tcW w:w="294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 xml:space="preserve">Segment Profit </w:t>
            </w:r>
          </w:p>
        </w:tc>
        <w:tc>
          <w:tcPr>
            <w:tcW w:w="196" w:type="dxa"/>
            <w:tcBorders/>
            <w:shd w:fill="CCEEFF" w:val="clear"/>
            <w:vAlign w:val="bottom"/>
          </w:tcPr>
          <w:p>
            <w:pPr>
              <w:pStyle w:val="TableContents"/>
              <w:spacing w:before="0" w:after="0"/>
              <w:ind w:left="0" w:right="0" w:hanging="0"/>
              <w:rPr/>
            </w:pPr>
            <w:r>
              <w:rPr/>
              <w:t> </w:t>
            </w:r>
          </w:p>
        </w:tc>
        <w:tc>
          <w:tcPr>
            <w:tcW w:w="836"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796"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797"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20"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20"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19"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20"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29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revenues (including equity earnings from unconsolidated entities) </w:t>
            </w:r>
          </w:p>
        </w:tc>
        <w:tc>
          <w:tcPr>
            <w:tcW w:w="196"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723</w:t>
            </w:r>
          </w:p>
        </w:tc>
        <w:tc>
          <w:tcPr>
            <w:tcW w:w="204"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824</w:t>
            </w:r>
          </w:p>
        </w:tc>
        <w:tc>
          <w:tcPr>
            <w:tcW w:w="206"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852</w:t>
            </w:r>
          </w:p>
        </w:tc>
        <w:tc>
          <w:tcPr>
            <w:tcW w:w="204"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1,586</w:t>
            </w:r>
          </w:p>
        </w:tc>
        <w:tc>
          <w:tcPr>
            <w:tcW w:w="204"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1,642</w:t>
            </w:r>
          </w:p>
        </w:tc>
        <w:tc>
          <w:tcPr>
            <w:tcW w:w="204" w:type="dxa"/>
            <w:tcBorders/>
            <w:shd w:fill="auto" w:val="clear"/>
            <w:vAlign w:val="bottom"/>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3,133</w:t>
            </w:r>
          </w:p>
        </w:tc>
        <w:tc>
          <w:tcPr>
            <w:tcW w:w="204"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3,217</w:t>
            </w:r>
          </w:p>
        </w:tc>
        <w:tc>
          <w:tcPr>
            <w:tcW w:w="133" w:type="dxa"/>
            <w:tcBorders/>
            <w:shd w:fill="auto" w:val="clear"/>
            <w:vAlign w:val="bottom"/>
          </w:tcPr>
          <w:p>
            <w:pPr>
              <w:pStyle w:val="TableContents"/>
              <w:spacing w:before="0" w:after="0"/>
              <w:ind w:left="0" w:right="0" w:hanging="0"/>
              <w:rPr/>
            </w:pPr>
            <w:r>
              <w:rPr/>
              <w:t> </w:t>
            </w:r>
          </w:p>
        </w:tc>
      </w:tr>
      <w:tr>
        <w:trPr/>
        <w:tc>
          <w:tcPr>
            <w:tcW w:w="29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Field operating costs </w:t>
            </w:r>
          </w:p>
        </w:tc>
        <w:tc>
          <w:tcPr>
            <w:tcW w:w="196" w:type="dxa"/>
            <w:tcBorders/>
            <w:shd w:fill="CCEEFF" w:val="clear"/>
            <w:vAlign w:val="bottom"/>
          </w:tcPr>
          <w:p>
            <w:pPr>
              <w:pStyle w:val="TableContents"/>
              <w:spacing w:before="0" w:after="0"/>
              <w:ind w:left="0" w:right="0" w:hanging="0"/>
              <w:rPr/>
            </w:pPr>
            <w:r>
              <w:rPr/>
              <w:t> </w:t>
            </w:r>
          </w:p>
        </w:tc>
        <w:tc>
          <w:tcPr>
            <w:tcW w:w="8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(312</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(634</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(618</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(1,203</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(1,179</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General and administrative expenses </w:t>
            </w:r>
          </w:p>
        </w:tc>
        <w:tc>
          <w:tcPr>
            <w:tcW w:w="196" w:type="dxa"/>
            <w:tcBorders/>
            <w:shd w:fill="auto" w:val="clear"/>
            <w:vAlign w:val="bottom"/>
          </w:tcPr>
          <w:p>
            <w:pPr>
              <w:pStyle w:val="TableContents"/>
              <w:spacing w:before="0" w:after="0"/>
              <w:ind w:left="0" w:right="0" w:hanging="0"/>
              <w:rPr/>
            </w:pPr>
            <w:r>
              <w:rPr/>
              <w:t> </w:t>
            </w:r>
          </w:p>
        </w:tc>
        <w:tc>
          <w:tcPr>
            <w:tcW w:w="83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(329</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(317</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42" w:type="dxa"/>
            <w:tcBorders/>
            <w:shd w:fill="CCEEFF" w:val="cle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rPr/>
            </w:pPr>
            <w:r>
              <w:rPr/>
              <w:t> </w:t>
            </w:r>
          </w:p>
        </w:tc>
        <w:tc>
          <w:tcPr>
            <w:tcW w:w="8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380</w:t>
            </w:r>
          </w:p>
        </w:tc>
        <w:tc>
          <w:tcPr>
            <w:tcW w:w="204" w:type="dxa"/>
            <w:tcBorders/>
            <w:shd w:fill="CCEEFF" w:val="clear"/>
            <w:vAlign w:val="bottom"/>
          </w:tcPr>
          <w:p>
            <w:pPr>
              <w:pStyle w:val="TableContents"/>
              <w:spacing w:before="0" w:after="0"/>
              <w:ind w:left="0" w:right="0" w:hanging="0"/>
              <w:rPr/>
            </w:pPr>
            <w:r>
              <w:rPr/>
              <w:t> </w:t>
            </w:r>
          </w:p>
        </w:tc>
        <w:tc>
          <w:tcPr>
            <w:tcW w:w="7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415</w:t>
            </w:r>
          </w:p>
        </w:tc>
        <w:tc>
          <w:tcPr>
            <w:tcW w:w="206" w:type="dxa"/>
            <w:tcBorders/>
            <w:shd w:fill="CCEEFF" w:val="clear"/>
            <w:vAlign w:val="bottom"/>
          </w:tcPr>
          <w:p>
            <w:pPr>
              <w:pStyle w:val="TableContents"/>
              <w:spacing w:before="0" w:after="0"/>
              <w:ind w:left="0" w:right="0" w:hanging="0"/>
              <w:rPr/>
            </w:pPr>
            <w:r>
              <w:rPr/>
              <w:t> </w:t>
            </w:r>
          </w:p>
        </w:tc>
        <w:tc>
          <w:tcPr>
            <w:tcW w:w="7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455</w:t>
            </w:r>
          </w:p>
        </w:tc>
        <w:tc>
          <w:tcPr>
            <w:tcW w:w="204" w:type="dxa"/>
            <w:tcBorders/>
            <w:shd w:fill="CCEEFF" w:val="clear"/>
            <w:vAlign w:val="bottom"/>
          </w:tcPr>
          <w:p>
            <w:pPr>
              <w:pStyle w:val="TableContents"/>
              <w:spacing w:before="0" w:after="0"/>
              <w:ind w:left="0" w:right="0" w:hanging="0"/>
              <w:rPr/>
            </w:pPr>
            <w:r>
              <w:rPr/>
              <w:t> </w:t>
            </w:r>
          </w:p>
        </w:tc>
        <w:tc>
          <w:tcPr>
            <w:tcW w:w="8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806</w:t>
            </w:r>
          </w:p>
        </w:tc>
        <w:tc>
          <w:tcPr>
            <w:tcW w:w="204" w:type="dxa"/>
            <w:tcBorders/>
            <w:shd w:fill="CCEEFF" w:val="clear"/>
            <w:vAlign w:val="bottom"/>
          </w:tcPr>
          <w:p>
            <w:pPr>
              <w:pStyle w:val="TableContents"/>
              <w:spacing w:before="0" w:after="0"/>
              <w:ind w:left="0" w:right="0" w:hanging="0"/>
              <w:rPr/>
            </w:pPr>
            <w:r>
              <w:rPr/>
              <w:t> </w:t>
            </w:r>
          </w:p>
        </w:tc>
        <w:tc>
          <w:tcPr>
            <w:tcW w:w="8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886</w:t>
            </w:r>
          </w:p>
        </w:tc>
        <w:tc>
          <w:tcPr>
            <w:tcW w:w="204" w:type="dxa"/>
            <w:tcBorders/>
            <w:shd w:fill="CCEEFF" w:val="clear"/>
            <w:vAlign w:val="bottom"/>
          </w:tcPr>
          <w:p>
            <w:pPr>
              <w:pStyle w:val="TableContents"/>
              <w:spacing w:before="0" w:after="0"/>
              <w:ind w:left="0" w:right="0" w:hanging="0"/>
              <w:rPr/>
            </w:pPr>
            <w:r>
              <w:rPr/>
              <w:t> </w:t>
            </w:r>
          </w:p>
        </w:tc>
        <w:tc>
          <w:tcPr>
            <w:tcW w:w="8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1,601</w:t>
            </w:r>
          </w:p>
        </w:tc>
        <w:tc>
          <w:tcPr>
            <w:tcW w:w="204" w:type="dxa"/>
            <w:tcBorders/>
            <w:shd w:fill="CCEEFF" w:val="clear"/>
            <w:vAlign w:val="bottom"/>
          </w:tcPr>
          <w:p>
            <w:pPr>
              <w:pStyle w:val="TableContents"/>
              <w:spacing w:before="0" w:after="0"/>
              <w:ind w:left="0" w:right="0" w:hanging="0"/>
              <w:rPr/>
            </w:pPr>
            <w:r>
              <w:rPr/>
              <w:t> </w:t>
            </w:r>
          </w:p>
        </w:tc>
        <w:tc>
          <w:tcPr>
            <w:tcW w:w="8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1,721</w:t>
            </w:r>
          </w:p>
        </w:tc>
        <w:tc>
          <w:tcPr>
            <w:tcW w:w="133" w:type="dxa"/>
            <w:tcBorders/>
            <w:shd w:fill="CCEEFF" w:val="clear"/>
            <w:vAlign w:val="bottom"/>
          </w:tcPr>
          <w:p>
            <w:pPr>
              <w:pStyle w:val="TableContents"/>
              <w:spacing w:before="0" w:after="0"/>
              <w:ind w:left="0" w:right="0" w:hanging="0"/>
              <w:rPr/>
            </w:pPr>
            <w:r>
              <w:rPr/>
              <w:t> </w:t>
            </w:r>
          </w:p>
        </w:tc>
      </w:tr>
      <w:tr>
        <w:trPr/>
        <w:tc>
          <w:tcPr>
            <w:tcW w:w="29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Depreciation and amortization expense </w:t>
            </w:r>
          </w:p>
        </w:tc>
        <w:tc>
          <w:tcPr>
            <w:tcW w:w="196" w:type="dxa"/>
            <w:tcBorders/>
            <w:shd w:fill="auto" w:val="clear"/>
            <w:vAlign w:val="bottom"/>
          </w:tcPr>
          <w:p>
            <w:pPr>
              <w:pStyle w:val="TableContents"/>
              <w:spacing w:before="0" w:after="0"/>
              <w:ind w:left="0" w:right="0" w:hanging="0"/>
              <w:rPr/>
            </w:pPr>
            <w:r>
              <w:rPr/>
              <w:t> </w:t>
            </w:r>
          </w:p>
        </w:tc>
        <w:tc>
          <w:tcPr>
            <w:tcW w:w="8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net </w:t>
            </w:r>
          </w:p>
        </w:tc>
        <w:tc>
          <w:tcPr>
            <w:tcW w:w="196" w:type="dxa"/>
            <w:tcBorders/>
            <w:shd w:fill="CCEEFF" w:val="clear"/>
            <w:vAlign w:val="bottom"/>
          </w:tcPr>
          <w:p>
            <w:pPr>
              <w:pStyle w:val="TableContents"/>
              <w:spacing w:before="0" w:after="0"/>
              <w:ind w:left="0" w:right="0" w:hanging="0"/>
              <w:rPr/>
            </w:pPr>
            <w:r>
              <w:rPr/>
              <w:t> </w:t>
            </w:r>
          </w:p>
        </w:tc>
        <w:tc>
          <w:tcPr>
            <w:tcW w:w="8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(304</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Income tax benefit (expense) </w:t>
            </w:r>
          </w:p>
        </w:tc>
        <w:tc>
          <w:tcPr>
            <w:tcW w:w="196" w:type="dxa"/>
            <w:tcBorders/>
            <w:shd w:fill="auto" w:val="clear"/>
            <w:vAlign w:val="bottom"/>
          </w:tcPr>
          <w:p>
            <w:pPr>
              <w:pStyle w:val="TableContents"/>
              <w:spacing w:before="0" w:after="0"/>
              <w:ind w:left="0" w:right="0" w:hanging="0"/>
              <w:rPr/>
            </w:pPr>
            <w:r>
              <w:rPr/>
              <w:t> </w:t>
            </w:r>
          </w:p>
        </w:tc>
        <w:tc>
          <w:tcPr>
            <w:tcW w:w="8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income (expense), net </w:t>
            </w:r>
          </w:p>
        </w:tc>
        <w:tc>
          <w:tcPr>
            <w:tcW w:w="196" w:type="dxa"/>
            <w:tcBorders/>
            <w:shd w:fill="CCEEFF" w:val="clear"/>
            <w:vAlign w:val="bottom"/>
          </w:tcPr>
          <w:p>
            <w:pPr>
              <w:pStyle w:val="TableContents"/>
              <w:spacing w:before="0" w:after="0"/>
              <w:ind w:left="0" w:right="0" w:hanging="0"/>
              <w:rPr/>
            </w:pPr>
            <w:r>
              <w:rPr/>
              <w:t> </w:t>
            </w:r>
          </w:p>
        </w:tc>
        <w:tc>
          <w:tcPr>
            <w:tcW w:w="8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4" w:type="dxa"/>
            <w:tcBorders/>
            <w:shd w:fill="CCEEFF" w:val="clear"/>
            <w:vAlign w:val="bottom"/>
          </w:tcPr>
          <w:p>
            <w:pPr>
              <w:pStyle w:val="TableContents"/>
              <w:spacing w:before="0" w:after="0"/>
              <w:ind w:left="0" w:right="0" w:hanging="0"/>
              <w:rPr/>
            </w:pPr>
            <w:r>
              <w:rPr/>
              <w:t> </w:t>
            </w:r>
          </w:p>
        </w:tc>
        <w:tc>
          <w:tcPr>
            <w:tcW w:w="7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6" w:type="dxa"/>
            <w:tcBorders/>
            <w:shd w:fill="CCEEFF" w:val="clear"/>
            <w:vAlign w:val="bottom"/>
          </w:tcPr>
          <w:p>
            <w:pPr>
              <w:pStyle w:val="TableContents"/>
              <w:spacing w:before="0" w:after="0"/>
              <w:ind w:left="0" w:right="0" w:hanging="0"/>
              <w:rPr/>
            </w:pPr>
            <w:r>
              <w:rPr/>
              <w:t> </w:t>
            </w:r>
          </w:p>
        </w:tc>
        <w:tc>
          <w:tcPr>
            <w:tcW w:w="7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4" w:type="dxa"/>
            <w:tcBorders/>
            <w:shd w:fill="CCEEFF" w:val="clear"/>
            <w:vAlign w:val="bottom"/>
          </w:tcPr>
          <w:p>
            <w:pPr>
              <w:pStyle w:val="TableContents"/>
              <w:spacing w:before="0" w:after="0"/>
              <w:ind w:left="0" w:right="0" w:hanging="0"/>
              <w:rPr/>
            </w:pPr>
            <w:r>
              <w:rPr/>
              <w:t> </w:t>
            </w:r>
          </w:p>
        </w:tc>
        <w:tc>
          <w:tcPr>
            <w:tcW w:w="8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4" w:type="dxa"/>
            <w:tcBorders/>
            <w:shd w:fill="CCEEFF" w:val="clear"/>
            <w:vAlign w:val="bottom"/>
          </w:tcPr>
          <w:p>
            <w:pPr>
              <w:pStyle w:val="TableContents"/>
              <w:spacing w:before="0" w:after="0"/>
              <w:ind w:left="0" w:right="0" w:hanging="0"/>
              <w:rPr/>
            </w:pPr>
            <w:r>
              <w:rPr/>
              <w:t> </w:t>
            </w:r>
          </w:p>
        </w:tc>
        <w:tc>
          <w:tcPr>
            <w:tcW w:w="8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4" w:type="dxa"/>
            <w:tcBorders/>
            <w:shd w:fill="CCEEFF" w:val="clear"/>
            <w:vAlign w:val="bottom"/>
          </w:tcPr>
          <w:p>
            <w:pPr>
              <w:pStyle w:val="TableContents"/>
              <w:spacing w:before="0" w:after="0"/>
              <w:ind w:left="0" w:right="0" w:hanging="0"/>
              <w:rPr/>
            </w:pPr>
            <w:r>
              <w:rPr/>
              <w:t> </w:t>
            </w:r>
          </w:p>
        </w:tc>
        <w:tc>
          <w:tcPr>
            <w:tcW w:w="8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4" w:type="dxa"/>
            <w:tcBorders/>
            <w:shd w:fill="CCEEFF" w:val="clear"/>
            <w:vAlign w:val="bottom"/>
          </w:tcPr>
          <w:p>
            <w:pPr>
              <w:pStyle w:val="TableContents"/>
              <w:spacing w:before="0" w:after="0"/>
              <w:ind w:left="0" w:right="0" w:hanging="0"/>
              <w:rPr/>
            </w:pPr>
            <w:r>
              <w:rPr/>
              <w:t> </w:t>
            </w:r>
          </w:p>
        </w:tc>
        <w:tc>
          <w:tcPr>
            <w:tcW w:w="8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3" w:type="dxa"/>
            <w:tcBorders/>
            <w:shd w:fill="CCEEFF" w:val="clear"/>
            <w:vAlign w:val="bottom"/>
          </w:tcPr>
          <w:p>
            <w:pPr>
              <w:pStyle w:val="TableContents"/>
              <w:spacing w:before="0" w:after="0"/>
              <w:ind w:left="0" w:right="0" w:hanging="0"/>
              <w:rPr/>
            </w:pPr>
            <w:r>
              <w:rPr/>
              <w:t> </w:t>
            </w:r>
          </w:p>
        </w:tc>
      </w:tr>
      <w:tr>
        <w:trPr/>
        <w:tc>
          <w:tcPr>
            <w:tcW w:w="2942"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 xml:space="preserve">Net Income </w:t>
            </w:r>
          </w:p>
        </w:tc>
        <w:tc>
          <w:tcPr>
            <w:tcW w:w="196" w:type="dxa"/>
            <w:tcBorders/>
            <w:shd w:fill="auto" w:val="clear"/>
            <w:vAlign w:val="bottom"/>
          </w:tcPr>
          <w:p>
            <w:pPr>
              <w:pStyle w:val="TableContents"/>
              <w:spacing w:before="0" w:after="0"/>
              <w:ind w:left="0" w:right="0" w:hanging="0"/>
              <w:rPr/>
            </w:pPr>
            <w:r>
              <w:rPr/>
              <w:t> </w:t>
            </w:r>
          </w:p>
        </w:tc>
        <w:tc>
          <w:tcPr>
            <w:tcW w:w="836" w:type="dxa"/>
            <w:gridSpan w:val="2"/>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237</w:t>
            </w:r>
          </w:p>
        </w:tc>
        <w:tc>
          <w:tcPr>
            <w:tcW w:w="204" w:type="dxa"/>
            <w:tcBorders/>
            <w:shd w:fill="auto" w:val="clear"/>
            <w:vAlign w:val="bottom"/>
          </w:tcPr>
          <w:p>
            <w:pPr>
              <w:pStyle w:val="TableContents"/>
              <w:spacing w:before="0" w:after="0"/>
              <w:ind w:left="0" w:right="0" w:hanging="0"/>
              <w:rPr/>
            </w:pPr>
            <w:r>
              <w:rPr/>
              <w:t> </w:t>
            </w:r>
          </w:p>
        </w:tc>
        <w:tc>
          <w:tcPr>
            <w:tcW w:w="796" w:type="dxa"/>
            <w:gridSpan w:val="2"/>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246</w:t>
            </w:r>
          </w:p>
        </w:tc>
        <w:tc>
          <w:tcPr>
            <w:tcW w:w="206" w:type="dxa"/>
            <w:tcBorders/>
            <w:shd w:fill="auto" w:val="clear"/>
            <w:vAlign w:val="bottom"/>
          </w:tcPr>
          <w:p>
            <w:pPr>
              <w:pStyle w:val="TableContents"/>
              <w:spacing w:before="0" w:after="0"/>
              <w:ind w:left="0" w:right="0" w:hanging="0"/>
              <w:rPr/>
            </w:pPr>
            <w:r>
              <w:rPr/>
              <w:t> </w:t>
            </w:r>
          </w:p>
        </w:tc>
        <w:tc>
          <w:tcPr>
            <w:tcW w:w="797" w:type="dxa"/>
            <w:gridSpan w:val="2"/>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295</w:t>
            </w:r>
          </w:p>
        </w:tc>
        <w:tc>
          <w:tcPr>
            <w:tcW w:w="204" w:type="dxa"/>
            <w:tcBorders/>
            <w:shd w:fill="auto" w:val="clear"/>
            <w:vAlign w:val="bottom"/>
          </w:tcPr>
          <w:p>
            <w:pPr>
              <w:pStyle w:val="TableContents"/>
              <w:spacing w:before="0" w:after="0"/>
              <w:ind w:left="0" w:right="0" w:hanging="0"/>
              <w:rPr/>
            </w:pPr>
            <w:r>
              <w:rPr/>
              <w:t> </w:t>
            </w:r>
          </w:p>
        </w:tc>
        <w:tc>
          <w:tcPr>
            <w:tcW w:w="820" w:type="dxa"/>
            <w:gridSpan w:val="2"/>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461</w:t>
            </w:r>
          </w:p>
        </w:tc>
        <w:tc>
          <w:tcPr>
            <w:tcW w:w="204" w:type="dxa"/>
            <w:tcBorders/>
            <w:shd w:fill="auto" w:val="clear"/>
            <w:vAlign w:val="bottom"/>
          </w:tcPr>
          <w:p>
            <w:pPr>
              <w:pStyle w:val="TableContents"/>
              <w:spacing w:before="0" w:after="0"/>
              <w:ind w:left="0" w:right="0" w:hanging="0"/>
              <w:rPr/>
            </w:pPr>
            <w:r>
              <w:rPr/>
              <w:t> </w:t>
            </w:r>
          </w:p>
        </w:tc>
        <w:tc>
          <w:tcPr>
            <w:tcW w:w="820" w:type="dxa"/>
            <w:gridSpan w:val="2"/>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562</w:t>
            </w:r>
          </w:p>
        </w:tc>
        <w:tc>
          <w:tcPr>
            <w:tcW w:w="204" w:type="dxa"/>
            <w:tcBorders/>
            <w:shd w:fill="auto" w:val="clear"/>
            <w:vAlign w:val="bottom"/>
          </w:tcPr>
          <w:p>
            <w:pPr>
              <w:pStyle w:val="TableContents"/>
              <w:spacing w:before="0" w:after="0"/>
              <w:ind w:left="0" w:right="0" w:hanging="0"/>
              <w:rPr/>
            </w:pPr>
            <w:r>
              <w:rPr/>
              <w:t> </w:t>
            </w:r>
          </w:p>
        </w:tc>
        <w:tc>
          <w:tcPr>
            <w:tcW w:w="819" w:type="dxa"/>
            <w:gridSpan w:val="2"/>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944</w:t>
            </w:r>
          </w:p>
        </w:tc>
        <w:tc>
          <w:tcPr>
            <w:tcW w:w="204" w:type="dxa"/>
            <w:tcBorders/>
            <w:shd w:fill="auto" w:val="clear"/>
            <w:vAlign w:val="bottom"/>
          </w:tcPr>
          <w:p>
            <w:pPr>
              <w:pStyle w:val="TableContents"/>
              <w:spacing w:before="0" w:after="0"/>
              <w:ind w:left="0" w:right="0" w:hanging="0"/>
              <w:rPr/>
            </w:pPr>
            <w:r>
              <w:rPr/>
              <w:t> </w:t>
            </w:r>
          </w:p>
        </w:tc>
        <w:tc>
          <w:tcPr>
            <w:tcW w:w="820" w:type="dxa"/>
            <w:gridSpan w:val="2"/>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1,094</w:t>
            </w:r>
          </w:p>
        </w:tc>
        <w:tc>
          <w:tcPr>
            <w:tcW w:w="133" w:type="dxa"/>
            <w:tcBorders/>
            <w:shd w:fill="auto" w:val="clear"/>
            <w:vAlign w:val="bottom"/>
          </w:tcPr>
          <w:p>
            <w:pPr>
              <w:pStyle w:val="TableContents"/>
              <w:spacing w:before="0" w:after="0"/>
              <w:ind w:left="0" w:right="0" w:hanging="0"/>
              <w:rPr/>
            </w:pPr>
            <w:r>
              <w:rPr/>
              <w:t> </w:t>
            </w:r>
          </w:p>
        </w:tc>
      </w:tr>
      <w:tr>
        <w:trPr/>
        <w:tc>
          <w:tcPr>
            <w:tcW w:w="29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Less: Net income attributable to noncontrolling interests </w:t>
            </w:r>
          </w:p>
        </w:tc>
        <w:tc>
          <w:tcPr>
            <w:tcW w:w="196" w:type="dxa"/>
            <w:tcBorders/>
            <w:shd w:fill="CCEEFF" w:val="clear"/>
            <w:vAlign w:val="bottom"/>
          </w:tcPr>
          <w:p>
            <w:pPr>
              <w:pStyle w:val="TableContents"/>
              <w:spacing w:before="0" w:after="0"/>
              <w:ind w:left="0" w:right="0" w:hanging="0"/>
              <w:rPr/>
            </w:pPr>
            <w:r>
              <w:rPr/>
              <w:t> </w:t>
            </w:r>
          </w:p>
        </w:tc>
        <w:tc>
          <w:tcPr>
            <w:tcW w:w="8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42"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 xml:space="preserve">Net Income attributable to Plains </w:t>
            </w:r>
          </w:p>
        </w:tc>
        <w:tc>
          <w:tcPr>
            <w:tcW w:w="196"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9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230</w:t>
            </w:r>
          </w:p>
        </w:tc>
        <w:tc>
          <w:tcPr>
            <w:tcW w:w="204"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6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239</w:t>
            </w:r>
          </w:p>
        </w:tc>
        <w:tc>
          <w:tcPr>
            <w:tcW w:w="206"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6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288</w:t>
            </w:r>
          </w:p>
        </w:tc>
        <w:tc>
          <w:tcPr>
            <w:tcW w:w="204" w:type="dxa"/>
            <w:tcBorders/>
            <w:shd w:fill="auto" w:val="clear"/>
            <w:vAlign w:val="bottom"/>
          </w:tcPr>
          <w:p>
            <w:pPr>
              <w:pStyle w:val="TableContents"/>
              <w:spacing w:before="0" w:after="0"/>
              <w:ind w:left="0" w:right="0" w:hanging="0"/>
              <w:rPr/>
            </w:pPr>
            <w:r>
              <w:rPr/>
              <w:t> </w:t>
            </w:r>
          </w:p>
        </w:tc>
        <w:tc>
          <w:tcPr>
            <w:tcW w:w="13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9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442</w:t>
            </w:r>
          </w:p>
        </w:tc>
        <w:tc>
          <w:tcPr>
            <w:tcW w:w="204" w:type="dxa"/>
            <w:tcBorders/>
            <w:shd w:fill="auto" w:val="clear"/>
            <w:vAlign w:val="bottom"/>
          </w:tcPr>
          <w:p>
            <w:pPr>
              <w:pStyle w:val="TableContents"/>
              <w:spacing w:before="0" w:after="0"/>
              <w:ind w:left="0" w:right="0" w:hanging="0"/>
              <w:rPr/>
            </w:pPr>
            <w:r>
              <w:rPr/>
              <w:t> </w:t>
            </w:r>
          </w:p>
        </w:tc>
        <w:tc>
          <w:tcPr>
            <w:tcW w:w="13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9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545</w:t>
            </w:r>
          </w:p>
        </w:tc>
        <w:tc>
          <w:tcPr>
            <w:tcW w:w="204" w:type="dxa"/>
            <w:tcBorders/>
            <w:shd w:fill="auto" w:val="clear"/>
            <w:vAlign w:val="bottom"/>
          </w:tcPr>
          <w:p>
            <w:pPr>
              <w:pStyle w:val="TableContents"/>
              <w:spacing w:before="0" w:after="0"/>
              <w:ind w:left="0" w:right="0" w:hanging="0"/>
              <w:rPr/>
            </w:pPr>
            <w:r>
              <w:rPr/>
              <w:t> </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9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911</w:t>
            </w:r>
          </w:p>
        </w:tc>
        <w:tc>
          <w:tcPr>
            <w:tcW w:w="204" w:type="dxa"/>
            <w:tcBorders/>
            <w:shd w:fill="auto" w:val="clear"/>
            <w:vAlign w:val="bottom"/>
          </w:tcPr>
          <w:p>
            <w:pPr>
              <w:pStyle w:val="TableContents"/>
              <w:spacing w:before="0" w:after="0"/>
              <w:ind w:left="0" w:right="0" w:hanging="0"/>
              <w:rPr/>
            </w:pPr>
            <w:r>
              <w:rPr/>
              <w:t> </w:t>
            </w:r>
          </w:p>
        </w:tc>
        <w:tc>
          <w:tcPr>
            <w:tcW w:w="13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9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1,063</w:t>
            </w:r>
          </w:p>
        </w:tc>
        <w:tc>
          <w:tcPr>
            <w:tcW w:w="133" w:type="dxa"/>
            <w:tcBorders/>
            <w:shd w:fill="auto" w:val="clear"/>
            <w:vAlign w:val="bottom"/>
          </w:tcPr>
          <w:p>
            <w:pPr>
              <w:pStyle w:val="TableContents"/>
              <w:spacing w:before="0" w:after="0"/>
              <w:ind w:left="0" w:right="0" w:hanging="0"/>
              <w:rPr/>
            </w:pPr>
            <w:r>
              <w:rPr/>
              <w:t> </w:t>
            </w:r>
          </w:p>
        </w:tc>
      </w:tr>
      <w:tr>
        <w:trPr/>
        <w:tc>
          <w:tcPr>
            <w:tcW w:w="2942" w:type="dxa"/>
            <w:tcBorders/>
            <w:shd w:fill="CCEEFF" w:val="cle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rPr/>
            </w:pPr>
            <w:r>
              <w:rPr/>
              <w:t> </w:t>
            </w:r>
          </w:p>
        </w:tc>
        <w:tc>
          <w:tcPr>
            <w:tcW w:w="836"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796"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797"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20"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20"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19"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20"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2942" w:type="dxa"/>
            <w:tcBorders/>
            <w:shd w:fill="auto" w:val="clear"/>
            <w:vAlign w:val="bottom"/>
          </w:tcPr>
          <w:p>
            <w:pPr>
              <w:pStyle w:val="TableContents"/>
              <w:spacing w:before="0" w:after="0"/>
              <w:ind w:left="0" w:right="0" w:hanging="0"/>
              <w:rPr/>
            </w:pPr>
            <w:r>
              <w:rPr>
                <w:rFonts w:ascii="Times New Roman" w:hAnsi="Times New Roman"/>
                <w:sz w:val="17"/>
              </w:rPr>
              <w:t xml:space="preserve">Net Income to Limited Partners </w:t>
            </w:r>
            <w:r>
              <w:rPr>
                <w:sz w:val="11"/>
              </w:rPr>
              <w:t>(2)</w:t>
            </w:r>
          </w:p>
        </w:tc>
        <w:tc>
          <w:tcPr>
            <w:tcW w:w="196"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04"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167</w:t>
            </w:r>
          </w:p>
        </w:tc>
        <w:tc>
          <w:tcPr>
            <w:tcW w:w="206"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215</w:t>
            </w:r>
          </w:p>
        </w:tc>
        <w:tc>
          <w:tcPr>
            <w:tcW w:w="204"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291</w:t>
            </w:r>
          </w:p>
        </w:tc>
        <w:tc>
          <w:tcPr>
            <w:tcW w:w="204"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392</w:t>
            </w:r>
          </w:p>
        </w:tc>
        <w:tc>
          <w:tcPr>
            <w:tcW w:w="204" w:type="dxa"/>
            <w:tcBorders/>
            <w:shd w:fill="auto" w:val="clear"/>
            <w:vAlign w:val="bottom"/>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621</w:t>
            </w:r>
          </w:p>
        </w:tc>
        <w:tc>
          <w:tcPr>
            <w:tcW w:w="204"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770</w:t>
            </w:r>
          </w:p>
        </w:tc>
        <w:tc>
          <w:tcPr>
            <w:tcW w:w="133" w:type="dxa"/>
            <w:tcBorders/>
            <w:shd w:fill="auto" w:val="clear"/>
            <w:vAlign w:val="bottom"/>
          </w:tcPr>
          <w:p>
            <w:pPr>
              <w:pStyle w:val="TableContents"/>
              <w:spacing w:before="0" w:after="0"/>
              <w:ind w:left="0" w:right="0" w:hanging="0"/>
              <w:rPr/>
            </w:pPr>
            <w:r>
              <w:rPr/>
              <w:t> </w:t>
            </w:r>
          </w:p>
        </w:tc>
      </w:tr>
      <w:tr>
        <w:trPr/>
        <w:tc>
          <w:tcPr>
            <w:tcW w:w="2942" w:type="dxa"/>
            <w:tcBorders/>
            <w:shd w:fill="CCEEFF" w:val="clear"/>
            <w:vAlign w:val="bottom"/>
          </w:tcPr>
          <w:p>
            <w:pPr>
              <w:pStyle w:val="TableContents"/>
              <w:spacing w:before="0" w:after="0"/>
              <w:ind w:left="0" w:right="0" w:hanging="0"/>
              <w:rPr/>
            </w:pPr>
            <w:r>
              <w:rPr>
                <w:rFonts w:ascii="Times New Roman" w:hAnsi="Times New Roman"/>
                <w:sz w:val="17"/>
              </w:rPr>
              <w:t xml:space="preserve">Basic Net Income Per Limited Partner Unit </w:t>
            </w:r>
            <w:r>
              <w:rPr>
                <w:sz w:val="11"/>
              </w:rPr>
              <w:t>(2)</w:t>
            </w:r>
          </w:p>
        </w:tc>
        <w:tc>
          <w:tcPr>
            <w:tcW w:w="196" w:type="dxa"/>
            <w:tcBorders/>
            <w:shd w:fill="CCEEFF" w:val="clear"/>
            <w:vAlign w:val="bottom"/>
          </w:tcPr>
          <w:p>
            <w:pPr>
              <w:pStyle w:val="TableContents"/>
              <w:spacing w:before="0" w:after="0"/>
              <w:ind w:left="0" w:right="0" w:hanging="0"/>
              <w:rPr/>
            </w:pPr>
            <w:r>
              <w:rPr/>
              <w:t> </w:t>
            </w:r>
          </w:p>
        </w:tc>
        <w:tc>
          <w:tcPr>
            <w:tcW w:w="836"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796"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797"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20"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20"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19"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20"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29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Weighted Average Units Outstanding </w:t>
            </w:r>
          </w:p>
        </w:tc>
        <w:tc>
          <w:tcPr>
            <w:tcW w:w="196" w:type="dxa"/>
            <w:tcBorders/>
            <w:shd w:fill="auto" w:val="clear"/>
            <w:vAlign w:val="bottom"/>
          </w:tcPr>
          <w:p>
            <w:pPr>
              <w:pStyle w:val="TableContents"/>
              <w:spacing w:before="0" w:after="0"/>
              <w:ind w:left="0" w:right="0" w:hanging="0"/>
              <w:rPr/>
            </w:pPr>
            <w:r>
              <w:rPr/>
              <w:t> </w:t>
            </w:r>
          </w:p>
        </w:tc>
        <w:tc>
          <w:tcPr>
            <w:tcW w:w="8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204" w:type="dxa"/>
            <w:tcBorders/>
            <w:shd w:fill="auto" w:val="clear"/>
            <w:vAlign w:val="bottom"/>
          </w:tcPr>
          <w:p>
            <w:pPr>
              <w:pStyle w:val="TableContents"/>
              <w:spacing w:before="0" w:after="0"/>
              <w:ind w:left="0" w:right="0" w:hanging="0"/>
              <w:rPr/>
            </w:pPr>
            <w:r>
              <w:rPr/>
              <w:t> </w:t>
            </w:r>
          </w:p>
        </w:tc>
        <w:tc>
          <w:tcPr>
            <w:tcW w:w="7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206" w:type="dxa"/>
            <w:tcBorders/>
            <w:shd w:fill="auto" w:val="clear"/>
            <w:vAlign w:val="bottom"/>
          </w:tcPr>
          <w:p>
            <w:pPr>
              <w:pStyle w:val="TableContents"/>
              <w:spacing w:before="0" w:after="0"/>
              <w:ind w:left="0" w:right="0" w:hanging="0"/>
              <w:rPr/>
            </w:pPr>
            <w:r>
              <w:rPr/>
              <w:t> </w:t>
            </w:r>
          </w:p>
        </w:tc>
        <w:tc>
          <w:tcPr>
            <w:tcW w:w="7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204" w:type="dxa"/>
            <w:tcBorders/>
            <w:shd w:fill="auto" w:val="clear"/>
            <w:vAlign w:val="bottom"/>
          </w:tcPr>
          <w:p>
            <w:pPr>
              <w:pStyle w:val="TableContents"/>
              <w:spacing w:before="0" w:after="0"/>
              <w:ind w:left="0" w:right="0" w:hanging="0"/>
              <w:rPr/>
            </w:pPr>
            <w:r>
              <w:rPr/>
              <w:t> </w:t>
            </w:r>
          </w:p>
        </w:tc>
        <w:tc>
          <w:tcPr>
            <w:tcW w:w="8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204" w:type="dxa"/>
            <w:tcBorders/>
            <w:shd w:fill="auto" w:val="clear"/>
            <w:vAlign w:val="bottom"/>
          </w:tcPr>
          <w:p>
            <w:pPr>
              <w:pStyle w:val="TableContents"/>
              <w:spacing w:before="0" w:after="0"/>
              <w:ind w:left="0" w:right="0" w:hanging="0"/>
              <w:rPr/>
            </w:pPr>
            <w:r>
              <w:rPr/>
              <w:t> </w:t>
            </w:r>
          </w:p>
        </w:tc>
        <w:tc>
          <w:tcPr>
            <w:tcW w:w="8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204" w:type="dxa"/>
            <w:tcBorders/>
            <w:shd w:fill="auto" w:val="clear"/>
            <w:vAlign w:val="bottom"/>
          </w:tcPr>
          <w:p>
            <w:pPr>
              <w:pStyle w:val="TableContents"/>
              <w:spacing w:before="0" w:after="0"/>
              <w:ind w:left="0" w:right="0" w:hanging="0"/>
              <w:rPr/>
            </w:pPr>
            <w:r>
              <w:rPr/>
              <w:t> </w:t>
            </w:r>
          </w:p>
        </w:tc>
        <w:tc>
          <w:tcPr>
            <w:tcW w:w="8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204" w:type="dxa"/>
            <w:tcBorders/>
            <w:shd w:fill="auto" w:val="clear"/>
            <w:vAlign w:val="bottom"/>
          </w:tcPr>
          <w:p>
            <w:pPr>
              <w:pStyle w:val="TableContents"/>
              <w:spacing w:before="0" w:after="0"/>
              <w:ind w:left="0" w:right="0" w:hanging="0"/>
              <w:rPr/>
            </w:pPr>
            <w:r>
              <w:rPr/>
              <w:t> </w:t>
            </w:r>
          </w:p>
        </w:tc>
        <w:tc>
          <w:tcPr>
            <w:tcW w:w="8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133" w:type="dxa"/>
            <w:tcBorders/>
            <w:shd w:fill="auto" w:val="clear"/>
            <w:vAlign w:val="bottom"/>
          </w:tcPr>
          <w:p>
            <w:pPr>
              <w:pStyle w:val="TableContents"/>
              <w:spacing w:before="0" w:after="0"/>
              <w:ind w:left="0" w:right="0" w:hanging="0"/>
              <w:rPr/>
            </w:pPr>
            <w:r>
              <w:rPr/>
              <w:t> </w:t>
            </w:r>
          </w:p>
        </w:tc>
      </w:tr>
      <w:tr>
        <w:trPr/>
        <w:tc>
          <w:tcPr>
            <w:tcW w:w="29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Per Unit </w:t>
            </w:r>
          </w:p>
        </w:tc>
        <w:tc>
          <w:tcPr>
            <w:tcW w:w="196"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204"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06"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204" w:type="dxa"/>
            <w:tcBorders/>
            <w:shd w:fill="CCEEFF" w:val="clear"/>
            <w:vAlign w:val="bottom"/>
          </w:tcPr>
          <w:p>
            <w:pPr>
              <w:pStyle w:val="TableContents"/>
              <w:spacing w:before="0" w:after="0"/>
              <w:ind w:left="0" w:right="0" w:hanging="0"/>
              <w:rPr/>
            </w:pPr>
            <w:r>
              <w:rPr/>
              <w:t> </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w:t>
            </w:r>
          </w:p>
        </w:tc>
        <w:tc>
          <w:tcPr>
            <w:tcW w:w="204" w:type="dxa"/>
            <w:tcBorders/>
            <w:shd w:fill="CCEEFF" w:val="clear"/>
            <w:vAlign w:val="bottom"/>
          </w:tcPr>
          <w:p>
            <w:pPr>
              <w:pStyle w:val="TableContents"/>
              <w:spacing w:before="0" w:after="0"/>
              <w:ind w:left="0" w:right="0" w:hanging="0"/>
              <w:rPr/>
            </w:pPr>
            <w:r>
              <w:rPr/>
              <w:t> </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w:t>
            </w:r>
          </w:p>
        </w:tc>
        <w:tc>
          <w:tcPr>
            <w:tcW w:w="204" w:type="dxa"/>
            <w:tcBorders/>
            <w:shd w:fill="CCEEFF" w:val="clear"/>
            <w:vAlign w:val="bottom"/>
          </w:tcPr>
          <w:p>
            <w:pPr>
              <w:pStyle w:val="TableContents"/>
              <w:spacing w:before="0" w:after="0"/>
              <w:ind w:left="0" w:right="0" w:hanging="0"/>
              <w:rPr/>
            </w:pPr>
            <w:r>
              <w:rPr/>
              <w:t> </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3.88</w:t>
            </w:r>
          </w:p>
        </w:tc>
        <w:tc>
          <w:tcPr>
            <w:tcW w:w="204" w:type="dxa"/>
            <w:tcBorders/>
            <w:shd w:fill="CCEEFF" w:val="clear"/>
            <w:vAlign w:val="bottom"/>
          </w:tcPr>
          <w:p>
            <w:pPr>
              <w:pStyle w:val="TableContents"/>
              <w:spacing w:before="0" w:after="0"/>
              <w:ind w:left="0" w:right="0" w:hanging="0"/>
              <w:rPr/>
            </w:pPr>
            <w:r>
              <w:rPr/>
              <w:t> </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4.82</w:t>
            </w:r>
          </w:p>
        </w:tc>
        <w:tc>
          <w:tcPr>
            <w:tcW w:w="133" w:type="dxa"/>
            <w:tcBorders/>
            <w:shd w:fill="CCEEFF" w:val="clear"/>
            <w:vAlign w:val="bottom"/>
          </w:tcPr>
          <w:p>
            <w:pPr>
              <w:pStyle w:val="TableContents"/>
              <w:spacing w:before="0" w:after="0"/>
              <w:ind w:left="0" w:right="0" w:hanging="0"/>
              <w:rPr/>
            </w:pPr>
            <w:r>
              <w:rPr/>
              <w:t> </w:t>
            </w:r>
          </w:p>
        </w:tc>
      </w:tr>
      <w:tr>
        <w:trPr/>
        <w:tc>
          <w:tcPr>
            <w:tcW w:w="2942"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pPr>
            <w:r>
              <w:rPr/>
              <w:t> </w:t>
            </w:r>
          </w:p>
        </w:tc>
        <w:tc>
          <w:tcPr>
            <w:tcW w:w="836"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796"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797"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20"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20"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19"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20"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2942" w:type="dxa"/>
            <w:tcBorders/>
            <w:shd w:fill="CCEEFF" w:val="clear"/>
            <w:vAlign w:val="bottom"/>
          </w:tcPr>
          <w:p>
            <w:pPr>
              <w:pStyle w:val="TableContents"/>
              <w:spacing w:before="0" w:after="0"/>
              <w:ind w:left="0" w:right="0" w:hanging="0"/>
              <w:rPr/>
            </w:pPr>
            <w:r>
              <w:rPr>
                <w:rFonts w:ascii="Times New Roman" w:hAnsi="Times New Roman"/>
                <w:sz w:val="17"/>
              </w:rPr>
              <w:t xml:space="preserve">Diluted Net Income Per Limited Partner Unit </w:t>
            </w:r>
            <w:r>
              <w:rPr>
                <w:sz w:val="11"/>
              </w:rPr>
              <w:t>(2)</w:t>
            </w:r>
          </w:p>
        </w:tc>
        <w:tc>
          <w:tcPr>
            <w:tcW w:w="196" w:type="dxa"/>
            <w:tcBorders/>
            <w:shd w:fill="CCEEFF" w:val="clear"/>
            <w:vAlign w:val="bottom"/>
          </w:tcPr>
          <w:p>
            <w:pPr>
              <w:pStyle w:val="TableContents"/>
              <w:spacing w:before="0" w:after="0"/>
              <w:ind w:left="0" w:right="0" w:hanging="0"/>
              <w:rPr/>
            </w:pPr>
            <w:r>
              <w:rPr/>
              <w:t> </w:t>
            </w:r>
          </w:p>
        </w:tc>
        <w:tc>
          <w:tcPr>
            <w:tcW w:w="836"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796"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797"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20"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20"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19"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20"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29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Weighted Average Units Outstanding </w:t>
            </w:r>
          </w:p>
        </w:tc>
        <w:tc>
          <w:tcPr>
            <w:tcW w:w="196" w:type="dxa"/>
            <w:tcBorders/>
            <w:shd w:fill="auto" w:val="clear"/>
            <w:vAlign w:val="bottom"/>
          </w:tcPr>
          <w:p>
            <w:pPr>
              <w:pStyle w:val="TableContents"/>
              <w:spacing w:before="0" w:after="0"/>
              <w:ind w:left="0" w:right="0" w:hanging="0"/>
              <w:rPr/>
            </w:pPr>
            <w:r>
              <w:rPr/>
              <w:t> </w:t>
            </w:r>
          </w:p>
        </w:tc>
        <w:tc>
          <w:tcPr>
            <w:tcW w:w="8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w:t>
            </w:r>
          </w:p>
        </w:tc>
        <w:tc>
          <w:tcPr>
            <w:tcW w:w="204" w:type="dxa"/>
            <w:tcBorders/>
            <w:shd w:fill="auto" w:val="clear"/>
            <w:vAlign w:val="bottom"/>
          </w:tcPr>
          <w:p>
            <w:pPr>
              <w:pStyle w:val="TableContents"/>
              <w:spacing w:before="0" w:after="0"/>
              <w:ind w:left="0" w:right="0" w:hanging="0"/>
              <w:rPr/>
            </w:pPr>
            <w:r>
              <w:rPr/>
              <w:t> </w:t>
            </w:r>
          </w:p>
        </w:tc>
        <w:tc>
          <w:tcPr>
            <w:tcW w:w="7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w:t>
            </w:r>
          </w:p>
        </w:tc>
        <w:tc>
          <w:tcPr>
            <w:tcW w:w="206" w:type="dxa"/>
            <w:tcBorders/>
            <w:shd w:fill="auto" w:val="clear"/>
            <w:vAlign w:val="bottom"/>
          </w:tcPr>
          <w:p>
            <w:pPr>
              <w:pStyle w:val="TableContents"/>
              <w:spacing w:before="0" w:after="0"/>
              <w:ind w:left="0" w:right="0" w:hanging="0"/>
              <w:rPr/>
            </w:pPr>
            <w:r>
              <w:rPr/>
              <w:t> </w:t>
            </w:r>
          </w:p>
        </w:tc>
        <w:tc>
          <w:tcPr>
            <w:tcW w:w="7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w:t>
            </w:r>
          </w:p>
        </w:tc>
        <w:tc>
          <w:tcPr>
            <w:tcW w:w="204" w:type="dxa"/>
            <w:tcBorders/>
            <w:shd w:fill="auto" w:val="clear"/>
            <w:vAlign w:val="bottom"/>
          </w:tcPr>
          <w:p>
            <w:pPr>
              <w:pStyle w:val="TableContents"/>
              <w:spacing w:before="0" w:after="0"/>
              <w:ind w:left="0" w:right="0" w:hanging="0"/>
              <w:rPr/>
            </w:pPr>
            <w:r>
              <w:rPr/>
              <w:t> </w:t>
            </w:r>
          </w:p>
        </w:tc>
        <w:tc>
          <w:tcPr>
            <w:tcW w:w="8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w:t>
            </w:r>
          </w:p>
        </w:tc>
        <w:tc>
          <w:tcPr>
            <w:tcW w:w="204" w:type="dxa"/>
            <w:tcBorders/>
            <w:shd w:fill="auto" w:val="clear"/>
            <w:vAlign w:val="bottom"/>
          </w:tcPr>
          <w:p>
            <w:pPr>
              <w:pStyle w:val="TableContents"/>
              <w:spacing w:before="0" w:after="0"/>
              <w:ind w:left="0" w:right="0" w:hanging="0"/>
              <w:rPr/>
            </w:pPr>
            <w:r>
              <w:rPr/>
              <w:t> </w:t>
            </w:r>
          </w:p>
        </w:tc>
        <w:tc>
          <w:tcPr>
            <w:tcW w:w="8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w:t>
            </w:r>
          </w:p>
        </w:tc>
        <w:tc>
          <w:tcPr>
            <w:tcW w:w="204" w:type="dxa"/>
            <w:tcBorders/>
            <w:shd w:fill="auto" w:val="clear"/>
            <w:vAlign w:val="bottom"/>
          </w:tcPr>
          <w:p>
            <w:pPr>
              <w:pStyle w:val="TableContents"/>
              <w:spacing w:before="0" w:after="0"/>
              <w:ind w:left="0" w:right="0" w:hanging="0"/>
              <w:rPr/>
            </w:pPr>
            <w:r>
              <w:rPr/>
              <w:t> </w:t>
            </w:r>
          </w:p>
        </w:tc>
        <w:tc>
          <w:tcPr>
            <w:tcW w:w="8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04" w:type="dxa"/>
            <w:tcBorders/>
            <w:shd w:fill="auto" w:val="clear"/>
            <w:vAlign w:val="bottom"/>
          </w:tcPr>
          <w:p>
            <w:pPr>
              <w:pStyle w:val="TableContents"/>
              <w:spacing w:before="0" w:after="0"/>
              <w:ind w:left="0" w:right="0" w:hanging="0"/>
              <w:rPr/>
            </w:pPr>
            <w:r>
              <w:rPr/>
              <w:t> </w:t>
            </w:r>
          </w:p>
        </w:tc>
        <w:tc>
          <w:tcPr>
            <w:tcW w:w="8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33" w:type="dxa"/>
            <w:tcBorders/>
            <w:shd w:fill="auto" w:val="clear"/>
            <w:vAlign w:val="bottom"/>
          </w:tcPr>
          <w:p>
            <w:pPr>
              <w:pStyle w:val="TableContents"/>
              <w:spacing w:before="0" w:after="0"/>
              <w:ind w:left="0" w:right="0" w:hanging="0"/>
              <w:rPr/>
            </w:pPr>
            <w:r>
              <w:rPr/>
              <w:t> </w:t>
            </w:r>
          </w:p>
        </w:tc>
      </w:tr>
      <w:tr>
        <w:trPr/>
        <w:tc>
          <w:tcPr>
            <w:tcW w:w="29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Per Unit </w:t>
            </w:r>
          </w:p>
        </w:tc>
        <w:tc>
          <w:tcPr>
            <w:tcW w:w="196"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04"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206"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204" w:type="dxa"/>
            <w:tcBorders/>
            <w:shd w:fill="CCEEFF" w:val="clear"/>
            <w:vAlign w:val="bottom"/>
          </w:tcPr>
          <w:p>
            <w:pPr>
              <w:pStyle w:val="TableContents"/>
              <w:spacing w:before="0" w:after="0"/>
              <w:ind w:left="0" w:right="0" w:hanging="0"/>
              <w:rPr/>
            </w:pPr>
            <w:r>
              <w:rPr/>
              <w:t> </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w:t>
            </w:r>
          </w:p>
        </w:tc>
        <w:tc>
          <w:tcPr>
            <w:tcW w:w="204" w:type="dxa"/>
            <w:tcBorders/>
            <w:shd w:fill="CCEEFF" w:val="clear"/>
            <w:vAlign w:val="bottom"/>
          </w:tcPr>
          <w:p>
            <w:pPr>
              <w:pStyle w:val="TableContents"/>
              <w:spacing w:before="0" w:after="0"/>
              <w:ind w:left="0" w:right="0" w:hanging="0"/>
              <w:rPr/>
            </w:pPr>
            <w:r>
              <w:rPr/>
              <w:t> </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204" w:type="dxa"/>
            <w:tcBorders/>
            <w:shd w:fill="CCEEFF" w:val="clear"/>
            <w:vAlign w:val="bottom"/>
          </w:tcPr>
          <w:p>
            <w:pPr>
              <w:pStyle w:val="TableContents"/>
              <w:spacing w:before="0" w:after="0"/>
              <w:ind w:left="0" w:right="0" w:hanging="0"/>
              <w:rPr/>
            </w:pPr>
            <w:r>
              <w:rPr/>
              <w:t> </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3.83</w:t>
            </w:r>
          </w:p>
        </w:tc>
        <w:tc>
          <w:tcPr>
            <w:tcW w:w="204" w:type="dxa"/>
            <w:tcBorders/>
            <w:shd w:fill="CCEEFF" w:val="clear"/>
            <w:vAlign w:val="bottom"/>
          </w:tcPr>
          <w:p>
            <w:pPr>
              <w:pStyle w:val="TableContents"/>
              <w:spacing w:before="0" w:after="0"/>
              <w:ind w:left="0" w:right="0" w:hanging="0"/>
              <w:rPr/>
            </w:pPr>
            <w:r>
              <w:rPr/>
              <w:t> </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4.75</w:t>
            </w:r>
          </w:p>
        </w:tc>
        <w:tc>
          <w:tcPr>
            <w:tcW w:w="133" w:type="dxa"/>
            <w:tcBorders/>
            <w:shd w:fill="CCEEFF" w:val="clear"/>
            <w:vAlign w:val="bottom"/>
          </w:tcPr>
          <w:p>
            <w:pPr>
              <w:pStyle w:val="TableContents"/>
              <w:spacing w:before="0" w:after="0"/>
              <w:ind w:left="0" w:right="0" w:hanging="0"/>
              <w:rPr/>
            </w:pPr>
            <w:r>
              <w:rPr/>
              <w:t> </w:t>
            </w:r>
          </w:p>
        </w:tc>
      </w:tr>
      <w:tr>
        <w:trPr/>
        <w:tc>
          <w:tcPr>
            <w:tcW w:w="2942"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pPr>
            <w:r>
              <w:rPr/>
              <w:t> </w:t>
            </w:r>
          </w:p>
        </w:tc>
        <w:tc>
          <w:tcPr>
            <w:tcW w:w="836"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796"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797"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20"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20"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19"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20" w:type="dxa"/>
            <w:gridSpan w:val="2"/>
            <w:tcBorders/>
            <w:shd w:fill="auto" w:val="clear"/>
            <w:vAlign w:val="bottom"/>
          </w:tcPr>
          <w:p>
            <w:pPr>
              <w:pStyle w:val="TableContents"/>
              <w:spacing w:before="0" w:after="0"/>
              <w:ind w:left="0" w:right="0" w:hanging="0"/>
              <w:jc w:val="right"/>
              <w:rPr/>
            </w:pPr>
            <w:r>
              <w:rPr/>
              <w:t> </w:t>
            </w:r>
          </w:p>
        </w:tc>
        <w:tc>
          <w:tcPr>
            <w:tcW w:w="133" w:type="dxa"/>
            <w:tcBorders/>
            <w:shd w:fill="auto" w:val="clear"/>
            <w:vAlign w:val="bottom"/>
          </w:tcPr>
          <w:p>
            <w:pPr>
              <w:pStyle w:val="TableContents"/>
              <w:spacing w:before="0" w:after="0"/>
              <w:ind w:left="0" w:right="0" w:hanging="0"/>
              <w:rPr/>
            </w:pPr>
            <w:r>
              <w:rPr/>
              <w:t> </w:t>
            </w:r>
          </w:p>
        </w:tc>
      </w:tr>
      <w:tr>
        <w:trPr/>
        <w:tc>
          <w:tcPr>
            <w:tcW w:w="2942"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 xml:space="preserve">EBIT </w:t>
            </w:r>
          </w:p>
        </w:tc>
        <w:tc>
          <w:tcPr>
            <w:tcW w:w="196"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9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322</w:t>
            </w:r>
          </w:p>
        </w:tc>
        <w:tc>
          <w:tcPr>
            <w:tcW w:w="204"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341</w:t>
            </w:r>
          </w:p>
        </w:tc>
        <w:tc>
          <w:tcPr>
            <w:tcW w:w="206"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6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384</w:t>
            </w:r>
          </w:p>
        </w:tc>
        <w:tc>
          <w:tcPr>
            <w:tcW w:w="204"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9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656</w:t>
            </w:r>
          </w:p>
        </w:tc>
        <w:tc>
          <w:tcPr>
            <w:tcW w:w="204"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9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743</w:t>
            </w:r>
          </w:p>
        </w:tc>
        <w:tc>
          <w:tcPr>
            <w:tcW w:w="204" w:type="dxa"/>
            <w:tcBorders/>
            <w:shd w:fill="CCEEFF" w:val="clear"/>
            <w:vAlign w:val="bottom"/>
          </w:tcPr>
          <w:p>
            <w:pPr>
              <w:pStyle w:val="TableContents"/>
              <w:spacing w:before="0" w:after="0"/>
              <w:ind w:left="0" w:right="0" w:hanging="0"/>
              <w:rPr/>
            </w:pPr>
            <w:r>
              <w:rPr/>
              <w:t> </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9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1,319</w:t>
            </w:r>
          </w:p>
        </w:tc>
        <w:tc>
          <w:tcPr>
            <w:tcW w:w="204"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9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1,449</w:t>
            </w:r>
          </w:p>
        </w:tc>
        <w:tc>
          <w:tcPr>
            <w:tcW w:w="133" w:type="dxa"/>
            <w:tcBorders/>
            <w:shd w:fill="CCEEFF" w:val="clear"/>
            <w:vAlign w:val="bottom"/>
          </w:tcPr>
          <w:p>
            <w:pPr>
              <w:pStyle w:val="TableContents"/>
              <w:spacing w:before="0" w:after="0"/>
              <w:ind w:left="0" w:right="0" w:hanging="0"/>
              <w:rPr/>
            </w:pPr>
            <w:r>
              <w:rPr/>
              <w:t> </w:t>
            </w:r>
          </w:p>
        </w:tc>
      </w:tr>
      <w:tr>
        <w:trPr/>
        <w:tc>
          <w:tcPr>
            <w:tcW w:w="2942"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 xml:space="preserve">EBITDA </w:t>
            </w:r>
          </w:p>
        </w:tc>
        <w:tc>
          <w:tcPr>
            <w:tcW w:w="196"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9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382</w:t>
            </w:r>
          </w:p>
        </w:tc>
        <w:tc>
          <w:tcPr>
            <w:tcW w:w="204"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416</w:t>
            </w:r>
          </w:p>
        </w:tc>
        <w:tc>
          <w:tcPr>
            <w:tcW w:w="206"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6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456</w:t>
            </w:r>
          </w:p>
        </w:tc>
        <w:tc>
          <w:tcPr>
            <w:tcW w:w="204" w:type="dxa"/>
            <w:tcBorders/>
            <w:shd w:fill="auto" w:val="clear"/>
            <w:vAlign w:val="bottom"/>
          </w:tcPr>
          <w:p>
            <w:pPr>
              <w:pStyle w:val="TableContents"/>
              <w:spacing w:before="0" w:after="0"/>
              <w:ind w:left="0" w:right="0" w:hanging="0"/>
              <w:rPr/>
            </w:pPr>
            <w:r>
              <w:rPr/>
              <w:t> </w:t>
            </w:r>
          </w:p>
        </w:tc>
        <w:tc>
          <w:tcPr>
            <w:tcW w:w="13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9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808</w:t>
            </w:r>
          </w:p>
        </w:tc>
        <w:tc>
          <w:tcPr>
            <w:tcW w:w="204" w:type="dxa"/>
            <w:tcBorders/>
            <w:shd w:fill="auto" w:val="clear"/>
            <w:vAlign w:val="bottom"/>
          </w:tcPr>
          <w:p>
            <w:pPr>
              <w:pStyle w:val="TableContents"/>
              <w:spacing w:before="0" w:after="0"/>
              <w:ind w:left="0" w:right="0" w:hanging="0"/>
              <w:rPr/>
            </w:pPr>
            <w:r>
              <w:rPr/>
              <w:t> </w:t>
            </w:r>
          </w:p>
        </w:tc>
        <w:tc>
          <w:tcPr>
            <w:tcW w:w="13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9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888</w:t>
            </w:r>
          </w:p>
        </w:tc>
        <w:tc>
          <w:tcPr>
            <w:tcW w:w="204" w:type="dxa"/>
            <w:tcBorders/>
            <w:shd w:fill="auto" w:val="clear"/>
            <w:vAlign w:val="bottom"/>
          </w:tcPr>
          <w:p>
            <w:pPr>
              <w:pStyle w:val="TableContents"/>
              <w:spacing w:before="0" w:after="0"/>
              <w:ind w:left="0" w:right="0" w:hanging="0"/>
              <w:rPr/>
            </w:pPr>
            <w:r>
              <w:rPr/>
              <w:t> </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9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1,606</w:t>
            </w:r>
          </w:p>
        </w:tc>
        <w:tc>
          <w:tcPr>
            <w:tcW w:w="204" w:type="dxa"/>
            <w:tcBorders/>
            <w:shd w:fill="auto" w:val="clear"/>
            <w:vAlign w:val="bottom"/>
          </w:tcPr>
          <w:p>
            <w:pPr>
              <w:pStyle w:val="TableContents"/>
              <w:spacing w:before="0" w:after="0"/>
              <w:ind w:left="0" w:right="0" w:hanging="0"/>
              <w:rPr/>
            </w:pPr>
            <w:r>
              <w:rPr/>
              <w:t> </w:t>
            </w:r>
          </w:p>
        </w:tc>
        <w:tc>
          <w:tcPr>
            <w:tcW w:w="13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69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1,726</w:t>
            </w:r>
          </w:p>
        </w:tc>
        <w:tc>
          <w:tcPr>
            <w:tcW w:w="133" w:type="dxa"/>
            <w:tcBorders/>
            <w:shd w:fill="auto" w:val="clear"/>
            <w:vAlign w:val="bottom"/>
          </w:tcPr>
          <w:p>
            <w:pPr>
              <w:pStyle w:val="TableContents"/>
              <w:spacing w:before="0" w:after="0"/>
              <w:ind w:left="0" w:right="0" w:hanging="0"/>
              <w:rPr/>
            </w:pPr>
            <w:r>
              <w:rPr/>
              <w:t> </w:t>
            </w:r>
          </w:p>
        </w:tc>
      </w:tr>
      <w:tr>
        <w:trPr/>
        <w:tc>
          <w:tcPr>
            <w:tcW w:w="2942"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96"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6"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33"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r>
      <w:tr>
        <w:trPr/>
        <w:tc>
          <w:tcPr>
            <w:tcW w:w="2942"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Selected Items Impacting Comparability</w:t>
            </w:r>
          </w:p>
        </w:tc>
        <w:tc>
          <w:tcPr>
            <w:tcW w:w="196" w:type="dxa"/>
            <w:tcBorders/>
            <w:shd w:fill="auto" w:val="clear"/>
            <w:vAlign w:val="bottom"/>
          </w:tcPr>
          <w:p>
            <w:pPr>
              <w:pStyle w:val="TableContents"/>
              <w:spacing w:before="0" w:after="0"/>
              <w:ind w:left="0" w:right="0" w:hanging="0"/>
              <w:rPr/>
            </w:pPr>
            <w:r>
              <w:rPr/>
              <w:t> </w:t>
            </w:r>
          </w:p>
        </w:tc>
        <w:tc>
          <w:tcPr>
            <w:tcW w:w="836"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796"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797"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20"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20"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19"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20" w:type="dxa"/>
            <w:gridSpan w:val="2"/>
            <w:tcBorders/>
            <w:shd w:fill="auto" w:val="clear"/>
            <w:vAlign w:val="bottom"/>
          </w:tcPr>
          <w:p>
            <w:pPr>
              <w:pStyle w:val="TableContents"/>
              <w:spacing w:before="0" w:after="0"/>
              <w:ind w:left="0" w:right="0" w:hanging="0"/>
              <w:jc w:val="right"/>
              <w:rPr/>
            </w:pPr>
            <w:r>
              <w:rPr/>
              <w:t> </w:t>
            </w:r>
          </w:p>
        </w:tc>
        <w:tc>
          <w:tcPr>
            <w:tcW w:w="13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2942"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Losses from derivative activities </w:t>
            </w:r>
          </w:p>
        </w:tc>
        <w:tc>
          <w:tcPr>
            <w:tcW w:w="196"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CCEEFF" w:val="clear"/>
            <w:vAlign w:val="bottom"/>
          </w:tcPr>
          <w:p>
            <w:pPr>
              <w:pStyle w:val="TableContents"/>
              <w:spacing w:before="0" w:after="0"/>
              <w:ind w:left="0" w:right="0" w:hanging="0"/>
              <w:rPr/>
            </w:pPr>
            <w:r>
              <w:rPr/>
              <w:t> </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vAlign w:val="bottom"/>
          </w:tcPr>
          <w:p>
            <w:pPr>
              <w:pStyle w:val="TableContents"/>
              <w:spacing w:before="0" w:after="0"/>
              <w:ind w:left="0" w:right="0" w:hanging="0"/>
              <w:rPr/>
            </w:pPr>
            <w:r>
              <w:rPr/>
              <w:t> </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vAlign w:val="bottom"/>
          </w:tcPr>
          <w:p>
            <w:pPr>
              <w:pStyle w:val="TableContents"/>
              <w:spacing w:before="0" w:after="0"/>
              <w:ind w:left="0" w:right="0" w:hanging="0"/>
              <w:rPr/>
            </w:pPr>
            <w:r>
              <w:rPr/>
              <w:t> </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vAlign w:val="bottom"/>
          </w:tcPr>
          <w:p>
            <w:pPr>
              <w:pStyle w:val="TableContents"/>
              <w:spacing w:before="0" w:after="0"/>
              <w:ind w:left="0" w:right="0" w:hanging="0"/>
              <w:rPr/>
            </w:pPr>
            <w:r>
              <w:rPr/>
              <w:t> </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3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42"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Equity compensation expense </w:t>
            </w:r>
          </w:p>
        </w:tc>
        <w:tc>
          <w:tcPr>
            <w:tcW w:w="196" w:type="dxa"/>
            <w:tcBorders/>
            <w:shd w:fill="auto" w:val="clear"/>
            <w:vAlign w:val="bottom"/>
          </w:tcPr>
          <w:p>
            <w:pPr>
              <w:pStyle w:val="TableContents"/>
              <w:spacing w:before="0" w:after="0"/>
              <w:ind w:left="0" w:right="0" w:hanging="0"/>
              <w:rPr/>
            </w:pPr>
            <w:r>
              <w:rPr/>
              <w:t> </w:t>
            </w:r>
          </w:p>
        </w:tc>
        <w:tc>
          <w:tcPr>
            <w:tcW w:w="8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3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42"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Acquisition related expenses </w:t>
            </w:r>
          </w:p>
        </w:tc>
        <w:tc>
          <w:tcPr>
            <w:tcW w:w="196" w:type="dxa"/>
            <w:tcBorders/>
            <w:shd w:fill="CCEEFF" w:val="clear"/>
            <w:vAlign w:val="bottom"/>
          </w:tcPr>
          <w:p>
            <w:pPr>
              <w:pStyle w:val="TableContents"/>
              <w:spacing w:before="0" w:after="0"/>
              <w:ind w:left="0" w:right="0" w:hanging="0"/>
              <w:rPr/>
            </w:pPr>
            <w:r>
              <w:rPr/>
              <w:t> </w:t>
            </w:r>
          </w:p>
        </w:tc>
        <w:tc>
          <w:tcPr>
            <w:tcW w:w="8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3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42"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w:t>
            </w:r>
          </w:p>
        </w:tc>
        <w:tc>
          <w:tcPr>
            <w:tcW w:w="196" w:type="dxa"/>
            <w:tcBorders/>
            <w:shd w:fill="auto" w:val="clear"/>
            <w:vAlign w:val="bottom"/>
          </w:tcPr>
          <w:p>
            <w:pPr>
              <w:pStyle w:val="TableContents"/>
              <w:spacing w:before="0" w:after="0"/>
              <w:ind w:left="0" w:right="0" w:hanging="0"/>
              <w:rPr/>
            </w:pPr>
            <w:r>
              <w:rPr/>
              <w:t> </w:t>
            </w:r>
          </w:p>
        </w:tc>
        <w:tc>
          <w:tcPr>
            <w:tcW w:w="83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79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auto" w:val="clear"/>
            <w:vAlign w:val="bottom"/>
          </w:tcPr>
          <w:p>
            <w:pPr>
              <w:pStyle w:val="TableContents"/>
              <w:spacing w:before="0" w:after="0"/>
              <w:ind w:left="0" w:right="0" w:hanging="0"/>
              <w:rPr/>
            </w:pPr>
            <w:r>
              <w:rPr/>
              <w:t> </w:t>
            </w:r>
          </w:p>
        </w:tc>
        <w:tc>
          <w:tcPr>
            <w:tcW w:w="82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auto" w:val="clear"/>
            <w:vAlign w:val="bottom"/>
          </w:tcPr>
          <w:p>
            <w:pPr>
              <w:pStyle w:val="TableContents"/>
              <w:spacing w:before="0" w:after="0"/>
              <w:ind w:left="0" w:right="0" w:hanging="0"/>
              <w:rPr/>
            </w:pPr>
            <w:r>
              <w:rPr/>
              <w:t> </w:t>
            </w:r>
          </w:p>
        </w:tc>
        <w:tc>
          <w:tcPr>
            <w:tcW w:w="82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auto" w:val="clear"/>
            <w:vAlign w:val="bottom"/>
          </w:tcPr>
          <w:p>
            <w:pPr>
              <w:pStyle w:val="TableContents"/>
              <w:spacing w:before="0" w:after="0"/>
              <w:ind w:left="0" w:right="0" w:hanging="0"/>
              <w:rPr/>
            </w:pPr>
            <w:r>
              <w:rPr/>
              <w:t> </w:t>
            </w:r>
          </w:p>
        </w:tc>
        <w:tc>
          <w:tcPr>
            <w:tcW w:w="8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2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3"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42"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Selected Items Impacting Comparability of Net Income attributable to Plains </w:t>
            </w:r>
          </w:p>
        </w:tc>
        <w:tc>
          <w:tcPr>
            <w:tcW w:w="196"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2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13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942" w:type="dxa"/>
            <w:tcBorders>
              <w:left w:val="single" w:sz="8" w:space="0" w:color="000000"/>
              <w:bottom w:val="single" w:sz="8" w:space="0" w:color="000000"/>
            </w:tcBorders>
            <w:shd w:fill="auto" w:val="clear"/>
            <w:tcMar>
              <w:left w:w="28" w:type="dxa"/>
              <w:bottom w:w="28" w:type="dxa"/>
            </w:tcMar>
            <w:vAlign w:val="bottom"/>
          </w:tcPr>
          <w:p>
            <w:pPr>
              <w:pStyle w:val="TableContents"/>
              <w:spacing w:before="0" w:after="0"/>
              <w:ind w:left="0" w:right="0" w:hanging="0"/>
              <w:rPr/>
            </w:pPr>
            <w:r>
              <w:rPr/>
              <w:t> </w:t>
            </w:r>
          </w:p>
        </w:tc>
        <w:tc>
          <w:tcPr>
            <w:tcW w:w="196"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3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0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06"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9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0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2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0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2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0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0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2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33" w:type="dxa"/>
            <w:tcBorders>
              <w:bottom w:val="single" w:sz="8" w:space="0" w:color="000000"/>
              <w:right w:val="single" w:sz="8" w:space="0" w:color="000000"/>
            </w:tcBorders>
            <w:shd w:fill="auto" w:val="clear"/>
            <w:tcMar>
              <w:bottom w:w="28" w:type="dxa"/>
              <w:right w:w="28" w:type="dxa"/>
            </w:tcMar>
            <w:vAlign w:val="bottom"/>
          </w:tcPr>
          <w:p>
            <w:pPr>
              <w:pStyle w:val="TableContents"/>
              <w:spacing w:before="0" w:after="0"/>
              <w:ind w:left="0" w:right="0" w:hanging="0"/>
              <w:rPr/>
            </w:pPr>
            <w:r>
              <w:rPr/>
              <w:t> </w:t>
            </w:r>
          </w:p>
        </w:tc>
      </w:tr>
      <w:tr>
        <w:trPr/>
        <w:tc>
          <w:tcPr>
            <w:tcW w:w="2942"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196"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6"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7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33"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r>
      <w:tr>
        <w:trPr/>
        <w:tc>
          <w:tcPr>
            <w:tcW w:w="2942"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Excluding Selected Items Impacting Comparability</w:t>
            </w:r>
          </w:p>
        </w:tc>
        <w:tc>
          <w:tcPr>
            <w:tcW w:w="196" w:type="dxa"/>
            <w:tcBorders/>
            <w:shd w:fill="auto" w:val="clear"/>
            <w:vAlign w:val="bottom"/>
          </w:tcPr>
          <w:p>
            <w:pPr>
              <w:pStyle w:val="TableContents"/>
              <w:spacing w:before="0" w:after="0"/>
              <w:ind w:left="0" w:right="0" w:hanging="0"/>
              <w:rPr/>
            </w:pPr>
            <w:r>
              <w:rPr/>
              <w:t> </w:t>
            </w:r>
          </w:p>
        </w:tc>
        <w:tc>
          <w:tcPr>
            <w:tcW w:w="836"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796"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797"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20"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20"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19"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20" w:type="dxa"/>
            <w:gridSpan w:val="2"/>
            <w:tcBorders/>
            <w:shd w:fill="auto" w:val="clear"/>
            <w:vAlign w:val="bottom"/>
          </w:tcPr>
          <w:p>
            <w:pPr>
              <w:pStyle w:val="TableContents"/>
              <w:spacing w:before="0" w:after="0"/>
              <w:ind w:left="0" w:right="0" w:hanging="0"/>
              <w:jc w:val="right"/>
              <w:rPr/>
            </w:pPr>
            <w:r>
              <w:rPr/>
              <w:t> </w:t>
            </w:r>
          </w:p>
        </w:tc>
        <w:tc>
          <w:tcPr>
            <w:tcW w:w="13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2942"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Adjusted Segment Profit </w:t>
            </w:r>
          </w:p>
        </w:tc>
        <w:tc>
          <w:tcPr>
            <w:tcW w:w="196" w:type="dxa"/>
            <w:tcBorders/>
            <w:shd w:fill="CCEEFF" w:val="clear"/>
            <w:vAlign w:val="bottom"/>
          </w:tcPr>
          <w:p>
            <w:pPr>
              <w:pStyle w:val="TableContents"/>
              <w:spacing w:before="0" w:after="0"/>
              <w:ind w:left="0" w:right="0" w:hanging="0"/>
              <w:rPr/>
            </w:pPr>
            <w:r>
              <w:rPr/>
              <w:t> </w:t>
            </w:r>
          </w:p>
        </w:tc>
        <w:tc>
          <w:tcPr>
            <w:tcW w:w="836"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796"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797"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20"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20"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19"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20" w:type="dxa"/>
            <w:gridSpan w:val="2"/>
            <w:tcBorders/>
            <w:shd w:fill="CCEEFF" w:val="clear"/>
            <w:vAlign w:val="bottom"/>
          </w:tcPr>
          <w:p>
            <w:pPr>
              <w:pStyle w:val="TableContents"/>
              <w:spacing w:before="0" w:after="0"/>
              <w:ind w:left="0" w:right="0" w:hanging="0"/>
              <w:jc w:val="right"/>
              <w:rPr/>
            </w:pPr>
            <w:r>
              <w:rPr/>
              <w:t> </w:t>
            </w:r>
          </w:p>
        </w:tc>
        <w:tc>
          <w:tcPr>
            <w:tcW w:w="13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2942"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Transportation </w:t>
            </w:r>
          </w:p>
        </w:tc>
        <w:tc>
          <w:tcPr>
            <w:tcW w:w="196"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04"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206" w:type="dxa"/>
            <w:tcBorders/>
            <w:shd w:fill="auto" w:val="clear"/>
            <w:vAlign w:val="bottom"/>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w:t>
            </w:r>
          </w:p>
        </w:tc>
        <w:tc>
          <w:tcPr>
            <w:tcW w:w="204"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406</w:t>
            </w:r>
          </w:p>
        </w:tc>
        <w:tc>
          <w:tcPr>
            <w:tcW w:w="204"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w:t>
            </w:r>
          </w:p>
        </w:tc>
        <w:tc>
          <w:tcPr>
            <w:tcW w:w="204" w:type="dxa"/>
            <w:tcBorders/>
            <w:shd w:fill="auto" w:val="clear"/>
            <w:vAlign w:val="bottom"/>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750</w:t>
            </w:r>
          </w:p>
        </w:tc>
        <w:tc>
          <w:tcPr>
            <w:tcW w:w="204"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780</w:t>
            </w:r>
          </w:p>
        </w:tc>
        <w:tc>
          <w:tcPr>
            <w:tcW w:w="13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2942"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Facilities </w:t>
            </w:r>
          </w:p>
        </w:tc>
        <w:tc>
          <w:tcPr>
            <w:tcW w:w="196" w:type="dxa"/>
            <w:tcBorders/>
            <w:shd w:fill="CCEEFF" w:val="clear"/>
            <w:vAlign w:val="bottom"/>
          </w:tcPr>
          <w:p>
            <w:pPr>
              <w:pStyle w:val="TableContents"/>
              <w:spacing w:before="0" w:after="0"/>
              <w:ind w:left="0" w:right="0" w:hanging="0"/>
              <w:rPr/>
            </w:pPr>
            <w:r>
              <w:rPr/>
              <w:t> </w:t>
            </w:r>
          </w:p>
        </w:tc>
        <w:tc>
          <w:tcPr>
            <w:tcW w:w="8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04" w:type="dxa"/>
            <w:tcBorders/>
            <w:shd w:fill="CCEEFF" w:val="clear"/>
            <w:vAlign w:val="bottom"/>
          </w:tcPr>
          <w:p>
            <w:pPr>
              <w:pStyle w:val="TableContents"/>
              <w:spacing w:before="0" w:after="0"/>
              <w:ind w:left="0" w:right="0" w:hanging="0"/>
              <w:rPr/>
            </w:pPr>
            <w:r>
              <w:rPr/>
              <w:t> </w:t>
            </w:r>
          </w:p>
        </w:tc>
        <w:tc>
          <w:tcPr>
            <w:tcW w:w="7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206" w:type="dxa"/>
            <w:tcBorders/>
            <w:shd w:fill="CCEEFF" w:val="clear"/>
            <w:vAlign w:val="bottom"/>
          </w:tcPr>
          <w:p>
            <w:pPr>
              <w:pStyle w:val="TableContents"/>
              <w:spacing w:before="0" w:after="0"/>
              <w:ind w:left="0" w:right="0" w:hanging="0"/>
              <w:rPr/>
            </w:pPr>
            <w:r>
              <w:rPr/>
              <w:t> </w:t>
            </w:r>
          </w:p>
        </w:tc>
        <w:tc>
          <w:tcPr>
            <w:tcW w:w="79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204" w:type="dxa"/>
            <w:tcBorders/>
            <w:shd w:fill="CCEEFF" w:val="clear"/>
            <w:vAlign w:val="bottom"/>
          </w:tcPr>
          <w:p>
            <w:pPr>
              <w:pStyle w:val="TableContents"/>
              <w:spacing w:before="0" w:after="0"/>
              <w:ind w:left="0" w:right="0" w:hanging="0"/>
              <w:rPr/>
            </w:pPr>
            <w:r>
              <w:rPr/>
              <w:t> </w:t>
            </w:r>
          </w:p>
        </w:tc>
        <w:tc>
          <w:tcPr>
            <w:tcW w:w="8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204" w:type="dxa"/>
            <w:tcBorders/>
            <w:shd w:fill="CCEEFF" w:val="clear"/>
            <w:vAlign w:val="bottom"/>
          </w:tcPr>
          <w:p>
            <w:pPr>
              <w:pStyle w:val="TableContents"/>
              <w:spacing w:before="0" w:after="0"/>
              <w:ind w:left="0" w:right="0" w:hanging="0"/>
              <w:rPr/>
            </w:pPr>
            <w:r>
              <w:rPr/>
              <w:t> </w:t>
            </w:r>
          </w:p>
        </w:tc>
        <w:tc>
          <w:tcPr>
            <w:tcW w:w="8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269</w:t>
            </w:r>
          </w:p>
        </w:tc>
        <w:tc>
          <w:tcPr>
            <w:tcW w:w="204" w:type="dxa"/>
            <w:tcBorders/>
            <w:shd w:fill="CCEEFF" w:val="clear"/>
            <w:vAlign w:val="bottom"/>
          </w:tcPr>
          <w:p>
            <w:pPr>
              <w:pStyle w:val="TableContents"/>
              <w:spacing w:before="0" w:after="0"/>
              <w:ind w:left="0" w:right="0" w:hanging="0"/>
              <w:rPr/>
            </w:pPr>
            <w:r>
              <w:rPr/>
              <w:t> </w:t>
            </w:r>
          </w:p>
        </w:tc>
        <w:tc>
          <w:tcPr>
            <w:tcW w:w="8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469</w:t>
            </w:r>
          </w:p>
        </w:tc>
        <w:tc>
          <w:tcPr>
            <w:tcW w:w="204" w:type="dxa"/>
            <w:tcBorders/>
            <w:shd w:fill="CCEEFF" w:val="clear"/>
            <w:vAlign w:val="bottom"/>
          </w:tcPr>
          <w:p>
            <w:pPr>
              <w:pStyle w:val="TableContents"/>
              <w:spacing w:before="0" w:after="0"/>
              <w:ind w:left="0" w:right="0" w:hanging="0"/>
              <w:rPr/>
            </w:pPr>
            <w:r>
              <w:rPr/>
              <w:t> </w:t>
            </w:r>
          </w:p>
        </w:tc>
        <w:tc>
          <w:tcPr>
            <w:tcW w:w="82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487</w:t>
            </w:r>
          </w:p>
        </w:tc>
        <w:tc>
          <w:tcPr>
            <w:tcW w:w="13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2942"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Supply and Logistics </w:t>
            </w:r>
          </w:p>
        </w:tc>
        <w:tc>
          <w:tcPr>
            <w:tcW w:w="196" w:type="dxa"/>
            <w:tcBorders/>
            <w:shd w:fill="auto" w:val="clear"/>
            <w:vAlign w:val="bottom"/>
          </w:tcPr>
          <w:p>
            <w:pPr>
              <w:pStyle w:val="TableContents"/>
              <w:spacing w:before="0" w:after="0"/>
              <w:ind w:left="0" w:right="0" w:hanging="0"/>
              <w:rPr/>
            </w:pPr>
            <w:r>
              <w:rPr/>
              <w:t> </w:t>
            </w:r>
          </w:p>
        </w:tc>
        <w:tc>
          <w:tcPr>
            <w:tcW w:w="8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197</w:t>
            </w:r>
          </w:p>
        </w:tc>
        <w:tc>
          <w:tcPr>
            <w:tcW w:w="204" w:type="dxa"/>
            <w:tcBorders/>
            <w:shd w:fill="auto" w:val="clear"/>
            <w:vAlign w:val="bottom"/>
          </w:tcPr>
          <w:p>
            <w:pPr>
              <w:pStyle w:val="TableContents"/>
              <w:spacing w:before="0" w:after="0"/>
              <w:ind w:left="0" w:right="0" w:hanging="0"/>
              <w:rPr/>
            </w:pPr>
            <w:r>
              <w:rPr/>
              <w:t> </w:t>
            </w:r>
          </w:p>
        </w:tc>
        <w:tc>
          <w:tcPr>
            <w:tcW w:w="7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206" w:type="dxa"/>
            <w:tcBorders/>
            <w:shd w:fill="auto" w:val="clear"/>
            <w:vAlign w:val="bottom"/>
          </w:tcPr>
          <w:p>
            <w:pPr>
              <w:pStyle w:val="TableContents"/>
              <w:spacing w:before="0" w:after="0"/>
              <w:ind w:left="0" w:right="0" w:hanging="0"/>
              <w:rPr/>
            </w:pPr>
            <w:r>
              <w:rPr/>
              <w:t> </w:t>
            </w:r>
          </w:p>
        </w:tc>
        <w:tc>
          <w:tcPr>
            <w:tcW w:w="79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204" w:type="dxa"/>
            <w:tcBorders/>
            <w:shd w:fill="auto" w:val="clear"/>
            <w:vAlign w:val="bottom"/>
          </w:tcPr>
          <w:p>
            <w:pPr>
              <w:pStyle w:val="TableContents"/>
              <w:spacing w:before="0" w:after="0"/>
              <w:ind w:left="0" w:right="0" w:hanging="0"/>
              <w:rPr/>
            </w:pPr>
            <w:r>
              <w:rPr/>
              <w:t> </w:t>
            </w:r>
          </w:p>
        </w:tc>
        <w:tc>
          <w:tcPr>
            <w:tcW w:w="8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w:t>
            </w:r>
          </w:p>
        </w:tc>
        <w:tc>
          <w:tcPr>
            <w:tcW w:w="204" w:type="dxa"/>
            <w:tcBorders/>
            <w:shd w:fill="auto" w:val="clear"/>
            <w:vAlign w:val="bottom"/>
          </w:tcPr>
          <w:p>
            <w:pPr>
              <w:pStyle w:val="TableContents"/>
              <w:spacing w:before="0" w:after="0"/>
              <w:ind w:left="0" w:right="0" w:hanging="0"/>
              <w:rPr/>
            </w:pPr>
            <w:r>
              <w:rPr/>
              <w:t> </w:t>
            </w:r>
          </w:p>
        </w:tc>
        <w:tc>
          <w:tcPr>
            <w:tcW w:w="8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204" w:type="dxa"/>
            <w:tcBorders/>
            <w:shd w:fill="auto" w:val="clear"/>
            <w:vAlign w:val="bottom"/>
          </w:tcPr>
          <w:p>
            <w:pPr>
              <w:pStyle w:val="TableContents"/>
              <w:spacing w:before="0" w:after="0"/>
              <w:ind w:left="0" w:right="0" w:hanging="0"/>
              <w:rPr/>
            </w:pPr>
            <w:r>
              <w:rPr/>
              <w:t> </w:t>
            </w:r>
          </w:p>
        </w:tc>
        <w:tc>
          <w:tcPr>
            <w:tcW w:w="8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204" w:type="dxa"/>
            <w:tcBorders/>
            <w:shd w:fill="auto" w:val="clear"/>
            <w:vAlign w:val="bottom"/>
          </w:tcPr>
          <w:p>
            <w:pPr>
              <w:pStyle w:val="TableContents"/>
              <w:spacing w:before="0" w:after="0"/>
              <w:ind w:left="0" w:right="0" w:hanging="0"/>
              <w:rPr/>
            </w:pPr>
            <w:r>
              <w:rPr/>
              <w:t> </w:t>
            </w:r>
          </w:p>
        </w:tc>
        <w:tc>
          <w:tcPr>
            <w:tcW w:w="82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588</w:t>
            </w:r>
          </w:p>
        </w:tc>
        <w:tc>
          <w:tcPr>
            <w:tcW w:w="13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2942"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income, net </w:t>
            </w:r>
          </w:p>
        </w:tc>
        <w:tc>
          <w:tcPr>
            <w:tcW w:w="196" w:type="dxa"/>
            <w:tcBorders/>
            <w:shd w:fill="CCEEFF" w:val="clear"/>
            <w:vAlign w:val="bottom"/>
          </w:tcPr>
          <w:p>
            <w:pPr>
              <w:pStyle w:val="TableContents"/>
              <w:spacing w:before="0" w:after="0"/>
              <w:ind w:left="0" w:right="0" w:hanging="0"/>
              <w:rPr/>
            </w:pPr>
            <w:r>
              <w:rPr/>
              <w:t> </w:t>
            </w:r>
          </w:p>
        </w:tc>
        <w:tc>
          <w:tcPr>
            <w:tcW w:w="8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4" w:type="dxa"/>
            <w:tcBorders/>
            <w:shd w:fill="CCEEFF" w:val="clear"/>
            <w:vAlign w:val="bottom"/>
          </w:tcPr>
          <w:p>
            <w:pPr>
              <w:pStyle w:val="TableContents"/>
              <w:spacing w:before="0" w:after="0"/>
              <w:ind w:left="0" w:right="0" w:hanging="0"/>
              <w:rPr/>
            </w:pPr>
            <w:r>
              <w:rPr/>
              <w:t> </w:t>
            </w:r>
          </w:p>
        </w:tc>
        <w:tc>
          <w:tcPr>
            <w:tcW w:w="7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6" w:type="dxa"/>
            <w:tcBorders/>
            <w:shd w:fill="CCEEFF" w:val="clear"/>
            <w:vAlign w:val="bottom"/>
          </w:tcPr>
          <w:p>
            <w:pPr>
              <w:pStyle w:val="TableContents"/>
              <w:spacing w:before="0" w:after="0"/>
              <w:ind w:left="0" w:right="0" w:hanging="0"/>
              <w:rPr/>
            </w:pPr>
            <w:r>
              <w:rPr/>
              <w:t> </w:t>
            </w:r>
          </w:p>
        </w:tc>
        <w:tc>
          <w:tcPr>
            <w:tcW w:w="79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4" w:type="dxa"/>
            <w:tcBorders/>
            <w:shd w:fill="CCEEFF" w:val="clear"/>
            <w:vAlign w:val="bottom"/>
          </w:tcPr>
          <w:p>
            <w:pPr>
              <w:pStyle w:val="TableContents"/>
              <w:spacing w:before="0" w:after="0"/>
              <w:ind w:left="0" w:right="0" w:hanging="0"/>
              <w:rPr/>
            </w:pPr>
            <w:r>
              <w:rPr/>
              <w:t> </w:t>
            </w:r>
          </w:p>
        </w:tc>
        <w:tc>
          <w:tcPr>
            <w:tcW w:w="8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4" w:type="dxa"/>
            <w:tcBorders/>
            <w:shd w:fill="CCEEFF" w:val="clear"/>
            <w:vAlign w:val="bottom"/>
          </w:tcPr>
          <w:p>
            <w:pPr>
              <w:pStyle w:val="TableContents"/>
              <w:spacing w:before="0" w:after="0"/>
              <w:ind w:left="0" w:right="0" w:hanging="0"/>
              <w:rPr/>
            </w:pPr>
            <w:r>
              <w:rPr/>
              <w:t> </w:t>
            </w:r>
          </w:p>
        </w:tc>
        <w:tc>
          <w:tcPr>
            <w:tcW w:w="8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4" w:type="dxa"/>
            <w:tcBorders/>
            <w:shd w:fill="CCEEFF" w:val="clear"/>
            <w:vAlign w:val="bottom"/>
          </w:tcPr>
          <w:p>
            <w:pPr>
              <w:pStyle w:val="TableContents"/>
              <w:spacing w:before="0" w:after="0"/>
              <w:ind w:left="0" w:right="0" w:hanging="0"/>
              <w:rPr/>
            </w:pPr>
            <w:r>
              <w:rPr/>
              <w:t> </w:t>
            </w:r>
          </w:p>
        </w:tc>
        <w:tc>
          <w:tcPr>
            <w:tcW w:w="8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4" w:type="dxa"/>
            <w:tcBorders/>
            <w:shd w:fill="CCEEFF" w:val="clear"/>
            <w:vAlign w:val="bottom"/>
          </w:tcPr>
          <w:p>
            <w:pPr>
              <w:pStyle w:val="TableContents"/>
              <w:spacing w:before="0" w:after="0"/>
              <w:ind w:left="0" w:right="0" w:hanging="0"/>
              <w:rPr/>
            </w:pPr>
            <w:r>
              <w:rPr/>
              <w:t> </w:t>
            </w:r>
          </w:p>
        </w:tc>
        <w:tc>
          <w:tcPr>
            <w:tcW w:w="82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2942"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Adjusted EBITDA </w:t>
            </w:r>
          </w:p>
        </w:tc>
        <w:tc>
          <w:tcPr>
            <w:tcW w:w="196"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472</w:t>
            </w:r>
          </w:p>
        </w:tc>
        <w:tc>
          <w:tcPr>
            <w:tcW w:w="204"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440</w:t>
            </w:r>
          </w:p>
        </w:tc>
        <w:tc>
          <w:tcPr>
            <w:tcW w:w="206"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480</w:t>
            </w:r>
          </w:p>
        </w:tc>
        <w:tc>
          <w:tcPr>
            <w:tcW w:w="204" w:type="dxa"/>
            <w:tcBorders/>
            <w:shd w:fill="auto" w:val="clear"/>
            <w:vAlign w:val="bottom"/>
          </w:tcPr>
          <w:p>
            <w:pPr>
              <w:pStyle w:val="TableContents"/>
              <w:spacing w:before="0" w:after="0"/>
              <w:ind w:left="0" w:right="0" w:hanging="0"/>
              <w:rPr/>
            </w:pPr>
            <w:r>
              <w:rPr/>
              <w:t> </w:t>
            </w:r>
          </w:p>
        </w:tc>
        <w:tc>
          <w:tcPr>
            <w:tcW w:w="13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828</w:t>
            </w:r>
          </w:p>
        </w:tc>
        <w:tc>
          <w:tcPr>
            <w:tcW w:w="204" w:type="dxa"/>
            <w:tcBorders/>
            <w:shd w:fill="auto" w:val="clear"/>
            <w:vAlign w:val="bottom"/>
          </w:tcPr>
          <w:p>
            <w:pPr>
              <w:pStyle w:val="TableContents"/>
              <w:spacing w:before="0" w:after="0"/>
              <w:ind w:left="0" w:right="0" w:hanging="0"/>
              <w:rPr/>
            </w:pPr>
            <w:r>
              <w:rPr/>
              <w:t> </w:t>
            </w:r>
          </w:p>
        </w:tc>
        <w:tc>
          <w:tcPr>
            <w:tcW w:w="13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908</w:t>
            </w:r>
          </w:p>
        </w:tc>
        <w:tc>
          <w:tcPr>
            <w:tcW w:w="204" w:type="dxa"/>
            <w:tcBorders/>
            <w:shd w:fill="auto" w:val="clear"/>
            <w:vAlign w:val="bottom"/>
          </w:tcPr>
          <w:p>
            <w:pPr>
              <w:pStyle w:val="TableContents"/>
              <w:spacing w:before="0" w:after="0"/>
              <w:ind w:left="0" w:right="0" w:hanging="0"/>
              <w:rPr/>
            </w:pPr>
            <w:r>
              <w:rPr/>
              <w:t> </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1,740</w:t>
            </w:r>
          </w:p>
        </w:tc>
        <w:tc>
          <w:tcPr>
            <w:tcW w:w="204" w:type="dxa"/>
            <w:tcBorders/>
            <w:shd w:fill="auto" w:val="clear"/>
            <w:vAlign w:val="bottom"/>
          </w:tcPr>
          <w:p>
            <w:pPr>
              <w:pStyle w:val="TableContents"/>
              <w:spacing w:before="0" w:after="0"/>
              <w:ind w:left="0" w:right="0" w:hanging="0"/>
              <w:rPr/>
            </w:pPr>
            <w:r>
              <w:rPr/>
              <w:t> </w:t>
            </w:r>
          </w:p>
        </w:tc>
        <w:tc>
          <w:tcPr>
            <w:tcW w:w="13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1,860</w:t>
            </w:r>
          </w:p>
        </w:tc>
        <w:tc>
          <w:tcPr>
            <w:tcW w:w="13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2942"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Adjusted Net Income attributable to Plains </w:t>
            </w:r>
          </w:p>
        </w:tc>
        <w:tc>
          <w:tcPr>
            <w:tcW w:w="196"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204"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263</w:t>
            </w:r>
          </w:p>
        </w:tc>
        <w:tc>
          <w:tcPr>
            <w:tcW w:w="206"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312</w:t>
            </w:r>
          </w:p>
        </w:tc>
        <w:tc>
          <w:tcPr>
            <w:tcW w:w="204"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462</w:t>
            </w:r>
          </w:p>
        </w:tc>
        <w:tc>
          <w:tcPr>
            <w:tcW w:w="204"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565</w:t>
            </w:r>
          </w:p>
        </w:tc>
        <w:tc>
          <w:tcPr>
            <w:tcW w:w="204" w:type="dxa"/>
            <w:tcBorders/>
            <w:shd w:fill="CCEEFF" w:val="clear"/>
            <w:vAlign w:val="bottom"/>
          </w:tcPr>
          <w:p>
            <w:pPr>
              <w:pStyle w:val="TableContents"/>
              <w:spacing w:before="0" w:after="0"/>
              <w:ind w:left="0" w:right="0" w:hanging="0"/>
              <w:rPr/>
            </w:pPr>
            <w:r>
              <w:rPr/>
              <w:t> </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1,045</w:t>
            </w:r>
          </w:p>
        </w:tc>
        <w:tc>
          <w:tcPr>
            <w:tcW w:w="204"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1,197</w:t>
            </w:r>
          </w:p>
        </w:tc>
        <w:tc>
          <w:tcPr>
            <w:tcW w:w="13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2942"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Adjusted Basic Net Income per Limited Partner Unit </w:t>
            </w:r>
          </w:p>
        </w:tc>
        <w:tc>
          <w:tcPr>
            <w:tcW w:w="196"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204"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206" w:type="dxa"/>
            <w:tcBorders/>
            <w:shd w:fill="auto" w:val="clear"/>
            <w:vAlign w:val="bottom"/>
          </w:tcPr>
          <w:p>
            <w:pPr>
              <w:pStyle w:val="TableContents"/>
              <w:spacing w:before="0" w:after="0"/>
              <w:ind w:left="0" w:right="0" w:hanging="0"/>
              <w:rPr/>
            </w:pPr>
            <w:r>
              <w:rPr/>
              <w:t> </w:t>
            </w:r>
          </w:p>
        </w:tc>
        <w:tc>
          <w:tcPr>
            <w:tcW w:w="13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1.48</w:t>
            </w:r>
          </w:p>
        </w:tc>
        <w:tc>
          <w:tcPr>
            <w:tcW w:w="204" w:type="dxa"/>
            <w:tcBorders/>
            <w:shd w:fill="auto" w:val="clear"/>
            <w:vAlign w:val="bottom"/>
          </w:tcPr>
          <w:p>
            <w:pPr>
              <w:pStyle w:val="TableContents"/>
              <w:spacing w:before="0" w:after="0"/>
              <w:ind w:left="0" w:right="0" w:hanging="0"/>
              <w:rPr/>
            </w:pPr>
            <w:r>
              <w:rPr/>
              <w:t> </w:t>
            </w:r>
          </w:p>
        </w:tc>
        <w:tc>
          <w:tcPr>
            <w:tcW w:w="13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1.93</w:t>
            </w:r>
          </w:p>
        </w:tc>
        <w:tc>
          <w:tcPr>
            <w:tcW w:w="204" w:type="dxa"/>
            <w:tcBorders/>
            <w:shd w:fill="auto" w:val="clear"/>
            <w:vAlign w:val="bottom"/>
          </w:tcPr>
          <w:p>
            <w:pPr>
              <w:pStyle w:val="TableContents"/>
              <w:spacing w:before="0" w:after="0"/>
              <w:ind w:left="0" w:right="0" w:hanging="0"/>
              <w:rPr/>
            </w:pPr>
            <w:r>
              <w:rPr/>
              <w:t> </w:t>
            </w:r>
          </w:p>
        </w:tc>
        <w:tc>
          <w:tcPr>
            <w:tcW w:w="13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w:t>
            </w:r>
          </w:p>
        </w:tc>
        <w:tc>
          <w:tcPr>
            <w:tcW w:w="204" w:type="dxa"/>
            <w:tcBorders/>
            <w:shd w:fill="auto" w:val="clear"/>
            <w:vAlign w:val="bottom"/>
          </w:tcPr>
          <w:p>
            <w:pPr>
              <w:pStyle w:val="TableContents"/>
              <w:spacing w:before="0" w:after="0"/>
              <w:ind w:left="0" w:right="0" w:hanging="0"/>
              <w:rPr/>
            </w:pPr>
            <w:r>
              <w:rPr/>
              <w:t> </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4.70</w:t>
            </w:r>
          </w:p>
        </w:tc>
        <w:tc>
          <w:tcPr>
            <w:tcW w:w="204" w:type="dxa"/>
            <w:tcBorders/>
            <w:shd w:fill="auto" w:val="clear"/>
            <w:vAlign w:val="bottom"/>
          </w:tcPr>
          <w:p>
            <w:pPr>
              <w:pStyle w:val="TableContents"/>
              <w:spacing w:before="0" w:after="0"/>
              <w:ind w:left="0" w:right="0" w:hanging="0"/>
              <w:rPr/>
            </w:pPr>
            <w:r>
              <w:rPr/>
              <w:t> </w:t>
            </w:r>
          </w:p>
        </w:tc>
        <w:tc>
          <w:tcPr>
            <w:tcW w:w="13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5.64</w:t>
            </w:r>
          </w:p>
        </w:tc>
        <w:tc>
          <w:tcPr>
            <w:tcW w:w="13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2942"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Adjusted Diluted Net Income per Limited Partner Unit </w:t>
            </w:r>
          </w:p>
        </w:tc>
        <w:tc>
          <w:tcPr>
            <w:tcW w:w="196"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w:t>
            </w:r>
          </w:p>
        </w:tc>
        <w:tc>
          <w:tcPr>
            <w:tcW w:w="204"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206"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6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204"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204"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204" w:type="dxa"/>
            <w:tcBorders/>
            <w:shd w:fill="CCEEFF" w:val="clear"/>
            <w:vAlign w:val="bottom"/>
          </w:tcPr>
          <w:p>
            <w:pPr>
              <w:pStyle w:val="TableContents"/>
              <w:spacing w:before="0" w:after="0"/>
              <w:ind w:left="0" w:right="0" w:hanging="0"/>
              <w:rPr/>
            </w:pPr>
            <w:r>
              <w:rPr/>
              <w:t> </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4.65</w:t>
            </w:r>
          </w:p>
        </w:tc>
        <w:tc>
          <w:tcPr>
            <w:tcW w:w="204" w:type="dxa"/>
            <w:tcBorders/>
            <w:shd w:fill="CCEEFF" w:val="clear"/>
            <w:vAlign w:val="bottom"/>
          </w:tcPr>
          <w:p>
            <w:pPr>
              <w:pStyle w:val="TableContents"/>
              <w:spacing w:before="0" w:after="0"/>
              <w:ind w:left="0" w:right="0" w:hanging="0"/>
              <w:rPr/>
            </w:pPr>
            <w:r>
              <w:rPr/>
              <w:t> </w:t>
            </w:r>
          </w:p>
        </w:tc>
        <w:tc>
          <w:tcPr>
            <w:tcW w:w="13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9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w:t>
            </w:r>
          </w:p>
        </w:tc>
        <w:tc>
          <w:tcPr>
            <w:tcW w:w="13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2942" w:type="dxa"/>
            <w:tcBorders>
              <w:left w:val="single" w:sz="8" w:space="0" w:color="000000"/>
              <w:bottom w:val="single" w:sz="8" w:space="0" w:color="000000"/>
            </w:tcBorders>
            <w:shd w:fill="auto" w:val="clear"/>
            <w:tcMar>
              <w:left w:w="28" w:type="dxa"/>
              <w:bottom w:w="28" w:type="dxa"/>
            </w:tcMar>
            <w:vAlign w:val="bottom"/>
          </w:tcPr>
          <w:p>
            <w:pPr>
              <w:pStyle w:val="TableContents"/>
              <w:spacing w:before="0" w:after="0"/>
              <w:ind w:left="0" w:right="0" w:hanging="0"/>
              <w:rPr/>
            </w:pPr>
            <w:r>
              <w:rPr/>
              <w:t> </w:t>
            </w:r>
          </w:p>
        </w:tc>
        <w:tc>
          <w:tcPr>
            <w:tcW w:w="196"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3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0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06"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9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0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2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0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2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0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0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2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33" w:type="dxa"/>
            <w:tcBorders>
              <w:bottom w:val="single" w:sz="8" w:space="0" w:color="000000"/>
              <w:right w:val="single" w:sz="8" w:space="0" w:color="000000"/>
            </w:tcBorders>
            <w:shd w:fill="auto" w:val="clear"/>
            <w:tcMar>
              <w:bottom w:w="28" w:type="dxa"/>
              <w:right w:w="28"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307"/>
        <w:gridCol w:w="9898"/>
      </w:tblGrid>
      <w:tr>
        <w:trPr/>
        <w:tc>
          <w:tcPr>
            <w:tcW w:w="307"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989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projected average foreign exchange rate is $1.00 Canadian to $1.00 U.S. for the three-month period ending June 30, 2012 and the six-month period ending December 31, 2012. The rate as of May 4, 2012 was $1.00 Canadian to $1.00 U.S. A $0.05 change in the FX rate will impact annual adjusted EBITDA by approximately $15 million.</w:t>
            </w:r>
          </w:p>
        </w:tc>
      </w:tr>
      <w:tr>
        <w:trPr/>
        <w:tc>
          <w:tcPr>
            <w:tcW w:w="307"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989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and limited partners in accordance with the contractual terms of the partnership agreement.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202617_5335"/>
      <w:bookmarkEnd w:id="3"/>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Notes and Significant Assumptions: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 </w:t>
      </w:r>
      <w:r>
        <w:rPr>
          <w:rFonts w:ascii="Times New Roman" w:hAnsi="Times New Roman"/>
          <w:i/>
          <w:sz w:val="17"/>
        </w:rPr>
        <w:t>Definitions.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751"/>
        <w:gridCol w:w="206"/>
        <w:gridCol w:w="8248"/>
      </w:tblGrid>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and taxes</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taxes and depreciation and amortization expense</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revenues (including equity earnings, as applicable) less field operating costs and segment general and administrative expenses</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FASB</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Financial Accounting Standards Board</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Bbls/d</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Barrels per day</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Bcf</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Billion cubic feet</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LTIP</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Incentive Plan</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LPG</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Liquefied petroleum gas and other natural gas-related products</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Natural gas liquids.  Includes ethane and natural gasoline products as well as propane and butane, which are often referred to as LPG.  When used in this document NGL refers to all NGL products including LPG.</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FX</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Foreign currency exchange</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partner (GP)</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the context requires, general partner refers to any or all of (i) PAA GP LLC, the owner of our 2% general partner interest, (ii) Plains AAP, L.P., the sole member of PAA GP LLC and owner of our incentive distribution rights and (iii) Plains All American GP LLC, the general partner of Plains AAP, L.P.</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i/>
          <w:sz w:val="17"/>
        </w:rPr>
        <w:t>Operating Segments</w:t>
      </w:r>
      <w:r>
        <w:rPr>
          <w:rFonts w:ascii="Times New Roman" w:hAnsi="Times New Roman"/>
          <w:sz w:val="17"/>
        </w:rPr>
        <w:t>. We manage our operations through three operating segments: (i) Transportation, (ii) Facilities and (iii) Supply and Logistics. The following is a brief explanation of the operating activities for each segment as well as key metrics.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i/>
          <w:sz w:val="17"/>
        </w:rPr>
        <w:t>Transportation.</w:t>
      </w:r>
      <w:r>
        <w:rPr>
          <w:rFonts w:ascii="Times New Roman" w:hAnsi="Times New Roman"/>
        </w:rPr>
        <w:t xml:space="preserve"> </w:t>
      </w:r>
      <w:r>
        <w:rPr>
          <w:rFonts w:ascii="Times New Roman" w:hAnsi="Times New Roman"/>
          <w:sz w:val="17"/>
        </w:rPr>
        <w:t>Our transportation segment operations generally consist of fee-based activities associated with transporting crude oil and refined products on pipelines, gathering systems, trucks and barges. We generate revenue through a combination of tariffs, third-party leases of pipeline capacity and transportation fees. Our transportation segment also includes our equity earnings from our investments in the Butte, Frontier and White Cliffs pipeline systems and Settoon Towing, in which we own noncontrolling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Pipeline volume estimates are based on historical trends, anticipated future operating performance and assumed completion of internal growth projects. Actual volumes will be influenced by maintenance schedules at refineries, production trends, weather and other natural occurrences including hurricanes, changes in the quantity of inventory held in tanks, and other external factors beyond our control. We forecast adjusted segment profit using the volume assumptions in the table below, priced at forecasted tariff rates, less estimated field operating costs and G&amp;A expenses. Field operating costs do not include depreciation. Actual segment profit could vary materially depending on the level and mix of volumes transported or expenses incurred during the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total transportation volumes and highlights major systems that are significant either in total volumes transported or in contribution to total transportation segment profit.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4" w:name="PB_4_202704_5796"/>
      <w:bookmarkEnd w:id="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4800" w:type="pct"/>
        <w:jc w:val="left"/>
        <w:tblInd w:w="0" w:type="dxa"/>
        <w:tblCellMar>
          <w:top w:w="0" w:type="dxa"/>
          <w:left w:w="0" w:type="dxa"/>
          <w:bottom w:w="0" w:type="dxa"/>
          <w:right w:w="0" w:type="dxa"/>
        </w:tblCellMar>
      </w:tblPr>
      <w:tblGrid>
        <w:gridCol w:w="3204"/>
        <w:gridCol w:w="175"/>
        <w:gridCol w:w="214"/>
        <w:gridCol w:w="1186"/>
        <w:gridCol w:w="175"/>
        <w:gridCol w:w="214"/>
        <w:gridCol w:w="1186"/>
        <w:gridCol w:w="211"/>
        <w:gridCol w:w="201"/>
        <w:gridCol w:w="1146"/>
        <w:gridCol w:w="211"/>
        <w:gridCol w:w="228"/>
        <w:gridCol w:w="1226"/>
        <w:gridCol w:w="219"/>
      </w:tblGrid>
      <w:tr>
        <w:trPr/>
        <w:tc>
          <w:tcPr>
            <w:tcW w:w="3204"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40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75" w:type="dxa"/>
            <w:tcBorders/>
            <w:shd w:fill="auto" w:val="clear"/>
            <w:vAlign w:val="bottom"/>
          </w:tcPr>
          <w:p>
            <w:pPr>
              <w:pStyle w:val="TableContents"/>
              <w:spacing w:before="0" w:after="0"/>
              <w:ind w:left="0" w:right="0" w:hanging="0"/>
              <w:jc w:val="center"/>
              <w:rPr/>
            </w:pPr>
            <w:r>
              <w:rPr/>
              <w:t> </w:t>
            </w:r>
          </w:p>
        </w:tc>
        <w:tc>
          <w:tcPr>
            <w:tcW w:w="4623"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219" w:type="dxa"/>
            <w:tcBorders/>
            <w:shd w:fill="auto" w:val="clear"/>
            <w:vAlign w:val="bottom"/>
          </w:tcPr>
          <w:p>
            <w:pPr>
              <w:pStyle w:val="TableContents"/>
              <w:spacing w:before="0" w:after="0"/>
              <w:ind w:left="0" w:right="0" w:hanging="0"/>
              <w:jc w:val="center"/>
              <w:rPr/>
            </w:pPr>
            <w:r>
              <w:rPr/>
              <w:t> </w:t>
            </w:r>
          </w:p>
        </w:tc>
      </w:tr>
      <w:tr>
        <w:trPr/>
        <w:tc>
          <w:tcPr>
            <w:tcW w:w="3204"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40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75" w:type="dxa"/>
            <w:tcBorders/>
            <w:shd w:fill="auto" w:val="clear"/>
            <w:vAlign w:val="bottom"/>
          </w:tcPr>
          <w:p>
            <w:pPr>
              <w:pStyle w:val="TableContents"/>
              <w:spacing w:before="0" w:after="0"/>
              <w:ind w:left="0" w:right="0" w:hanging="0"/>
              <w:jc w:val="center"/>
              <w:rPr/>
            </w:pPr>
            <w:r>
              <w:rPr/>
              <w:t> </w:t>
            </w:r>
          </w:p>
        </w:tc>
        <w:tc>
          <w:tcPr>
            <w:tcW w:w="140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1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47"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21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454"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219" w:type="dxa"/>
            <w:tcBorders/>
            <w:shd w:fill="auto" w:val="clear"/>
            <w:vAlign w:val="bottom"/>
          </w:tcPr>
          <w:p>
            <w:pPr>
              <w:pStyle w:val="TableContents"/>
              <w:spacing w:before="0" w:after="0"/>
              <w:ind w:left="0" w:right="0" w:hanging="0"/>
              <w:jc w:val="center"/>
              <w:rPr/>
            </w:pPr>
            <w:r>
              <w:rPr/>
              <w:t> </w:t>
            </w:r>
          </w:p>
        </w:tc>
      </w:tr>
      <w:tr>
        <w:trPr/>
        <w:tc>
          <w:tcPr>
            <w:tcW w:w="3204"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40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75" w:type="dxa"/>
            <w:tcBorders/>
            <w:shd w:fill="auto" w:val="clear"/>
            <w:vAlign w:val="bottom"/>
          </w:tcPr>
          <w:p>
            <w:pPr>
              <w:pStyle w:val="TableContents"/>
              <w:spacing w:before="0" w:after="0"/>
              <w:ind w:left="0" w:right="0" w:hanging="0"/>
              <w:jc w:val="center"/>
              <w:rPr/>
            </w:pPr>
            <w:r>
              <w:rPr/>
              <w:t> </w:t>
            </w:r>
          </w:p>
        </w:tc>
        <w:tc>
          <w:tcPr>
            <w:tcW w:w="140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11" w:type="dxa"/>
            <w:tcBorders/>
            <w:shd w:fill="auto" w:val="clear"/>
            <w:vAlign w:val="bottom"/>
          </w:tcPr>
          <w:p>
            <w:pPr>
              <w:pStyle w:val="TableContents"/>
              <w:spacing w:before="0" w:after="0"/>
              <w:ind w:left="0" w:right="0" w:hanging="0"/>
              <w:jc w:val="center"/>
              <w:rPr/>
            </w:pPr>
            <w:r>
              <w:rPr/>
              <w:t> </w:t>
            </w:r>
          </w:p>
        </w:tc>
        <w:tc>
          <w:tcPr>
            <w:tcW w:w="1347"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11" w:type="dxa"/>
            <w:tcBorders/>
            <w:shd w:fill="auto" w:val="clear"/>
            <w:vAlign w:val="bottom"/>
          </w:tcPr>
          <w:p>
            <w:pPr>
              <w:pStyle w:val="TableContents"/>
              <w:spacing w:before="0" w:after="0"/>
              <w:ind w:left="0" w:right="0" w:hanging="0"/>
              <w:jc w:val="center"/>
              <w:rPr/>
            </w:pPr>
            <w:r>
              <w:rPr/>
              <w:t> </w:t>
            </w:r>
          </w:p>
        </w:tc>
        <w:tc>
          <w:tcPr>
            <w:tcW w:w="145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19" w:type="dxa"/>
            <w:tcBorders/>
            <w:shd w:fill="auto" w:val="clear"/>
            <w:vAlign w:val="bottom"/>
          </w:tcPr>
          <w:p>
            <w:pPr>
              <w:pStyle w:val="TableContents"/>
              <w:spacing w:before="0" w:after="0"/>
              <w:ind w:left="0" w:right="0" w:hanging="0"/>
              <w:jc w:val="center"/>
              <w:rPr/>
            </w:pPr>
            <w:r>
              <w:rPr/>
              <w:t> </w:t>
            </w:r>
          </w:p>
        </w:tc>
      </w:tr>
      <w:tr>
        <w:trPr/>
        <w:tc>
          <w:tcPr>
            <w:tcW w:w="3204"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jc w:val="center"/>
              <w:rPr/>
            </w:pPr>
            <w:r>
              <w:rPr/>
              <w:t> </w:t>
            </w:r>
          </w:p>
        </w:tc>
        <w:tc>
          <w:tcPr>
            <w:tcW w:w="140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 31, 2012</w:t>
            </w:r>
          </w:p>
        </w:tc>
        <w:tc>
          <w:tcPr>
            <w:tcW w:w="175" w:type="dxa"/>
            <w:tcBorders/>
            <w:shd w:fill="auto" w:val="clear"/>
            <w:vAlign w:val="bottom"/>
          </w:tcPr>
          <w:p>
            <w:pPr>
              <w:pStyle w:val="TableContents"/>
              <w:spacing w:before="0" w:after="0"/>
              <w:ind w:left="0" w:right="0" w:hanging="0"/>
              <w:jc w:val="center"/>
              <w:rPr/>
            </w:pPr>
            <w:r>
              <w:rPr/>
              <w:t> </w:t>
            </w:r>
          </w:p>
        </w:tc>
        <w:tc>
          <w:tcPr>
            <w:tcW w:w="140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 30, 2012</w:t>
            </w:r>
          </w:p>
        </w:tc>
        <w:tc>
          <w:tcPr>
            <w:tcW w:w="211" w:type="dxa"/>
            <w:tcBorders/>
            <w:shd w:fill="auto" w:val="clear"/>
            <w:vAlign w:val="bottom"/>
          </w:tcPr>
          <w:p>
            <w:pPr>
              <w:pStyle w:val="TableContents"/>
              <w:spacing w:before="0" w:after="0"/>
              <w:ind w:left="0" w:right="0" w:hanging="0"/>
              <w:jc w:val="center"/>
              <w:rPr/>
            </w:pPr>
            <w:r>
              <w:rPr/>
              <w:t> </w:t>
            </w:r>
          </w:p>
        </w:tc>
        <w:tc>
          <w:tcPr>
            <w:tcW w:w="134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2012</w:t>
            </w:r>
          </w:p>
        </w:tc>
        <w:tc>
          <w:tcPr>
            <w:tcW w:w="211" w:type="dxa"/>
            <w:tcBorders/>
            <w:shd w:fill="auto" w:val="clear"/>
            <w:vAlign w:val="bottom"/>
          </w:tcPr>
          <w:p>
            <w:pPr>
              <w:pStyle w:val="TableContents"/>
              <w:spacing w:before="0" w:after="0"/>
              <w:ind w:left="0" w:right="0" w:hanging="0"/>
              <w:jc w:val="center"/>
              <w:rPr/>
            </w:pPr>
            <w:r>
              <w:rPr/>
              <w:t> </w:t>
            </w:r>
          </w:p>
        </w:tc>
        <w:tc>
          <w:tcPr>
            <w:tcW w:w="145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2012</w:t>
            </w:r>
          </w:p>
        </w:tc>
        <w:tc>
          <w:tcPr>
            <w:tcW w:w="219" w:type="dxa"/>
            <w:tcBorders/>
            <w:shd w:fill="auto" w:val="clear"/>
            <w:vAlign w:val="bottom"/>
          </w:tcPr>
          <w:p>
            <w:pPr>
              <w:pStyle w:val="TableContents"/>
              <w:spacing w:before="0" w:after="0"/>
              <w:ind w:left="0" w:right="0" w:hanging="0"/>
              <w:jc w:val="center"/>
              <w:rPr/>
            </w:pPr>
            <w:r>
              <w:rPr/>
              <w:t> </w:t>
            </w:r>
          </w:p>
        </w:tc>
      </w:tr>
      <w:tr>
        <w:trPr/>
        <w:tc>
          <w:tcPr>
            <w:tcW w:w="320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Average Daily Volumes (000 Bbls/d) </w:t>
            </w:r>
          </w:p>
        </w:tc>
        <w:tc>
          <w:tcPr>
            <w:tcW w:w="175" w:type="dxa"/>
            <w:tcBorders/>
            <w:shd w:fill="CCEEFF" w:val="clear"/>
            <w:vAlign w:val="bottom"/>
          </w:tcPr>
          <w:p>
            <w:pPr>
              <w:pStyle w:val="TableContents"/>
              <w:spacing w:before="0" w:after="0"/>
              <w:ind w:left="0" w:right="0" w:hanging="0"/>
              <w:rPr/>
            </w:pPr>
            <w:r>
              <w:rPr/>
              <w:t> </w:t>
            </w:r>
          </w:p>
        </w:tc>
        <w:tc>
          <w:tcPr>
            <w:tcW w:w="1400" w:type="dxa"/>
            <w:gridSpan w:val="2"/>
            <w:tcBorders/>
            <w:shd w:fill="CCEEFF" w:val="clear"/>
            <w:vAlign w:val="bottom"/>
          </w:tcPr>
          <w:p>
            <w:pPr>
              <w:pStyle w:val="TableContents"/>
              <w:spacing w:before="0" w:after="0"/>
              <w:ind w:left="0" w:right="0" w:hanging="0"/>
              <w:jc w:val="right"/>
              <w:rPr/>
            </w:pPr>
            <w:r>
              <w:rPr/>
              <w:t> </w:t>
            </w:r>
          </w:p>
        </w:tc>
        <w:tc>
          <w:tcPr>
            <w:tcW w:w="175" w:type="dxa"/>
            <w:tcBorders/>
            <w:shd w:fill="CCEEFF" w:val="clear"/>
            <w:vAlign w:val="bottom"/>
          </w:tcPr>
          <w:p>
            <w:pPr>
              <w:pStyle w:val="TableContents"/>
              <w:spacing w:before="0" w:after="0"/>
              <w:ind w:left="0" w:right="0" w:hanging="0"/>
              <w:rPr/>
            </w:pPr>
            <w:r>
              <w:rPr/>
              <w:t> </w:t>
            </w:r>
          </w:p>
        </w:tc>
        <w:tc>
          <w:tcPr>
            <w:tcW w:w="140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347"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454"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r>
      <w:tr>
        <w:trPr/>
        <w:tc>
          <w:tcPr>
            <w:tcW w:w="320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All American </w:t>
            </w:r>
          </w:p>
        </w:tc>
        <w:tc>
          <w:tcPr>
            <w:tcW w:w="175" w:type="dxa"/>
            <w:tcBorders/>
            <w:shd w:fill="auto" w:val="clear"/>
            <w:vAlign w:val="bottom"/>
          </w:tcPr>
          <w:p>
            <w:pPr>
              <w:pStyle w:val="TableContents"/>
              <w:spacing w:before="0" w:after="0"/>
              <w:ind w:left="0" w:right="0" w:hanging="0"/>
              <w:rPr/>
            </w:pPr>
            <w:r>
              <w:rPr/>
              <w:t> </w:t>
            </w:r>
          </w:p>
        </w:tc>
        <w:tc>
          <w:tcPr>
            <w:tcW w:w="14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75" w:type="dxa"/>
            <w:tcBorders/>
            <w:shd w:fill="auto" w:val="clear"/>
            <w:vAlign w:val="bottom"/>
          </w:tcPr>
          <w:p>
            <w:pPr>
              <w:pStyle w:val="TableContents"/>
              <w:spacing w:before="0" w:after="0"/>
              <w:ind w:left="0" w:right="0" w:hanging="0"/>
              <w:rPr/>
            </w:pPr>
            <w:r>
              <w:rPr/>
              <w:t> </w:t>
            </w:r>
          </w:p>
        </w:tc>
        <w:tc>
          <w:tcPr>
            <w:tcW w:w="14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11" w:type="dxa"/>
            <w:tcBorders/>
            <w:shd w:fill="auto" w:val="clear"/>
            <w:vAlign w:val="bottom"/>
          </w:tcPr>
          <w:p>
            <w:pPr>
              <w:pStyle w:val="TableContents"/>
              <w:spacing w:before="0" w:after="0"/>
              <w:ind w:left="0" w:right="0" w:hanging="0"/>
              <w:rPr/>
            </w:pPr>
            <w:r>
              <w:rPr/>
              <w:t> </w:t>
            </w:r>
          </w:p>
        </w:tc>
        <w:tc>
          <w:tcPr>
            <w:tcW w:w="13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11" w:type="dxa"/>
            <w:tcBorders/>
            <w:shd w:fill="auto" w:val="clear"/>
            <w:vAlign w:val="bottom"/>
          </w:tcPr>
          <w:p>
            <w:pPr>
              <w:pStyle w:val="TableContents"/>
              <w:spacing w:before="0" w:after="0"/>
              <w:ind w:left="0" w:right="0" w:hanging="0"/>
              <w:rPr/>
            </w:pPr>
            <w:r>
              <w:rPr/>
              <w:t> </w:t>
            </w:r>
          </w:p>
        </w:tc>
        <w:tc>
          <w:tcPr>
            <w:tcW w:w="14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19" w:type="dxa"/>
            <w:tcBorders/>
            <w:shd w:fill="auto" w:val="clear"/>
            <w:vAlign w:val="bottom"/>
          </w:tcPr>
          <w:p>
            <w:pPr>
              <w:pStyle w:val="TableContents"/>
              <w:spacing w:before="0" w:after="0"/>
              <w:ind w:left="0" w:right="0" w:hanging="0"/>
              <w:rPr/>
            </w:pPr>
            <w:r>
              <w:rPr/>
              <w:t> </w:t>
            </w:r>
          </w:p>
        </w:tc>
      </w:tr>
      <w:tr>
        <w:trPr/>
        <w:tc>
          <w:tcPr>
            <w:tcW w:w="320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Basin </w:t>
            </w:r>
          </w:p>
        </w:tc>
        <w:tc>
          <w:tcPr>
            <w:tcW w:w="175" w:type="dxa"/>
            <w:tcBorders/>
            <w:shd w:fill="CCEEFF" w:val="clear"/>
            <w:vAlign w:val="bottom"/>
          </w:tcPr>
          <w:p>
            <w:pPr>
              <w:pStyle w:val="TableContents"/>
              <w:spacing w:before="0" w:after="0"/>
              <w:ind w:left="0" w:right="0" w:hanging="0"/>
              <w:rPr/>
            </w:pPr>
            <w:r>
              <w:rPr/>
              <w:t> </w:t>
            </w:r>
          </w:p>
        </w:tc>
        <w:tc>
          <w:tcPr>
            <w:tcW w:w="14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497</w:t>
            </w:r>
          </w:p>
        </w:tc>
        <w:tc>
          <w:tcPr>
            <w:tcW w:w="175" w:type="dxa"/>
            <w:tcBorders/>
            <w:shd w:fill="CCEEFF" w:val="clear"/>
            <w:vAlign w:val="bottom"/>
          </w:tcPr>
          <w:p>
            <w:pPr>
              <w:pStyle w:val="TableContents"/>
              <w:spacing w:before="0" w:after="0"/>
              <w:ind w:left="0" w:right="0" w:hanging="0"/>
              <w:rPr/>
            </w:pPr>
            <w:r>
              <w:rPr/>
              <w:t> </w:t>
            </w:r>
          </w:p>
        </w:tc>
        <w:tc>
          <w:tcPr>
            <w:tcW w:w="14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495</w:t>
            </w:r>
          </w:p>
        </w:tc>
        <w:tc>
          <w:tcPr>
            <w:tcW w:w="211" w:type="dxa"/>
            <w:tcBorders/>
            <w:shd w:fill="CCEEFF" w:val="clear"/>
            <w:vAlign w:val="bottom"/>
          </w:tcPr>
          <w:p>
            <w:pPr>
              <w:pStyle w:val="TableContents"/>
              <w:spacing w:before="0" w:after="0"/>
              <w:ind w:left="0" w:right="0" w:hanging="0"/>
              <w:rPr/>
            </w:pPr>
            <w:r>
              <w:rPr/>
              <w:t> </w:t>
            </w:r>
          </w:p>
        </w:tc>
        <w:tc>
          <w:tcPr>
            <w:tcW w:w="13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495</w:t>
            </w:r>
          </w:p>
        </w:tc>
        <w:tc>
          <w:tcPr>
            <w:tcW w:w="211" w:type="dxa"/>
            <w:tcBorders/>
            <w:shd w:fill="CCEEFF" w:val="clear"/>
            <w:vAlign w:val="bottom"/>
          </w:tcPr>
          <w:p>
            <w:pPr>
              <w:pStyle w:val="TableContents"/>
              <w:spacing w:before="0" w:after="0"/>
              <w:ind w:left="0" w:right="0" w:hanging="0"/>
              <w:rPr/>
            </w:pPr>
            <w:r>
              <w:rPr/>
              <w:t> </w:t>
            </w:r>
          </w:p>
        </w:tc>
        <w:tc>
          <w:tcPr>
            <w:tcW w:w="14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495</w:t>
            </w:r>
          </w:p>
        </w:tc>
        <w:tc>
          <w:tcPr>
            <w:tcW w:w="219" w:type="dxa"/>
            <w:tcBorders/>
            <w:shd w:fill="CCEEFF" w:val="clear"/>
            <w:vAlign w:val="bottom"/>
          </w:tcPr>
          <w:p>
            <w:pPr>
              <w:pStyle w:val="TableContents"/>
              <w:spacing w:before="0" w:after="0"/>
              <w:ind w:left="0" w:right="0" w:hanging="0"/>
              <w:rPr/>
            </w:pPr>
            <w:r>
              <w:rPr/>
              <w:t> </w:t>
            </w:r>
          </w:p>
        </w:tc>
      </w:tr>
      <w:tr>
        <w:trPr/>
        <w:tc>
          <w:tcPr>
            <w:tcW w:w="320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Capline </w:t>
            </w:r>
          </w:p>
        </w:tc>
        <w:tc>
          <w:tcPr>
            <w:tcW w:w="175" w:type="dxa"/>
            <w:tcBorders/>
            <w:shd w:fill="auto" w:val="clear"/>
            <w:vAlign w:val="bottom"/>
          </w:tcPr>
          <w:p>
            <w:pPr>
              <w:pStyle w:val="TableContents"/>
              <w:spacing w:before="0" w:after="0"/>
              <w:ind w:left="0" w:right="0" w:hanging="0"/>
              <w:rPr/>
            </w:pPr>
            <w:r>
              <w:rPr/>
              <w:t> </w:t>
            </w:r>
          </w:p>
        </w:tc>
        <w:tc>
          <w:tcPr>
            <w:tcW w:w="14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175" w:type="dxa"/>
            <w:tcBorders/>
            <w:shd w:fill="auto" w:val="clear"/>
            <w:vAlign w:val="bottom"/>
          </w:tcPr>
          <w:p>
            <w:pPr>
              <w:pStyle w:val="TableContents"/>
              <w:spacing w:before="0" w:after="0"/>
              <w:ind w:left="0" w:right="0" w:hanging="0"/>
              <w:rPr/>
            </w:pPr>
            <w:r>
              <w:rPr/>
              <w:t> </w:t>
            </w:r>
          </w:p>
        </w:tc>
        <w:tc>
          <w:tcPr>
            <w:tcW w:w="14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211" w:type="dxa"/>
            <w:tcBorders/>
            <w:shd w:fill="auto" w:val="clear"/>
            <w:vAlign w:val="bottom"/>
          </w:tcPr>
          <w:p>
            <w:pPr>
              <w:pStyle w:val="TableContents"/>
              <w:spacing w:before="0" w:after="0"/>
              <w:ind w:left="0" w:right="0" w:hanging="0"/>
              <w:rPr/>
            </w:pPr>
            <w:r>
              <w:rPr/>
              <w:t> </w:t>
            </w:r>
          </w:p>
        </w:tc>
        <w:tc>
          <w:tcPr>
            <w:tcW w:w="13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211" w:type="dxa"/>
            <w:tcBorders/>
            <w:shd w:fill="auto" w:val="clear"/>
            <w:vAlign w:val="bottom"/>
          </w:tcPr>
          <w:p>
            <w:pPr>
              <w:pStyle w:val="TableContents"/>
              <w:spacing w:before="0" w:after="0"/>
              <w:ind w:left="0" w:right="0" w:hanging="0"/>
              <w:rPr/>
            </w:pPr>
            <w:r>
              <w:rPr/>
              <w:t> </w:t>
            </w:r>
          </w:p>
        </w:tc>
        <w:tc>
          <w:tcPr>
            <w:tcW w:w="14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219" w:type="dxa"/>
            <w:tcBorders/>
            <w:shd w:fill="auto" w:val="clear"/>
            <w:vAlign w:val="bottom"/>
          </w:tcPr>
          <w:p>
            <w:pPr>
              <w:pStyle w:val="TableContents"/>
              <w:spacing w:before="0" w:after="0"/>
              <w:ind w:left="0" w:right="0" w:hanging="0"/>
              <w:rPr/>
            </w:pPr>
            <w:r>
              <w:rPr/>
              <w:t> </w:t>
            </w:r>
          </w:p>
        </w:tc>
      </w:tr>
      <w:tr>
        <w:trPr/>
        <w:tc>
          <w:tcPr>
            <w:tcW w:w="320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Line 63 / 2000 </w:t>
            </w:r>
          </w:p>
        </w:tc>
        <w:tc>
          <w:tcPr>
            <w:tcW w:w="175" w:type="dxa"/>
            <w:tcBorders/>
            <w:shd w:fill="CCEEFF" w:val="clear"/>
            <w:vAlign w:val="bottom"/>
          </w:tcPr>
          <w:p>
            <w:pPr>
              <w:pStyle w:val="TableContents"/>
              <w:spacing w:before="0" w:after="0"/>
              <w:ind w:left="0" w:right="0" w:hanging="0"/>
              <w:rPr/>
            </w:pPr>
            <w:r>
              <w:rPr/>
              <w:t> </w:t>
            </w:r>
          </w:p>
        </w:tc>
        <w:tc>
          <w:tcPr>
            <w:tcW w:w="14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175" w:type="dxa"/>
            <w:tcBorders/>
            <w:shd w:fill="CCEEFF" w:val="clear"/>
            <w:vAlign w:val="bottom"/>
          </w:tcPr>
          <w:p>
            <w:pPr>
              <w:pStyle w:val="TableContents"/>
              <w:spacing w:before="0" w:after="0"/>
              <w:ind w:left="0" w:right="0" w:hanging="0"/>
              <w:rPr/>
            </w:pPr>
            <w:r>
              <w:rPr/>
              <w:t> </w:t>
            </w:r>
          </w:p>
        </w:tc>
        <w:tc>
          <w:tcPr>
            <w:tcW w:w="14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11" w:type="dxa"/>
            <w:tcBorders/>
            <w:shd w:fill="CCEEFF" w:val="clear"/>
            <w:vAlign w:val="bottom"/>
          </w:tcPr>
          <w:p>
            <w:pPr>
              <w:pStyle w:val="TableContents"/>
              <w:spacing w:before="0" w:after="0"/>
              <w:ind w:left="0" w:right="0" w:hanging="0"/>
              <w:rPr/>
            </w:pPr>
            <w:r>
              <w:rPr/>
              <w:t> </w:t>
            </w:r>
          </w:p>
        </w:tc>
        <w:tc>
          <w:tcPr>
            <w:tcW w:w="13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11" w:type="dxa"/>
            <w:tcBorders/>
            <w:shd w:fill="CCEEFF" w:val="clear"/>
            <w:vAlign w:val="bottom"/>
          </w:tcPr>
          <w:p>
            <w:pPr>
              <w:pStyle w:val="TableContents"/>
              <w:spacing w:before="0" w:after="0"/>
              <w:ind w:left="0" w:right="0" w:hanging="0"/>
              <w:rPr/>
            </w:pPr>
            <w:r>
              <w:rPr/>
              <w:t> </w:t>
            </w:r>
          </w:p>
        </w:tc>
        <w:tc>
          <w:tcPr>
            <w:tcW w:w="14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219" w:type="dxa"/>
            <w:tcBorders/>
            <w:shd w:fill="CCEEFF" w:val="clear"/>
            <w:vAlign w:val="bottom"/>
          </w:tcPr>
          <w:p>
            <w:pPr>
              <w:pStyle w:val="TableContents"/>
              <w:spacing w:before="0" w:after="0"/>
              <w:ind w:left="0" w:right="0" w:hanging="0"/>
              <w:rPr/>
            </w:pPr>
            <w:r>
              <w:rPr/>
              <w:t> </w:t>
            </w:r>
          </w:p>
        </w:tc>
      </w:tr>
      <w:tr>
        <w:trPr/>
        <w:tc>
          <w:tcPr>
            <w:tcW w:w="3204" w:type="dxa"/>
            <w:tcBorders/>
            <w:shd w:fill="auto" w:val="clear"/>
          </w:tcPr>
          <w:p>
            <w:pPr>
              <w:pStyle w:val="TableContents"/>
              <w:spacing w:before="0" w:after="0"/>
              <w:ind w:left="0" w:right="0" w:hanging="0"/>
              <w:rPr/>
            </w:pPr>
            <w:r>
              <w:rPr>
                <w:rFonts w:ascii="Times New Roman" w:hAnsi="Times New Roman"/>
                <w:sz w:val="17"/>
              </w:rPr>
              <w:t xml:space="preserve">Salt Lake City Area Systems </w:t>
            </w:r>
            <w:r>
              <w:rPr>
                <w:sz w:val="11"/>
              </w:rPr>
              <w:t>(</w:t>
            </w:r>
            <w:r>
              <w:rPr>
                <w:sz w:val="17"/>
              </w:rPr>
              <w:t>¹</w:t>
            </w:r>
            <w:r>
              <w:rPr>
                <w:sz w:val="11"/>
              </w:rPr>
              <w:t>)</w:t>
            </w:r>
            <w:r>
              <w:rPr/>
              <w:t> </w:t>
            </w:r>
          </w:p>
        </w:tc>
        <w:tc>
          <w:tcPr>
            <w:tcW w:w="175" w:type="dxa"/>
            <w:tcBorders/>
            <w:shd w:fill="auto" w:val="clear"/>
            <w:vAlign w:val="bottom"/>
          </w:tcPr>
          <w:p>
            <w:pPr>
              <w:pStyle w:val="TableContents"/>
              <w:spacing w:before="0" w:after="0"/>
              <w:ind w:left="0" w:right="0" w:hanging="0"/>
              <w:rPr/>
            </w:pPr>
            <w:r>
              <w:rPr/>
              <w:t> </w:t>
            </w:r>
          </w:p>
        </w:tc>
        <w:tc>
          <w:tcPr>
            <w:tcW w:w="14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75" w:type="dxa"/>
            <w:tcBorders/>
            <w:shd w:fill="auto" w:val="clear"/>
            <w:vAlign w:val="bottom"/>
          </w:tcPr>
          <w:p>
            <w:pPr>
              <w:pStyle w:val="TableContents"/>
              <w:spacing w:before="0" w:after="0"/>
              <w:ind w:left="0" w:right="0" w:hanging="0"/>
              <w:rPr/>
            </w:pPr>
            <w:r>
              <w:rPr/>
              <w:t> </w:t>
            </w:r>
          </w:p>
        </w:tc>
        <w:tc>
          <w:tcPr>
            <w:tcW w:w="14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11" w:type="dxa"/>
            <w:tcBorders/>
            <w:shd w:fill="auto" w:val="clear"/>
            <w:vAlign w:val="bottom"/>
          </w:tcPr>
          <w:p>
            <w:pPr>
              <w:pStyle w:val="TableContents"/>
              <w:spacing w:before="0" w:after="0"/>
              <w:ind w:left="0" w:right="0" w:hanging="0"/>
              <w:rPr/>
            </w:pPr>
            <w:r>
              <w:rPr/>
              <w:t> </w:t>
            </w:r>
          </w:p>
        </w:tc>
        <w:tc>
          <w:tcPr>
            <w:tcW w:w="13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211" w:type="dxa"/>
            <w:tcBorders/>
            <w:shd w:fill="auto" w:val="clear"/>
            <w:vAlign w:val="bottom"/>
          </w:tcPr>
          <w:p>
            <w:pPr>
              <w:pStyle w:val="TableContents"/>
              <w:spacing w:before="0" w:after="0"/>
              <w:ind w:left="0" w:right="0" w:hanging="0"/>
              <w:rPr/>
            </w:pPr>
            <w:r>
              <w:rPr/>
              <w:t> </w:t>
            </w:r>
          </w:p>
        </w:tc>
        <w:tc>
          <w:tcPr>
            <w:tcW w:w="14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w:t>
            </w:r>
          </w:p>
        </w:tc>
        <w:tc>
          <w:tcPr>
            <w:tcW w:w="219" w:type="dxa"/>
            <w:tcBorders/>
            <w:shd w:fill="auto" w:val="clear"/>
            <w:vAlign w:val="bottom"/>
          </w:tcPr>
          <w:p>
            <w:pPr>
              <w:pStyle w:val="TableContents"/>
              <w:spacing w:before="0" w:after="0"/>
              <w:ind w:left="0" w:right="0" w:hanging="0"/>
              <w:rPr/>
            </w:pPr>
            <w:r>
              <w:rPr/>
              <w:t> </w:t>
            </w:r>
          </w:p>
        </w:tc>
      </w:tr>
      <w:tr>
        <w:trPr/>
        <w:tc>
          <w:tcPr>
            <w:tcW w:w="3204" w:type="dxa"/>
            <w:tcBorders/>
            <w:shd w:fill="CCEEFF" w:val="clear"/>
          </w:tcPr>
          <w:p>
            <w:pPr>
              <w:pStyle w:val="TableContents"/>
              <w:spacing w:before="0" w:after="0"/>
              <w:ind w:left="0" w:right="0" w:hanging="0"/>
              <w:rPr/>
            </w:pPr>
            <w:r>
              <w:rPr>
                <w:rFonts w:ascii="Times New Roman" w:hAnsi="Times New Roman"/>
                <w:sz w:val="17"/>
              </w:rPr>
              <w:t xml:space="preserve">Permian Basin Area Systems </w:t>
            </w:r>
            <w:r>
              <w:rPr>
                <w:sz w:val="11"/>
              </w:rPr>
              <w:t>(</w:t>
            </w:r>
            <w:r>
              <w:rPr>
                <w:sz w:val="17"/>
              </w:rPr>
              <w:t>¹</w:t>
            </w:r>
            <w:r>
              <w:rPr>
                <w:sz w:val="11"/>
              </w:rPr>
              <w:t>)</w:t>
            </w:r>
            <w:r>
              <w:rPr/>
              <w:t> </w:t>
            </w:r>
          </w:p>
        </w:tc>
        <w:tc>
          <w:tcPr>
            <w:tcW w:w="175" w:type="dxa"/>
            <w:tcBorders/>
            <w:shd w:fill="CCEEFF" w:val="clear"/>
            <w:vAlign w:val="bottom"/>
          </w:tcPr>
          <w:p>
            <w:pPr>
              <w:pStyle w:val="TableContents"/>
              <w:spacing w:before="0" w:after="0"/>
              <w:ind w:left="0" w:right="0" w:hanging="0"/>
              <w:rPr/>
            </w:pPr>
            <w:r>
              <w:rPr/>
              <w:t> </w:t>
            </w:r>
          </w:p>
        </w:tc>
        <w:tc>
          <w:tcPr>
            <w:tcW w:w="14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454</w:t>
            </w:r>
          </w:p>
        </w:tc>
        <w:tc>
          <w:tcPr>
            <w:tcW w:w="175" w:type="dxa"/>
            <w:tcBorders/>
            <w:shd w:fill="CCEEFF" w:val="clear"/>
            <w:vAlign w:val="bottom"/>
          </w:tcPr>
          <w:p>
            <w:pPr>
              <w:pStyle w:val="TableContents"/>
              <w:spacing w:before="0" w:after="0"/>
              <w:ind w:left="0" w:right="0" w:hanging="0"/>
              <w:rPr/>
            </w:pPr>
            <w:r>
              <w:rPr/>
              <w:t> </w:t>
            </w:r>
          </w:p>
        </w:tc>
        <w:tc>
          <w:tcPr>
            <w:tcW w:w="14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460</w:t>
            </w:r>
          </w:p>
        </w:tc>
        <w:tc>
          <w:tcPr>
            <w:tcW w:w="211" w:type="dxa"/>
            <w:tcBorders/>
            <w:shd w:fill="CCEEFF" w:val="clear"/>
            <w:vAlign w:val="bottom"/>
          </w:tcPr>
          <w:p>
            <w:pPr>
              <w:pStyle w:val="TableContents"/>
              <w:spacing w:before="0" w:after="0"/>
              <w:ind w:left="0" w:right="0" w:hanging="0"/>
              <w:rPr/>
            </w:pPr>
            <w:r>
              <w:rPr/>
              <w:t> </w:t>
            </w:r>
          </w:p>
        </w:tc>
        <w:tc>
          <w:tcPr>
            <w:tcW w:w="13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485</w:t>
            </w:r>
          </w:p>
        </w:tc>
        <w:tc>
          <w:tcPr>
            <w:tcW w:w="211" w:type="dxa"/>
            <w:tcBorders/>
            <w:shd w:fill="CCEEFF" w:val="clear"/>
            <w:vAlign w:val="bottom"/>
          </w:tcPr>
          <w:p>
            <w:pPr>
              <w:pStyle w:val="TableContents"/>
              <w:spacing w:before="0" w:after="0"/>
              <w:ind w:left="0" w:right="0" w:hanging="0"/>
              <w:rPr/>
            </w:pPr>
            <w:r>
              <w:rPr/>
              <w:t> </w:t>
            </w:r>
          </w:p>
        </w:tc>
        <w:tc>
          <w:tcPr>
            <w:tcW w:w="14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471</w:t>
            </w:r>
          </w:p>
        </w:tc>
        <w:tc>
          <w:tcPr>
            <w:tcW w:w="219" w:type="dxa"/>
            <w:tcBorders/>
            <w:shd w:fill="CCEEFF" w:val="clear"/>
            <w:vAlign w:val="bottom"/>
          </w:tcPr>
          <w:p>
            <w:pPr>
              <w:pStyle w:val="TableContents"/>
              <w:spacing w:before="0" w:after="0"/>
              <w:ind w:left="0" w:right="0" w:hanging="0"/>
              <w:rPr/>
            </w:pPr>
            <w:r>
              <w:rPr/>
              <w:t> </w:t>
            </w:r>
          </w:p>
        </w:tc>
      </w:tr>
      <w:tr>
        <w:trPr/>
        <w:tc>
          <w:tcPr>
            <w:tcW w:w="3204" w:type="dxa"/>
            <w:tcBorders/>
            <w:shd w:fill="auto" w:val="clear"/>
          </w:tcPr>
          <w:p>
            <w:pPr>
              <w:pStyle w:val="TableContents"/>
              <w:spacing w:before="0" w:after="0"/>
              <w:ind w:left="0" w:right="0" w:hanging="0"/>
              <w:rPr/>
            </w:pPr>
            <w:r>
              <w:rPr>
                <w:rFonts w:ascii="Times New Roman" w:hAnsi="Times New Roman"/>
                <w:sz w:val="17"/>
              </w:rPr>
              <w:t xml:space="preserve">Mid-Continent Area Systems </w:t>
            </w:r>
            <w:r>
              <w:rPr>
                <w:sz w:val="11"/>
              </w:rPr>
              <w:t>(</w:t>
            </w:r>
            <w:r>
              <w:rPr>
                <w:sz w:val="17"/>
              </w:rPr>
              <w:t>¹</w:t>
            </w:r>
            <w:r>
              <w:rPr>
                <w:sz w:val="11"/>
              </w:rPr>
              <w:t>)</w:t>
            </w:r>
            <w:r>
              <w:rPr/>
              <w:t> </w:t>
            </w:r>
          </w:p>
        </w:tc>
        <w:tc>
          <w:tcPr>
            <w:tcW w:w="175" w:type="dxa"/>
            <w:tcBorders/>
            <w:shd w:fill="auto" w:val="clear"/>
            <w:vAlign w:val="bottom"/>
          </w:tcPr>
          <w:p>
            <w:pPr>
              <w:pStyle w:val="TableContents"/>
              <w:spacing w:before="0" w:after="0"/>
              <w:ind w:left="0" w:right="0" w:hanging="0"/>
              <w:rPr/>
            </w:pPr>
            <w:r>
              <w:rPr/>
              <w:t> </w:t>
            </w:r>
          </w:p>
        </w:tc>
        <w:tc>
          <w:tcPr>
            <w:tcW w:w="14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w:t>
            </w:r>
          </w:p>
        </w:tc>
        <w:tc>
          <w:tcPr>
            <w:tcW w:w="175" w:type="dxa"/>
            <w:tcBorders/>
            <w:shd w:fill="auto" w:val="clear"/>
            <w:vAlign w:val="bottom"/>
          </w:tcPr>
          <w:p>
            <w:pPr>
              <w:pStyle w:val="TableContents"/>
              <w:spacing w:before="0" w:after="0"/>
              <w:ind w:left="0" w:right="0" w:hanging="0"/>
              <w:rPr/>
            </w:pPr>
            <w:r>
              <w:rPr/>
              <w:t> </w:t>
            </w:r>
          </w:p>
        </w:tc>
        <w:tc>
          <w:tcPr>
            <w:tcW w:w="14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w:t>
            </w:r>
          </w:p>
        </w:tc>
        <w:tc>
          <w:tcPr>
            <w:tcW w:w="211" w:type="dxa"/>
            <w:tcBorders/>
            <w:shd w:fill="auto" w:val="clear"/>
            <w:vAlign w:val="bottom"/>
          </w:tcPr>
          <w:p>
            <w:pPr>
              <w:pStyle w:val="TableContents"/>
              <w:spacing w:before="0" w:after="0"/>
              <w:ind w:left="0" w:right="0" w:hanging="0"/>
              <w:rPr/>
            </w:pPr>
            <w:r>
              <w:rPr/>
              <w:t> </w:t>
            </w:r>
          </w:p>
        </w:tc>
        <w:tc>
          <w:tcPr>
            <w:tcW w:w="13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w:t>
            </w:r>
          </w:p>
        </w:tc>
        <w:tc>
          <w:tcPr>
            <w:tcW w:w="211" w:type="dxa"/>
            <w:tcBorders/>
            <w:shd w:fill="auto" w:val="clear"/>
            <w:vAlign w:val="bottom"/>
          </w:tcPr>
          <w:p>
            <w:pPr>
              <w:pStyle w:val="TableContents"/>
              <w:spacing w:before="0" w:after="0"/>
              <w:ind w:left="0" w:right="0" w:hanging="0"/>
              <w:rPr/>
            </w:pPr>
            <w:r>
              <w:rPr/>
              <w:t> </w:t>
            </w:r>
          </w:p>
        </w:tc>
        <w:tc>
          <w:tcPr>
            <w:tcW w:w="14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234</w:t>
            </w:r>
          </w:p>
        </w:tc>
        <w:tc>
          <w:tcPr>
            <w:tcW w:w="219" w:type="dxa"/>
            <w:tcBorders/>
            <w:shd w:fill="auto" w:val="clear"/>
            <w:vAlign w:val="bottom"/>
          </w:tcPr>
          <w:p>
            <w:pPr>
              <w:pStyle w:val="TableContents"/>
              <w:spacing w:before="0" w:after="0"/>
              <w:ind w:left="0" w:right="0" w:hanging="0"/>
              <w:rPr/>
            </w:pPr>
            <w:r>
              <w:rPr/>
              <w:t> </w:t>
            </w:r>
          </w:p>
        </w:tc>
      </w:tr>
      <w:tr>
        <w:trPr/>
        <w:tc>
          <w:tcPr>
            <w:tcW w:w="320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Manito </w:t>
            </w:r>
          </w:p>
        </w:tc>
        <w:tc>
          <w:tcPr>
            <w:tcW w:w="175" w:type="dxa"/>
            <w:tcBorders/>
            <w:shd w:fill="CCEEFF" w:val="clear"/>
            <w:vAlign w:val="bottom"/>
          </w:tcPr>
          <w:p>
            <w:pPr>
              <w:pStyle w:val="TableContents"/>
              <w:spacing w:before="0" w:after="0"/>
              <w:ind w:left="0" w:right="0" w:hanging="0"/>
              <w:rPr/>
            </w:pPr>
            <w:r>
              <w:rPr/>
              <w:t> </w:t>
            </w:r>
          </w:p>
        </w:tc>
        <w:tc>
          <w:tcPr>
            <w:tcW w:w="14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75" w:type="dxa"/>
            <w:tcBorders/>
            <w:shd w:fill="CCEEFF" w:val="clear"/>
            <w:vAlign w:val="bottom"/>
          </w:tcPr>
          <w:p>
            <w:pPr>
              <w:pStyle w:val="TableContents"/>
              <w:spacing w:before="0" w:after="0"/>
              <w:ind w:left="0" w:right="0" w:hanging="0"/>
              <w:rPr/>
            </w:pPr>
            <w:r>
              <w:rPr/>
              <w:t> </w:t>
            </w:r>
          </w:p>
        </w:tc>
        <w:tc>
          <w:tcPr>
            <w:tcW w:w="14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11" w:type="dxa"/>
            <w:tcBorders/>
            <w:shd w:fill="CCEEFF" w:val="clear"/>
            <w:vAlign w:val="bottom"/>
          </w:tcPr>
          <w:p>
            <w:pPr>
              <w:pStyle w:val="TableContents"/>
              <w:spacing w:before="0" w:after="0"/>
              <w:ind w:left="0" w:right="0" w:hanging="0"/>
              <w:rPr/>
            </w:pPr>
            <w:r>
              <w:rPr/>
              <w:t> </w:t>
            </w:r>
          </w:p>
        </w:tc>
        <w:tc>
          <w:tcPr>
            <w:tcW w:w="13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11" w:type="dxa"/>
            <w:tcBorders/>
            <w:shd w:fill="CCEEFF" w:val="clear"/>
            <w:vAlign w:val="bottom"/>
          </w:tcPr>
          <w:p>
            <w:pPr>
              <w:pStyle w:val="TableContents"/>
              <w:spacing w:before="0" w:after="0"/>
              <w:ind w:left="0" w:right="0" w:hanging="0"/>
              <w:rPr/>
            </w:pPr>
            <w:r>
              <w:rPr/>
              <w:t> </w:t>
            </w:r>
          </w:p>
        </w:tc>
        <w:tc>
          <w:tcPr>
            <w:tcW w:w="14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219" w:type="dxa"/>
            <w:tcBorders/>
            <w:shd w:fill="CCEEFF" w:val="clear"/>
            <w:vAlign w:val="bottom"/>
          </w:tcPr>
          <w:p>
            <w:pPr>
              <w:pStyle w:val="TableContents"/>
              <w:spacing w:before="0" w:after="0"/>
              <w:ind w:left="0" w:right="0" w:hanging="0"/>
              <w:rPr/>
            </w:pPr>
            <w:r>
              <w:rPr/>
              <w:t> </w:t>
            </w:r>
          </w:p>
        </w:tc>
      </w:tr>
      <w:tr>
        <w:trPr/>
        <w:tc>
          <w:tcPr>
            <w:tcW w:w="320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Rainbow </w:t>
            </w:r>
          </w:p>
        </w:tc>
        <w:tc>
          <w:tcPr>
            <w:tcW w:w="175" w:type="dxa"/>
            <w:tcBorders/>
            <w:shd w:fill="auto" w:val="clear"/>
            <w:vAlign w:val="bottom"/>
          </w:tcPr>
          <w:p>
            <w:pPr>
              <w:pStyle w:val="TableContents"/>
              <w:spacing w:before="0" w:after="0"/>
              <w:ind w:left="0" w:right="0" w:hanging="0"/>
              <w:rPr/>
            </w:pPr>
            <w:r>
              <w:rPr/>
              <w:t> </w:t>
            </w:r>
          </w:p>
        </w:tc>
        <w:tc>
          <w:tcPr>
            <w:tcW w:w="14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75" w:type="dxa"/>
            <w:tcBorders/>
            <w:shd w:fill="auto" w:val="clear"/>
            <w:vAlign w:val="bottom"/>
          </w:tcPr>
          <w:p>
            <w:pPr>
              <w:pStyle w:val="TableContents"/>
              <w:spacing w:before="0" w:after="0"/>
              <w:ind w:left="0" w:right="0" w:hanging="0"/>
              <w:rPr/>
            </w:pPr>
            <w:r>
              <w:rPr/>
              <w:t> </w:t>
            </w:r>
          </w:p>
        </w:tc>
        <w:tc>
          <w:tcPr>
            <w:tcW w:w="14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211" w:type="dxa"/>
            <w:tcBorders/>
            <w:shd w:fill="auto" w:val="clear"/>
            <w:vAlign w:val="bottom"/>
          </w:tcPr>
          <w:p>
            <w:pPr>
              <w:pStyle w:val="TableContents"/>
              <w:spacing w:before="0" w:after="0"/>
              <w:ind w:left="0" w:right="0" w:hanging="0"/>
              <w:rPr/>
            </w:pPr>
            <w:r>
              <w:rPr/>
              <w:t> </w:t>
            </w:r>
          </w:p>
        </w:tc>
        <w:tc>
          <w:tcPr>
            <w:tcW w:w="13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211" w:type="dxa"/>
            <w:tcBorders/>
            <w:shd w:fill="auto" w:val="clear"/>
            <w:vAlign w:val="bottom"/>
          </w:tcPr>
          <w:p>
            <w:pPr>
              <w:pStyle w:val="TableContents"/>
              <w:spacing w:before="0" w:after="0"/>
              <w:ind w:left="0" w:right="0" w:hanging="0"/>
              <w:rPr/>
            </w:pPr>
            <w:r>
              <w:rPr/>
              <w:t> </w:t>
            </w:r>
          </w:p>
        </w:tc>
        <w:tc>
          <w:tcPr>
            <w:tcW w:w="14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19" w:type="dxa"/>
            <w:tcBorders/>
            <w:shd w:fill="auto" w:val="clear"/>
            <w:vAlign w:val="bottom"/>
          </w:tcPr>
          <w:p>
            <w:pPr>
              <w:pStyle w:val="TableContents"/>
              <w:spacing w:before="0" w:after="0"/>
              <w:ind w:left="0" w:right="0" w:hanging="0"/>
              <w:rPr/>
            </w:pPr>
            <w:r>
              <w:rPr/>
              <w:t> </w:t>
            </w:r>
          </w:p>
        </w:tc>
      </w:tr>
      <w:tr>
        <w:trPr/>
        <w:tc>
          <w:tcPr>
            <w:tcW w:w="320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Rangeland </w:t>
            </w:r>
          </w:p>
        </w:tc>
        <w:tc>
          <w:tcPr>
            <w:tcW w:w="175" w:type="dxa"/>
            <w:tcBorders/>
            <w:shd w:fill="CCEEFF" w:val="clear"/>
            <w:vAlign w:val="bottom"/>
          </w:tcPr>
          <w:p>
            <w:pPr>
              <w:pStyle w:val="TableContents"/>
              <w:spacing w:before="0" w:after="0"/>
              <w:ind w:left="0" w:right="0" w:hanging="0"/>
              <w:rPr/>
            </w:pPr>
            <w:r>
              <w:rPr/>
              <w:t> </w:t>
            </w:r>
          </w:p>
        </w:tc>
        <w:tc>
          <w:tcPr>
            <w:tcW w:w="14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75" w:type="dxa"/>
            <w:tcBorders/>
            <w:shd w:fill="CCEEFF" w:val="clear"/>
            <w:vAlign w:val="bottom"/>
          </w:tcPr>
          <w:p>
            <w:pPr>
              <w:pStyle w:val="TableContents"/>
              <w:spacing w:before="0" w:after="0"/>
              <w:ind w:left="0" w:right="0" w:hanging="0"/>
              <w:rPr/>
            </w:pPr>
            <w:r>
              <w:rPr/>
              <w:t> </w:t>
            </w:r>
          </w:p>
        </w:tc>
        <w:tc>
          <w:tcPr>
            <w:tcW w:w="140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11" w:type="dxa"/>
            <w:tcBorders/>
            <w:shd w:fill="CCEEFF" w:val="clear"/>
            <w:vAlign w:val="bottom"/>
          </w:tcPr>
          <w:p>
            <w:pPr>
              <w:pStyle w:val="TableContents"/>
              <w:spacing w:before="0" w:after="0"/>
              <w:ind w:left="0" w:right="0" w:hanging="0"/>
              <w:rPr/>
            </w:pPr>
            <w:r>
              <w:rPr/>
              <w:t> </w:t>
            </w:r>
          </w:p>
        </w:tc>
        <w:tc>
          <w:tcPr>
            <w:tcW w:w="134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11" w:type="dxa"/>
            <w:tcBorders/>
            <w:shd w:fill="CCEEFF" w:val="clear"/>
            <w:vAlign w:val="bottom"/>
          </w:tcPr>
          <w:p>
            <w:pPr>
              <w:pStyle w:val="TableContents"/>
              <w:spacing w:before="0" w:after="0"/>
              <w:ind w:left="0" w:right="0" w:hanging="0"/>
              <w:rPr/>
            </w:pPr>
            <w:r>
              <w:rPr/>
              <w:t> </w:t>
            </w:r>
          </w:p>
        </w:tc>
        <w:tc>
          <w:tcPr>
            <w:tcW w:w="14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19" w:type="dxa"/>
            <w:tcBorders/>
            <w:shd w:fill="CCEEFF" w:val="clear"/>
            <w:vAlign w:val="bottom"/>
          </w:tcPr>
          <w:p>
            <w:pPr>
              <w:pStyle w:val="TableContents"/>
              <w:spacing w:before="0" w:after="0"/>
              <w:ind w:left="0" w:right="0" w:hanging="0"/>
              <w:rPr/>
            </w:pPr>
            <w:r>
              <w:rPr/>
              <w:t> </w:t>
            </w:r>
          </w:p>
        </w:tc>
      </w:tr>
      <w:tr>
        <w:trPr/>
        <w:tc>
          <w:tcPr>
            <w:tcW w:w="320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Refined Products </w:t>
            </w:r>
          </w:p>
        </w:tc>
        <w:tc>
          <w:tcPr>
            <w:tcW w:w="175" w:type="dxa"/>
            <w:tcBorders/>
            <w:shd w:fill="auto" w:val="clear"/>
            <w:vAlign w:val="bottom"/>
          </w:tcPr>
          <w:p>
            <w:pPr>
              <w:pStyle w:val="TableContents"/>
              <w:spacing w:before="0" w:after="0"/>
              <w:ind w:left="0" w:right="0" w:hanging="0"/>
              <w:rPr/>
            </w:pPr>
            <w:r>
              <w:rPr/>
              <w:t> </w:t>
            </w:r>
          </w:p>
        </w:tc>
        <w:tc>
          <w:tcPr>
            <w:tcW w:w="14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175" w:type="dxa"/>
            <w:tcBorders/>
            <w:shd w:fill="auto" w:val="clear"/>
            <w:vAlign w:val="bottom"/>
          </w:tcPr>
          <w:p>
            <w:pPr>
              <w:pStyle w:val="TableContents"/>
              <w:spacing w:before="0" w:after="0"/>
              <w:ind w:left="0" w:right="0" w:hanging="0"/>
              <w:rPr/>
            </w:pPr>
            <w:r>
              <w:rPr/>
              <w:t> </w:t>
            </w:r>
          </w:p>
        </w:tc>
        <w:tc>
          <w:tcPr>
            <w:tcW w:w="14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11" w:type="dxa"/>
            <w:tcBorders/>
            <w:shd w:fill="auto" w:val="clear"/>
            <w:vAlign w:val="bottom"/>
          </w:tcPr>
          <w:p>
            <w:pPr>
              <w:pStyle w:val="TableContents"/>
              <w:spacing w:before="0" w:after="0"/>
              <w:ind w:left="0" w:right="0" w:hanging="0"/>
              <w:rPr/>
            </w:pPr>
            <w:r>
              <w:rPr/>
              <w:t> </w:t>
            </w:r>
          </w:p>
        </w:tc>
        <w:tc>
          <w:tcPr>
            <w:tcW w:w="13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11" w:type="dxa"/>
            <w:tcBorders/>
            <w:shd w:fill="auto" w:val="clear"/>
            <w:vAlign w:val="bottom"/>
          </w:tcPr>
          <w:p>
            <w:pPr>
              <w:pStyle w:val="TableContents"/>
              <w:spacing w:before="0" w:after="0"/>
              <w:ind w:left="0" w:right="0" w:hanging="0"/>
              <w:rPr/>
            </w:pPr>
            <w:r>
              <w:rPr/>
              <w:t> </w:t>
            </w:r>
          </w:p>
        </w:tc>
        <w:tc>
          <w:tcPr>
            <w:tcW w:w="14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219" w:type="dxa"/>
            <w:tcBorders/>
            <w:shd w:fill="auto" w:val="clear"/>
            <w:vAlign w:val="bottom"/>
          </w:tcPr>
          <w:p>
            <w:pPr>
              <w:pStyle w:val="TableContents"/>
              <w:spacing w:before="0" w:after="0"/>
              <w:ind w:left="0" w:right="0" w:hanging="0"/>
              <w:rPr/>
            </w:pPr>
            <w:r>
              <w:rPr/>
              <w:t> </w:t>
            </w:r>
          </w:p>
        </w:tc>
      </w:tr>
      <w:tr>
        <w:trPr/>
        <w:tc>
          <w:tcPr>
            <w:tcW w:w="3204" w:type="dxa"/>
            <w:tcBorders/>
            <w:shd w:fill="CCEEFF" w:val="clear"/>
          </w:tcPr>
          <w:p>
            <w:pPr>
              <w:pStyle w:val="TableContents"/>
              <w:spacing w:before="0" w:after="0"/>
              <w:ind w:left="0" w:right="0" w:hanging="0"/>
              <w:rPr/>
            </w:pPr>
            <w:r>
              <w:rPr>
                <w:rFonts w:ascii="Times New Roman" w:hAnsi="Times New Roman"/>
                <w:sz w:val="17"/>
              </w:rPr>
              <w:t xml:space="preserve">Other </w:t>
            </w:r>
            <w:r>
              <w:rPr>
                <w:sz w:val="11"/>
              </w:rPr>
              <w:t>(</w:t>
            </w:r>
            <w:r>
              <w:rPr>
                <w:sz w:val="17"/>
              </w:rPr>
              <w:t>²</w:t>
            </w:r>
            <w:r>
              <w:rPr>
                <w:sz w:val="11"/>
              </w:rPr>
              <w:t>)</w:t>
            </w:r>
          </w:p>
        </w:tc>
        <w:tc>
          <w:tcPr>
            <w:tcW w:w="175" w:type="dxa"/>
            <w:tcBorders/>
            <w:shd w:fill="CCEEFF" w:val="clear"/>
            <w:vAlign w:val="bottom"/>
          </w:tcPr>
          <w:p>
            <w:pPr>
              <w:pStyle w:val="TableContents"/>
              <w:spacing w:before="0" w:after="0"/>
              <w:ind w:left="0" w:right="0" w:hanging="0"/>
              <w:rPr/>
            </w:pPr>
            <w:r>
              <w:rPr/>
              <w:t> </w:t>
            </w:r>
          </w:p>
        </w:tc>
        <w:tc>
          <w:tcPr>
            <w:tcW w:w="140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1,109</w:t>
            </w:r>
          </w:p>
        </w:tc>
        <w:tc>
          <w:tcPr>
            <w:tcW w:w="175" w:type="dxa"/>
            <w:tcBorders/>
            <w:shd w:fill="CCEEFF" w:val="clear"/>
            <w:vAlign w:val="bottom"/>
          </w:tcPr>
          <w:p>
            <w:pPr>
              <w:pStyle w:val="TableContents"/>
              <w:spacing w:before="0" w:after="0"/>
              <w:ind w:left="0" w:right="0" w:hanging="0"/>
              <w:rPr/>
            </w:pPr>
            <w:r>
              <w:rPr/>
              <w:t> </w:t>
            </w:r>
          </w:p>
        </w:tc>
        <w:tc>
          <w:tcPr>
            <w:tcW w:w="140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1,385</w:t>
            </w:r>
          </w:p>
        </w:tc>
        <w:tc>
          <w:tcPr>
            <w:tcW w:w="211" w:type="dxa"/>
            <w:tcBorders/>
            <w:shd w:fill="CCEEFF" w:val="clear"/>
            <w:vAlign w:val="bottom"/>
          </w:tcPr>
          <w:p>
            <w:pPr>
              <w:pStyle w:val="TableContents"/>
              <w:spacing w:before="0" w:after="0"/>
              <w:ind w:left="0" w:right="0" w:hanging="0"/>
              <w:rPr/>
            </w:pPr>
            <w:r>
              <w:rPr/>
              <w:t> </w:t>
            </w:r>
          </w:p>
        </w:tc>
        <w:tc>
          <w:tcPr>
            <w:tcW w:w="13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1,395</w:t>
            </w:r>
          </w:p>
        </w:tc>
        <w:tc>
          <w:tcPr>
            <w:tcW w:w="211" w:type="dxa"/>
            <w:tcBorders/>
            <w:shd w:fill="CCEEFF" w:val="clear"/>
            <w:vAlign w:val="bottom"/>
          </w:tcPr>
          <w:p>
            <w:pPr>
              <w:pStyle w:val="TableContents"/>
              <w:spacing w:before="0" w:after="0"/>
              <w:ind w:left="0" w:right="0" w:hanging="0"/>
              <w:rPr/>
            </w:pPr>
            <w:r>
              <w:rPr/>
              <w:t> </w:t>
            </w:r>
          </w:p>
        </w:tc>
        <w:tc>
          <w:tcPr>
            <w:tcW w:w="14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1,321</w:t>
            </w:r>
          </w:p>
        </w:tc>
        <w:tc>
          <w:tcPr>
            <w:tcW w:w="219" w:type="dxa"/>
            <w:tcBorders/>
            <w:shd w:fill="CCEEFF" w:val="clear"/>
            <w:vAlign w:val="bottom"/>
          </w:tcPr>
          <w:p>
            <w:pPr>
              <w:pStyle w:val="TableContents"/>
              <w:spacing w:before="0" w:after="0"/>
              <w:ind w:left="0" w:right="0" w:hanging="0"/>
              <w:rPr/>
            </w:pPr>
            <w:r>
              <w:rPr/>
              <w:t> </w:t>
            </w:r>
          </w:p>
        </w:tc>
      </w:tr>
      <w:tr>
        <w:trPr/>
        <w:tc>
          <w:tcPr>
            <w:tcW w:w="3204"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rPr/>
            </w:pPr>
            <w:r>
              <w:rPr/>
              <w:t> </w:t>
            </w:r>
          </w:p>
        </w:tc>
        <w:tc>
          <w:tcPr>
            <w:tcW w:w="14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3,058</w:t>
            </w:r>
          </w:p>
        </w:tc>
        <w:tc>
          <w:tcPr>
            <w:tcW w:w="175" w:type="dxa"/>
            <w:tcBorders/>
            <w:shd w:fill="auto" w:val="clear"/>
            <w:vAlign w:val="bottom"/>
          </w:tcPr>
          <w:p>
            <w:pPr>
              <w:pStyle w:val="TableContents"/>
              <w:spacing w:before="0" w:after="0"/>
              <w:ind w:left="0" w:right="0" w:hanging="0"/>
              <w:rPr/>
            </w:pPr>
            <w:r>
              <w:rPr/>
              <w:t> </w:t>
            </w:r>
          </w:p>
        </w:tc>
        <w:tc>
          <w:tcPr>
            <w:tcW w:w="140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3,400</w:t>
            </w:r>
          </w:p>
        </w:tc>
        <w:tc>
          <w:tcPr>
            <w:tcW w:w="211" w:type="dxa"/>
            <w:tcBorders/>
            <w:shd w:fill="auto" w:val="clear"/>
            <w:vAlign w:val="bottom"/>
          </w:tcPr>
          <w:p>
            <w:pPr>
              <w:pStyle w:val="TableContents"/>
              <w:spacing w:before="0" w:after="0"/>
              <w:ind w:left="0" w:right="0" w:hanging="0"/>
              <w:rPr/>
            </w:pPr>
            <w:r>
              <w:rPr/>
              <w:t> </w:t>
            </w:r>
          </w:p>
        </w:tc>
        <w:tc>
          <w:tcPr>
            <w:tcW w:w="134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3,445</w:t>
            </w:r>
          </w:p>
        </w:tc>
        <w:tc>
          <w:tcPr>
            <w:tcW w:w="211" w:type="dxa"/>
            <w:tcBorders/>
            <w:shd w:fill="auto" w:val="clear"/>
            <w:vAlign w:val="bottom"/>
          </w:tcPr>
          <w:p>
            <w:pPr>
              <w:pStyle w:val="TableContents"/>
              <w:spacing w:before="0" w:after="0"/>
              <w:ind w:left="0" w:right="0" w:hanging="0"/>
              <w:rPr/>
            </w:pPr>
            <w:r>
              <w:rPr/>
              <w:t> </w:t>
            </w:r>
          </w:p>
        </w:tc>
        <w:tc>
          <w:tcPr>
            <w:tcW w:w="14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3,336</w:t>
            </w:r>
          </w:p>
        </w:tc>
        <w:tc>
          <w:tcPr>
            <w:tcW w:w="219" w:type="dxa"/>
            <w:tcBorders/>
            <w:shd w:fill="auto" w:val="clear"/>
            <w:vAlign w:val="bottom"/>
          </w:tcPr>
          <w:p>
            <w:pPr>
              <w:pStyle w:val="TableContents"/>
              <w:spacing w:before="0" w:after="0"/>
              <w:ind w:left="0" w:right="0" w:hanging="0"/>
              <w:rPr/>
            </w:pPr>
            <w:r>
              <w:rPr/>
              <w:t> </w:t>
            </w:r>
          </w:p>
        </w:tc>
      </w:tr>
      <w:tr>
        <w:trPr/>
        <w:tc>
          <w:tcPr>
            <w:tcW w:w="320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Trucking </w:t>
            </w:r>
          </w:p>
        </w:tc>
        <w:tc>
          <w:tcPr>
            <w:tcW w:w="175" w:type="dxa"/>
            <w:tcBorders/>
            <w:shd w:fill="CCEEFF" w:val="clear"/>
            <w:vAlign w:val="bottom"/>
          </w:tcPr>
          <w:p>
            <w:pPr>
              <w:pStyle w:val="TableContents"/>
              <w:spacing w:before="0" w:after="0"/>
              <w:ind w:left="0" w:right="0" w:hanging="0"/>
              <w:rPr/>
            </w:pPr>
            <w:r>
              <w:rPr/>
              <w:t> </w:t>
            </w:r>
          </w:p>
        </w:tc>
        <w:tc>
          <w:tcPr>
            <w:tcW w:w="140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175" w:type="dxa"/>
            <w:tcBorders/>
            <w:shd w:fill="CCEEFF" w:val="clear"/>
            <w:vAlign w:val="bottom"/>
          </w:tcPr>
          <w:p>
            <w:pPr>
              <w:pStyle w:val="TableContents"/>
              <w:spacing w:before="0" w:after="0"/>
              <w:ind w:left="0" w:right="0" w:hanging="0"/>
              <w:rPr/>
            </w:pPr>
            <w:r>
              <w:rPr/>
              <w:t> </w:t>
            </w:r>
          </w:p>
        </w:tc>
        <w:tc>
          <w:tcPr>
            <w:tcW w:w="140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11" w:type="dxa"/>
            <w:tcBorders/>
            <w:shd w:fill="CCEEFF" w:val="clear"/>
            <w:vAlign w:val="bottom"/>
          </w:tcPr>
          <w:p>
            <w:pPr>
              <w:pStyle w:val="TableContents"/>
              <w:spacing w:before="0" w:after="0"/>
              <w:ind w:left="0" w:right="0" w:hanging="0"/>
              <w:rPr/>
            </w:pPr>
            <w:r>
              <w:rPr/>
              <w:t> </w:t>
            </w:r>
          </w:p>
        </w:tc>
        <w:tc>
          <w:tcPr>
            <w:tcW w:w="134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11" w:type="dxa"/>
            <w:tcBorders/>
            <w:shd w:fill="CCEEFF" w:val="clear"/>
            <w:vAlign w:val="bottom"/>
          </w:tcPr>
          <w:p>
            <w:pPr>
              <w:pStyle w:val="TableContents"/>
              <w:spacing w:before="0" w:after="0"/>
              <w:ind w:left="0" w:right="0" w:hanging="0"/>
              <w:rPr/>
            </w:pPr>
            <w:r>
              <w:rPr/>
              <w:t> </w:t>
            </w:r>
          </w:p>
        </w:tc>
        <w:tc>
          <w:tcPr>
            <w:tcW w:w="14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19" w:type="dxa"/>
            <w:tcBorders/>
            <w:shd w:fill="CCEEFF" w:val="clear"/>
            <w:vAlign w:val="bottom"/>
          </w:tcPr>
          <w:p>
            <w:pPr>
              <w:pStyle w:val="TableContents"/>
              <w:spacing w:before="0" w:after="0"/>
              <w:ind w:left="0" w:right="0" w:hanging="0"/>
              <w:rPr/>
            </w:pPr>
            <w:r>
              <w:rPr/>
              <w:t> </w:t>
            </w:r>
          </w:p>
        </w:tc>
      </w:tr>
      <w:tr>
        <w:trPr/>
        <w:tc>
          <w:tcPr>
            <w:tcW w:w="3204" w:type="dxa"/>
            <w:tcBorders/>
            <w:shd w:fill="auto" w:val="clear"/>
            <w:vAlign w:val="bottom"/>
          </w:tcPr>
          <w:p>
            <w:pPr>
              <w:pStyle w:val="TableContents"/>
              <w:spacing w:before="0" w:after="0"/>
              <w:ind w:left="0" w:right="0" w:hanging="0"/>
              <w:rPr/>
            </w:pPr>
            <w:r>
              <w:rPr/>
              <w:t> </w:t>
            </w:r>
          </w:p>
        </w:tc>
        <w:tc>
          <w:tcPr>
            <w:tcW w:w="175" w:type="dxa"/>
            <w:tcBorders/>
            <w:shd w:fill="auto" w:val="clear"/>
            <w:vAlign w:val="bottom"/>
          </w:tcPr>
          <w:p>
            <w:pPr>
              <w:pStyle w:val="TableContents"/>
              <w:spacing w:before="0" w:after="0"/>
              <w:ind w:left="0" w:right="0" w:hanging="0"/>
              <w:rPr/>
            </w:pPr>
            <w:r>
              <w:rPr/>
              <w:t> </w:t>
            </w:r>
          </w:p>
        </w:tc>
        <w:tc>
          <w:tcPr>
            <w:tcW w:w="140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3,166</w:t>
            </w:r>
          </w:p>
        </w:tc>
        <w:tc>
          <w:tcPr>
            <w:tcW w:w="175" w:type="dxa"/>
            <w:tcBorders/>
            <w:shd w:fill="auto" w:val="clear"/>
            <w:vAlign w:val="bottom"/>
          </w:tcPr>
          <w:p>
            <w:pPr>
              <w:pStyle w:val="TableContents"/>
              <w:spacing w:before="0" w:after="0"/>
              <w:ind w:left="0" w:right="0" w:hanging="0"/>
              <w:rPr/>
            </w:pPr>
            <w:r>
              <w:rPr/>
              <w:t> </w:t>
            </w:r>
          </w:p>
        </w:tc>
        <w:tc>
          <w:tcPr>
            <w:tcW w:w="140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3,520</w:t>
            </w:r>
          </w:p>
        </w:tc>
        <w:tc>
          <w:tcPr>
            <w:tcW w:w="211" w:type="dxa"/>
            <w:tcBorders/>
            <w:shd w:fill="auto" w:val="clear"/>
            <w:vAlign w:val="bottom"/>
          </w:tcPr>
          <w:p>
            <w:pPr>
              <w:pStyle w:val="TableContents"/>
              <w:spacing w:before="0" w:after="0"/>
              <w:ind w:left="0" w:right="0" w:hanging="0"/>
              <w:rPr/>
            </w:pPr>
            <w:r>
              <w:rPr/>
              <w:t> </w:t>
            </w:r>
          </w:p>
        </w:tc>
        <w:tc>
          <w:tcPr>
            <w:tcW w:w="1347"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3,570</w:t>
            </w:r>
          </w:p>
        </w:tc>
        <w:tc>
          <w:tcPr>
            <w:tcW w:w="211" w:type="dxa"/>
            <w:tcBorders/>
            <w:shd w:fill="auto" w:val="clear"/>
            <w:vAlign w:val="bottom"/>
          </w:tcPr>
          <w:p>
            <w:pPr>
              <w:pStyle w:val="TableContents"/>
              <w:spacing w:before="0" w:after="0"/>
              <w:ind w:left="0" w:right="0" w:hanging="0"/>
              <w:rPr/>
            </w:pPr>
            <w:r>
              <w:rPr/>
              <w:t> </w:t>
            </w:r>
          </w:p>
        </w:tc>
        <w:tc>
          <w:tcPr>
            <w:tcW w:w="1454"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3,456</w:t>
            </w:r>
          </w:p>
        </w:tc>
        <w:tc>
          <w:tcPr>
            <w:tcW w:w="219" w:type="dxa"/>
            <w:tcBorders/>
            <w:shd w:fill="auto" w:val="clear"/>
            <w:vAlign w:val="bottom"/>
          </w:tcPr>
          <w:p>
            <w:pPr>
              <w:pStyle w:val="TableContents"/>
              <w:spacing w:before="0" w:after="0"/>
              <w:ind w:left="0" w:right="0" w:hanging="0"/>
              <w:rPr/>
            </w:pPr>
            <w:r>
              <w:rPr/>
              <w:t> </w:t>
            </w:r>
          </w:p>
        </w:tc>
      </w:tr>
      <w:tr>
        <w:trPr/>
        <w:tc>
          <w:tcPr>
            <w:tcW w:w="320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Segment Profit per Barrel ($/Bbl)</w:t>
            </w:r>
          </w:p>
        </w:tc>
        <w:tc>
          <w:tcPr>
            <w:tcW w:w="175" w:type="dxa"/>
            <w:tcBorders/>
            <w:shd w:fill="CCEEFF" w:val="clear"/>
            <w:vAlign w:val="bottom"/>
          </w:tcPr>
          <w:p>
            <w:pPr>
              <w:pStyle w:val="TableContents"/>
              <w:spacing w:before="0" w:after="0"/>
              <w:ind w:left="0" w:right="0" w:hanging="0"/>
              <w:rPr/>
            </w:pPr>
            <w:r>
              <w:rPr/>
              <w:t> </w:t>
            </w:r>
          </w:p>
        </w:tc>
        <w:tc>
          <w:tcPr>
            <w:tcW w:w="1400" w:type="dxa"/>
            <w:gridSpan w:val="2"/>
            <w:tcBorders/>
            <w:shd w:fill="CCEEFF" w:val="clear"/>
            <w:vAlign w:val="bottom"/>
          </w:tcPr>
          <w:p>
            <w:pPr>
              <w:pStyle w:val="TableContents"/>
              <w:spacing w:before="0" w:after="0"/>
              <w:ind w:left="0" w:right="0" w:hanging="0"/>
              <w:jc w:val="right"/>
              <w:rPr/>
            </w:pPr>
            <w:r>
              <w:rPr/>
              <w:t> </w:t>
            </w:r>
          </w:p>
        </w:tc>
        <w:tc>
          <w:tcPr>
            <w:tcW w:w="175" w:type="dxa"/>
            <w:tcBorders/>
            <w:shd w:fill="CCEEFF" w:val="clear"/>
            <w:vAlign w:val="bottom"/>
          </w:tcPr>
          <w:p>
            <w:pPr>
              <w:pStyle w:val="TableContents"/>
              <w:spacing w:before="0" w:after="0"/>
              <w:ind w:left="0" w:right="0" w:hanging="0"/>
              <w:rPr/>
            </w:pPr>
            <w:r>
              <w:rPr/>
              <w:t> </w:t>
            </w:r>
          </w:p>
        </w:tc>
        <w:tc>
          <w:tcPr>
            <w:tcW w:w="1400"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347"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454"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r>
      <w:tr>
        <w:trPr/>
        <w:tc>
          <w:tcPr>
            <w:tcW w:w="320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Excluding Selected Items Impacting Comparability </w:t>
            </w:r>
          </w:p>
        </w:tc>
        <w:tc>
          <w:tcPr>
            <w:tcW w:w="175" w:type="dxa"/>
            <w:tcBorders/>
            <w:shd w:fill="auto" w:val="clear"/>
            <w:vAlign w:val="bottom"/>
          </w:tcPr>
          <w:p>
            <w:pPr>
              <w:pStyle w:val="TableContents"/>
              <w:spacing w:before="0" w:after="0"/>
              <w:ind w:left="0" w:right="0" w:hanging="0"/>
              <w:rPr/>
            </w:pPr>
            <w:r>
              <w:rPr/>
              <w:t> </w:t>
            </w:r>
          </w:p>
        </w:tc>
        <w:tc>
          <w:tcPr>
            <w:tcW w:w="2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0.60</w:t>
            </w:r>
          </w:p>
        </w:tc>
        <w:tc>
          <w:tcPr>
            <w:tcW w:w="175" w:type="dxa"/>
            <w:tcBorders/>
            <w:shd w:fill="auto" w:val="clear"/>
            <w:vAlign w:val="bottom"/>
          </w:tcPr>
          <w:p>
            <w:pPr>
              <w:pStyle w:val="TableContents"/>
              <w:spacing w:before="0" w:after="0"/>
              <w:ind w:left="0" w:right="0" w:hanging="0"/>
              <w:rPr/>
            </w:pPr>
            <w:r>
              <w:rPr/>
              <w:t> </w:t>
            </w:r>
          </w:p>
        </w:tc>
        <w:tc>
          <w:tcPr>
            <w:tcW w:w="2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0.55</w:t>
            </w:r>
          </w:p>
        </w:tc>
        <w:tc>
          <w:tcPr>
            <w:tcW w:w="211"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20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0.63</w:t>
            </w:r>
          </w:p>
        </w:tc>
        <w:tc>
          <w:tcPr>
            <w:tcW w:w="211"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22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0.60</w:t>
            </w:r>
          </w:p>
        </w:tc>
        <w:tc>
          <w:tcPr>
            <w:tcW w:w="219"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r>
      <w:tr>
        <w:trPr/>
        <w:tc>
          <w:tcPr>
            <w:tcW w:w="3204"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 aggregate of multiple systems in their respective areas.</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Includes BP NGL acquisition effective April 1, 2012.</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i/>
          <w:sz w:val="17"/>
        </w:rPr>
        <w:t>Facilities</w:t>
      </w:r>
      <w:r>
        <w:rPr>
          <w:rFonts w:ascii="Times New Roman" w:hAnsi="Times New Roman"/>
          <w:sz w:val="17"/>
        </w:rPr>
        <w:t>. Our facilities segment operations generally consist of fee-based activities associated with providing storage, terminalling and throughput services for crude oil, refined products, NGL and natural gas, as well as NGL fractionation and isomerization services. We generate revenue through a combination of month-to-month and multi-year leases and processing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is forecasted using the volume assumptions in the table below, priced at forecasted rates, less estimated field operating costs and G&amp;A expenses. Field operating costs do not include depreciation.</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589"/>
        <w:gridCol w:w="189"/>
        <w:gridCol w:w="215"/>
        <w:gridCol w:w="1176"/>
        <w:gridCol w:w="189"/>
        <w:gridCol w:w="215"/>
        <w:gridCol w:w="1176"/>
        <w:gridCol w:w="223"/>
        <w:gridCol w:w="202"/>
        <w:gridCol w:w="1138"/>
        <w:gridCol w:w="223"/>
        <w:gridCol w:w="227"/>
        <w:gridCol w:w="1214"/>
        <w:gridCol w:w="229"/>
      </w:tblGrid>
      <w:tr>
        <w:trPr/>
        <w:tc>
          <w:tcPr>
            <w:tcW w:w="3589"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139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89" w:type="dxa"/>
            <w:tcBorders/>
            <w:shd w:fill="auto" w:val="clear"/>
            <w:vAlign w:val="bottom"/>
          </w:tcPr>
          <w:p>
            <w:pPr>
              <w:pStyle w:val="TableContents"/>
              <w:spacing w:before="0" w:after="0"/>
              <w:ind w:left="0" w:right="0" w:hanging="0"/>
              <w:jc w:val="center"/>
              <w:rPr/>
            </w:pPr>
            <w:r>
              <w:rPr/>
              <w:t> </w:t>
            </w:r>
          </w:p>
        </w:tc>
        <w:tc>
          <w:tcPr>
            <w:tcW w:w="4618"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229" w:type="dxa"/>
            <w:tcBorders/>
            <w:shd w:fill="auto" w:val="clear"/>
            <w:vAlign w:val="bottom"/>
          </w:tcPr>
          <w:p>
            <w:pPr>
              <w:pStyle w:val="TableContents"/>
              <w:spacing w:before="0" w:after="0"/>
              <w:ind w:left="0" w:right="0" w:hanging="0"/>
              <w:jc w:val="center"/>
              <w:rPr/>
            </w:pPr>
            <w:r>
              <w:rPr/>
              <w:t> </w:t>
            </w:r>
          </w:p>
        </w:tc>
      </w:tr>
      <w:tr>
        <w:trPr/>
        <w:tc>
          <w:tcPr>
            <w:tcW w:w="3589"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139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89" w:type="dxa"/>
            <w:tcBorders/>
            <w:shd w:fill="auto" w:val="clear"/>
            <w:vAlign w:val="bottom"/>
          </w:tcPr>
          <w:p>
            <w:pPr>
              <w:pStyle w:val="TableContents"/>
              <w:spacing w:before="0" w:after="0"/>
              <w:ind w:left="0" w:right="0" w:hanging="0"/>
              <w:jc w:val="center"/>
              <w:rPr/>
            </w:pPr>
            <w:r>
              <w:rPr/>
              <w:t> </w:t>
            </w:r>
          </w:p>
        </w:tc>
        <w:tc>
          <w:tcPr>
            <w:tcW w:w="139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23" w:type="dxa"/>
            <w:tcBorders/>
            <w:shd w:fill="auto" w:val="clear"/>
            <w:vAlign w:val="bottom"/>
          </w:tcPr>
          <w:p>
            <w:pPr>
              <w:pStyle w:val="TableContents"/>
              <w:spacing w:before="0" w:after="0"/>
              <w:ind w:left="0" w:right="0" w:hanging="0"/>
              <w:jc w:val="center"/>
              <w:rPr/>
            </w:pPr>
            <w:r>
              <w:rPr/>
              <w:t> </w:t>
            </w:r>
          </w:p>
        </w:tc>
        <w:tc>
          <w:tcPr>
            <w:tcW w:w="134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223" w:type="dxa"/>
            <w:tcBorders/>
            <w:shd w:fill="auto" w:val="clear"/>
            <w:vAlign w:val="bottom"/>
          </w:tcPr>
          <w:p>
            <w:pPr>
              <w:pStyle w:val="TableContents"/>
              <w:spacing w:before="0" w:after="0"/>
              <w:ind w:left="0" w:right="0" w:hanging="0"/>
              <w:jc w:val="center"/>
              <w:rPr/>
            </w:pPr>
            <w:r>
              <w:rPr/>
              <w:t> </w:t>
            </w:r>
          </w:p>
        </w:tc>
        <w:tc>
          <w:tcPr>
            <w:tcW w:w="144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229" w:type="dxa"/>
            <w:tcBorders/>
            <w:shd w:fill="auto" w:val="clear"/>
            <w:vAlign w:val="bottom"/>
          </w:tcPr>
          <w:p>
            <w:pPr>
              <w:pStyle w:val="TableContents"/>
              <w:spacing w:before="0" w:after="0"/>
              <w:ind w:left="0" w:right="0" w:hanging="0"/>
              <w:jc w:val="center"/>
              <w:rPr/>
            </w:pPr>
            <w:r>
              <w:rPr/>
              <w:t> </w:t>
            </w:r>
          </w:p>
        </w:tc>
      </w:tr>
      <w:tr>
        <w:trPr/>
        <w:tc>
          <w:tcPr>
            <w:tcW w:w="3589"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139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89" w:type="dxa"/>
            <w:tcBorders/>
            <w:shd w:fill="auto" w:val="clear"/>
            <w:vAlign w:val="bottom"/>
          </w:tcPr>
          <w:p>
            <w:pPr>
              <w:pStyle w:val="TableContents"/>
              <w:spacing w:before="0" w:after="0"/>
              <w:ind w:left="0" w:right="0" w:hanging="0"/>
              <w:jc w:val="center"/>
              <w:rPr/>
            </w:pPr>
            <w:r>
              <w:rPr/>
              <w:t> </w:t>
            </w:r>
          </w:p>
        </w:tc>
        <w:tc>
          <w:tcPr>
            <w:tcW w:w="139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23" w:type="dxa"/>
            <w:tcBorders/>
            <w:shd w:fill="auto" w:val="clear"/>
            <w:vAlign w:val="bottom"/>
          </w:tcPr>
          <w:p>
            <w:pPr>
              <w:pStyle w:val="TableContents"/>
              <w:spacing w:before="0" w:after="0"/>
              <w:ind w:left="0" w:right="0" w:hanging="0"/>
              <w:jc w:val="center"/>
              <w:rPr/>
            </w:pPr>
            <w:r>
              <w:rPr/>
              <w:t> </w:t>
            </w:r>
          </w:p>
        </w:tc>
        <w:tc>
          <w:tcPr>
            <w:tcW w:w="134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23" w:type="dxa"/>
            <w:tcBorders/>
            <w:shd w:fill="auto" w:val="clear"/>
            <w:vAlign w:val="bottom"/>
          </w:tcPr>
          <w:p>
            <w:pPr>
              <w:pStyle w:val="TableContents"/>
              <w:spacing w:before="0" w:after="0"/>
              <w:ind w:left="0" w:right="0" w:hanging="0"/>
              <w:jc w:val="center"/>
              <w:rPr/>
            </w:pPr>
            <w:r>
              <w:rPr/>
              <w:t> </w:t>
            </w:r>
          </w:p>
        </w:tc>
        <w:tc>
          <w:tcPr>
            <w:tcW w:w="144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29" w:type="dxa"/>
            <w:tcBorders/>
            <w:shd w:fill="auto" w:val="clear"/>
            <w:vAlign w:val="bottom"/>
          </w:tcPr>
          <w:p>
            <w:pPr>
              <w:pStyle w:val="TableContents"/>
              <w:spacing w:before="0" w:after="0"/>
              <w:ind w:left="0" w:right="0" w:hanging="0"/>
              <w:jc w:val="center"/>
              <w:rPr/>
            </w:pPr>
            <w:r>
              <w:rPr/>
              <w:t> </w:t>
            </w:r>
          </w:p>
        </w:tc>
      </w:tr>
      <w:tr>
        <w:trPr/>
        <w:tc>
          <w:tcPr>
            <w:tcW w:w="3589"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139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 31, 2012</w:t>
            </w:r>
          </w:p>
        </w:tc>
        <w:tc>
          <w:tcPr>
            <w:tcW w:w="189" w:type="dxa"/>
            <w:tcBorders/>
            <w:shd w:fill="auto" w:val="clear"/>
            <w:vAlign w:val="bottom"/>
          </w:tcPr>
          <w:p>
            <w:pPr>
              <w:pStyle w:val="TableContents"/>
              <w:spacing w:before="0" w:after="0"/>
              <w:ind w:left="0" w:right="0" w:hanging="0"/>
              <w:jc w:val="center"/>
              <w:rPr/>
            </w:pPr>
            <w:r>
              <w:rPr/>
              <w:t> </w:t>
            </w:r>
          </w:p>
        </w:tc>
        <w:tc>
          <w:tcPr>
            <w:tcW w:w="139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 30, 2012</w:t>
            </w:r>
          </w:p>
        </w:tc>
        <w:tc>
          <w:tcPr>
            <w:tcW w:w="223" w:type="dxa"/>
            <w:tcBorders/>
            <w:shd w:fill="auto" w:val="clear"/>
            <w:vAlign w:val="bottom"/>
          </w:tcPr>
          <w:p>
            <w:pPr>
              <w:pStyle w:val="TableContents"/>
              <w:spacing w:before="0" w:after="0"/>
              <w:ind w:left="0" w:right="0" w:hanging="0"/>
              <w:jc w:val="center"/>
              <w:rPr/>
            </w:pPr>
            <w:r>
              <w:rPr/>
              <w:t> </w:t>
            </w:r>
          </w:p>
        </w:tc>
        <w:tc>
          <w:tcPr>
            <w:tcW w:w="134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2012</w:t>
            </w:r>
          </w:p>
        </w:tc>
        <w:tc>
          <w:tcPr>
            <w:tcW w:w="223" w:type="dxa"/>
            <w:tcBorders/>
            <w:shd w:fill="auto" w:val="clear"/>
            <w:vAlign w:val="bottom"/>
          </w:tcPr>
          <w:p>
            <w:pPr>
              <w:pStyle w:val="TableContents"/>
              <w:spacing w:before="0" w:after="0"/>
              <w:ind w:left="0" w:right="0" w:hanging="0"/>
              <w:jc w:val="center"/>
              <w:rPr/>
            </w:pPr>
            <w:r>
              <w:rPr/>
              <w:t> </w:t>
            </w:r>
          </w:p>
        </w:tc>
        <w:tc>
          <w:tcPr>
            <w:tcW w:w="144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2012</w:t>
            </w:r>
          </w:p>
        </w:tc>
        <w:tc>
          <w:tcPr>
            <w:tcW w:w="229" w:type="dxa"/>
            <w:tcBorders/>
            <w:shd w:fill="auto" w:val="clear"/>
            <w:vAlign w:val="bottom"/>
          </w:tcPr>
          <w:p>
            <w:pPr>
              <w:pStyle w:val="TableContents"/>
              <w:spacing w:before="0" w:after="0"/>
              <w:ind w:left="0" w:right="0" w:hanging="0"/>
              <w:jc w:val="center"/>
              <w:rPr/>
            </w:pPr>
            <w:r>
              <w:rPr/>
              <w:t> </w:t>
            </w:r>
          </w:p>
        </w:tc>
      </w:tr>
      <w:tr>
        <w:trPr/>
        <w:tc>
          <w:tcPr>
            <w:tcW w:w="358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Operating Data</w:t>
            </w:r>
          </w:p>
        </w:tc>
        <w:tc>
          <w:tcPr>
            <w:tcW w:w="189" w:type="dxa"/>
            <w:tcBorders/>
            <w:shd w:fill="CCEEFF" w:val="clear"/>
            <w:vAlign w:val="bottom"/>
          </w:tcPr>
          <w:p>
            <w:pPr>
              <w:pStyle w:val="TableContents"/>
              <w:spacing w:before="0" w:after="0"/>
              <w:ind w:left="0" w:right="0" w:hanging="0"/>
              <w:rPr/>
            </w:pPr>
            <w:r>
              <w:rPr/>
              <w:t> </w:t>
            </w:r>
          </w:p>
        </w:tc>
        <w:tc>
          <w:tcPr>
            <w:tcW w:w="1391"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391"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1340"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1441" w:type="dxa"/>
            <w:gridSpan w:val="2"/>
            <w:tcBorders/>
            <w:shd w:fill="CCEEFF" w:val="clear"/>
            <w:vAlign w:val="bottom"/>
          </w:tcPr>
          <w:p>
            <w:pPr>
              <w:pStyle w:val="TableContents"/>
              <w:spacing w:before="0" w:after="0"/>
              <w:ind w:left="0" w:right="0" w:hanging="0"/>
              <w:jc w:val="right"/>
              <w:rPr/>
            </w:pPr>
            <w:r>
              <w:rPr/>
              <w:t> </w:t>
            </w:r>
          </w:p>
        </w:tc>
        <w:tc>
          <w:tcPr>
            <w:tcW w:w="229" w:type="dxa"/>
            <w:tcBorders/>
            <w:shd w:fill="CCEEFF" w:val="clear"/>
            <w:vAlign w:val="bottom"/>
          </w:tcPr>
          <w:p>
            <w:pPr>
              <w:pStyle w:val="TableContents"/>
              <w:spacing w:before="0" w:after="0"/>
              <w:ind w:left="0" w:right="0" w:hanging="0"/>
              <w:rPr/>
            </w:pPr>
            <w:r>
              <w:rPr/>
              <w:t> </w:t>
            </w:r>
          </w:p>
        </w:tc>
      </w:tr>
      <w:tr>
        <w:trPr/>
        <w:tc>
          <w:tcPr>
            <w:tcW w:w="35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refined products and NGL storage (MMBbls/Mo.) </w:t>
            </w:r>
          </w:p>
        </w:tc>
        <w:tc>
          <w:tcPr>
            <w:tcW w:w="189" w:type="dxa"/>
            <w:tcBorders/>
            <w:shd w:fill="auto" w:val="clear"/>
            <w:vAlign w:val="bottom"/>
          </w:tcPr>
          <w:p>
            <w:pPr>
              <w:pStyle w:val="TableContents"/>
              <w:spacing w:before="0" w:after="0"/>
              <w:ind w:left="0" w:right="0" w:hanging="0"/>
              <w:rPr/>
            </w:pPr>
            <w:r>
              <w:rPr/>
              <w:t> </w:t>
            </w:r>
          </w:p>
        </w:tc>
        <w:tc>
          <w:tcPr>
            <w:tcW w:w="139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89" w:type="dxa"/>
            <w:tcBorders/>
            <w:shd w:fill="auto" w:val="clear"/>
            <w:vAlign w:val="bottom"/>
          </w:tcPr>
          <w:p>
            <w:pPr>
              <w:pStyle w:val="TableContents"/>
              <w:spacing w:before="0" w:after="0"/>
              <w:ind w:left="0" w:right="0" w:hanging="0"/>
              <w:rPr/>
            </w:pPr>
            <w:r>
              <w:rPr/>
              <w:t> </w:t>
            </w:r>
          </w:p>
        </w:tc>
        <w:tc>
          <w:tcPr>
            <w:tcW w:w="139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23" w:type="dxa"/>
            <w:tcBorders/>
            <w:shd w:fill="auto" w:val="clear"/>
            <w:vAlign w:val="bottom"/>
          </w:tcPr>
          <w:p>
            <w:pPr>
              <w:pStyle w:val="TableContents"/>
              <w:spacing w:before="0" w:after="0"/>
              <w:ind w:left="0" w:right="0" w:hanging="0"/>
              <w:rPr/>
            </w:pPr>
            <w:r>
              <w:rPr/>
              <w:t> </w:t>
            </w:r>
          </w:p>
        </w:tc>
        <w:tc>
          <w:tcPr>
            <w:tcW w:w="134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23" w:type="dxa"/>
            <w:tcBorders/>
            <w:shd w:fill="auto" w:val="clear"/>
            <w:vAlign w:val="bottom"/>
          </w:tcPr>
          <w:p>
            <w:pPr>
              <w:pStyle w:val="TableContents"/>
              <w:spacing w:before="0" w:after="0"/>
              <w:ind w:left="0" w:right="0" w:hanging="0"/>
              <w:rPr/>
            </w:pPr>
            <w:r>
              <w:rPr/>
              <w:t> </w:t>
            </w:r>
          </w:p>
        </w:tc>
        <w:tc>
          <w:tcPr>
            <w:tcW w:w="144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229" w:type="dxa"/>
            <w:tcBorders/>
            <w:shd w:fill="auto" w:val="clear"/>
            <w:vAlign w:val="bottom"/>
          </w:tcPr>
          <w:p>
            <w:pPr>
              <w:pStyle w:val="TableContents"/>
              <w:spacing w:before="0" w:after="0"/>
              <w:ind w:left="0" w:right="0" w:hanging="0"/>
              <w:rPr/>
            </w:pPr>
            <w:r>
              <w:rPr/>
              <w:t> </w:t>
            </w:r>
          </w:p>
        </w:tc>
      </w:tr>
      <w:tr>
        <w:trPr/>
        <w:tc>
          <w:tcPr>
            <w:tcW w:w="358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Natural Gas Storage (Bcf/Mo.) </w:t>
            </w:r>
          </w:p>
        </w:tc>
        <w:tc>
          <w:tcPr>
            <w:tcW w:w="189" w:type="dxa"/>
            <w:tcBorders/>
            <w:shd w:fill="CCEEFF" w:val="clear"/>
            <w:vAlign w:val="bottom"/>
          </w:tcPr>
          <w:p>
            <w:pPr>
              <w:pStyle w:val="TableContents"/>
              <w:spacing w:before="0" w:after="0"/>
              <w:ind w:left="0" w:right="0" w:hanging="0"/>
              <w:rPr/>
            </w:pPr>
            <w:r>
              <w:rPr/>
              <w:t> </w:t>
            </w:r>
          </w:p>
        </w:tc>
        <w:tc>
          <w:tcPr>
            <w:tcW w:w="139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189" w:type="dxa"/>
            <w:tcBorders/>
            <w:shd w:fill="CCEEFF" w:val="clear"/>
            <w:vAlign w:val="bottom"/>
          </w:tcPr>
          <w:p>
            <w:pPr>
              <w:pStyle w:val="TableContents"/>
              <w:spacing w:before="0" w:after="0"/>
              <w:ind w:left="0" w:right="0" w:hanging="0"/>
              <w:rPr/>
            </w:pPr>
            <w:r>
              <w:rPr/>
              <w:t> </w:t>
            </w:r>
          </w:p>
        </w:tc>
        <w:tc>
          <w:tcPr>
            <w:tcW w:w="139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223" w:type="dxa"/>
            <w:tcBorders/>
            <w:shd w:fill="CCEEFF" w:val="clear"/>
            <w:vAlign w:val="bottom"/>
          </w:tcPr>
          <w:p>
            <w:pPr>
              <w:pStyle w:val="TableContents"/>
              <w:spacing w:before="0" w:after="0"/>
              <w:ind w:left="0" w:right="0" w:hanging="0"/>
              <w:rPr/>
            </w:pPr>
            <w:r>
              <w:rPr/>
              <w:t> </w:t>
            </w:r>
          </w:p>
        </w:tc>
        <w:tc>
          <w:tcPr>
            <w:tcW w:w="134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223" w:type="dxa"/>
            <w:tcBorders/>
            <w:shd w:fill="CCEEFF" w:val="clear"/>
            <w:vAlign w:val="bottom"/>
          </w:tcPr>
          <w:p>
            <w:pPr>
              <w:pStyle w:val="TableContents"/>
              <w:spacing w:before="0" w:after="0"/>
              <w:ind w:left="0" w:right="0" w:hanging="0"/>
              <w:rPr/>
            </w:pPr>
            <w:r>
              <w:rPr/>
              <w:t> </w:t>
            </w:r>
          </w:p>
        </w:tc>
        <w:tc>
          <w:tcPr>
            <w:tcW w:w="144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29" w:type="dxa"/>
            <w:tcBorders/>
            <w:shd w:fill="CCEEFF" w:val="clear"/>
            <w:vAlign w:val="bottom"/>
          </w:tcPr>
          <w:p>
            <w:pPr>
              <w:pStyle w:val="TableContents"/>
              <w:spacing w:before="0" w:after="0"/>
              <w:ind w:left="0" w:right="0" w:hanging="0"/>
              <w:rPr/>
            </w:pPr>
            <w:r>
              <w:rPr/>
              <w:t> </w:t>
            </w:r>
          </w:p>
        </w:tc>
      </w:tr>
      <w:tr>
        <w:trPr/>
        <w:tc>
          <w:tcPr>
            <w:tcW w:w="3589" w:type="dxa"/>
            <w:tcBorders/>
            <w:shd w:fill="auto" w:val="clear"/>
          </w:tcPr>
          <w:p>
            <w:pPr>
              <w:pStyle w:val="TableContents"/>
              <w:spacing w:before="0" w:after="0"/>
              <w:ind w:left="0" w:right="0" w:hanging="0"/>
              <w:rPr/>
            </w:pPr>
            <w:r>
              <w:rPr>
                <w:rFonts w:ascii="Times New Roman" w:hAnsi="Times New Roman"/>
                <w:sz w:val="17"/>
              </w:rPr>
              <w:t xml:space="preserve">NGL Fractionation (MBbl/d) </w:t>
            </w:r>
            <w:r>
              <w:rPr>
                <w:sz w:val="11"/>
              </w:rPr>
              <w:t>(</w:t>
            </w:r>
            <w:r>
              <w:rPr>
                <w:sz w:val="17"/>
              </w:rPr>
              <w:t>¹</w:t>
            </w:r>
            <w:r>
              <w:rPr>
                <w:sz w:val="11"/>
              </w:rPr>
              <w:t>)</w:t>
            </w:r>
            <w:r>
              <w:rPr/>
              <w:t> </w:t>
            </w:r>
          </w:p>
        </w:tc>
        <w:tc>
          <w:tcPr>
            <w:tcW w:w="189" w:type="dxa"/>
            <w:tcBorders/>
            <w:shd w:fill="auto" w:val="clear"/>
            <w:vAlign w:val="bottom"/>
          </w:tcPr>
          <w:p>
            <w:pPr>
              <w:pStyle w:val="TableContents"/>
              <w:spacing w:before="0" w:after="0"/>
              <w:ind w:left="0" w:right="0" w:hanging="0"/>
              <w:rPr/>
            </w:pPr>
            <w:r>
              <w:rPr/>
              <w:t> </w:t>
            </w:r>
          </w:p>
        </w:tc>
        <w:tc>
          <w:tcPr>
            <w:tcW w:w="139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89" w:type="dxa"/>
            <w:tcBorders/>
            <w:shd w:fill="auto" w:val="clear"/>
            <w:vAlign w:val="bottom"/>
          </w:tcPr>
          <w:p>
            <w:pPr>
              <w:pStyle w:val="TableContents"/>
              <w:spacing w:before="0" w:after="0"/>
              <w:ind w:left="0" w:right="0" w:hanging="0"/>
              <w:rPr/>
            </w:pPr>
            <w:r>
              <w:rPr/>
              <w:t> </w:t>
            </w:r>
          </w:p>
        </w:tc>
        <w:tc>
          <w:tcPr>
            <w:tcW w:w="139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23" w:type="dxa"/>
            <w:tcBorders/>
            <w:shd w:fill="auto" w:val="clear"/>
            <w:vAlign w:val="bottom"/>
          </w:tcPr>
          <w:p>
            <w:pPr>
              <w:pStyle w:val="TableContents"/>
              <w:spacing w:before="0" w:after="0"/>
              <w:ind w:left="0" w:right="0" w:hanging="0"/>
              <w:rPr/>
            </w:pPr>
            <w:r>
              <w:rPr/>
              <w:t> </w:t>
            </w:r>
          </w:p>
        </w:tc>
        <w:tc>
          <w:tcPr>
            <w:tcW w:w="134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23" w:type="dxa"/>
            <w:tcBorders/>
            <w:shd w:fill="auto" w:val="clear"/>
            <w:vAlign w:val="bottom"/>
          </w:tcPr>
          <w:p>
            <w:pPr>
              <w:pStyle w:val="TableContents"/>
              <w:spacing w:before="0" w:after="0"/>
              <w:ind w:left="0" w:right="0" w:hanging="0"/>
              <w:rPr/>
            </w:pPr>
            <w:r>
              <w:rPr/>
              <w:t> </w:t>
            </w:r>
          </w:p>
        </w:tc>
        <w:tc>
          <w:tcPr>
            <w:tcW w:w="144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29" w:type="dxa"/>
            <w:tcBorders/>
            <w:shd w:fill="auto" w:val="clear"/>
            <w:vAlign w:val="bottom"/>
          </w:tcPr>
          <w:p>
            <w:pPr>
              <w:pStyle w:val="TableContents"/>
              <w:spacing w:before="0" w:after="0"/>
              <w:ind w:left="0" w:right="0" w:hanging="0"/>
              <w:rPr/>
            </w:pPr>
            <w:r>
              <w:rPr/>
              <w:t> </w:t>
            </w:r>
          </w:p>
        </w:tc>
      </w:tr>
      <w:tr>
        <w:trPr/>
        <w:tc>
          <w:tcPr>
            <w:tcW w:w="358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Facilities Activities Total</w:t>
            </w:r>
          </w:p>
        </w:tc>
        <w:tc>
          <w:tcPr>
            <w:tcW w:w="189" w:type="dxa"/>
            <w:tcBorders/>
            <w:shd w:fill="CCEEFF" w:val="clear"/>
            <w:vAlign w:val="bottom"/>
          </w:tcPr>
          <w:p>
            <w:pPr>
              <w:pStyle w:val="TableContents"/>
              <w:spacing w:before="0" w:after="0"/>
              <w:ind w:left="0" w:right="0" w:hanging="0"/>
              <w:rPr/>
            </w:pPr>
            <w:r>
              <w:rPr/>
              <w:t> </w:t>
            </w:r>
          </w:p>
        </w:tc>
        <w:tc>
          <w:tcPr>
            <w:tcW w:w="1391"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391"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1340"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1441" w:type="dxa"/>
            <w:gridSpan w:val="2"/>
            <w:tcBorders/>
            <w:shd w:fill="CCEEFF" w:val="clear"/>
            <w:vAlign w:val="bottom"/>
          </w:tcPr>
          <w:p>
            <w:pPr>
              <w:pStyle w:val="TableContents"/>
              <w:spacing w:before="0" w:after="0"/>
              <w:ind w:left="0" w:right="0" w:hanging="0"/>
              <w:jc w:val="right"/>
              <w:rPr/>
            </w:pPr>
            <w:r>
              <w:rPr/>
              <w:t> </w:t>
            </w:r>
          </w:p>
        </w:tc>
        <w:tc>
          <w:tcPr>
            <w:tcW w:w="229" w:type="dxa"/>
            <w:tcBorders/>
            <w:shd w:fill="CCEEFF" w:val="clear"/>
            <w:vAlign w:val="bottom"/>
          </w:tcPr>
          <w:p>
            <w:pPr>
              <w:pStyle w:val="TableContents"/>
              <w:spacing w:before="0" w:after="0"/>
              <w:ind w:left="0" w:right="0" w:hanging="0"/>
              <w:rPr/>
            </w:pPr>
            <w:r>
              <w:rPr/>
              <w:t> </w:t>
            </w:r>
          </w:p>
        </w:tc>
      </w:tr>
      <w:tr>
        <w:trPr/>
        <w:tc>
          <w:tcPr>
            <w:tcW w:w="3589" w:type="dxa"/>
            <w:tcBorders/>
            <w:shd w:fill="auto" w:val="clear"/>
          </w:tcPr>
          <w:p>
            <w:pPr>
              <w:pStyle w:val="TableContents"/>
              <w:spacing w:before="0" w:after="0"/>
              <w:ind w:left="0" w:right="0" w:hanging="0"/>
              <w:rPr/>
            </w:pPr>
            <w:r>
              <w:rPr>
                <w:rFonts w:ascii="Times New Roman" w:hAnsi="Times New Roman"/>
                <w:sz w:val="17"/>
              </w:rPr>
              <w:t xml:space="preserve">Avg. Capacity (MMBbls/Mo.) </w:t>
            </w:r>
            <w:r>
              <w:rPr>
                <w:sz w:val="11"/>
              </w:rPr>
              <w:t>(2)</w:t>
            </w:r>
          </w:p>
        </w:tc>
        <w:tc>
          <w:tcPr>
            <w:tcW w:w="189" w:type="dxa"/>
            <w:tcBorders/>
            <w:shd w:fill="auto" w:val="clear"/>
            <w:vAlign w:val="bottom"/>
          </w:tcPr>
          <w:p>
            <w:pPr>
              <w:pStyle w:val="TableContents"/>
              <w:spacing w:before="0" w:after="0"/>
              <w:ind w:left="0" w:right="0" w:hanging="0"/>
              <w:rPr/>
            </w:pPr>
            <w:r>
              <w:rPr/>
              <w:t> </w:t>
            </w:r>
          </w:p>
        </w:tc>
        <w:tc>
          <w:tcPr>
            <w:tcW w:w="139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89" w:type="dxa"/>
            <w:tcBorders/>
            <w:shd w:fill="auto" w:val="clear"/>
            <w:vAlign w:val="bottom"/>
          </w:tcPr>
          <w:p>
            <w:pPr>
              <w:pStyle w:val="TableContents"/>
              <w:spacing w:before="0" w:after="0"/>
              <w:ind w:left="0" w:right="0" w:hanging="0"/>
              <w:rPr/>
            </w:pPr>
            <w:r>
              <w:rPr/>
              <w:t> </w:t>
            </w:r>
          </w:p>
        </w:tc>
        <w:tc>
          <w:tcPr>
            <w:tcW w:w="139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223" w:type="dxa"/>
            <w:tcBorders/>
            <w:shd w:fill="auto" w:val="clear"/>
            <w:vAlign w:val="bottom"/>
          </w:tcPr>
          <w:p>
            <w:pPr>
              <w:pStyle w:val="TableContents"/>
              <w:spacing w:before="0" w:after="0"/>
              <w:ind w:left="0" w:right="0" w:hanging="0"/>
              <w:rPr/>
            </w:pPr>
            <w:r>
              <w:rPr/>
              <w:t> </w:t>
            </w:r>
          </w:p>
        </w:tc>
        <w:tc>
          <w:tcPr>
            <w:tcW w:w="1340"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223" w:type="dxa"/>
            <w:tcBorders/>
            <w:shd w:fill="auto" w:val="clear"/>
            <w:vAlign w:val="bottom"/>
          </w:tcPr>
          <w:p>
            <w:pPr>
              <w:pStyle w:val="TableContents"/>
              <w:spacing w:before="0" w:after="0"/>
              <w:ind w:left="0" w:right="0" w:hanging="0"/>
              <w:rPr/>
            </w:pPr>
            <w:r>
              <w:rPr/>
              <w:t> </w:t>
            </w:r>
          </w:p>
        </w:tc>
        <w:tc>
          <w:tcPr>
            <w:tcW w:w="1441"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w:t>
            </w:r>
          </w:p>
        </w:tc>
        <w:tc>
          <w:tcPr>
            <w:tcW w:w="229" w:type="dxa"/>
            <w:tcBorders/>
            <w:shd w:fill="auto" w:val="clear"/>
            <w:vAlign w:val="bottom"/>
          </w:tcPr>
          <w:p>
            <w:pPr>
              <w:pStyle w:val="TableContents"/>
              <w:spacing w:before="0" w:after="0"/>
              <w:ind w:left="0" w:right="0" w:hanging="0"/>
              <w:rPr/>
            </w:pPr>
            <w:r>
              <w:rPr/>
              <w:t> </w:t>
            </w:r>
          </w:p>
        </w:tc>
      </w:tr>
      <w:tr>
        <w:trPr/>
        <w:tc>
          <w:tcPr>
            <w:tcW w:w="3589" w:type="dxa"/>
            <w:tcBorders/>
            <w:shd w:fill="CCEEFF" w:val="clear"/>
            <w:vAlign w:val="bottom"/>
          </w:tcPr>
          <w:p>
            <w:pPr>
              <w:pStyle w:val="TableContents"/>
              <w:spacing w:before="0" w:after="0"/>
              <w:ind w:left="0" w:right="0" w:hanging="0"/>
              <w:rPr/>
            </w:pPr>
            <w:r>
              <w:rPr/>
              <w:t> </w:t>
            </w:r>
          </w:p>
        </w:tc>
        <w:tc>
          <w:tcPr>
            <w:tcW w:w="189" w:type="dxa"/>
            <w:tcBorders/>
            <w:shd w:fill="CCEEFF" w:val="clear"/>
            <w:vAlign w:val="bottom"/>
          </w:tcPr>
          <w:p>
            <w:pPr>
              <w:pStyle w:val="TableContents"/>
              <w:spacing w:before="0" w:after="0"/>
              <w:ind w:left="0" w:right="0" w:hanging="0"/>
              <w:rPr/>
            </w:pPr>
            <w:r>
              <w:rPr/>
              <w:t> </w:t>
            </w:r>
          </w:p>
        </w:tc>
        <w:tc>
          <w:tcPr>
            <w:tcW w:w="1391"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391"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1340" w:type="dxa"/>
            <w:gridSpan w:val="2"/>
            <w:tcBorders/>
            <w:shd w:fill="CCEEFF" w:val="clear"/>
            <w:vAlign w:val="bottom"/>
          </w:tcPr>
          <w:p>
            <w:pPr>
              <w:pStyle w:val="TableContents"/>
              <w:spacing w:before="0" w:after="0"/>
              <w:ind w:left="0" w:right="0" w:hanging="0"/>
              <w:jc w:val="right"/>
              <w:rPr/>
            </w:pPr>
            <w:r>
              <w:rPr/>
              <w:t> </w:t>
            </w:r>
          </w:p>
        </w:tc>
        <w:tc>
          <w:tcPr>
            <w:tcW w:w="223" w:type="dxa"/>
            <w:tcBorders/>
            <w:shd w:fill="CCEEFF" w:val="clear"/>
            <w:vAlign w:val="bottom"/>
          </w:tcPr>
          <w:p>
            <w:pPr>
              <w:pStyle w:val="TableContents"/>
              <w:spacing w:before="0" w:after="0"/>
              <w:ind w:left="0" w:right="0" w:hanging="0"/>
              <w:rPr/>
            </w:pPr>
            <w:r>
              <w:rPr/>
              <w:t> </w:t>
            </w:r>
          </w:p>
        </w:tc>
        <w:tc>
          <w:tcPr>
            <w:tcW w:w="1441" w:type="dxa"/>
            <w:gridSpan w:val="2"/>
            <w:tcBorders/>
            <w:shd w:fill="CCEEFF" w:val="clear"/>
            <w:vAlign w:val="bottom"/>
          </w:tcPr>
          <w:p>
            <w:pPr>
              <w:pStyle w:val="TableContents"/>
              <w:spacing w:before="0" w:after="0"/>
              <w:ind w:left="0" w:right="0" w:hanging="0"/>
              <w:jc w:val="right"/>
              <w:rPr/>
            </w:pPr>
            <w:r>
              <w:rPr/>
              <w:t> </w:t>
            </w:r>
          </w:p>
        </w:tc>
        <w:tc>
          <w:tcPr>
            <w:tcW w:w="229" w:type="dxa"/>
            <w:tcBorders/>
            <w:shd w:fill="CCEEFF" w:val="clear"/>
            <w:vAlign w:val="bottom"/>
          </w:tcPr>
          <w:p>
            <w:pPr>
              <w:pStyle w:val="TableContents"/>
              <w:spacing w:before="0" w:after="0"/>
              <w:ind w:left="0" w:right="0" w:hanging="0"/>
              <w:rPr/>
            </w:pPr>
            <w:r>
              <w:rPr/>
              <w:t> </w:t>
            </w:r>
          </w:p>
        </w:tc>
      </w:tr>
      <w:tr>
        <w:trPr/>
        <w:tc>
          <w:tcPr>
            <w:tcW w:w="358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($/Bbl) </w:t>
            </w:r>
          </w:p>
        </w:tc>
        <w:tc>
          <w:tcPr>
            <w:tcW w:w="189" w:type="dxa"/>
            <w:tcBorders/>
            <w:shd w:fill="auto" w:val="clear"/>
            <w:vAlign w:val="bottom"/>
          </w:tcPr>
          <w:p>
            <w:pPr>
              <w:pStyle w:val="TableContents"/>
              <w:spacing w:before="0" w:after="0"/>
              <w:ind w:left="0" w:right="0" w:hanging="0"/>
              <w:rPr/>
            </w:pPr>
            <w:r>
              <w:rPr/>
              <w:t> </w:t>
            </w:r>
          </w:p>
        </w:tc>
        <w:tc>
          <w:tcPr>
            <w:tcW w:w="1391"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391"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1340" w:type="dxa"/>
            <w:gridSpan w:val="2"/>
            <w:tcBorders/>
            <w:shd w:fill="auto" w:val="clear"/>
            <w:vAlign w:val="bottom"/>
          </w:tcPr>
          <w:p>
            <w:pPr>
              <w:pStyle w:val="TableContents"/>
              <w:spacing w:before="0" w:after="0"/>
              <w:ind w:left="0" w:right="0" w:hanging="0"/>
              <w:jc w:val="right"/>
              <w:rPr/>
            </w:pPr>
            <w:r>
              <w:rPr/>
              <w:t> </w:t>
            </w:r>
          </w:p>
        </w:tc>
        <w:tc>
          <w:tcPr>
            <w:tcW w:w="223" w:type="dxa"/>
            <w:tcBorders/>
            <w:shd w:fill="auto" w:val="clear"/>
            <w:vAlign w:val="bottom"/>
          </w:tcPr>
          <w:p>
            <w:pPr>
              <w:pStyle w:val="TableContents"/>
              <w:spacing w:before="0" w:after="0"/>
              <w:ind w:left="0" w:right="0" w:hanging="0"/>
              <w:rPr/>
            </w:pPr>
            <w:r>
              <w:rPr/>
              <w:t> </w:t>
            </w:r>
          </w:p>
        </w:tc>
        <w:tc>
          <w:tcPr>
            <w:tcW w:w="1441" w:type="dxa"/>
            <w:gridSpan w:val="2"/>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r>
      <w:tr>
        <w:trPr/>
        <w:tc>
          <w:tcPr>
            <w:tcW w:w="358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Excluding Selected Items Impacting Comparability </w:t>
            </w:r>
          </w:p>
        </w:tc>
        <w:tc>
          <w:tcPr>
            <w:tcW w:w="189" w:type="dxa"/>
            <w:tcBorders/>
            <w:shd w:fill="CCEEFF" w:val="clear"/>
            <w:vAlign w:val="bottom"/>
          </w:tcPr>
          <w:p>
            <w:pPr>
              <w:pStyle w:val="TableContents"/>
              <w:spacing w:before="0" w:after="0"/>
              <w:ind w:left="0" w:right="0" w:hanging="0"/>
              <w:rPr/>
            </w:pPr>
            <w:r>
              <w:rPr/>
              <w:t> </w:t>
            </w:r>
          </w:p>
        </w:tc>
        <w:tc>
          <w:tcPr>
            <w:tcW w:w="2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0.37</w:t>
            </w:r>
          </w:p>
        </w:tc>
        <w:tc>
          <w:tcPr>
            <w:tcW w:w="189" w:type="dxa"/>
            <w:tcBorders/>
            <w:shd w:fill="CCEEFF" w:val="clear"/>
            <w:vAlign w:val="bottom"/>
          </w:tcPr>
          <w:p>
            <w:pPr>
              <w:pStyle w:val="TableContents"/>
              <w:spacing w:before="0" w:after="0"/>
              <w:ind w:left="0" w:right="0" w:hanging="0"/>
              <w:rPr/>
            </w:pPr>
            <w:r>
              <w:rPr/>
              <w:t> </w:t>
            </w:r>
          </w:p>
        </w:tc>
        <w:tc>
          <w:tcPr>
            <w:tcW w:w="2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0.34</w:t>
            </w:r>
          </w:p>
        </w:tc>
        <w:tc>
          <w:tcPr>
            <w:tcW w:w="223"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20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0.39</w:t>
            </w:r>
          </w:p>
        </w:tc>
        <w:tc>
          <w:tcPr>
            <w:tcW w:w="223"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2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1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0.37</w:t>
            </w:r>
          </w:p>
        </w:tc>
        <w:tc>
          <w:tcPr>
            <w:tcW w:w="229"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(3)</w:t>
            </w:r>
          </w:p>
        </w:tc>
      </w:tr>
      <w:tr>
        <w:trPr/>
        <w:tc>
          <w:tcPr>
            <w:tcW w:w="35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BP NGL acquisition effective April 1, 2012.</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Calculated as the sum of: (i) crude oil, refined products and NGL storage capacity; (ii) natural gas storage capacity divided by 6 to account for the 6:1 mcf of gas to crude Btu equivalent ratio and further divided by 1,000 to convert monthly volumes in millions; and (iii) NGL fractionation volumes (based on estimated utilized capacity), multiplied by the number of days in the period and divided by the number of months in the period.</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5" w:name="PB_5_201655_5796"/>
      <w:bookmarkEnd w:id="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i/>
          <w:sz w:val="17"/>
        </w:rPr>
        <w:t>Supply and Logistics</w:t>
      </w:r>
      <w:r>
        <w:rPr>
          <w:rFonts w:ascii="Times New Roman" w:hAnsi="Times New Roman"/>
          <w:sz w:val="17"/>
        </w:rPr>
        <w:t>. Our supply and logistics segment operations generally consist of the following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purchase of crude oil at the wellhead, the bulk purchase of crude oil at pipeline and terminal facilities, and the purchase of cargos at their load port and various other locations in transit;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storage of inventory during contango market conditions and the seasonal storage of NGL;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purchase of NGL from producers, refiners and other marketers;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resale or exchange of crude oil and NGL at various points along the distribution chain to refiners or other resellers to maximize profits;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transportation of crude oil and NGL on trucks, barges, railcars, pipelines and ocean-going vessels to our terminals and third-party terminals.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characterize a substantial portion of the profit generated by our supply and logistics segment as fee equivalent. This portion of the segment profit is generated by the purchase and resale of crude oil production at the wellhead on an index-related basis, which results in us generating a gross margin for such activities.  This gross margin is reduced by the transportation, facilities and other logistical costs associated with delivering the crude oil to market as well as any operating and general and administrative expenses.  The level of profit associated with a portion of the other activities we conduct in the supply and logistics segment is influenced by overall market structure and the degree of volatility in the crude oil market, as well as variable operating expenses. Forecasted operating results for the three-month period ending June 30, 2012 reflect the current market structure and for the last nine months of 2012, reflect the seasonal, weather-related variations in NGL sales.  Variations in weather, market structure or volatility could cause actual results to differ materially from forecasted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forecast adjusted segment profit using the volume assumptions stated below, as well as estimates of unit margins, field operating costs, G&amp;A expenses and carrying costs for contango inventory, based on current and anticipated market conditions. Actual volumes are influenced by temporary market-driven storage and withdrawal of oil, maintenance schedules at refineries, production declines, weather, and other external factors beyond our control. Field operating costs do not include depreciation. Realized unit margins for any given lease-gathered barrel could vary significantly based on a variety of factors including location, quality, and contract structure. Accordingly, the projected segment profit per barrel can vary significantly even if aggregate volumes are in line with the forecasted levels.</w:t>
      </w:r>
    </w:p>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2987"/>
        <w:gridCol w:w="172"/>
        <w:gridCol w:w="214"/>
        <w:gridCol w:w="1169"/>
        <w:gridCol w:w="172"/>
        <w:gridCol w:w="214"/>
        <w:gridCol w:w="1169"/>
        <w:gridCol w:w="208"/>
        <w:gridCol w:w="200"/>
        <w:gridCol w:w="1128"/>
        <w:gridCol w:w="208"/>
        <w:gridCol w:w="227"/>
        <w:gridCol w:w="1208"/>
        <w:gridCol w:w="214"/>
      </w:tblGrid>
      <w:tr>
        <w:trPr/>
        <w:tc>
          <w:tcPr>
            <w:tcW w:w="2987"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138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72" w:type="dxa"/>
            <w:tcBorders/>
            <w:shd w:fill="auto" w:val="clear"/>
            <w:vAlign w:val="bottom"/>
          </w:tcPr>
          <w:p>
            <w:pPr>
              <w:pStyle w:val="TableContents"/>
              <w:spacing w:before="0" w:after="0"/>
              <w:ind w:left="0" w:right="0" w:hanging="0"/>
              <w:jc w:val="center"/>
              <w:rPr/>
            </w:pPr>
            <w:r>
              <w:rPr/>
              <w:t> </w:t>
            </w:r>
          </w:p>
        </w:tc>
        <w:tc>
          <w:tcPr>
            <w:tcW w:w="4562"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214" w:type="dxa"/>
            <w:tcBorders/>
            <w:shd w:fill="auto" w:val="clear"/>
            <w:vAlign w:val="bottom"/>
          </w:tcPr>
          <w:p>
            <w:pPr>
              <w:pStyle w:val="TableContents"/>
              <w:spacing w:before="0" w:after="0"/>
              <w:ind w:left="0" w:right="0" w:hanging="0"/>
              <w:jc w:val="center"/>
              <w:rPr/>
            </w:pPr>
            <w:r>
              <w:rPr/>
              <w:t> </w:t>
            </w:r>
          </w:p>
        </w:tc>
      </w:tr>
      <w:tr>
        <w:trPr/>
        <w:tc>
          <w:tcPr>
            <w:tcW w:w="2987"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138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72" w:type="dxa"/>
            <w:tcBorders/>
            <w:shd w:fill="auto" w:val="clear"/>
            <w:vAlign w:val="bottom"/>
          </w:tcPr>
          <w:p>
            <w:pPr>
              <w:pStyle w:val="TableContents"/>
              <w:spacing w:before="0" w:after="0"/>
              <w:ind w:left="0" w:right="0" w:hanging="0"/>
              <w:jc w:val="center"/>
              <w:rPr/>
            </w:pPr>
            <w:r>
              <w:rPr/>
              <w:t> </w:t>
            </w:r>
          </w:p>
        </w:tc>
        <w:tc>
          <w:tcPr>
            <w:tcW w:w="138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0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2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Six Months</w:t>
            </w:r>
          </w:p>
        </w:tc>
        <w:tc>
          <w:tcPr>
            <w:tcW w:w="20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435"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214" w:type="dxa"/>
            <w:tcBorders/>
            <w:shd w:fill="auto" w:val="clear"/>
            <w:vAlign w:val="bottom"/>
          </w:tcPr>
          <w:p>
            <w:pPr>
              <w:pStyle w:val="TableContents"/>
              <w:spacing w:before="0" w:after="0"/>
              <w:ind w:left="0" w:right="0" w:hanging="0"/>
              <w:jc w:val="center"/>
              <w:rPr/>
            </w:pPr>
            <w:r>
              <w:rPr/>
              <w:t> </w:t>
            </w:r>
          </w:p>
        </w:tc>
      </w:tr>
      <w:tr>
        <w:trPr/>
        <w:tc>
          <w:tcPr>
            <w:tcW w:w="2987"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138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72" w:type="dxa"/>
            <w:tcBorders/>
            <w:shd w:fill="auto" w:val="clear"/>
            <w:vAlign w:val="bottom"/>
          </w:tcPr>
          <w:p>
            <w:pPr>
              <w:pStyle w:val="TableContents"/>
              <w:spacing w:before="0" w:after="0"/>
              <w:ind w:left="0" w:right="0" w:hanging="0"/>
              <w:jc w:val="center"/>
              <w:rPr/>
            </w:pPr>
            <w:r>
              <w:rPr/>
              <w:t> </w:t>
            </w:r>
          </w:p>
        </w:tc>
        <w:tc>
          <w:tcPr>
            <w:tcW w:w="138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08" w:type="dxa"/>
            <w:tcBorders/>
            <w:shd w:fill="auto" w:val="clear"/>
            <w:vAlign w:val="bottom"/>
          </w:tcPr>
          <w:p>
            <w:pPr>
              <w:pStyle w:val="TableContents"/>
              <w:spacing w:before="0" w:after="0"/>
              <w:ind w:left="0" w:right="0" w:hanging="0"/>
              <w:jc w:val="center"/>
              <w:rPr/>
            </w:pPr>
            <w:r>
              <w:rPr/>
              <w:t> </w:t>
            </w:r>
          </w:p>
        </w:tc>
        <w:tc>
          <w:tcPr>
            <w:tcW w:w="132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08" w:type="dxa"/>
            <w:tcBorders/>
            <w:shd w:fill="auto" w:val="clear"/>
            <w:vAlign w:val="bottom"/>
          </w:tcPr>
          <w:p>
            <w:pPr>
              <w:pStyle w:val="TableContents"/>
              <w:spacing w:before="0" w:after="0"/>
              <w:ind w:left="0" w:right="0" w:hanging="0"/>
              <w:jc w:val="center"/>
              <w:rPr/>
            </w:pPr>
            <w:r>
              <w:rPr/>
              <w:t> </w:t>
            </w:r>
          </w:p>
        </w:tc>
        <w:tc>
          <w:tcPr>
            <w:tcW w:w="143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14" w:type="dxa"/>
            <w:tcBorders/>
            <w:shd w:fill="auto" w:val="clear"/>
            <w:vAlign w:val="bottom"/>
          </w:tcPr>
          <w:p>
            <w:pPr>
              <w:pStyle w:val="TableContents"/>
              <w:spacing w:before="0" w:after="0"/>
              <w:ind w:left="0" w:right="0" w:hanging="0"/>
              <w:jc w:val="center"/>
              <w:rPr/>
            </w:pPr>
            <w:r>
              <w:rPr/>
              <w:t> </w:t>
            </w:r>
          </w:p>
        </w:tc>
      </w:tr>
      <w:tr>
        <w:trPr/>
        <w:tc>
          <w:tcPr>
            <w:tcW w:w="2987"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138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 31, 2012</w:t>
            </w:r>
          </w:p>
        </w:tc>
        <w:tc>
          <w:tcPr>
            <w:tcW w:w="172" w:type="dxa"/>
            <w:tcBorders/>
            <w:shd w:fill="auto" w:val="clear"/>
            <w:vAlign w:val="bottom"/>
          </w:tcPr>
          <w:p>
            <w:pPr>
              <w:pStyle w:val="TableContents"/>
              <w:spacing w:before="0" w:after="0"/>
              <w:ind w:left="0" w:right="0" w:hanging="0"/>
              <w:jc w:val="center"/>
              <w:rPr/>
            </w:pPr>
            <w:r>
              <w:rPr/>
              <w:t> </w:t>
            </w:r>
          </w:p>
        </w:tc>
        <w:tc>
          <w:tcPr>
            <w:tcW w:w="138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 30, 2012</w:t>
            </w:r>
          </w:p>
        </w:tc>
        <w:tc>
          <w:tcPr>
            <w:tcW w:w="208" w:type="dxa"/>
            <w:tcBorders/>
            <w:shd w:fill="auto" w:val="clear"/>
            <w:vAlign w:val="bottom"/>
          </w:tcPr>
          <w:p>
            <w:pPr>
              <w:pStyle w:val="TableContents"/>
              <w:spacing w:before="0" w:after="0"/>
              <w:ind w:left="0" w:right="0" w:hanging="0"/>
              <w:jc w:val="center"/>
              <w:rPr/>
            </w:pPr>
            <w:r>
              <w:rPr/>
              <w:t> </w:t>
            </w:r>
          </w:p>
        </w:tc>
        <w:tc>
          <w:tcPr>
            <w:tcW w:w="132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2012</w:t>
            </w:r>
          </w:p>
        </w:tc>
        <w:tc>
          <w:tcPr>
            <w:tcW w:w="208" w:type="dxa"/>
            <w:tcBorders/>
            <w:shd w:fill="auto" w:val="clear"/>
            <w:vAlign w:val="bottom"/>
          </w:tcPr>
          <w:p>
            <w:pPr>
              <w:pStyle w:val="TableContents"/>
              <w:spacing w:before="0" w:after="0"/>
              <w:ind w:left="0" w:right="0" w:hanging="0"/>
              <w:jc w:val="center"/>
              <w:rPr/>
            </w:pPr>
            <w:r>
              <w:rPr/>
              <w:t> </w:t>
            </w:r>
          </w:p>
        </w:tc>
        <w:tc>
          <w:tcPr>
            <w:tcW w:w="143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2012</w:t>
            </w:r>
          </w:p>
        </w:tc>
        <w:tc>
          <w:tcPr>
            <w:tcW w:w="214" w:type="dxa"/>
            <w:tcBorders/>
            <w:shd w:fill="auto" w:val="clear"/>
            <w:vAlign w:val="bottom"/>
          </w:tcPr>
          <w:p>
            <w:pPr>
              <w:pStyle w:val="TableContents"/>
              <w:spacing w:before="0" w:after="0"/>
              <w:ind w:left="0" w:right="0" w:hanging="0"/>
              <w:jc w:val="center"/>
              <w:rPr/>
            </w:pPr>
            <w:r>
              <w:rPr/>
              <w:t> </w:t>
            </w:r>
          </w:p>
        </w:tc>
      </w:tr>
      <w:tr>
        <w:trPr/>
        <w:tc>
          <w:tcPr>
            <w:tcW w:w="298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Average Daily Volumes (MBbl/d) </w:t>
            </w:r>
          </w:p>
        </w:tc>
        <w:tc>
          <w:tcPr>
            <w:tcW w:w="172" w:type="dxa"/>
            <w:tcBorders/>
            <w:shd w:fill="CCEEFF" w:val="clear"/>
            <w:vAlign w:val="bottom"/>
          </w:tcPr>
          <w:p>
            <w:pPr>
              <w:pStyle w:val="TableContents"/>
              <w:spacing w:before="0" w:after="0"/>
              <w:ind w:left="0" w:right="0" w:hanging="0"/>
              <w:rPr/>
            </w:pPr>
            <w:r>
              <w:rPr/>
              <w:t> </w:t>
            </w:r>
          </w:p>
        </w:tc>
        <w:tc>
          <w:tcPr>
            <w:tcW w:w="1383" w:type="dxa"/>
            <w:gridSpan w:val="2"/>
            <w:tcBorders/>
            <w:shd w:fill="CCEEFF" w:val="clear"/>
            <w:vAlign w:val="bottom"/>
          </w:tcPr>
          <w:p>
            <w:pPr>
              <w:pStyle w:val="TableContents"/>
              <w:spacing w:before="0" w:after="0"/>
              <w:ind w:left="0" w:right="0" w:hanging="0"/>
              <w:jc w:val="right"/>
              <w:rPr/>
            </w:pPr>
            <w:r>
              <w:rPr/>
              <w:t> </w:t>
            </w:r>
          </w:p>
        </w:tc>
        <w:tc>
          <w:tcPr>
            <w:tcW w:w="172" w:type="dxa"/>
            <w:tcBorders/>
            <w:shd w:fill="CCEEFF" w:val="clear"/>
            <w:vAlign w:val="bottom"/>
          </w:tcPr>
          <w:p>
            <w:pPr>
              <w:pStyle w:val="TableContents"/>
              <w:spacing w:before="0" w:after="0"/>
              <w:ind w:left="0" w:right="0" w:hanging="0"/>
              <w:rPr/>
            </w:pPr>
            <w:r>
              <w:rPr/>
              <w:t> </w:t>
            </w:r>
          </w:p>
        </w:tc>
        <w:tc>
          <w:tcPr>
            <w:tcW w:w="1383" w:type="dxa"/>
            <w:gridSpan w:val="2"/>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328" w:type="dxa"/>
            <w:gridSpan w:val="2"/>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435"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r>
      <w:tr>
        <w:trPr/>
        <w:tc>
          <w:tcPr>
            <w:tcW w:w="298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Lease Gathering Purchases </w:t>
            </w:r>
          </w:p>
        </w:tc>
        <w:tc>
          <w:tcPr>
            <w:tcW w:w="172" w:type="dxa"/>
            <w:tcBorders/>
            <w:shd w:fill="auto" w:val="clear"/>
            <w:vAlign w:val="bottom"/>
          </w:tcPr>
          <w:p>
            <w:pPr>
              <w:pStyle w:val="TableContents"/>
              <w:spacing w:before="0" w:after="0"/>
              <w:ind w:left="0" w:right="0" w:hanging="0"/>
              <w:rPr/>
            </w:pPr>
            <w:r>
              <w:rPr/>
              <w:t> </w:t>
            </w:r>
          </w:p>
        </w:tc>
        <w:tc>
          <w:tcPr>
            <w:tcW w:w="13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798</w:t>
            </w:r>
          </w:p>
        </w:tc>
        <w:tc>
          <w:tcPr>
            <w:tcW w:w="172" w:type="dxa"/>
            <w:tcBorders/>
            <w:shd w:fill="auto" w:val="clear"/>
            <w:vAlign w:val="bottom"/>
          </w:tcPr>
          <w:p>
            <w:pPr>
              <w:pStyle w:val="TableContents"/>
              <w:spacing w:before="0" w:after="0"/>
              <w:ind w:left="0" w:right="0" w:hanging="0"/>
              <w:rPr/>
            </w:pPr>
            <w:r>
              <w:rPr/>
              <w:t> </w:t>
            </w:r>
          </w:p>
        </w:tc>
        <w:tc>
          <w:tcPr>
            <w:tcW w:w="13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835</w:t>
            </w:r>
          </w:p>
        </w:tc>
        <w:tc>
          <w:tcPr>
            <w:tcW w:w="208" w:type="dxa"/>
            <w:tcBorders/>
            <w:shd w:fill="auto" w:val="clear"/>
            <w:vAlign w:val="bottom"/>
          </w:tcPr>
          <w:p>
            <w:pPr>
              <w:pStyle w:val="TableContents"/>
              <w:spacing w:before="0" w:after="0"/>
              <w:ind w:left="0" w:right="0" w:hanging="0"/>
              <w:rPr/>
            </w:pPr>
            <w:r>
              <w:rPr/>
              <w:t> </w:t>
            </w:r>
          </w:p>
        </w:tc>
        <w:tc>
          <w:tcPr>
            <w:tcW w:w="132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865</w:t>
            </w:r>
          </w:p>
        </w:tc>
        <w:tc>
          <w:tcPr>
            <w:tcW w:w="208" w:type="dxa"/>
            <w:tcBorders/>
            <w:shd w:fill="auto" w:val="clear"/>
            <w:vAlign w:val="bottom"/>
          </w:tcPr>
          <w:p>
            <w:pPr>
              <w:pStyle w:val="TableContents"/>
              <w:spacing w:before="0" w:after="0"/>
              <w:ind w:left="0" w:right="0" w:hanging="0"/>
              <w:rPr/>
            </w:pPr>
            <w:r>
              <w:rPr/>
              <w:t> </w:t>
            </w:r>
          </w:p>
        </w:tc>
        <w:tc>
          <w:tcPr>
            <w:tcW w:w="14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841</w:t>
            </w:r>
          </w:p>
        </w:tc>
        <w:tc>
          <w:tcPr>
            <w:tcW w:w="214" w:type="dxa"/>
            <w:tcBorders/>
            <w:shd w:fill="auto" w:val="clear"/>
            <w:vAlign w:val="bottom"/>
          </w:tcPr>
          <w:p>
            <w:pPr>
              <w:pStyle w:val="TableContents"/>
              <w:spacing w:before="0" w:after="0"/>
              <w:ind w:left="0" w:right="0" w:hanging="0"/>
              <w:rPr/>
            </w:pPr>
            <w:r>
              <w:rPr/>
              <w:t> </w:t>
            </w:r>
          </w:p>
        </w:tc>
      </w:tr>
      <w:tr>
        <w:trPr/>
        <w:tc>
          <w:tcPr>
            <w:tcW w:w="2987" w:type="dxa"/>
            <w:tcBorders/>
            <w:shd w:fill="CCEEFF" w:val="clear"/>
          </w:tcPr>
          <w:p>
            <w:pPr>
              <w:pStyle w:val="TableContents"/>
              <w:spacing w:before="0" w:after="0"/>
              <w:ind w:left="0" w:right="0" w:hanging="0"/>
              <w:rPr/>
            </w:pPr>
            <w:r>
              <w:rPr>
                <w:rFonts w:ascii="Times New Roman" w:hAnsi="Times New Roman"/>
                <w:sz w:val="17"/>
              </w:rPr>
              <w:t xml:space="preserve">NGL Sales </w:t>
            </w:r>
            <w:r>
              <w:rPr>
                <w:sz w:val="11"/>
              </w:rPr>
              <w:t>(</w:t>
            </w:r>
            <w:r>
              <w:rPr>
                <w:sz w:val="17"/>
              </w:rPr>
              <w:t>¹</w:t>
            </w:r>
            <w:r>
              <w:rPr>
                <w:sz w:val="11"/>
              </w:rPr>
              <w:t>)</w:t>
            </w:r>
            <w:r>
              <w:rPr/>
              <w:t> </w:t>
            </w:r>
          </w:p>
        </w:tc>
        <w:tc>
          <w:tcPr>
            <w:tcW w:w="172" w:type="dxa"/>
            <w:tcBorders/>
            <w:shd w:fill="CCEEFF" w:val="clear"/>
            <w:vAlign w:val="bottom"/>
          </w:tcPr>
          <w:p>
            <w:pPr>
              <w:pStyle w:val="TableContents"/>
              <w:spacing w:before="0" w:after="0"/>
              <w:ind w:left="0" w:right="0" w:hanging="0"/>
              <w:rPr/>
            </w:pPr>
            <w:r>
              <w:rPr/>
              <w:t> </w:t>
            </w:r>
          </w:p>
        </w:tc>
        <w:tc>
          <w:tcPr>
            <w:tcW w:w="13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172" w:type="dxa"/>
            <w:tcBorders/>
            <w:shd w:fill="CCEEFF" w:val="clear"/>
            <w:vAlign w:val="bottom"/>
          </w:tcPr>
          <w:p>
            <w:pPr>
              <w:pStyle w:val="TableContents"/>
              <w:spacing w:before="0" w:after="0"/>
              <w:ind w:left="0" w:right="0" w:hanging="0"/>
              <w:rPr/>
            </w:pPr>
            <w:r>
              <w:rPr/>
              <w:t> </w:t>
            </w:r>
          </w:p>
        </w:tc>
        <w:tc>
          <w:tcPr>
            <w:tcW w:w="13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08" w:type="dxa"/>
            <w:tcBorders/>
            <w:shd w:fill="CCEEFF" w:val="clear"/>
            <w:vAlign w:val="bottom"/>
          </w:tcPr>
          <w:p>
            <w:pPr>
              <w:pStyle w:val="TableContents"/>
              <w:spacing w:before="0" w:after="0"/>
              <w:ind w:left="0" w:right="0" w:hanging="0"/>
              <w:rPr/>
            </w:pPr>
            <w:r>
              <w:rPr/>
              <w:t> </w:t>
            </w:r>
          </w:p>
        </w:tc>
        <w:tc>
          <w:tcPr>
            <w:tcW w:w="132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208" w:type="dxa"/>
            <w:tcBorders/>
            <w:shd w:fill="CCEEFF" w:val="clear"/>
            <w:vAlign w:val="bottom"/>
          </w:tcPr>
          <w:p>
            <w:pPr>
              <w:pStyle w:val="TableContents"/>
              <w:spacing w:before="0" w:after="0"/>
              <w:ind w:left="0" w:right="0" w:hanging="0"/>
              <w:rPr/>
            </w:pPr>
            <w:r>
              <w:rPr/>
              <w:t> </w:t>
            </w:r>
          </w:p>
        </w:tc>
        <w:tc>
          <w:tcPr>
            <w:tcW w:w="14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214" w:type="dxa"/>
            <w:tcBorders/>
            <w:shd w:fill="CCEEFF" w:val="clear"/>
            <w:vAlign w:val="bottom"/>
          </w:tcPr>
          <w:p>
            <w:pPr>
              <w:pStyle w:val="TableContents"/>
              <w:spacing w:before="0" w:after="0"/>
              <w:ind w:left="0" w:right="0" w:hanging="0"/>
              <w:rPr/>
            </w:pPr>
            <w:r>
              <w:rPr/>
              <w:t> </w:t>
            </w:r>
          </w:p>
        </w:tc>
      </w:tr>
      <w:tr>
        <w:trPr/>
        <w:tc>
          <w:tcPr>
            <w:tcW w:w="298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Waterborne cargos </w:t>
            </w:r>
          </w:p>
        </w:tc>
        <w:tc>
          <w:tcPr>
            <w:tcW w:w="172" w:type="dxa"/>
            <w:tcBorders/>
            <w:shd w:fill="auto" w:val="clear"/>
            <w:vAlign w:val="bottom"/>
          </w:tcPr>
          <w:p>
            <w:pPr>
              <w:pStyle w:val="TableContents"/>
              <w:spacing w:before="0" w:after="0"/>
              <w:ind w:left="0" w:right="0" w:hanging="0"/>
              <w:rPr/>
            </w:pPr>
            <w:r>
              <w:rPr/>
              <w:t> </w:t>
            </w:r>
          </w:p>
        </w:tc>
        <w:tc>
          <w:tcPr>
            <w:tcW w:w="13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2" w:type="dxa"/>
            <w:tcBorders/>
            <w:shd w:fill="auto" w:val="clear"/>
            <w:vAlign w:val="bottom"/>
          </w:tcPr>
          <w:p>
            <w:pPr>
              <w:pStyle w:val="TableContents"/>
              <w:spacing w:before="0" w:after="0"/>
              <w:ind w:left="0" w:right="0" w:hanging="0"/>
              <w:rPr/>
            </w:pPr>
            <w:r>
              <w:rPr/>
              <w:t> </w:t>
            </w:r>
          </w:p>
        </w:tc>
        <w:tc>
          <w:tcPr>
            <w:tcW w:w="13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8" w:type="dxa"/>
            <w:tcBorders/>
            <w:shd w:fill="auto" w:val="clear"/>
            <w:vAlign w:val="bottom"/>
          </w:tcPr>
          <w:p>
            <w:pPr>
              <w:pStyle w:val="TableContents"/>
              <w:spacing w:before="0" w:after="0"/>
              <w:ind w:left="0" w:right="0" w:hanging="0"/>
              <w:rPr/>
            </w:pPr>
            <w:r>
              <w:rPr/>
              <w:t> </w:t>
            </w:r>
          </w:p>
        </w:tc>
        <w:tc>
          <w:tcPr>
            <w:tcW w:w="132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8" w:type="dxa"/>
            <w:tcBorders/>
            <w:shd w:fill="auto" w:val="clear"/>
            <w:vAlign w:val="bottom"/>
          </w:tcPr>
          <w:p>
            <w:pPr>
              <w:pStyle w:val="TableContents"/>
              <w:spacing w:before="0" w:after="0"/>
              <w:ind w:left="0" w:right="0" w:hanging="0"/>
              <w:rPr/>
            </w:pPr>
            <w:r>
              <w:rPr/>
              <w:t> </w:t>
            </w:r>
          </w:p>
        </w:tc>
        <w:tc>
          <w:tcPr>
            <w:tcW w:w="143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4" w:type="dxa"/>
            <w:tcBorders/>
            <w:shd w:fill="auto" w:val="clear"/>
            <w:vAlign w:val="bottom"/>
          </w:tcPr>
          <w:p>
            <w:pPr>
              <w:pStyle w:val="TableContents"/>
              <w:spacing w:before="0" w:after="0"/>
              <w:ind w:left="0" w:right="0" w:hanging="0"/>
              <w:rPr/>
            </w:pPr>
            <w:r>
              <w:rPr/>
              <w:t> </w:t>
            </w:r>
          </w:p>
        </w:tc>
      </w:tr>
      <w:tr>
        <w:trPr/>
        <w:tc>
          <w:tcPr>
            <w:tcW w:w="2987" w:type="dxa"/>
            <w:tcBorders/>
            <w:shd w:fill="CCEEFF" w:val="clear"/>
            <w:vAlign w:val="bottom"/>
          </w:tcPr>
          <w:p>
            <w:pPr>
              <w:pStyle w:val="TableContents"/>
              <w:spacing w:before="0" w:after="0"/>
              <w:ind w:left="0" w:right="0" w:hanging="0"/>
              <w:rPr/>
            </w:pPr>
            <w:r>
              <w:rPr/>
              <w:t> </w:t>
            </w:r>
          </w:p>
        </w:tc>
        <w:tc>
          <w:tcPr>
            <w:tcW w:w="172" w:type="dxa"/>
            <w:tcBorders/>
            <w:shd w:fill="CCEEFF" w:val="clear"/>
            <w:vAlign w:val="bottom"/>
          </w:tcPr>
          <w:p>
            <w:pPr>
              <w:pStyle w:val="TableContents"/>
              <w:spacing w:before="0" w:after="0"/>
              <w:ind w:left="0" w:right="0" w:hanging="0"/>
              <w:rPr/>
            </w:pPr>
            <w:r>
              <w:rPr/>
              <w:t> </w:t>
            </w:r>
          </w:p>
        </w:tc>
        <w:tc>
          <w:tcPr>
            <w:tcW w:w="138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932</w:t>
            </w:r>
          </w:p>
        </w:tc>
        <w:tc>
          <w:tcPr>
            <w:tcW w:w="172" w:type="dxa"/>
            <w:tcBorders/>
            <w:shd w:fill="CCEEFF" w:val="clear"/>
            <w:vAlign w:val="bottom"/>
          </w:tcPr>
          <w:p>
            <w:pPr>
              <w:pStyle w:val="TableContents"/>
              <w:spacing w:before="0" w:after="0"/>
              <w:ind w:left="0" w:right="0" w:hanging="0"/>
              <w:rPr/>
            </w:pPr>
            <w:r>
              <w:rPr/>
              <w:t> </w:t>
            </w:r>
          </w:p>
        </w:tc>
        <w:tc>
          <w:tcPr>
            <w:tcW w:w="138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940</w:t>
            </w:r>
          </w:p>
        </w:tc>
        <w:tc>
          <w:tcPr>
            <w:tcW w:w="208" w:type="dxa"/>
            <w:tcBorders/>
            <w:shd w:fill="CCEEFF" w:val="clear"/>
            <w:vAlign w:val="bottom"/>
          </w:tcPr>
          <w:p>
            <w:pPr>
              <w:pStyle w:val="TableContents"/>
              <w:spacing w:before="0" w:after="0"/>
              <w:ind w:left="0" w:right="0" w:hanging="0"/>
              <w:rPr/>
            </w:pPr>
            <w:r>
              <w:rPr/>
              <w:t> </w:t>
            </w:r>
          </w:p>
        </w:tc>
        <w:tc>
          <w:tcPr>
            <w:tcW w:w="1328"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1,025</w:t>
            </w:r>
          </w:p>
        </w:tc>
        <w:tc>
          <w:tcPr>
            <w:tcW w:w="208" w:type="dxa"/>
            <w:tcBorders/>
            <w:shd w:fill="CCEEFF" w:val="clear"/>
            <w:vAlign w:val="bottom"/>
          </w:tcPr>
          <w:p>
            <w:pPr>
              <w:pStyle w:val="TableContents"/>
              <w:spacing w:before="0" w:after="0"/>
              <w:ind w:left="0" w:right="0" w:hanging="0"/>
              <w:rPr/>
            </w:pPr>
            <w:r>
              <w:rPr/>
              <w:t> </w:t>
            </w:r>
          </w:p>
        </w:tc>
        <w:tc>
          <w:tcPr>
            <w:tcW w:w="143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981</w:t>
            </w:r>
          </w:p>
        </w:tc>
        <w:tc>
          <w:tcPr>
            <w:tcW w:w="214" w:type="dxa"/>
            <w:tcBorders/>
            <w:shd w:fill="CCEEFF" w:val="clear"/>
            <w:vAlign w:val="bottom"/>
          </w:tcPr>
          <w:p>
            <w:pPr>
              <w:pStyle w:val="TableContents"/>
              <w:spacing w:before="0" w:after="0"/>
              <w:ind w:left="0" w:right="0" w:hanging="0"/>
              <w:rPr/>
            </w:pPr>
            <w:r>
              <w:rPr/>
              <w:t> </w:t>
            </w:r>
          </w:p>
        </w:tc>
      </w:tr>
      <w:tr>
        <w:trPr/>
        <w:tc>
          <w:tcPr>
            <w:tcW w:w="2987"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rPr/>
            </w:pPr>
            <w:r>
              <w:rPr/>
              <w:t> </w:t>
            </w:r>
          </w:p>
        </w:tc>
        <w:tc>
          <w:tcPr>
            <w:tcW w:w="1383" w:type="dxa"/>
            <w:gridSpan w:val="2"/>
            <w:tcBorders/>
            <w:shd w:fill="auto" w:val="clear"/>
            <w:vAlign w:val="bottom"/>
          </w:tcPr>
          <w:p>
            <w:pPr>
              <w:pStyle w:val="TableContents"/>
              <w:spacing w:before="0" w:after="0"/>
              <w:ind w:left="0" w:right="0" w:hanging="0"/>
              <w:jc w:val="right"/>
              <w:rPr/>
            </w:pPr>
            <w:r>
              <w:rPr/>
              <w:t> </w:t>
            </w:r>
          </w:p>
        </w:tc>
        <w:tc>
          <w:tcPr>
            <w:tcW w:w="172" w:type="dxa"/>
            <w:tcBorders/>
            <w:shd w:fill="auto" w:val="clear"/>
            <w:vAlign w:val="bottom"/>
          </w:tcPr>
          <w:p>
            <w:pPr>
              <w:pStyle w:val="TableContents"/>
              <w:spacing w:before="0" w:after="0"/>
              <w:ind w:left="0" w:right="0" w:hanging="0"/>
              <w:rPr/>
            </w:pPr>
            <w:r>
              <w:rPr/>
              <w:t> </w:t>
            </w:r>
          </w:p>
        </w:tc>
        <w:tc>
          <w:tcPr>
            <w:tcW w:w="1383" w:type="dxa"/>
            <w:gridSpan w:val="2"/>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328" w:type="dxa"/>
            <w:gridSpan w:val="2"/>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435"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r>
      <w:tr>
        <w:trPr/>
        <w:tc>
          <w:tcPr>
            <w:tcW w:w="298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($/Bbl) </w:t>
            </w:r>
          </w:p>
        </w:tc>
        <w:tc>
          <w:tcPr>
            <w:tcW w:w="172" w:type="dxa"/>
            <w:tcBorders/>
            <w:shd w:fill="CCEEFF" w:val="clear"/>
            <w:vAlign w:val="bottom"/>
          </w:tcPr>
          <w:p>
            <w:pPr>
              <w:pStyle w:val="TableContents"/>
              <w:spacing w:before="0" w:after="0"/>
              <w:ind w:left="0" w:right="0" w:hanging="0"/>
              <w:rPr/>
            </w:pPr>
            <w:r>
              <w:rPr/>
              <w:t> </w:t>
            </w:r>
          </w:p>
        </w:tc>
        <w:tc>
          <w:tcPr>
            <w:tcW w:w="1383" w:type="dxa"/>
            <w:gridSpan w:val="2"/>
            <w:tcBorders/>
            <w:shd w:fill="CCEEFF" w:val="clear"/>
            <w:vAlign w:val="bottom"/>
          </w:tcPr>
          <w:p>
            <w:pPr>
              <w:pStyle w:val="TableContents"/>
              <w:spacing w:before="0" w:after="0"/>
              <w:ind w:left="0" w:right="0" w:hanging="0"/>
              <w:jc w:val="right"/>
              <w:rPr/>
            </w:pPr>
            <w:r>
              <w:rPr/>
              <w:t> </w:t>
            </w:r>
          </w:p>
        </w:tc>
        <w:tc>
          <w:tcPr>
            <w:tcW w:w="172" w:type="dxa"/>
            <w:tcBorders/>
            <w:shd w:fill="CCEEFF" w:val="clear"/>
            <w:vAlign w:val="bottom"/>
          </w:tcPr>
          <w:p>
            <w:pPr>
              <w:pStyle w:val="TableContents"/>
              <w:spacing w:before="0" w:after="0"/>
              <w:ind w:left="0" w:right="0" w:hanging="0"/>
              <w:rPr/>
            </w:pPr>
            <w:r>
              <w:rPr/>
              <w:t> </w:t>
            </w:r>
          </w:p>
        </w:tc>
        <w:tc>
          <w:tcPr>
            <w:tcW w:w="1383" w:type="dxa"/>
            <w:gridSpan w:val="2"/>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328" w:type="dxa"/>
            <w:gridSpan w:val="2"/>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435"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r>
      <w:tr>
        <w:trPr/>
        <w:tc>
          <w:tcPr>
            <w:tcW w:w="298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Excluding Selected Items Impacting Comparability </w:t>
            </w:r>
          </w:p>
        </w:tc>
        <w:tc>
          <w:tcPr>
            <w:tcW w:w="172" w:type="dxa"/>
            <w:tcBorders/>
            <w:shd w:fill="auto" w:val="clear"/>
            <w:vAlign w:val="bottom"/>
          </w:tcPr>
          <w:p>
            <w:pPr>
              <w:pStyle w:val="TableContents"/>
              <w:spacing w:before="0" w:after="0"/>
              <w:ind w:left="0" w:right="0" w:hanging="0"/>
              <w:rPr/>
            </w:pPr>
            <w:r>
              <w:rPr/>
              <w:t> </w:t>
            </w:r>
          </w:p>
        </w:tc>
        <w:tc>
          <w:tcPr>
            <w:tcW w:w="2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172" w:type="dxa"/>
            <w:tcBorders/>
            <w:shd w:fill="auto" w:val="clear"/>
            <w:vAlign w:val="bottom"/>
          </w:tcPr>
          <w:p>
            <w:pPr>
              <w:pStyle w:val="TableContents"/>
              <w:spacing w:before="0" w:after="0"/>
              <w:ind w:left="0" w:right="0" w:hanging="0"/>
              <w:rPr/>
            </w:pPr>
            <w:r>
              <w:rPr/>
              <w:t> </w:t>
            </w:r>
          </w:p>
        </w:tc>
        <w:tc>
          <w:tcPr>
            <w:tcW w:w="21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208"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0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0.99</w:t>
            </w:r>
          </w:p>
        </w:tc>
        <w:tc>
          <w:tcPr>
            <w:tcW w:w="208"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w:t>
            </w:r>
          </w:p>
        </w:tc>
        <w:tc>
          <w:tcPr>
            <w:tcW w:w="214"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r>
      <w:tr>
        <w:trPr/>
        <w:tc>
          <w:tcPr>
            <w:tcW w:w="2987"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BP NGL acquisition effective April 1, 2012.</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i/>
          <w:sz w:val="17"/>
        </w:rPr>
        <w:t>Depreciation and Amortization.</w:t>
      </w:r>
      <w:r>
        <w:rPr>
          <w:rFonts w:ascii="Times New Roman" w:hAnsi="Times New Roman"/>
        </w:rPr>
        <w:t xml:space="preserve"> </w:t>
      </w:r>
      <w:r>
        <w:rPr>
          <w:rFonts w:ascii="Times New Roman" w:hAnsi="Times New Roman"/>
          <w:sz w:val="17"/>
        </w:rPr>
        <w:t>We forecast depreciation and amortization based on our existing depreciable assets, forecasted capital expenditures and projected in-service dates. Depreciation may vary during any one period due to gains and losses on intermittent sales of assets, asset retirement obligations, asset impairments or foreign exchange rates.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6" w:name="PB_6_201926_2897"/>
      <w:bookmarkEnd w:id="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i/>
          <w:sz w:val="17"/>
        </w:rPr>
        <w:t>Capital Expenditures and Acquisitions.</w:t>
      </w:r>
      <w:r>
        <w:rPr>
          <w:rFonts w:ascii="Times New Roman" w:hAnsi="Times New Roman"/>
        </w:rPr>
        <w:t xml:space="preserve">  </w:t>
      </w:r>
      <w:r>
        <w:rPr>
          <w:rFonts w:ascii="Times New Roman" w:hAnsi="Times New Roman"/>
          <w:sz w:val="17"/>
        </w:rPr>
        <w:t>Although acquisitions constitute a key element of our growth strategy, the forecasted results and associated estimates do not include any forecasts for acquisitions that we may commit to after the date hereof. We forecast capital expenditures during calendar 2012 to be approximately $1.0 billion for expansion projects with an additional $140 to $160 million for maintenance capital projects. During the first three months of 2012, we spent $236 million and $35 million for expansion and maintenance projects, respectively.  The following are some of the more notable projects and forecasted expenditures for the year ending December 31, 2012:</w:t>
      </w:r>
    </w:p>
    <w:p>
      <w:pPr>
        <w:pStyle w:val="TextBody"/>
        <w:spacing w:before="0" w:after="0"/>
        <w:ind w:left="0" w:right="0" w:hanging="0"/>
        <w:rPr/>
      </w:pPr>
      <w:r>
        <w:rPr/>
        <w:t> </w:t>
      </w:r>
    </w:p>
    <w:p>
      <w:pPr>
        <w:pStyle w:val="TextBody"/>
        <w:spacing w:before="0" w:after="0"/>
        <w:ind w:left="0" w:right="0" w:hanging="0"/>
        <w:rPr/>
      </w:pPr>
      <w:r>
        <w:rPr/>
        <w:t> </w:t>
      </w:r>
    </w:p>
    <w:tbl>
      <w:tblPr>
        <w:tblW w:w="4000" w:type="pct"/>
        <w:jc w:val="left"/>
        <w:tblInd w:w="0" w:type="dxa"/>
        <w:tblCellMar>
          <w:top w:w="0" w:type="dxa"/>
          <w:left w:w="0" w:type="dxa"/>
          <w:bottom w:w="0" w:type="dxa"/>
          <w:right w:w="0" w:type="dxa"/>
        </w:tblCellMar>
      </w:tblPr>
      <w:tblGrid>
        <w:gridCol w:w="6598"/>
        <w:gridCol w:w="247"/>
        <w:gridCol w:w="1237"/>
        <w:gridCol w:w="82"/>
      </w:tblGrid>
      <w:tr>
        <w:trPr/>
        <w:tc>
          <w:tcPr>
            <w:tcW w:w="6598" w:type="dxa"/>
            <w:tcBorders/>
            <w:shd w:fill="auto" w:val="clear"/>
            <w:vAlign w:val="bottom"/>
          </w:tcPr>
          <w:p>
            <w:pPr>
              <w:pStyle w:val="TableContents"/>
              <w:spacing w:before="0" w:after="0"/>
              <w:ind w:left="0" w:right="0" w:hanging="0"/>
              <w:rPr/>
            </w:pPr>
            <w:r>
              <w:rPr/>
              <w:t> </w:t>
            </w:r>
          </w:p>
        </w:tc>
        <w:tc>
          <w:tcPr>
            <w:tcW w:w="247" w:type="dxa"/>
            <w:tcBorders/>
            <w:shd w:fill="auto" w:val="clear"/>
            <w:vAlign w:val="bottom"/>
          </w:tcPr>
          <w:p>
            <w:pPr>
              <w:pStyle w:val="TableContents"/>
              <w:spacing w:before="0" w:after="0"/>
              <w:ind w:left="0" w:right="0" w:hanging="0"/>
              <w:jc w:val="center"/>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Calendar 2012</w:t>
            </w:r>
          </w:p>
        </w:tc>
        <w:tc>
          <w:tcPr>
            <w:tcW w:w="82" w:type="dxa"/>
            <w:tcBorders/>
            <w:shd w:fill="auto" w:val="clear"/>
            <w:vAlign w:val="bottom"/>
          </w:tcPr>
          <w:p>
            <w:pPr>
              <w:pStyle w:val="TableContents"/>
              <w:spacing w:before="0" w:after="0"/>
              <w:ind w:left="0" w:right="0" w:hanging="0"/>
              <w:jc w:val="center"/>
              <w:rPr/>
            </w:pPr>
            <w:r>
              <w:rPr/>
              <w:t> </w:t>
            </w:r>
          </w:p>
        </w:tc>
      </w:tr>
      <w:tr>
        <w:trPr/>
        <w:tc>
          <w:tcPr>
            <w:tcW w:w="6598" w:type="dxa"/>
            <w:tcBorders/>
            <w:shd w:fill="auto" w:val="clear"/>
            <w:vAlign w:val="bottom"/>
          </w:tcPr>
          <w:p>
            <w:pPr>
              <w:pStyle w:val="TableContents"/>
              <w:spacing w:before="0" w:after="0"/>
              <w:ind w:left="0" w:right="0" w:hanging="0"/>
              <w:rPr/>
            </w:pPr>
            <w:r>
              <w:rPr/>
              <w:t> </w:t>
            </w:r>
          </w:p>
        </w:tc>
        <w:tc>
          <w:tcPr>
            <w:tcW w:w="247" w:type="dxa"/>
            <w:tcBorders/>
            <w:shd w:fill="auto" w:val="clear"/>
            <w:vAlign w:val="bottom"/>
          </w:tcPr>
          <w:p>
            <w:pPr>
              <w:pStyle w:val="TableContents"/>
              <w:spacing w:before="0" w:after="0"/>
              <w:ind w:left="0" w:right="0" w:hanging="0"/>
              <w:jc w:val="center"/>
              <w:rPr/>
            </w:pPr>
            <w:r>
              <w:rPr/>
              <w:t> </w:t>
            </w:r>
          </w:p>
        </w:tc>
        <w:tc>
          <w:tcPr>
            <w:tcW w:w="1237"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82" w:type="dxa"/>
            <w:tcBorders/>
            <w:shd w:fill="auto" w:val="clear"/>
            <w:vAlign w:val="bottom"/>
          </w:tcPr>
          <w:p>
            <w:pPr>
              <w:pStyle w:val="TableContents"/>
              <w:spacing w:before="0" w:after="0"/>
              <w:ind w:left="0" w:right="0" w:hanging="0"/>
              <w:jc w:val="center"/>
              <w:rPr/>
            </w:pPr>
            <w:r>
              <w:rPr/>
              <w:t> </w:t>
            </w:r>
          </w:p>
        </w:tc>
      </w:tr>
      <w:tr>
        <w:trPr/>
        <w:tc>
          <w:tcPr>
            <w:tcW w:w="659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Expansion Capital</w:t>
            </w:r>
          </w:p>
        </w:tc>
        <w:tc>
          <w:tcPr>
            <w:tcW w:w="247"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center"/>
              <w:rPr/>
            </w:pPr>
            <w:r>
              <w:rPr/>
              <w:t> </w:t>
            </w:r>
          </w:p>
        </w:tc>
        <w:tc>
          <w:tcPr>
            <w:tcW w:w="82" w:type="dxa"/>
            <w:tcBorders/>
            <w:shd w:fill="CCEEFF" w:val="clear"/>
            <w:vAlign w:val="bottom"/>
          </w:tcPr>
          <w:p>
            <w:pPr>
              <w:pStyle w:val="TableContents"/>
              <w:spacing w:before="0" w:after="0"/>
              <w:ind w:left="0" w:right="0" w:hanging="0"/>
              <w:rPr/>
            </w:pPr>
            <w:r>
              <w:rPr/>
              <w:t> </w:t>
            </w:r>
          </w:p>
        </w:tc>
      </w:tr>
      <w:tr>
        <w:trPr/>
        <w:tc>
          <w:tcPr>
            <w:tcW w:w="6598" w:type="dxa"/>
            <w:tcBorders/>
            <w:shd w:fill="auto" w:val="clear"/>
          </w:tcPr>
          <w:p>
            <w:pPr>
              <w:pStyle w:val="TableContents"/>
              <w:spacing w:before="0" w:after="0"/>
              <w:ind w:left="0" w:right="0" w:hanging="0"/>
              <w:rPr/>
            </w:pPr>
            <w:r>
              <w:rPr>
                <w:rFonts w:ascii="Symbol" w:hAnsi="Symbol"/>
                <w:sz w:val="17"/>
              </w:rPr>
              <w:t>·</w:t>
            </w:r>
            <w:r>
              <w:rPr/>
              <w:t xml:space="preserve"> </w:t>
            </w:r>
            <w:r>
              <w:rPr>
                <w:sz w:val="17"/>
              </w:rPr>
              <w:t>Eagle Ford Project</w:t>
            </w:r>
          </w:p>
        </w:tc>
        <w:tc>
          <w:tcPr>
            <w:tcW w:w="247"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$160</w:t>
            </w:r>
          </w:p>
        </w:tc>
        <w:tc>
          <w:tcPr>
            <w:tcW w:w="82" w:type="dxa"/>
            <w:tcBorders/>
            <w:shd w:fill="auto" w:val="clear"/>
            <w:vAlign w:val="bottom"/>
          </w:tcPr>
          <w:p>
            <w:pPr>
              <w:pStyle w:val="TableContents"/>
              <w:spacing w:before="0" w:after="0"/>
              <w:ind w:left="0" w:right="0" w:hanging="0"/>
              <w:rPr/>
            </w:pPr>
            <w:r>
              <w:rPr/>
              <w:t> </w:t>
            </w:r>
          </w:p>
        </w:tc>
      </w:tr>
      <w:tr>
        <w:trPr/>
        <w:tc>
          <w:tcPr>
            <w:tcW w:w="6598" w:type="dxa"/>
            <w:tcBorders/>
            <w:shd w:fill="CCEEFF" w:val="clear"/>
          </w:tcPr>
          <w:p>
            <w:pPr>
              <w:pStyle w:val="TableContents"/>
              <w:spacing w:before="0" w:after="0"/>
              <w:ind w:left="0" w:right="0" w:hanging="0"/>
              <w:rPr/>
            </w:pPr>
            <w:r>
              <w:rPr>
                <w:rFonts w:ascii="Symbol" w:hAnsi="Symbol"/>
                <w:sz w:val="17"/>
              </w:rPr>
              <w:t>·</w:t>
            </w:r>
            <w:r>
              <w:rPr/>
              <w:t xml:space="preserve"> </w:t>
            </w:r>
            <w:r>
              <w:rPr>
                <w:sz w:val="17"/>
              </w:rPr>
              <w:t>Spraberry Area Pipeline Projects</w:t>
            </w:r>
          </w:p>
        </w:tc>
        <w:tc>
          <w:tcPr>
            <w:tcW w:w="247"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w:t>
            </w:r>
          </w:p>
        </w:tc>
        <w:tc>
          <w:tcPr>
            <w:tcW w:w="82" w:type="dxa"/>
            <w:tcBorders/>
            <w:shd w:fill="CCEEFF" w:val="clear"/>
            <w:vAlign w:val="bottom"/>
          </w:tcPr>
          <w:p>
            <w:pPr>
              <w:pStyle w:val="TableContents"/>
              <w:spacing w:before="0" w:after="0"/>
              <w:ind w:left="0" w:right="0" w:hanging="0"/>
              <w:rPr/>
            </w:pPr>
            <w:r>
              <w:rPr/>
              <w:t> </w:t>
            </w:r>
          </w:p>
        </w:tc>
      </w:tr>
      <w:tr>
        <w:trPr/>
        <w:tc>
          <w:tcPr>
            <w:tcW w:w="6598" w:type="dxa"/>
            <w:tcBorders/>
            <w:shd w:fill="auto" w:val="clear"/>
          </w:tcPr>
          <w:p>
            <w:pPr>
              <w:pStyle w:val="TableContents"/>
              <w:spacing w:before="0" w:after="0"/>
              <w:ind w:left="0" w:right="0" w:hanging="0"/>
              <w:rPr/>
            </w:pPr>
            <w:r>
              <w:rPr>
                <w:rFonts w:ascii="Symbol" w:hAnsi="Symbol"/>
                <w:sz w:val="17"/>
              </w:rPr>
              <w:t>·</w:t>
            </w:r>
            <w:r>
              <w:rPr/>
              <w:t xml:space="preserve"> </w:t>
            </w:r>
            <w:r>
              <w:rPr>
                <w:sz w:val="17"/>
              </w:rPr>
              <w:t>Rainbow II Pipeline</w:t>
            </w:r>
          </w:p>
        </w:tc>
        <w:tc>
          <w:tcPr>
            <w:tcW w:w="247"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75</w:t>
            </w:r>
          </w:p>
        </w:tc>
        <w:tc>
          <w:tcPr>
            <w:tcW w:w="82" w:type="dxa"/>
            <w:tcBorders/>
            <w:shd w:fill="auto" w:val="clear"/>
            <w:vAlign w:val="bottom"/>
          </w:tcPr>
          <w:p>
            <w:pPr>
              <w:pStyle w:val="TableContents"/>
              <w:spacing w:before="0" w:after="0"/>
              <w:ind w:left="0" w:right="0" w:hanging="0"/>
              <w:rPr/>
            </w:pPr>
            <w:r>
              <w:rPr/>
              <w:t> </w:t>
            </w:r>
          </w:p>
        </w:tc>
      </w:tr>
      <w:tr>
        <w:trPr/>
        <w:tc>
          <w:tcPr>
            <w:tcW w:w="6598" w:type="dxa"/>
            <w:tcBorders/>
            <w:shd w:fill="CCEEFF" w:val="clear"/>
          </w:tcPr>
          <w:p>
            <w:pPr>
              <w:pStyle w:val="TableContents"/>
              <w:spacing w:before="0" w:after="0"/>
              <w:ind w:left="0" w:right="0" w:hanging="0"/>
              <w:rPr/>
            </w:pPr>
            <w:r>
              <w:rPr>
                <w:rFonts w:ascii="Symbol" w:hAnsi="Symbol"/>
                <w:sz w:val="17"/>
              </w:rPr>
              <w:t>·</w:t>
            </w:r>
            <w:r>
              <w:rPr/>
              <w:t xml:space="preserve"> </w:t>
            </w:r>
            <w:r>
              <w:rPr>
                <w:sz w:val="17"/>
              </w:rPr>
              <w:t>Mississippian Lime Project</w:t>
            </w:r>
          </w:p>
        </w:tc>
        <w:tc>
          <w:tcPr>
            <w:tcW w:w="247"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60</w:t>
            </w:r>
          </w:p>
        </w:tc>
        <w:tc>
          <w:tcPr>
            <w:tcW w:w="82" w:type="dxa"/>
            <w:tcBorders/>
            <w:shd w:fill="CCEEFF" w:val="clear"/>
            <w:vAlign w:val="bottom"/>
          </w:tcPr>
          <w:p>
            <w:pPr>
              <w:pStyle w:val="TableContents"/>
              <w:spacing w:before="0" w:after="0"/>
              <w:ind w:left="0" w:right="0" w:hanging="0"/>
              <w:rPr/>
            </w:pPr>
            <w:r>
              <w:rPr/>
              <w:t> </w:t>
            </w:r>
          </w:p>
        </w:tc>
      </w:tr>
      <w:tr>
        <w:trPr/>
        <w:tc>
          <w:tcPr>
            <w:tcW w:w="6598" w:type="dxa"/>
            <w:tcBorders/>
            <w:shd w:fill="auto" w:val="clear"/>
          </w:tcPr>
          <w:p>
            <w:pPr>
              <w:pStyle w:val="TableContents"/>
              <w:spacing w:before="0" w:after="0"/>
              <w:ind w:left="0" w:right="0" w:hanging="0"/>
              <w:rPr/>
            </w:pPr>
            <w:r>
              <w:rPr>
                <w:rFonts w:ascii="Symbol" w:hAnsi="Symbol"/>
                <w:sz w:val="17"/>
              </w:rPr>
              <w:t>·</w:t>
            </w:r>
            <w:r>
              <w:rPr/>
              <w:t xml:space="preserve"> </w:t>
            </w:r>
            <w:r>
              <w:rPr>
                <w:sz w:val="17"/>
              </w:rPr>
              <w:t>Rail Projects</w:t>
            </w:r>
          </w:p>
        </w:tc>
        <w:tc>
          <w:tcPr>
            <w:tcW w:w="247"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60</w:t>
            </w:r>
          </w:p>
        </w:tc>
        <w:tc>
          <w:tcPr>
            <w:tcW w:w="82" w:type="dxa"/>
            <w:tcBorders/>
            <w:shd w:fill="auto" w:val="clear"/>
            <w:vAlign w:val="bottom"/>
          </w:tcPr>
          <w:p>
            <w:pPr>
              <w:pStyle w:val="TableContents"/>
              <w:spacing w:before="0" w:after="0"/>
              <w:ind w:left="0" w:right="0" w:hanging="0"/>
              <w:rPr/>
            </w:pPr>
            <w:r>
              <w:rPr/>
              <w:t> </w:t>
            </w:r>
          </w:p>
        </w:tc>
      </w:tr>
      <w:tr>
        <w:trPr/>
        <w:tc>
          <w:tcPr>
            <w:tcW w:w="6598" w:type="dxa"/>
            <w:tcBorders/>
            <w:shd w:fill="CCEEFF" w:val="clear"/>
          </w:tcPr>
          <w:p>
            <w:pPr>
              <w:pStyle w:val="TableContents"/>
              <w:spacing w:before="0" w:after="0"/>
              <w:ind w:left="0" w:right="0" w:hanging="0"/>
              <w:rPr/>
            </w:pPr>
            <w:r>
              <w:rPr>
                <w:rFonts w:ascii="Symbol" w:hAnsi="Symbol"/>
                <w:sz w:val="17"/>
              </w:rPr>
              <w:t>·</w:t>
            </w:r>
            <w:r>
              <w:rPr/>
              <w:t xml:space="preserve"> </w:t>
            </w:r>
            <w:r>
              <w:rPr>
                <w:sz w:val="17"/>
              </w:rPr>
              <w:t>PAA Natural Gas Storage (multiple projects)</w:t>
            </w:r>
          </w:p>
        </w:tc>
        <w:tc>
          <w:tcPr>
            <w:tcW w:w="247"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58</w:t>
            </w:r>
          </w:p>
        </w:tc>
        <w:tc>
          <w:tcPr>
            <w:tcW w:w="82" w:type="dxa"/>
            <w:tcBorders/>
            <w:shd w:fill="CCEEFF" w:val="clear"/>
            <w:vAlign w:val="bottom"/>
          </w:tcPr>
          <w:p>
            <w:pPr>
              <w:pStyle w:val="TableContents"/>
              <w:spacing w:before="0" w:after="0"/>
              <w:ind w:left="0" w:right="0" w:hanging="0"/>
              <w:rPr/>
            </w:pPr>
            <w:r>
              <w:rPr/>
              <w:t> </w:t>
            </w:r>
          </w:p>
        </w:tc>
      </w:tr>
      <w:tr>
        <w:trPr/>
        <w:tc>
          <w:tcPr>
            <w:tcW w:w="6598" w:type="dxa"/>
            <w:tcBorders/>
            <w:shd w:fill="auto" w:val="clear"/>
          </w:tcPr>
          <w:p>
            <w:pPr>
              <w:pStyle w:val="TableContents"/>
              <w:spacing w:before="0" w:after="0"/>
              <w:ind w:left="0" w:right="0" w:hanging="0"/>
              <w:rPr/>
            </w:pPr>
            <w:r>
              <w:rPr>
                <w:rFonts w:ascii="Symbol" w:hAnsi="Symbol"/>
                <w:sz w:val="17"/>
              </w:rPr>
              <w:t>·</w:t>
            </w:r>
            <w:r>
              <w:rPr/>
              <w:t xml:space="preserve"> </w:t>
            </w:r>
            <w:r>
              <w:rPr>
                <w:sz w:val="17"/>
              </w:rPr>
              <w:t>Bakken North</w:t>
            </w:r>
          </w:p>
        </w:tc>
        <w:tc>
          <w:tcPr>
            <w:tcW w:w="247"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50</w:t>
            </w:r>
          </w:p>
        </w:tc>
        <w:tc>
          <w:tcPr>
            <w:tcW w:w="82" w:type="dxa"/>
            <w:tcBorders/>
            <w:shd w:fill="auto" w:val="clear"/>
            <w:vAlign w:val="bottom"/>
          </w:tcPr>
          <w:p>
            <w:pPr>
              <w:pStyle w:val="TableContents"/>
              <w:spacing w:before="0" w:after="0"/>
              <w:ind w:left="0" w:right="0" w:hanging="0"/>
              <w:rPr/>
            </w:pPr>
            <w:r>
              <w:rPr/>
              <w:t> </w:t>
            </w:r>
          </w:p>
        </w:tc>
      </w:tr>
      <w:tr>
        <w:trPr/>
        <w:tc>
          <w:tcPr>
            <w:tcW w:w="6598" w:type="dxa"/>
            <w:tcBorders/>
            <w:shd w:fill="CCEEFF" w:val="clear"/>
          </w:tcPr>
          <w:p>
            <w:pPr>
              <w:pStyle w:val="TableContents"/>
              <w:spacing w:before="0" w:after="0"/>
              <w:ind w:left="0" w:right="0" w:hanging="0"/>
              <w:rPr/>
            </w:pPr>
            <w:r>
              <w:rPr>
                <w:rFonts w:ascii="Symbol" w:hAnsi="Symbol"/>
                <w:sz w:val="17"/>
              </w:rPr>
              <w:t>·</w:t>
            </w:r>
            <w:r>
              <w:rPr/>
              <w:t xml:space="preserve"> </w:t>
            </w:r>
            <w:r>
              <w:rPr>
                <w:sz w:val="17"/>
              </w:rPr>
              <w:t>Gardendale Gathering System</w:t>
            </w:r>
          </w:p>
        </w:tc>
        <w:tc>
          <w:tcPr>
            <w:tcW w:w="247"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40</w:t>
            </w:r>
          </w:p>
        </w:tc>
        <w:tc>
          <w:tcPr>
            <w:tcW w:w="82" w:type="dxa"/>
            <w:tcBorders/>
            <w:shd w:fill="CCEEFF" w:val="clear"/>
            <w:vAlign w:val="bottom"/>
          </w:tcPr>
          <w:p>
            <w:pPr>
              <w:pStyle w:val="TableContents"/>
              <w:spacing w:before="0" w:after="0"/>
              <w:ind w:left="0" w:right="0" w:hanging="0"/>
              <w:rPr/>
            </w:pPr>
            <w:r>
              <w:rPr/>
              <w:t> </w:t>
            </w:r>
          </w:p>
        </w:tc>
      </w:tr>
      <w:tr>
        <w:trPr/>
        <w:tc>
          <w:tcPr>
            <w:tcW w:w="6598" w:type="dxa"/>
            <w:tcBorders/>
            <w:shd w:fill="auto" w:val="clear"/>
          </w:tcPr>
          <w:p>
            <w:pPr>
              <w:pStyle w:val="TableContents"/>
              <w:spacing w:before="0" w:after="0"/>
              <w:ind w:left="0" w:right="0" w:hanging="0"/>
              <w:rPr/>
            </w:pPr>
            <w:r>
              <w:rPr>
                <w:rFonts w:ascii="Symbol" w:hAnsi="Symbol"/>
                <w:sz w:val="17"/>
              </w:rPr>
              <w:t>·</w:t>
            </w:r>
            <w:r>
              <w:rPr/>
              <w:t xml:space="preserve"> </w:t>
            </w:r>
            <w:r>
              <w:rPr>
                <w:sz w:val="17"/>
              </w:rPr>
              <w:t>Plains Gas Solutions (multiple projects)</w:t>
            </w:r>
          </w:p>
        </w:tc>
        <w:tc>
          <w:tcPr>
            <w:tcW w:w="247"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40</w:t>
            </w:r>
          </w:p>
        </w:tc>
        <w:tc>
          <w:tcPr>
            <w:tcW w:w="82" w:type="dxa"/>
            <w:tcBorders/>
            <w:shd w:fill="auto" w:val="clear"/>
            <w:vAlign w:val="bottom"/>
          </w:tcPr>
          <w:p>
            <w:pPr>
              <w:pStyle w:val="TableContents"/>
              <w:spacing w:before="0" w:after="0"/>
              <w:ind w:left="0" w:right="0" w:hanging="0"/>
              <w:rPr/>
            </w:pPr>
            <w:r>
              <w:rPr/>
              <w:t> </w:t>
            </w:r>
          </w:p>
        </w:tc>
      </w:tr>
      <w:tr>
        <w:trPr/>
        <w:tc>
          <w:tcPr>
            <w:tcW w:w="6598" w:type="dxa"/>
            <w:tcBorders/>
            <w:shd w:fill="CCEEFF" w:val="clear"/>
          </w:tcPr>
          <w:p>
            <w:pPr>
              <w:pStyle w:val="TableContents"/>
              <w:spacing w:before="0" w:after="0"/>
              <w:ind w:left="0" w:right="0" w:hanging="0"/>
              <w:rPr/>
            </w:pPr>
            <w:r>
              <w:rPr>
                <w:rFonts w:ascii="Symbol" w:hAnsi="Symbol"/>
                <w:sz w:val="17"/>
              </w:rPr>
              <w:t>·</w:t>
            </w:r>
            <w:r>
              <w:rPr/>
              <w:t xml:space="preserve"> </w:t>
            </w:r>
            <w:r>
              <w:rPr>
                <w:sz w:val="17"/>
              </w:rPr>
              <w:t>St. James Phase IV</w:t>
            </w:r>
          </w:p>
        </w:tc>
        <w:tc>
          <w:tcPr>
            <w:tcW w:w="247"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40</w:t>
            </w:r>
          </w:p>
        </w:tc>
        <w:tc>
          <w:tcPr>
            <w:tcW w:w="82" w:type="dxa"/>
            <w:tcBorders/>
            <w:shd w:fill="CCEEFF" w:val="clear"/>
            <w:vAlign w:val="bottom"/>
          </w:tcPr>
          <w:p>
            <w:pPr>
              <w:pStyle w:val="TableContents"/>
              <w:spacing w:before="0" w:after="0"/>
              <w:ind w:left="0" w:right="0" w:hanging="0"/>
              <w:rPr/>
            </w:pPr>
            <w:r>
              <w:rPr/>
              <w:t> </w:t>
            </w:r>
          </w:p>
        </w:tc>
      </w:tr>
      <w:tr>
        <w:trPr/>
        <w:tc>
          <w:tcPr>
            <w:tcW w:w="6598" w:type="dxa"/>
            <w:tcBorders/>
            <w:shd w:fill="auto" w:val="clear"/>
          </w:tcPr>
          <w:p>
            <w:pPr>
              <w:pStyle w:val="TableContents"/>
              <w:spacing w:before="0" w:after="0"/>
              <w:ind w:left="0" w:right="0" w:hanging="0"/>
              <w:rPr/>
            </w:pPr>
            <w:r>
              <w:rPr>
                <w:rFonts w:ascii="Symbol" w:hAnsi="Symbol"/>
                <w:sz w:val="17"/>
              </w:rPr>
              <w:t>·</w:t>
            </w:r>
            <w:r>
              <w:rPr/>
              <w:t xml:space="preserve"> </w:t>
            </w:r>
            <w:r>
              <w:rPr>
                <w:sz w:val="17"/>
              </w:rPr>
              <w:t>Yorktown Terminal Project</w:t>
            </w:r>
          </w:p>
        </w:tc>
        <w:tc>
          <w:tcPr>
            <w:tcW w:w="247"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35</w:t>
            </w:r>
          </w:p>
        </w:tc>
        <w:tc>
          <w:tcPr>
            <w:tcW w:w="82" w:type="dxa"/>
            <w:tcBorders/>
            <w:shd w:fill="auto" w:val="clear"/>
            <w:vAlign w:val="bottom"/>
          </w:tcPr>
          <w:p>
            <w:pPr>
              <w:pStyle w:val="TableContents"/>
              <w:spacing w:before="0" w:after="0"/>
              <w:ind w:left="0" w:right="0" w:hanging="0"/>
              <w:rPr/>
            </w:pPr>
            <w:r>
              <w:rPr/>
              <w:t> </w:t>
            </w:r>
          </w:p>
        </w:tc>
      </w:tr>
      <w:tr>
        <w:trPr/>
        <w:tc>
          <w:tcPr>
            <w:tcW w:w="6598" w:type="dxa"/>
            <w:tcBorders/>
            <w:shd w:fill="CCEEFF" w:val="clear"/>
          </w:tcPr>
          <w:p>
            <w:pPr>
              <w:pStyle w:val="TableContents"/>
              <w:spacing w:before="0" w:after="0"/>
              <w:ind w:left="0" w:right="0" w:hanging="0"/>
              <w:rPr/>
            </w:pPr>
            <w:r>
              <w:rPr>
                <w:rFonts w:ascii="Symbol" w:hAnsi="Symbol"/>
                <w:sz w:val="17"/>
              </w:rPr>
              <w:t>·</w:t>
            </w:r>
            <w:r>
              <w:rPr/>
              <w:t xml:space="preserve"> </w:t>
            </w:r>
            <w:r>
              <w:rPr>
                <w:sz w:val="17"/>
              </w:rPr>
              <w:t>BP NGL Acquisition Related Projects</w:t>
            </w:r>
          </w:p>
        </w:tc>
        <w:tc>
          <w:tcPr>
            <w:tcW w:w="247"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30</w:t>
            </w:r>
          </w:p>
        </w:tc>
        <w:tc>
          <w:tcPr>
            <w:tcW w:w="82" w:type="dxa"/>
            <w:tcBorders/>
            <w:shd w:fill="CCEEFF" w:val="clear"/>
            <w:vAlign w:val="bottom"/>
          </w:tcPr>
          <w:p>
            <w:pPr>
              <w:pStyle w:val="TableContents"/>
              <w:spacing w:before="0" w:after="0"/>
              <w:ind w:left="0" w:right="0" w:hanging="0"/>
              <w:rPr/>
            </w:pPr>
            <w:r>
              <w:rPr/>
              <w:t> </w:t>
            </w:r>
          </w:p>
        </w:tc>
      </w:tr>
      <w:tr>
        <w:trPr/>
        <w:tc>
          <w:tcPr>
            <w:tcW w:w="6598" w:type="dxa"/>
            <w:tcBorders/>
            <w:shd w:fill="auto" w:val="clear"/>
          </w:tcPr>
          <w:p>
            <w:pPr>
              <w:pStyle w:val="TableContents"/>
              <w:spacing w:before="0" w:after="0"/>
              <w:ind w:left="0" w:right="0" w:hanging="0"/>
              <w:rPr/>
            </w:pPr>
            <w:r>
              <w:rPr>
                <w:rFonts w:ascii="Symbol" w:hAnsi="Symbol"/>
                <w:sz w:val="17"/>
              </w:rPr>
              <w:t>·</w:t>
            </w:r>
            <w:r>
              <w:rPr/>
              <w:t xml:space="preserve"> </w:t>
            </w:r>
            <w:r>
              <w:rPr>
                <w:sz w:val="17"/>
              </w:rPr>
              <w:t>Shafter Expansion</w:t>
            </w:r>
          </w:p>
        </w:tc>
        <w:tc>
          <w:tcPr>
            <w:tcW w:w="247"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30</w:t>
            </w:r>
          </w:p>
        </w:tc>
        <w:tc>
          <w:tcPr>
            <w:tcW w:w="82" w:type="dxa"/>
            <w:tcBorders/>
            <w:shd w:fill="auto" w:val="clear"/>
            <w:vAlign w:val="bottom"/>
          </w:tcPr>
          <w:p>
            <w:pPr>
              <w:pStyle w:val="TableContents"/>
              <w:spacing w:before="0" w:after="0"/>
              <w:ind w:left="0" w:right="0" w:hanging="0"/>
              <w:rPr/>
            </w:pPr>
            <w:r>
              <w:rPr/>
              <w:t> </w:t>
            </w:r>
          </w:p>
        </w:tc>
      </w:tr>
      <w:tr>
        <w:trPr/>
        <w:tc>
          <w:tcPr>
            <w:tcW w:w="6598" w:type="dxa"/>
            <w:tcBorders/>
            <w:shd w:fill="CCEEFF" w:val="clear"/>
          </w:tcPr>
          <w:p>
            <w:pPr>
              <w:pStyle w:val="TableContents"/>
              <w:spacing w:before="0" w:after="0"/>
              <w:ind w:left="0" w:right="0" w:hanging="0"/>
              <w:rPr/>
            </w:pPr>
            <w:r>
              <w:rPr>
                <w:rFonts w:ascii="Symbol" w:hAnsi="Symbol"/>
                <w:sz w:val="17"/>
              </w:rPr>
              <w:t>·</w:t>
            </w:r>
            <w:r>
              <w:rPr/>
              <w:t xml:space="preserve"> </w:t>
            </w:r>
            <w:r>
              <w:rPr>
                <w:sz w:val="17"/>
              </w:rPr>
              <w:t>Dollard Custom Treating &amp; Truck Terminal</w:t>
            </w:r>
          </w:p>
        </w:tc>
        <w:tc>
          <w:tcPr>
            <w:tcW w:w="247"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w:t>
            </w:r>
          </w:p>
        </w:tc>
        <w:tc>
          <w:tcPr>
            <w:tcW w:w="82" w:type="dxa"/>
            <w:tcBorders/>
            <w:shd w:fill="CCEEFF" w:val="clear"/>
            <w:vAlign w:val="bottom"/>
          </w:tcPr>
          <w:p>
            <w:pPr>
              <w:pStyle w:val="TableContents"/>
              <w:spacing w:before="0" w:after="0"/>
              <w:ind w:left="0" w:right="0" w:hanging="0"/>
              <w:rPr/>
            </w:pPr>
            <w:r>
              <w:rPr/>
              <w:t> </w:t>
            </w:r>
          </w:p>
        </w:tc>
      </w:tr>
      <w:tr>
        <w:trPr/>
        <w:tc>
          <w:tcPr>
            <w:tcW w:w="6598" w:type="dxa"/>
            <w:tcBorders/>
            <w:shd w:fill="auto" w:val="clear"/>
          </w:tcPr>
          <w:p>
            <w:pPr>
              <w:pStyle w:val="TableContents"/>
              <w:spacing w:before="0" w:after="0"/>
              <w:ind w:left="0" w:right="0" w:hanging="0"/>
              <w:rPr/>
            </w:pPr>
            <w:r>
              <w:rPr>
                <w:rFonts w:ascii="Symbol" w:hAnsi="Symbol"/>
                <w:sz w:val="17"/>
              </w:rPr>
              <w:t>·</w:t>
            </w:r>
            <w:r>
              <w:rPr/>
              <w:t xml:space="preserve"> </w:t>
            </w:r>
            <w:r>
              <w:rPr>
                <w:sz w:val="17"/>
              </w:rPr>
              <w:t xml:space="preserve">Other Projects </w:t>
            </w:r>
            <w:r>
              <w:rPr>
                <w:sz w:val="11"/>
              </w:rPr>
              <w:t>(1)</w:t>
            </w:r>
          </w:p>
        </w:tc>
        <w:tc>
          <w:tcPr>
            <w:tcW w:w="247" w:type="dxa"/>
            <w:tcBorders/>
            <w:shd w:fill="auto" w:val="clear"/>
            <w:vAlign w:val="bottom"/>
          </w:tcPr>
          <w:p>
            <w:pPr>
              <w:pStyle w:val="TableContents"/>
              <w:spacing w:before="0" w:after="0"/>
              <w:ind w:left="0" w:right="0" w:hanging="0"/>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202</w:t>
            </w:r>
          </w:p>
        </w:tc>
        <w:tc>
          <w:tcPr>
            <w:tcW w:w="82" w:type="dxa"/>
            <w:tcBorders/>
            <w:shd w:fill="auto" w:val="clear"/>
            <w:vAlign w:val="bottom"/>
          </w:tcPr>
          <w:p>
            <w:pPr>
              <w:pStyle w:val="TableContents"/>
              <w:spacing w:before="0" w:after="0"/>
              <w:ind w:left="0" w:right="0" w:hanging="0"/>
              <w:rPr/>
            </w:pPr>
            <w:r>
              <w:rPr/>
              <w:t> </w:t>
            </w:r>
          </w:p>
        </w:tc>
      </w:tr>
      <w:tr>
        <w:trPr/>
        <w:tc>
          <w:tcPr>
            <w:tcW w:w="6598" w:type="dxa"/>
            <w:tcBorders/>
            <w:shd w:fill="CCEEFF" w:val="clear"/>
            <w:vAlign w:val="bottom"/>
          </w:tcPr>
          <w:p>
            <w:pPr>
              <w:pStyle w:val="TableContents"/>
              <w:spacing w:before="0" w:after="0"/>
              <w:ind w:left="0" w:right="0" w:hanging="0"/>
              <w:rPr/>
            </w:pPr>
            <w:r>
              <w:rPr/>
              <w:t> </w:t>
            </w:r>
          </w:p>
        </w:tc>
        <w:tc>
          <w:tcPr>
            <w:tcW w:w="247"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$1,000</w:t>
            </w:r>
          </w:p>
        </w:tc>
        <w:tc>
          <w:tcPr>
            <w:tcW w:w="82" w:type="dxa"/>
            <w:tcBorders/>
            <w:shd w:fill="CCEEFF" w:val="clear"/>
            <w:vAlign w:val="bottom"/>
          </w:tcPr>
          <w:p>
            <w:pPr>
              <w:pStyle w:val="TableContents"/>
              <w:spacing w:before="0" w:after="0"/>
              <w:ind w:left="0" w:right="0" w:hanging="0"/>
              <w:rPr/>
            </w:pPr>
            <w:r>
              <w:rPr/>
              <w:t> </w:t>
            </w:r>
          </w:p>
        </w:tc>
      </w:tr>
      <w:tr>
        <w:trPr/>
        <w:tc>
          <w:tcPr>
            <w:tcW w:w="6598" w:type="dxa"/>
            <w:tcBorders/>
            <w:shd w:fill="auto" w:val="clear"/>
          </w:tcPr>
          <w:p>
            <w:pPr>
              <w:pStyle w:val="TableContents"/>
              <w:spacing w:before="0" w:after="0"/>
              <w:ind w:left="0" w:right="0" w:hanging="0"/>
              <w:rPr/>
            </w:pPr>
            <w:r>
              <w:rPr>
                <w:rFonts w:ascii="Times New Roman" w:hAnsi="Times New Roman"/>
                <w:sz w:val="17"/>
              </w:rPr>
              <w:t xml:space="preserve">Potential Adjustments for Timing / Scope Refinement </w:t>
            </w:r>
            <w:r>
              <w:rPr>
                <w:sz w:val="11"/>
              </w:rPr>
              <w:t>(2)</w:t>
            </w:r>
          </w:p>
        </w:tc>
        <w:tc>
          <w:tcPr>
            <w:tcW w:w="247" w:type="dxa"/>
            <w:tcBorders/>
            <w:shd w:fill="auto" w:val="clear"/>
            <w:vAlign w:val="bottom"/>
          </w:tcPr>
          <w:p>
            <w:pPr>
              <w:pStyle w:val="TableContents"/>
              <w:spacing w:before="0" w:after="0"/>
              <w:ind w:left="0" w:right="0" w:hanging="0"/>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 $50   + $100</w:t>
            </w:r>
          </w:p>
        </w:tc>
        <w:tc>
          <w:tcPr>
            <w:tcW w:w="82" w:type="dxa"/>
            <w:tcBorders/>
            <w:shd w:fill="auto" w:val="clear"/>
            <w:vAlign w:val="bottom"/>
          </w:tcPr>
          <w:p>
            <w:pPr>
              <w:pStyle w:val="TableContents"/>
              <w:spacing w:before="0" w:after="0"/>
              <w:ind w:left="0" w:right="0" w:hanging="0"/>
              <w:rPr/>
            </w:pPr>
            <w:r>
              <w:rPr/>
              <w:t> </w:t>
            </w:r>
          </w:p>
        </w:tc>
      </w:tr>
      <w:tr>
        <w:trPr/>
        <w:tc>
          <w:tcPr>
            <w:tcW w:w="659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Projected Expansion Capital Expenditures</w:t>
            </w:r>
          </w:p>
        </w:tc>
        <w:tc>
          <w:tcPr>
            <w:tcW w:w="247" w:type="dxa"/>
            <w:tcBorders/>
            <w:shd w:fill="CCEEFF" w:val="clear"/>
            <w:vAlign w:val="bottom"/>
          </w:tcPr>
          <w:p>
            <w:pPr>
              <w:pStyle w:val="TableContents"/>
              <w:spacing w:before="0" w:after="0"/>
              <w:ind w:left="0" w:right="0" w:hanging="0"/>
              <w:rPr/>
            </w:pPr>
            <w:r>
              <w:rPr/>
              <w:t> </w:t>
            </w:r>
          </w:p>
        </w:tc>
        <w:tc>
          <w:tcPr>
            <w:tcW w:w="1237" w:type="dxa"/>
            <w:tcBorders>
              <w:bottom w:val="double" w:sz="6" w:space="0" w:color="000000"/>
            </w:tcBorders>
            <w:shd w:fill="CCEEFF" w:val="clear"/>
            <w:tcMar>
              <w:bottom w:w="28"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$950 - $1,100</w:t>
            </w:r>
          </w:p>
        </w:tc>
        <w:tc>
          <w:tcPr>
            <w:tcW w:w="82" w:type="dxa"/>
            <w:tcBorders/>
            <w:shd w:fill="CCEEFF" w:val="clear"/>
            <w:vAlign w:val="bottom"/>
          </w:tcPr>
          <w:p>
            <w:pPr>
              <w:pStyle w:val="TableContents"/>
              <w:spacing w:before="0" w:after="0"/>
              <w:ind w:left="0" w:right="0" w:hanging="0"/>
              <w:rPr/>
            </w:pPr>
            <w:r>
              <w:rPr/>
              <w:t> </w:t>
            </w:r>
          </w:p>
        </w:tc>
      </w:tr>
      <w:tr>
        <w:trPr/>
        <w:tc>
          <w:tcPr>
            <w:tcW w:w="6598" w:type="dxa"/>
            <w:tcBorders/>
            <w:shd w:fill="auto" w:val="clear"/>
            <w:vAlign w:val="bottom"/>
          </w:tcPr>
          <w:p>
            <w:pPr>
              <w:pStyle w:val="TableContents"/>
              <w:spacing w:before="0" w:after="0"/>
              <w:ind w:left="0" w:right="0" w:hanging="0"/>
              <w:rPr/>
            </w:pPr>
            <w:r>
              <w:rPr/>
              <w:t> </w:t>
            </w:r>
          </w:p>
        </w:tc>
        <w:tc>
          <w:tcPr>
            <w:tcW w:w="247"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center"/>
              <w:rPr/>
            </w:pPr>
            <w:r>
              <w:rPr/>
              <w:t> </w:t>
            </w:r>
          </w:p>
        </w:tc>
        <w:tc>
          <w:tcPr>
            <w:tcW w:w="82" w:type="dxa"/>
            <w:tcBorders/>
            <w:shd w:fill="auto" w:val="clear"/>
            <w:vAlign w:val="bottom"/>
          </w:tcPr>
          <w:p>
            <w:pPr>
              <w:pStyle w:val="TableContents"/>
              <w:spacing w:before="0" w:after="0"/>
              <w:ind w:left="0" w:right="0" w:hanging="0"/>
              <w:rPr/>
            </w:pPr>
            <w:r>
              <w:rPr/>
              <w:t> </w:t>
            </w:r>
          </w:p>
        </w:tc>
      </w:tr>
      <w:tr>
        <w:trPr/>
        <w:tc>
          <w:tcPr>
            <w:tcW w:w="659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Maintenance Capital Expenditures</w:t>
            </w:r>
          </w:p>
        </w:tc>
        <w:tc>
          <w:tcPr>
            <w:tcW w:w="247"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$140 - $160</w:t>
            </w:r>
          </w:p>
        </w:tc>
        <w:tc>
          <w:tcPr>
            <w:tcW w:w="8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Primarily multiple, smaller projects comprised of pipeline connections, upgrades and truck stations, new tank construction and refurbishing, and carry-over of projects from prior years.</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Potential variation to current capital costs estimates may result from changes to project design, final cost of materials and labor and timing of incurrence of costs due to uncontrollable factors such as permits, regulatory approvals and weather.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i/>
          <w:sz w:val="17"/>
        </w:rPr>
        <w:t>Capital Structure.</w:t>
      </w:r>
      <w:r>
        <w:rPr>
          <w:rFonts w:ascii="Times New Roman" w:hAnsi="Times New Roman"/>
        </w:rPr>
        <w:t xml:space="preserve"> </w:t>
      </w:r>
      <w:r>
        <w:rPr>
          <w:rFonts w:ascii="Times New Roman" w:hAnsi="Times New Roman"/>
          <w:sz w:val="17"/>
        </w:rPr>
        <w:t>This guidance is based on our capital structure as of March 31,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w:t>
      </w:r>
      <w:r>
        <w:rPr>
          <w:rFonts w:ascii="Times New Roman" w:hAnsi="Times New Roman"/>
        </w:rPr>
        <w:t xml:space="preserve">               </w:t>
      </w:r>
      <w:r>
        <w:rPr>
          <w:rFonts w:ascii="Times New Roman" w:hAnsi="Times New Roman"/>
          <w:i/>
          <w:sz w:val="17"/>
        </w:rPr>
        <w:t>Interest Expense.</w:t>
      </w:r>
      <w:r>
        <w:rPr>
          <w:rFonts w:ascii="Times New Roman" w:hAnsi="Times New Roman"/>
        </w:rPr>
        <w:t xml:space="preserve"> </w:t>
      </w:r>
      <w:r>
        <w:rPr>
          <w:rFonts w:ascii="Times New Roman" w:hAnsi="Times New Roman"/>
          <w:sz w:val="17"/>
        </w:rPr>
        <w:t>Debt balances are projected based on estimated cash flows, estimated distribution rates, estimated capital expenditures for maintenance and expansion projects, expected timing of collections and payments and forecasted levels of inventory and other working capital sources and uses. Interest rate assumptions for variable-rate debt are based on the current forward LIBOR curve.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in interest expense are commitment fees, amortization of long-term debt discounts or premiums, deferred amounts associated with terminated interest-rate hedges and interest on short-term debt for non-contango inventory (primarily hedged LPG inventory and New York Mercantile Exchange and IntercontinentalExchange margin deposits). Interest expense is net of amounts capitalized for major expansion capital projects and does not include interest on borrowings for inventory stored in a contango market. We treat interest on contango-related borrowings as carrying costs of crude oil and include it in purchases and related costs.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7.</w:t>
      </w:r>
      <w:r>
        <w:rPr>
          <w:rFonts w:ascii="Times New Roman" w:hAnsi="Times New Roman"/>
        </w:rPr>
        <w:t xml:space="preserve">              </w:t>
      </w:r>
      <w:r>
        <w:rPr>
          <w:rFonts w:ascii="Times New Roman" w:hAnsi="Times New Roman"/>
          <w:i/>
          <w:sz w:val="17"/>
        </w:rPr>
        <w:t>Income Taxes</w:t>
      </w:r>
      <w:r>
        <w:rPr>
          <w:rFonts w:ascii="Times New Roman" w:hAnsi="Times New Roman"/>
          <w:sz w:val="17"/>
        </w:rPr>
        <w:t>. We expect Canadian income tax expense to be approximately $16 million and $66 million for the three-month and twelve-month periods ending June 30, 2012 and December 31, 2012, respectively, of which approximately $15 million and $60 million, respectively, is classified as current.  For the twelve-month period ending December 31, 2012 we expect to have a deferred tax expense of $6 million.  All or part of the income tax expense of $66 million may result in a tax credit to our equity holders.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7" w:name="PB_7_202355_3020"/>
      <w:bookmarkEnd w:id="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8.</w:t>
      </w:r>
      <w:r>
        <w:rPr>
          <w:rFonts w:ascii="Times New Roman" w:hAnsi="Times New Roman"/>
        </w:rPr>
        <w:t xml:space="preserve">               </w:t>
      </w:r>
      <w:r>
        <w:rPr>
          <w:rFonts w:ascii="Times New Roman" w:hAnsi="Times New Roman"/>
          <w:i/>
          <w:sz w:val="17"/>
        </w:rPr>
        <w:t>Reconciliation of Adjusted</w:t>
      </w:r>
      <w:r>
        <w:rPr>
          <w:rFonts w:ascii="Times New Roman" w:hAnsi="Times New Roman"/>
        </w:rPr>
        <w:t xml:space="preserve"> </w:t>
      </w:r>
      <w:r>
        <w:rPr>
          <w:rFonts w:ascii="Times New Roman" w:hAnsi="Times New Roman"/>
          <w:i/>
          <w:sz w:val="17"/>
        </w:rPr>
        <w:t>EBITDA to Implied DCF.</w:t>
      </w:r>
      <w:r>
        <w:rPr>
          <w:rFonts w:ascii="Times New Roman" w:hAnsi="Times New Roman"/>
        </w:rPr>
        <w:t xml:space="preserve"> </w:t>
      </w:r>
      <w:r>
        <w:rPr>
          <w:rFonts w:ascii="Times New Roman" w:hAnsi="Times New Roman"/>
          <w:sz w:val="17"/>
        </w:rPr>
        <w:t>The following table reconciles the mid-point of adjusted EBITDA to implied distributable cash flow for the three-month period ending June 30, 2012 and the six-month and twelve-month periods ending December 31, 2012.</w:t>
      </w:r>
    </w:p>
    <w:p>
      <w:pPr>
        <w:pStyle w:val="TextBody"/>
        <w:spacing w:before="0" w:after="0"/>
        <w:ind w:left="0" w:right="0" w:hanging="0"/>
        <w:jc w:val="center"/>
        <w:rPr/>
      </w:pPr>
      <w:r>
        <w:rPr/>
        <w:t> </w:t>
      </w:r>
    </w:p>
    <w:tbl>
      <w:tblPr>
        <w:tblW w:w="3650" w:type="pct"/>
        <w:jc w:val="left"/>
        <w:tblInd w:w="0" w:type="dxa"/>
        <w:tblCellMar>
          <w:top w:w="0" w:type="dxa"/>
          <w:left w:w="0" w:type="dxa"/>
          <w:bottom w:w="0" w:type="dxa"/>
          <w:right w:w="0" w:type="dxa"/>
        </w:tblCellMar>
      </w:tblPr>
      <w:tblGrid>
        <w:gridCol w:w="2450"/>
        <w:gridCol w:w="161"/>
        <w:gridCol w:w="288"/>
        <w:gridCol w:w="1135"/>
        <w:gridCol w:w="179"/>
        <w:gridCol w:w="288"/>
        <w:gridCol w:w="1135"/>
        <w:gridCol w:w="179"/>
        <w:gridCol w:w="237"/>
        <w:gridCol w:w="1286"/>
        <w:gridCol w:w="111"/>
      </w:tblGrid>
      <w:tr>
        <w:trPr/>
        <w:tc>
          <w:tcPr>
            <w:tcW w:w="2450" w:type="dxa"/>
            <w:tcBorders/>
            <w:shd w:fill="auto" w:val="clear"/>
            <w:vAlign w:val="bottom"/>
          </w:tcPr>
          <w:p>
            <w:pPr>
              <w:pStyle w:val="TableContents"/>
              <w:spacing w:before="0" w:after="0"/>
              <w:ind w:left="0" w:right="0" w:hanging="0"/>
              <w:rPr/>
            </w:pPr>
            <w:r>
              <w:rPr/>
              <w:t> </w:t>
            </w:r>
          </w:p>
        </w:tc>
        <w:tc>
          <w:tcPr>
            <w:tcW w:w="161" w:type="dxa"/>
            <w:tcBorders/>
            <w:shd w:fill="auto" w:val="clear"/>
            <w:vAlign w:val="bottom"/>
          </w:tcPr>
          <w:p>
            <w:pPr>
              <w:pStyle w:val="TableContents"/>
              <w:spacing w:before="0" w:after="0"/>
              <w:ind w:left="0" w:right="0" w:hanging="0"/>
              <w:jc w:val="center"/>
              <w:rPr/>
            </w:pPr>
            <w:r>
              <w:rPr/>
              <w:t> </w:t>
            </w:r>
          </w:p>
        </w:tc>
        <w:tc>
          <w:tcPr>
            <w:tcW w:w="4727"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Mid-Point Guidance</w:t>
            </w:r>
          </w:p>
        </w:tc>
        <w:tc>
          <w:tcPr>
            <w:tcW w:w="111" w:type="dxa"/>
            <w:tcBorders/>
            <w:shd w:fill="auto" w:val="clear"/>
            <w:vAlign w:val="bottom"/>
          </w:tcPr>
          <w:p>
            <w:pPr>
              <w:pStyle w:val="TableContents"/>
              <w:spacing w:before="0" w:after="0"/>
              <w:ind w:left="0" w:right="0" w:hanging="0"/>
              <w:jc w:val="center"/>
              <w:rPr/>
            </w:pPr>
            <w:r>
              <w:rPr/>
              <w:t> </w:t>
            </w:r>
          </w:p>
        </w:tc>
      </w:tr>
      <w:tr>
        <w:trPr/>
        <w:tc>
          <w:tcPr>
            <w:tcW w:w="2450" w:type="dxa"/>
            <w:tcBorders/>
            <w:shd w:fill="auto" w:val="clear"/>
            <w:vAlign w:val="bottom"/>
          </w:tcPr>
          <w:p>
            <w:pPr>
              <w:pStyle w:val="TableContents"/>
              <w:spacing w:before="0" w:after="0"/>
              <w:ind w:left="0" w:right="0" w:hanging="0"/>
              <w:rPr/>
            </w:pPr>
            <w:r>
              <w:rPr/>
              <w:t> </w:t>
            </w:r>
          </w:p>
        </w:tc>
        <w:tc>
          <w:tcPr>
            <w:tcW w:w="161" w:type="dxa"/>
            <w:tcBorders/>
            <w:shd w:fill="auto" w:val="clear"/>
            <w:vAlign w:val="bottom"/>
          </w:tcPr>
          <w:p>
            <w:pPr>
              <w:pStyle w:val="TableContents"/>
              <w:spacing w:before="0" w:after="0"/>
              <w:ind w:left="0" w:right="0" w:hanging="0"/>
              <w:jc w:val="center"/>
              <w:rPr/>
            </w:pPr>
            <w:r>
              <w:rPr/>
              <w:t> </w:t>
            </w:r>
          </w:p>
        </w:tc>
        <w:tc>
          <w:tcPr>
            <w:tcW w:w="142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17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42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6 Months Ending</w:t>
            </w:r>
          </w:p>
        </w:tc>
        <w:tc>
          <w:tcPr>
            <w:tcW w:w="17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523"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111" w:type="dxa"/>
            <w:tcBorders/>
            <w:shd w:fill="auto" w:val="clear"/>
            <w:vAlign w:val="bottom"/>
          </w:tcPr>
          <w:p>
            <w:pPr>
              <w:pStyle w:val="TableContents"/>
              <w:spacing w:before="0" w:after="0"/>
              <w:ind w:left="0" w:right="0" w:hanging="0"/>
              <w:jc w:val="center"/>
              <w:rPr/>
            </w:pPr>
            <w:r>
              <w:rPr/>
              <w:t> </w:t>
            </w:r>
          </w:p>
        </w:tc>
      </w:tr>
      <w:tr>
        <w:trPr/>
        <w:tc>
          <w:tcPr>
            <w:tcW w:w="2450" w:type="dxa"/>
            <w:tcBorders/>
            <w:shd w:fill="auto" w:val="clear"/>
            <w:vAlign w:val="bottom"/>
          </w:tcPr>
          <w:p>
            <w:pPr>
              <w:pStyle w:val="TableContents"/>
              <w:spacing w:before="0" w:after="0"/>
              <w:ind w:left="0" w:right="0" w:hanging="0"/>
              <w:rPr/>
            </w:pPr>
            <w:r>
              <w:rPr/>
              <w:t> </w:t>
            </w:r>
          </w:p>
        </w:tc>
        <w:tc>
          <w:tcPr>
            <w:tcW w:w="161" w:type="dxa"/>
            <w:tcBorders/>
            <w:shd w:fill="auto" w:val="clear"/>
            <w:vAlign w:val="bottom"/>
          </w:tcPr>
          <w:p>
            <w:pPr>
              <w:pStyle w:val="TableContents"/>
              <w:spacing w:before="0" w:after="0"/>
              <w:ind w:left="0" w:right="0" w:hanging="0"/>
              <w:jc w:val="center"/>
              <w:rPr/>
            </w:pPr>
            <w:r>
              <w:rPr/>
              <w:t> </w:t>
            </w:r>
          </w:p>
        </w:tc>
        <w:tc>
          <w:tcPr>
            <w:tcW w:w="142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 30, 2012</w:t>
            </w:r>
          </w:p>
        </w:tc>
        <w:tc>
          <w:tcPr>
            <w:tcW w:w="179" w:type="dxa"/>
            <w:tcBorders/>
            <w:shd w:fill="auto" w:val="clear"/>
            <w:vAlign w:val="bottom"/>
          </w:tcPr>
          <w:p>
            <w:pPr>
              <w:pStyle w:val="TableContents"/>
              <w:spacing w:before="0" w:after="0"/>
              <w:ind w:left="0" w:right="0" w:hanging="0"/>
              <w:jc w:val="center"/>
              <w:rPr/>
            </w:pPr>
            <w:r>
              <w:rPr/>
              <w:t> </w:t>
            </w:r>
          </w:p>
        </w:tc>
        <w:tc>
          <w:tcPr>
            <w:tcW w:w="142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2012</w:t>
            </w:r>
          </w:p>
        </w:tc>
        <w:tc>
          <w:tcPr>
            <w:tcW w:w="179" w:type="dxa"/>
            <w:tcBorders/>
            <w:shd w:fill="auto" w:val="clear"/>
            <w:vAlign w:val="bottom"/>
          </w:tcPr>
          <w:p>
            <w:pPr>
              <w:pStyle w:val="TableContents"/>
              <w:spacing w:before="0" w:after="0"/>
              <w:ind w:left="0" w:right="0" w:hanging="0"/>
              <w:jc w:val="center"/>
              <w:rPr/>
            </w:pPr>
            <w:r>
              <w:rPr/>
              <w:t> </w:t>
            </w:r>
          </w:p>
        </w:tc>
        <w:tc>
          <w:tcPr>
            <w:tcW w:w="152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2012</w:t>
            </w:r>
          </w:p>
        </w:tc>
        <w:tc>
          <w:tcPr>
            <w:tcW w:w="111" w:type="dxa"/>
            <w:tcBorders/>
            <w:shd w:fill="auto" w:val="clear"/>
            <w:vAlign w:val="bottom"/>
          </w:tcPr>
          <w:p>
            <w:pPr>
              <w:pStyle w:val="TableContents"/>
              <w:spacing w:before="0" w:after="0"/>
              <w:ind w:left="0" w:right="0" w:hanging="0"/>
              <w:jc w:val="center"/>
              <w:rPr/>
            </w:pPr>
            <w:r>
              <w:rPr/>
              <w:t> </w:t>
            </w:r>
          </w:p>
        </w:tc>
      </w:tr>
      <w:tr>
        <w:trPr/>
        <w:tc>
          <w:tcPr>
            <w:tcW w:w="2450" w:type="dxa"/>
            <w:tcBorders/>
            <w:shd w:fill="auto" w:val="clear"/>
            <w:vAlign w:val="bottom"/>
          </w:tcPr>
          <w:p>
            <w:pPr>
              <w:pStyle w:val="TableContents"/>
              <w:spacing w:before="0" w:after="0"/>
              <w:ind w:left="0" w:right="0" w:hanging="0"/>
              <w:rPr/>
            </w:pPr>
            <w:r>
              <w:rPr/>
              <w:t> </w:t>
            </w:r>
          </w:p>
        </w:tc>
        <w:tc>
          <w:tcPr>
            <w:tcW w:w="161" w:type="dxa"/>
            <w:tcBorders/>
            <w:shd w:fill="auto" w:val="clear"/>
            <w:vAlign w:val="bottom"/>
          </w:tcPr>
          <w:p>
            <w:pPr>
              <w:pStyle w:val="TableContents"/>
              <w:spacing w:before="0" w:after="0"/>
              <w:ind w:left="0" w:right="0" w:hanging="0"/>
              <w:rPr/>
            </w:pPr>
            <w:r>
              <w:rPr/>
              <w:t> </w:t>
            </w:r>
          </w:p>
        </w:tc>
        <w:tc>
          <w:tcPr>
            <w:tcW w:w="4727"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111" w:type="dxa"/>
            <w:tcBorders/>
            <w:shd w:fill="auto" w:val="clear"/>
            <w:vAlign w:val="bottom"/>
          </w:tcPr>
          <w:p>
            <w:pPr>
              <w:pStyle w:val="TableContents"/>
              <w:spacing w:before="0" w:after="0"/>
              <w:ind w:left="0" w:right="0" w:hanging="0"/>
              <w:rPr/>
            </w:pPr>
            <w:r>
              <w:rPr/>
              <w:t> </w:t>
            </w:r>
          </w:p>
        </w:tc>
      </w:tr>
      <w:tr>
        <w:trPr/>
        <w:tc>
          <w:tcPr>
            <w:tcW w:w="24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Adjusted EBITDA </w:t>
            </w:r>
          </w:p>
        </w:tc>
        <w:tc>
          <w:tcPr>
            <w:tcW w:w="161" w:type="dxa"/>
            <w:tcBorders/>
            <w:shd w:fill="CCEEFF" w:val="clear"/>
            <w:vAlign w:val="bottom"/>
          </w:tcPr>
          <w:p>
            <w:pPr>
              <w:pStyle w:val="TableContents"/>
              <w:spacing w:before="0" w:after="0"/>
              <w:ind w:left="0" w:right="0" w:hanging="0"/>
              <w:rPr/>
            </w:pPr>
            <w:r>
              <w:rPr/>
              <w:t> </w:t>
            </w:r>
          </w:p>
        </w:tc>
        <w:tc>
          <w:tcPr>
            <w:tcW w:w="2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460</w:t>
            </w:r>
          </w:p>
        </w:tc>
        <w:tc>
          <w:tcPr>
            <w:tcW w:w="179" w:type="dxa"/>
            <w:tcBorders/>
            <w:shd w:fill="CCEEFF" w:val="clear"/>
            <w:vAlign w:val="bottom"/>
          </w:tcPr>
          <w:p>
            <w:pPr>
              <w:pStyle w:val="TableContents"/>
              <w:spacing w:before="0" w:after="0"/>
              <w:ind w:left="0" w:right="0" w:hanging="0"/>
              <w:rPr/>
            </w:pPr>
            <w:r>
              <w:rPr/>
              <w:t> </w:t>
            </w:r>
          </w:p>
        </w:tc>
        <w:tc>
          <w:tcPr>
            <w:tcW w:w="2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868</w:t>
            </w:r>
          </w:p>
        </w:tc>
        <w:tc>
          <w:tcPr>
            <w:tcW w:w="179" w:type="dxa"/>
            <w:tcBorders/>
            <w:shd w:fill="CCEEFF" w:val="clear"/>
            <w:vAlign w:val="bottom"/>
          </w:tcPr>
          <w:p>
            <w:pPr>
              <w:pStyle w:val="TableContents"/>
              <w:spacing w:before="0" w:after="0"/>
              <w:ind w:left="0" w:right="0" w:hanging="0"/>
              <w:rPr/>
            </w:pPr>
            <w:r>
              <w:rPr/>
              <w:t> </w:t>
            </w:r>
          </w:p>
        </w:tc>
        <w:tc>
          <w:tcPr>
            <w:tcW w:w="23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1,800</w:t>
            </w:r>
          </w:p>
        </w:tc>
        <w:tc>
          <w:tcPr>
            <w:tcW w:w="111" w:type="dxa"/>
            <w:tcBorders/>
            <w:shd w:fill="CCEEFF" w:val="clear"/>
            <w:vAlign w:val="bottom"/>
          </w:tcPr>
          <w:p>
            <w:pPr>
              <w:pStyle w:val="TableContents"/>
              <w:spacing w:before="0" w:after="0"/>
              <w:ind w:left="0" w:right="0" w:hanging="0"/>
              <w:rPr/>
            </w:pPr>
            <w:r>
              <w:rPr/>
              <w:t> </w:t>
            </w:r>
          </w:p>
        </w:tc>
      </w:tr>
      <w:tr>
        <w:trPr/>
        <w:tc>
          <w:tcPr>
            <w:tcW w:w="24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net </w:t>
            </w:r>
          </w:p>
        </w:tc>
        <w:tc>
          <w:tcPr>
            <w:tcW w:w="161" w:type="dxa"/>
            <w:tcBorders/>
            <w:shd w:fill="auto" w:val="clear"/>
            <w:vAlign w:val="bottom"/>
          </w:tcPr>
          <w:p>
            <w:pPr>
              <w:pStyle w:val="TableContents"/>
              <w:spacing w:before="0" w:after="0"/>
              <w:ind w:left="0" w:right="0" w:hanging="0"/>
              <w:rPr/>
            </w:pPr>
            <w:r>
              <w:rPr/>
              <w:t> </w:t>
            </w:r>
          </w:p>
        </w:tc>
        <w:tc>
          <w:tcPr>
            <w:tcW w:w="14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Current income taxes </w:t>
            </w:r>
          </w:p>
        </w:tc>
        <w:tc>
          <w:tcPr>
            <w:tcW w:w="161" w:type="dxa"/>
            <w:tcBorders/>
            <w:shd w:fill="CCEEFF" w:val="clear"/>
            <w:vAlign w:val="bottom"/>
          </w:tcPr>
          <w:p>
            <w:pPr>
              <w:pStyle w:val="TableContents"/>
              <w:spacing w:before="0" w:after="0"/>
              <w:ind w:left="0" w:right="0" w:hanging="0"/>
              <w:rPr/>
            </w:pPr>
            <w:r>
              <w:rPr/>
              <w:t> </w:t>
            </w:r>
          </w:p>
        </w:tc>
        <w:tc>
          <w:tcPr>
            <w:tcW w:w="14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Distributions to noncontrolling interests </w:t>
            </w:r>
          </w:p>
        </w:tc>
        <w:tc>
          <w:tcPr>
            <w:tcW w:w="161" w:type="dxa"/>
            <w:tcBorders/>
            <w:shd w:fill="auto" w:val="clear"/>
            <w:vAlign w:val="bottom"/>
          </w:tcPr>
          <w:p>
            <w:pPr>
              <w:pStyle w:val="TableContents"/>
              <w:spacing w:before="0" w:after="0"/>
              <w:ind w:left="0" w:right="0" w:hanging="0"/>
              <w:rPr/>
            </w:pPr>
            <w:r>
              <w:rPr/>
              <w:t> </w:t>
            </w:r>
          </w:p>
        </w:tc>
        <w:tc>
          <w:tcPr>
            <w:tcW w:w="14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7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2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Maintenance capital expenditures </w:t>
            </w:r>
          </w:p>
        </w:tc>
        <w:tc>
          <w:tcPr>
            <w:tcW w:w="161" w:type="dxa"/>
            <w:tcBorders/>
            <w:shd w:fill="CCEEFF" w:val="clear"/>
            <w:vAlign w:val="bottom"/>
          </w:tcPr>
          <w:p>
            <w:pPr>
              <w:pStyle w:val="TableContents"/>
              <w:spacing w:before="0" w:after="0"/>
              <w:ind w:left="0" w:right="0" w:hanging="0"/>
              <w:rPr/>
            </w:pPr>
            <w:r>
              <w:rPr/>
              <w:t> </w:t>
            </w:r>
          </w:p>
        </w:tc>
        <w:tc>
          <w:tcPr>
            <w:tcW w:w="14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2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net </w:t>
            </w:r>
          </w:p>
        </w:tc>
        <w:tc>
          <w:tcPr>
            <w:tcW w:w="161" w:type="dxa"/>
            <w:tcBorders/>
            <w:shd w:fill="auto" w:val="clear"/>
            <w:vAlign w:val="bottom"/>
          </w:tcPr>
          <w:p>
            <w:pPr>
              <w:pStyle w:val="TableContents"/>
              <w:spacing w:before="0" w:after="0"/>
              <w:ind w:left="0" w:right="0" w:hanging="0"/>
              <w:rPr/>
            </w:pPr>
            <w:r>
              <w:rPr/>
              <w:t> </w:t>
            </w:r>
          </w:p>
        </w:tc>
        <w:tc>
          <w:tcPr>
            <w:tcW w:w="14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9" w:type="dxa"/>
            <w:tcBorders/>
            <w:shd w:fill="auto" w:val="clear"/>
            <w:vAlign w:val="bottom"/>
          </w:tcPr>
          <w:p>
            <w:pPr>
              <w:pStyle w:val="TableContents"/>
              <w:spacing w:before="0" w:after="0"/>
              <w:ind w:left="0" w:right="0" w:hanging="0"/>
              <w:rPr/>
            </w:pPr>
            <w:r>
              <w:rPr/>
              <w:t> </w:t>
            </w:r>
          </w:p>
        </w:tc>
        <w:tc>
          <w:tcPr>
            <w:tcW w:w="14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9" w:type="dxa"/>
            <w:tcBorders/>
            <w:shd w:fill="auto" w:val="clear"/>
            <w:vAlign w:val="bottom"/>
          </w:tcPr>
          <w:p>
            <w:pPr>
              <w:pStyle w:val="TableContents"/>
              <w:spacing w:before="0" w:after="0"/>
              <w:ind w:left="0" w:right="0" w:hanging="0"/>
              <w:rPr/>
            </w:pPr>
            <w:r>
              <w:rPr/>
              <w:t> </w:t>
            </w:r>
          </w:p>
        </w:tc>
        <w:tc>
          <w:tcPr>
            <w:tcW w:w="152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1" w:type="dxa"/>
            <w:tcBorders/>
            <w:shd w:fill="auto" w:val="clear"/>
            <w:vAlign w:val="bottom"/>
          </w:tcPr>
          <w:p>
            <w:pPr>
              <w:pStyle w:val="TableContents"/>
              <w:spacing w:before="0" w:after="0"/>
              <w:ind w:left="0" w:right="0" w:hanging="0"/>
              <w:rPr/>
            </w:pPr>
            <w:r>
              <w:rPr/>
              <w:t> </w:t>
            </w:r>
          </w:p>
        </w:tc>
      </w:tr>
      <w:tr>
        <w:trPr/>
        <w:tc>
          <w:tcPr>
            <w:tcW w:w="24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Implied DCF </w:t>
            </w:r>
          </w:p>
        </w:tc>
        <w:tc>
          <w:tcPr>
            <w:tcW w:w="161" w:type="dxa"/>
            <w:tcBorders/>
            <w:shd w:fill="CCEEFF" w:val="clear"/>
            <w:vAlign w:val="bottom"/>
          </w:tcPr>
          <w:p>
            <w:pPr>
              <w:pStyle w:val="TableContents"/>
              <w:spacing w:before="0" w:after="0"/>
              <w:ind w:left="0" w:right="0" w:hanging="0"/>
              <w:rPr/>
            </w:pPr>
            <w:r>
              <w:rPr/>
              <w:t> </w:t>
            </w:r>
          </w:p>
        </w:tc>
        <w:tc>
          <w:tcPr>
            <w:tcW w:w="28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318</w:t>
            </w:r>
          </w:p>
        </w:tc>
        <w:tc>
          <w:tcPr>
            <w:tcW w:w="179" w:type="dxa"/>
            <w:tcBorders/>
            <w:shd w:fill="CCEEFF" w:val="clear"/>
            <w:vAlign w:val="bottom"/>
          </w:tcPr>
          <w:p>
            <w:pPr>
              <w:pStyle w:val="TableContents"/>
              <w:spacing w:before="0" w:after="0"/>
              <w:ind w:left="0" w:right="0" w:hanging="0"/>
              <w:rPr/>
            </w:pPr>
            <w:r>
              <w:rPr/>
              <w:t> </w:t>
            </w:r>
          </w:p>
        </w:tc>
        <w:tc>
          <w:tcPr>
            <w:tcW w:w="28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583</w:t>
            </w:r>
          </w:p>
        </w:tc>
        <w:tc>
          <w:tcPr>
            <w:tcW w:w="179" w:type="dxa"/>
            <w:tcBorders/>
            <w:shd w:fill="CCEEFF" w:val="clear"/>
            <w:vAlign w:val="bottom"/>
          </w:tcPr>
          <w:p>
            <w:pPr>
              <w:pStyle w:val="TableContents"/>
              <w:spacing w:before="0" w:after="0"/>
              <w:ind w:left="0" w:right="0" w:hanging="0"/>
              <w:rPr/>
            </w:pPr>
            <w:r>
              <w:rPr/>
              <w:t> </w:t>
            </w:r>
          </w:p>
        </w:tc>
        <w:tc>
          <w:tcPr>
            <w:tcW w:w="23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1,244</w:t>
            </w:r>
          </w:p>
        </w:tc>
        <w:tc>
          <w:tcPr>
            <w:tcW w:w="11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9.</w:t>
      </w:r>
      <w:r>
        <w:rPr>
          <w:rFonts w:ascii="Times New Roman" w:hAnsi="Times New Roman"/>
        </w:rPr>
        <w:t xml:space="preserve">               </w:t>
      </w:r>
      <w:r>
        <w:rPr>
          <w:rFonts w:ascii="Times New Roman" w:hAnsi="Times New Roman"/>
          <w:i/>
          <w:sz w:val="17"/>
        </w:rPr>
        <w:t xml:space="preserve">Equity Compensation Plans. </w:t>
      </w:r>
      <w:r>
        <w:rPr>
          <w:rFonts w:ascii="Times New Roman" w:hAnsi="Times New Roman"/>
          <w:sz w:val="17"/>
        </w:rPr>
        <w:t>The majority of grants outstanding under our various equity compensation plans contain vesting criteria that are based on a combination of performance benchmarks and service periods. The grants will vest in various percentages, typically on the later to occur of specified vesting dates and the dates on which minimum distribution levels are reached. Among the various grants outstanding as of May 6, 2012, estimated vesting dates range from May 2012 to May 2019 and annualized distribution levels range from $3.75 to $4.80. For some awards, a percentage of any units remaining unvested as of a certain date will vest on such date and all others will be forfeited.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April 10, 2012, we declared an annualized distribution of $4.18 payable on May 15, 2012 to our unitholders of record as of May 4, 2012. We have made the assessment that a $4.50 distribution level is probable of occurring, and accordingly, for grants that vest at annualized distribution levels of $4.50 or less, guidance includes an accrual over the applicable service period at an assumed market price of $78.00 per unit as well as an accrual associated with awards that will vest on a date certain. The actual amount of equity compensation expense amortization in any given period will be directly influenced by (i) our unit price at the end of each reporting period, (ii) our unit price on the vesting date, (iii) the probability assessment regarding distributions, and (iv) new equity compensation award grants. For example, a $3.00 change in the unit price during the quarter would change the second-quarter equity compensation expense by approximately $5 million and the second-half equity compensation expense by approximately $1 million. Therefore, actual net income could differ materially from our projections.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10.</w:t>
      </w:r>
      <w:r>
        <w:rPr>
          <w:rFonts w:ascii="Times New Roman" w:hAnsi="Times New Roman"/>
        </w:rPr>
        <w:t xml:space="preserve">         </w:t>
      </w:r>
      <w:r>
        <w:rPr>
          <w:rFonts w:ascii="Times New Roman" w:hAnsi="Times New Roman"/>
          <w:i/>
          <w:sz w:val="17"/>
        </w:rPr>
        <w:t>Reconciliation of Net Income to EBIT and EBITDA.</w:t>
      </w:r>
      <w:r>
        <w:rPr>
          <w:rFonts w:ascii="Times New Roman" w:hAnsi="Times New Roman"/>
        </w:rPr>
        <w:t xml:space="preserve"> </w:t>
      </w:r>
      <w:r>
        <w:rPr>
          <w:rFonts w:ascii="Times New Roman" w:hAnsi="Times New Roman"/>
          <w:sz w:val="17"/>
        </w:rPr>
        <w:t>The following table reconciles net income to EBIT and EBITDA for the three-month period ending June 30, 2012 and six-month and twelve-month periods ending December 31, 2012.</w:t>
      </w:r>
    </w:p>
    <w:p>
      <w:pPr>
        <w:pStyle w:val="TextBody"/>
        <w:spacing w:before="0" w:after="0"/>
        <w:ind w:left="0" w:right="0" w:hanging="0"/>
        <w:jc w:val="center"/>
        <w:rPr/>
      </w:pPr>
      <w:r>
        <w:rPr/>
        <w:t> </w:t>
      </w:r>
    </w:p>
    <w:tbl>
      <w:tblPr>
        <w:tblW w:w="4300" w:type="pct"/>
        <w:jc w:val="left"/>
        <w:tblInd w:w="0" w:type="dxa"/>
        <w:tblCellMar>
          <w:top w:w="0" w:type="dxa"/>
          <w:left w:w="0" w:type="dxa"/>
          <w:bottom w:w="0" w:type="dxa"/>
          <w:right w:w="0" w:type="dxa"/>
        </w:tblCellMar>
      </w:tblPr>
      <w:tblGrid>
        <w:gridCol w:w="3174"/>
        <w:gridCol w:w="173"/>
        <w:gridCol w:w="134"/>
        <w:gridCol w:w="598"/>
        <w:gridCol w:w="178"/>
        <w:gridCol w:w="134"/>
        <w:gridCol w:w="599"/>
        <w:gridCol w:w="173"/>
        <w:gridCol w:w="134"/>
        <w:gridCol w:w="598"/>
        <w:gridCol w:w="178"/>
        <w:gridCol w:w="134"/>
        <w:gridCol w:w="599"/>
        <w:gridCol w:w="172"/>
        <w:gridCol w:w="123"/>
        <w:gridCol w:w="634"/>
        <w:gridCol w:w="173"/>
        <w:gridCol w:w="123"/>
        <w:gridCol w:w="634"/>
        <w:gridCol w:w="111"/>
      </w:tblGrid>
      <w:tr>
        <w:trPr/>
        <w:tc>
          <w:tcPr>
            <w:tcW w:w="3174" w:type="dxa"/>
            <w:tcBorders/>
            <w:shd w:fill="auto" w:val="clear"/>
            <w:vAlign w:val="bottom"/>
          </w:tcPr>
          <w:p>
            <w:pPr>
              <w:pStyle w:val="TableContents"/>
              <w:spacing w:before="0" w:after="0"/>
              <w:ind w:left="0" w:right="0" w:hanging="0"/>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5318" w:type="dxa"/>
            <w:gridSpan w:val="17"/>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111" w:type="dxa"/>
            <w:tcBorders/>
            <w:shd w:fill="auto" w:val="clear"/>
            <w:vAlign w:val="bottom"/>
          </w:tcPr>
          <w:p>
            <w:pPr>
              <w:pStyle w:val="TableContents"/>
              <w:spacing w:before="0" w:after="0"/>
              <w:ind w:left="0" w:right="0" w:hanging="0"/>
              <w:jc w:val="center"/>
              <w:rPr/>
            </w:pPr>
            <w:r>
              <w:rPr/>
              <w:t> </w:t>
            </w:r>
          </w:p>
        </w:tc>
      </w:tr>
      <w:tr>
        <w:trPr/>
        <w:tc>
          <w:tcPr>
            <w:tcW w:w="3174" w:type="dxa"/>
            <w:tcBorders/>
            <w:shd w:fill="auto" w:val="clear"/>
            <w:vAlign w:val="bottom"/>
          </w:tcPr>
          <w:p>
            <w:pPr>
              <w:pStyle w:val="TableContents"/>
              <w:spacing w:before="0" w:after="0"/>
              <w:ind w:left="0" w:right="0" w:hanging="0"/>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164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17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643" w:type="dxa"/>
            <w:gridSpan w:val="5"/>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6 Months Ending</w:t>
            </w:r>
          </w:p>
        </w:tc>
        <w:tc>
          <w:tcPr>
            <w:tcW w:w="17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687" w:type="dxa"/>
            <w:gridSpan w:val="5"/>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111" w:type="dxa"/>
            <w:tcBorders/>
            <w:shd w:fill="auto" w:val="clear"/>
            <w:vAlign w:val="bottom"/>
          </w:tcPr>
          <w:p>
            <w:pPr>
              <w:pStyle w:val="TableContents"/>
              <w:spacing w:before="0" w:after="0"/>
              <w:ind w:left="0" w:right="0" w:hanging="0"/>
              <w:jc w:val="center"/>
              <w:rPr/>
            </w:pPr>
            <w:r>
              <w:rPr/>
              <w:t> </w:t>
            </w:r>
          </w:p>
        </w:tc>
      </w:tr>
      <w:tr>
        <w:trPr/>
        <w:tc>
          <w:tcPr>
            <w:tcW w:w="3174" w:type="dxa"/>
            <w:tcBorders/>
            <w:shd w:fill="auto" w:val="clear"/>
            <w:vAlign w:val="bottom"/>
          </w:tcPr>
          <w:p>
            <w:pPr>
              <w:pStyle w:val="TableContents"/>
              <w:spacing w:before="0" w:after="0"/>
              <w:ind w:left="0" w:right="0" w:hanging="0"/>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164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Jun 30, 2012</w:t>
            </w:r>
          </w:p>
        </w:tc>
        <w:tc>
          <w:tcPr>
            <w:tcW w:w="173" w:type="dxa"/>
            <w:tcBorders/>
            <w:shd w:fill="auto" w:val="clear"/>
            <w:vAlign w:val="bottom"/>
          </w:tcPr>
          <w:p>
            <w:pPr>
              <w:pStyle w:val="TableContents"/>
              <w:spacing w:before="0" w:after="0"/>
              <w:ind w:left="0" w:right="0" w:hanging="0"/>
              <w:jc w:val="center"/>
              <w:rPr/>
            </w:pPr>
            <w:r>
              <w:rPr/>
              <w:t> </w:t>
            </w:r>
          </w:p>
        </w:tc>
        <w:tc>
          <w:tcPr>
            <w:tcW w:w="164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2012</w:t>
            </w:r>
          </w:p>
        </w:tc>
        <w:tc>
          <w:tcPr>
            <w:tcW w:w="172" w:type="dxa"/>
            <w:tcBorders/>
            <w:shd w:fill="auto" w:val="clear"/>
            <w:vAlign w:val="bottom"/>
          </w:tcPr>
          <w:p>
            <w:pPr>
              <w:pStyle w:val="TableContents"/>
              <w:spacing w:before="0" w:after="0"/>
              <w:ind w:left="0" w:right="0" w:hanging="0"/>
              <w:jc w:val="center"/>
              <w:rPr/>
            </w:pPr>
            <w:r>
              <w:rPr/>
              <w:t> </w:t>
            </w:r>
          </w:p>
        </w:tc>
        <w:tc>
          <w:tcPr>
            <w:tcW w:w="168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2012</w:t>
            </w:r>
          </w:p>
        </w:tc>
        <w:tc>
          <w:tcPr>
            <w:tcW w:w="111" w:type="dxa"/>
            <w:tcBorders/>
            <w:shd w:fill="auto" w:val="clear"/>
            <w:vAlign w:val="bottom"/>
          </w:tcPr>
          <w:p>
            <w:pPr>
              <w:pStyle w:val="TableContents"/>
              <w:spacing w:before="0" w:after="0"/>
              <w:ind w:left="0" w:right="0" w:hanging="0"/>
              <w:jc w:val="center"/>
              <w:rPr/>
            </w:pPr>
            <w:r>
              <w:rPr/>
              <w:t> </w:t>
            </w:r>
          </w:p>
        </w:tc>
      </w:tr>
      <w:tr>
        <w:trPr/>
        <w:tc>
          <w:tcPr>
            <w:tcW w:w="3174" w:type="dxa"/>
            <w:tcBorders/>
            <w:shd w:fill="auto" w:val="clear"/>
            <w:vAlign w:val="bottom"/>
          </w:tcPr>
          <w:p>
            <w:pPr>
              <w:pStyle w:val="TableContents"/>
              <w:spacing w:before="0" w:after="0"/>
              <w:ind w:left="0" w:right="0" w:hanging="0"/>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73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7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3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73" w:type="dxa"/>
            <w:tcBorders/>
            <w:shd w:fill="auto" w:val="clear"/>
            <w:vAlign w:val="bottom"/>
          </w:tcPr>
          <w:p>
            <w:pPr>
              <w:pStyle w:val="TableContents"/>
              <w:spacing w:before="0" w:after="0"/>
              <w:ind w:left="0" w:right="0" w:hanging="0"/>
              <w:jc w:val="center"/>
              <w:rPr/>
            </w:pPr>
            <w:r>
              <w:rPr/>
              <w:t> </w:t>
            </w:r>
          </w:p>
        </w:tc>
        <w:tc>
          <w:tcPr>
            <w:tcW w:w="73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7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3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72" w:type="dxa"/>
            <w:tcBorders/>
            <w:shd w:fill="auto" w:val="clear"/>
            <w:vAlign w:val="bottom"/>
          </w:tcPr>
          <w:p>
            <w:pPr>
              <w:pStyle w:val="TableContents"/>
              <w:spacing w:before="0" w:after="0"/>
              <w:ind w:left="0" w:right="0" w:hanging="0"/>
              <w:jc w:val="center"/>
              <w:rPr/>
            </w:pPr>
            <w:r>
              <w:rPr/>
              <w:t> </w:t>
            </w:r>
          </w:p>
        </w:tc>
        <w:tc>
          <w:tcPr>
            <w:tcW w:w="75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7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5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11" w:type="dxa"/>
            <w:tcBorders/>
            <w:shd w:fill="auto" w:val="clear"/>
            <w:vAlign w:val="bottom"/>
          </w:tcPr>
          <w:p>
            <w:pPr>
              <w:pStyle w:val="TableContents"/>
              <w:spacing w:before="0" w:after="0"/>
              <w:ind w:left="0" w:right="0" w:hanging="0"/>
              <w:jc w:val="center"/>
              <w:rPr/>
            </w:pPr>
            <w:r>
              <w:rPr/>
              <w:t> </w:t>
            </w:r>
          </w:p>
        </w:tc>
      </w:tr>
      <w:tr>
        <w:trPr/>
        <w:tc>
          <w:tcPr>
            <w:tcW w:w="317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Reconciliation to EBITDA</w:t>
            </w:r>
          </w:p>
        </w:tc>
        <w:tc>
          <w:tcPr>
            <w:tcW w:w="173" w:type="dxa"/>
            <w:tcBorders/>
            <w:shd w:fill="CCEEFF" w:val="clear"/>
            <w:vAlign w:val="bottom"/>
          </w:tcPr>
          <w:p>
            <w:pPr>
              <w:pStyle w:val="TableContents"/>
              <w:spacing w:before="0" w:after="0"/>
              <w:ind w:left="0" w:right="0" w:hanging="0"/>
              <w:rPr/>
            </w:pPr>
            <w:r>
              <w:rPr/>
              <w:t> </w:t>
            </w:r>
          </w:p>
        </w:tc>
        <w:tc>
          <w:tcPr>
            <w:tcW w:w="732" w:type="dxa"/>
            <w:gridSpan w:val="2"/>
            <w:tcBorders/>
            <w:shd w:fill="CCEEFF" w:val="clear"/>
            <w:vAlign w:val="bottom"/>
          </w:tcPr>
          <w:p>
            <w:pPr>
              <w:pStyle w:val="TableContents"/>
              <w:spacing w:before="0" w:after="0"/>
              <w:ind w:left="0" w:right="0" w:hanging="0"/>
              <w:jc w:val="right"/>
              <w:rPr/>
            </w:pPr>
            <w:r>
              <w:rPr/>
              <w:t> </w:t>
            </w:r>
          </w:p>
        </w:tc>
        <w:tc>
          <w:tcPr>
            <w:tcW w:w="178" w:type="dxa"/>
            <w:tcBorders/>
            <w:shd w:fill="CCEEFF" w:val="clear"/>
            <w:vAlign w:val="bottom"/>
          </w:tcPr>
          <w:p>
            <w:pPr>
              <w:pStyle w:val="TableContents"/>
              <w:spacing w:before="0" w:after="0"/>
              <w:ind w:left="0" w:right="0" w:hanging="0"/>
              <w:rPr/>
            </w:pPr>
            <w:r>
              <w:rPr/>
              <w:t> </w:t>
            </w:r>
          </w:p>
        </w:tc>
        <w:tc>
          <w:tcPr>
            <w:tcW w:w="733" w:type="dxa"/>
            <w:gridSpan w:val="2"/>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732" w:type="dxa"/>
            <w:gridSpan w:val="2"/>
            <w:tcBorders/>
            <w:shd w:fill="CCEEFF" w:val="clear"/>
            <w:vAlign w:val="bottom"/>
          </w:tcPr>
          <w:p>
            <w:pPr>
              <w:pStyle w:val="TableContents"/>
              <w:spacing w:before="0" w:after="0"/>
              <w:ind w:left="0" w:right="0" w:hanging="0"/>
              <w:jc w:val="right"/>
              <w:rPr/>
            </w:pPr>
            <w:r>
              <w:rPr/>
              <w:t> </w:t>
            </w:r>
          </w:p>
        </w:tc>
        <w:tc>
          <w:tcPr>
            <w:tcW w:w="178" w:type="dxa"/>
            <w:tcBorders/>
            <w:shd w:fill="CCEEFF" w:val="clear"/>
            <w:vAlign w:val="bottom"/>
          </w:tcPr>
          <w:p>
            <w:pPr>
              <w:pStyle w:val="TableContents"/>
              <w:spacing w:before="0" w:after="0"/>
              <w:ind w:left="0" w:right="0" w:hanging="0"/>
              <w:rPr/>
            </w:pPr>
            <w:r>
              <w:rPr/>
              <w:t> </w:t>
            </w:r>
          </w:p>
        </w:tc>
        <w:tc>
          <w:tcPr>
            <w:tcW w:w="733" w:type="dxa"/>
            <w:gridSpan w:val="2"/>
            <w:tcBorders/>
            <w:shd w:fill="CCEEFF" w:val="clear"/>
            <w:vAlign w:val="bottom"/>
          </w:tcPr>
          <w:p>
            <w:pPr>
              <w:pStyle w:val="TableContents"/>
              <w:spacing w:before="0" w:after="0"/>
              <w:ind w:left="0" w:right="0" w:hanging="0"/>
              <w:jc w:val="right"/>
              <w:rPr/>
            </w:pPr>
            <w:r>
              <w:rPr/>
              <w:t> </w:t>
            </w:r>
          </w:p>
        </w:tc>
        <w:tc>
          <w:tcPr>
            <w:tcW w:w="172" w:type="dxa"/>
            <w:tcBorders/>
            <w:shd w:fill="CCEEFF" w:val="clear"/>
            <w:vAlign w:val="bottom"/>
          </w:tcPr>
          <w:p>
            <w:pPr>
              <w:pStyle w:val="TableContents"/>
              <w:spacing w:before="0" w:after="0"/>
              <w:ind w:left="0" w:right="0" w:hanging="0"/>
              <w:rPr/>
            </w:pPr>
            <w:r>
              <w:rPr/>
              <w:t> </w:t>
            </w:r>
          </w:p>
        </w:tc>
        <w:tc>
          <w:tcPr>
            <w:tcW w:w="757" w:type="dxa"/>
            <w:gridSpan w:val="2"/>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757"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r>
      <w:tr>
        <w:trPr/>
        <w:tc>
          <w:tcPr>
            <w:tcW w:w="31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w:t>
            </w:r>
          </w:p>
        </w:tc>
        <w:tc>
          <w:tcPr>
            <w:tcW w:w="173"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178"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295</w:t>
            </w:r>
          </w:p>
        </w:tc>
        <w:tc>
          <w:tcPr>
            <w:tcW w:w="173"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461</w:t>
            </w:r>
          </w:p>
        </w:tc>
        <w:tc>
          <w:tcPr>
            <w:tcW w:w="178"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562</w:t>
            </w:r>
          </w:p>
        </w:tc>
        <w:tc>
          <w:tcPr>
            <w:tcW w:w="172"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944</w:t>
            </w:r>
          </w:p>
        </w:tc>
        <w:tc>
          <w:tcPr>
            <w:tcW w:w="173"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1,094</w:t>
            </w:r>
          </w:p>
        </w:tc>
        <w:tc>
          <w:tcPr>
            <w:tcW w:w="111" w:type="dxa"/>
            <w:tcBorders/>
            <w:shd w:fill="auto" w:val="clear"/>
            <w:vAlign w:val="bottom"/>
          </w:tcPr>
          <w:p>
            <w:pPr>
              <w:pStyle w:val="TableContents"/>
              <w:spacing w:before="0" w:after="0"/>
              <w:ind w:left="0" w:right="0" w:hanging="0"/>
              <w:rPr/>
            </w:pPr>
            <w:r>
              <w:rPr/>
              <w:t> </w:t>
            </w:r>
          </w:p>
        </w:tc>
      </w:tr>
      <w:tr>
        <w:trPr/>
        <w:tc>
          <w:tcPr>
            <w:tcW w:w="31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net</w:t>
            </w:r>
          </w:p>
        </w:tc>
        <w:tc>
          <w:tcPr>
            <w:tcW w:w="173" w:type="dxa"/>
            <w:tcBorders/>
            <w:shd w:fill="CCEEFF" w:val="clear"/>
            <w:vAlign w:val="bottom"/>
          </w:tcPr>
          <w:p>
            <w:pPr>
              <w:pStyle w:val="TableContents"/>
              <w:spacing w:before="0" w:after="0"/>
              <w:ind w:left="0" w:right="0" w:hanging="0"/>
              <w:rPr/>
            </w:pPr>
            <w:r>
              <w:rPr/>
              <w:t> </w:t>
            </w:r>
          </w:p>
        </w:tc>
        <w:tc>
          <w:tcPr>
            <w:tcW w:w="7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78" w:type="dxa"/>
            <w:tcBorders/>
            <w:shd w:fill="CCEEFF" w:val="clear"/>
            <w:vAlign w:val="bottom"/>
          </w:tcPr>
          <w:p>
            <w:pPr>
              <w:pStyle w:val="TableContents"/>
              <w:spacing w:before="0" w:after="0"/>
              <w:ind w:left="0" w:right="0" w:hanging="0"/>
              <w:rPr/>
            </w:pPr>
            <w:r>
              <w:rPr/>
              <w:t> </w:t>
            </w:r>
          </w:p>
        </w:tc>
        <w:tc>
          <w:tcPr>
            <w:tcW w:w="7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173" w:type="dxa"/>
            <w:tcBorders/>
            <w:shd w:fill="CCEEFF" w:val="clear"/>
            <w:vAlign w:val="bottom"/>
          </w:tcPr>
          <w:p>
            <w:pPr>
              <w:pStyle w:val="TableContents"/>
              <w:spacing w:before="0" w:after="0"/>
              <w:ind w:left="0" w:right="0" w:hanging="0"/>
              <w:rPr/>
            </w:pPr>
            <w:r>
              <w:rPr/>
              <w:t> </w:t>
            </w:r>
          </w:p>
        </w:tc>
        <w:tc>
          <w:tcPr>
            <w:tcW w:w="7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178" w:type="dxa"/>
            <w:tcBorders/>
            <w:shd w:fill="CCEEFF" w:val="clear"/>
            <w:vAlign w:val="bottom"/>
          </w:tcPr>
          <w:p>
            <w:pPr>
              <w:pStyle w:val="TableContents"/>
              <w:spacing w:before="0" w:after="0"/>
              <w:ind w:left="0" w:right="0" w:hanging="0"/>
              <w:rPr/>
            </w:pPr>
            <w:r>
              <w:rPr/>
              <w:t> </w:t>
            </w:r>
          </w:p>
        </w:tc>
        <w:tc>
          <w:tcPr>
            <w:tcW w:w="7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w:t>
            </w:r>
          </w:p>
        </w:tc>
        <w:tc>
          <w:tcPr>
            <w:tcW w:w="172" w:type="dxa"/>
            <w:tcBorders/>
            <w:shd w:fill="CCEEFF" w:val="clear"/>
            <w:vAlign w:val="bottom"/>
          </w:tcPr>
          <w:p>
            <w:pPr>
              <w:pStyle w:val="TableContents"/>
              <w:spacing w:before="0" w:after="0"/>
              <w:ind w:left="0" w:right="0" w:hanging="0"/>
              <w:rPr/>
            </w:pPr>
            <w:r>
              <w:rPr/>
              <w:t> </w:t>
            </w:r>
          </w:p>
        </w:tc>
        <w:tc>
          <w:tcPr>
            <w:tcW w:w="7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304</w:t>
            </w:r>
          </w:p>
        </w:tc>
        <w:tc>
          <w:tcPr>
            <w:tcW w:w="173" w:type="dxa"/>
            <w:tcBorders/>
            <w:shd w:fill="CCEEFF" w:val="clear"/>
            <w:vAlign w:val="bottom"/>
          </w:tcPr>
          <w:p>
            <w:pPr>
              <w:pStyle w:val="TableContents"/>
              <w:spacing w:before="0" w:after="0"/>
              <w:ind w:left="0" w:right="0" w:hanging="0"/>
              <w:rPr/>
            </w:pPr>
            <w:r>
              <w:rPr/>
              <w:t> </w:t>
            </w:r>
          </w:p>
        </w:tc>
        <w:tc>
          <w:tcPr>
            <w:tcW w:w="7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w:t>
            </w:r>
          </w:p>
        </w:tc>
        <w:tc>
          <w:tcPr>
            <w:tcW w:w="111" w:type="dxa"/>
            <w:tcBorders/>
            <w:shd w:fill="CCEEFF" w:val="clear"/>
            <w:vAlign w:val="bottom"/>
          </w:tcPr>
          <w:p>
            <w:pPr>
              <w:pStyle w:val="TableContents"/>
              <w:spacing w:before="0" w:after="0"/>
              <w:ind w:left="0" w:right="0" w:hanging="0"/>
              <w:rPr/>
            </w:pPr>
            <w:r>
              <w:rPr/>
              <w:t> </w:t>
            </w:r>
          </w:p>
        </w:tc>
      </w:tr>
      <w:tr>
        <w:trPr/>
        <w:tc>
          <w:tcPr>
            <w:tcW w:w="31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Income tax expense </w:t>
            </w:r>
          </w:p>
        </w:tc>
        <w:tc>
          <w:tcPr>
            <w:tcW w:w="173" w:type="dxa"/>
            <w:tcBorders/>
            <w:shd w:fill="auto" w:val="clear"/>
            <w:vAlign w:val="bottom"/>
          </w:tcPr>
          <w:p>
            <w:pPr>
              <w:pStyle w:val="TableContents"/>
              <w:spacing w:before="0" w:after="0"/>
              <w:ind w:left="0" w:right="0" w:hanging="0"/>
              <w:rPr/>
            </w:pPr>
            <w:r>
              <w:rPr/>
              <w:t> </w:t>
            </w:r>
          </w:p>
        </w:tc>
        <w:tc>
          <w:tcPr>
            <w:tcW w:w="73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78" w:type="dxa"/>
            <w:tcBorders/>
            <w:shd w:fill="auto" w:val="clear"/>
            <w:vAlign w:val="bottom"/>
          </w:tcPr>
          <w:p>
            <w:pPr>
              <w:pStyle w:val="TableContents"/>
              <w:spacing w:before="0" w:after="0"/>
              <w:ind w:left="0" w:right="0" w:hanging="0"/>
              <w:rPr/>
            </w:pPr>
            <w:r>
              <w:rPr/>
              <w:t> </w:t>
            </w:r>
          </w:p>
        </w:tc>
        <w:tc>
          <w:tcPr>
            <w:tcW w:w="7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73" w:type="dxa"/>
            <w:tcBorders/>
            <w:shd w:fill="auto" w:val="clear"/>
            <w:vAlign w:val="bottom"/>
          </w:tcPr>
          <w:p>
            <w:pPr>
              <w:pStyle w:val="TableContents"/>
              <w:spacing w:before="0" w:after="0"/>
              <w:ind w:left="0" w:right="0" w:hanging="0"/>
              <w:rPr/>
            </w:pPr>
            <w:r>
              <w:rPr/>
              <w:t> </w:t>
            </w:r>
          </w:p>
        </w:tc>
        <w:tc>
          <w:tcPr>
            <w:tcW w:w="73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78" w:type="dxa"/>
            <w:tcBorders/>
            <w:shd w:fill="auto" w:val="clear"/>
            <w:vAlign w:val="bottom"/>
          </w:tcPr>
          <w:p>
            <w:pPr>
              <w:pStyle w:val="TableContents"/>
              <w:spacing w:before="0" w:after="0"/>
              <w:ind w:left="0" w:right="0" w:hanging="0"/>
              <w:rPr/>
            </w:pPr>
            <w:r>
              <w:rPr/>
              <w:t> </w:t>
            </w:r>
          </w:p>
        </w:tc>
        <w:tc>
          <w:tcPr>
            <w:tcW w:w="7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72" w:type="dxa"/>
            <w:tcBorders/>
            <w:shd w:fill="auto" w:val="clear"/>
            <w:vAlign w:val="bottom"/>
          </w:tcPr>
          <w:p>
            <w:pPr>
              <w:pStyle w:val="TableContents"/>
              <w:spacing w:before="0" w:after="0"/>
              <w:ind w:left="0" w:right="0" w:hanging="0"/>
              <w:rPr/>
            </w:pPr>
            <w:r>
              <w:rPr/>
              <w:t> </w:t>
            </w:r>
          </w:p>
        </w:tc>
        <w:tc>
          <w:tcPr>
            <w:tcW w:w="7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173" w:type="dxa"/>
            <w:tcBorders/>
            <w:shd w:fill="auto" w:val="clear"/>
            <w:vAlign w:val="bottom"/>
          </w:tcPr>
          <w:p>
            <w:pPr>
              <w:pStyle w:val="TableContents"/>
              <w:spacing w:before="0" w:after="0"/>
              <w:ind w:left="0" w:right="0" w:hanging="0"/>
              <w:rPr/>
            </w:pPr>
            <w:r>
              <w:rPr/>
              <w:t> </w:t>
            </w:r>
          </w:p>
        </w:tc>
        <w:tc>
          <w:tcPr>
            <w:tcW w:w="7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11" w:type="dxa"/>
            <w:tcBorders/>
            <w:shd w:fill="auto" w:val="clear"/>
            <w:vAlign w:val="bottom"/>
          </w:tcPr>
          <w:p>
            <w:pPr>
              <w:pStyle w:val="TableContents"/>
              <w:spacing w:before="0" w:after="0"/>
              <w:ind w:left="0" w:right="0" w:hanging="0"/>
              <w:rPr/>
            </w:pPr>
            <w:r>
              <w:rPr/>
              <w:t> </w:t>
            </w:r>
          </w:p>
        </w:tc>
      </w:tr>
      <w:tr>
        <w:trPr/>
        <w:tc>
          <w:tcPr>
            <w:tcW w:w="31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EBIT </w:t>
            </w:r>
          </w:p>
        </w:tc>
        <w:tc>
          <w:tcPr>
            <w:tcW w:w="173" w:type="dxa"/>
            <w:tcBorders/>
            <w:shd w:fill="CCEEFF" w:val="clear"/>
            <w:vAlign w:val="bottom"/>
          </w:tcPr>
          <w:p>
            <w:pPr>
              <w:pStyle w:val="TableContents"/>
              <w:spacing w:before="0" w:after="0"/>
              <w:ind w:left="0" w:right="0" w:hanging="0"/>
              <w:rPr/>
            </w:pPr>
            <w:r>
              <w:rPr/>
              <w:t> </w:t>
            </w:r>
          </w:p>
        </w:tc>
        <w:tc>
          <w:tcPr>
            <w:tcW w:w="7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341</w:t>
            </w:r>
          </w:p>
        </w:tc>
        <w:tc>
          <w:tcPr>
            <w:tcW w:w="178" w:type="dxa"/>
            <w:tcBorders/>
            <w:shd w:fill="CCEEFF" w:val="clear"/>
            <w:vAlign w:val="bottom"/>
          </w:tcPr>
          <w:p>
            <w:pPr>
              <w:pStyle w:val="TableContents"/>
              <w:spacing w:before="0" w:after="0"/>
              <w:ind w:left="0" w:right="0" w:hanging="0"/>
              <w:rPr/>
            </w:pPr>
            <w:r>
              <w:rPr/>
              <w:t> </w:t>
            </w:r>
          </w:p>
        </w:tc>
        <w:tc>
          <w:tcPr>
            <w:tcW w:w="7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384</w:t>
            </w:r>
          </w:p>
        </w:tc>
        <w:tc>
          <w:tcPr>
            <w:tcW w:w="173" w:type="dxa"/>
            <w:tcBorders/>
            <w:shd w:fill="CCEEFF" w:val="clear"/>
            <w:vAlign w:val="bottom"/>
          </w:tcPr>
          <w:p>
            <w:pPr>
              <w:pStyle w:val="TableContents"/>
              <w:spacing w:before="0" w:after="0"/>
              <w:ind w:left="0" w:right="0" w:hanging="0"/>
              <w:rPr/>
            </w:pPr>
            <w:r>
              <w:rPr/>
              <w:t> </w:t>
            </w:r>
          </w:p>
        </w:tc>
        <w:tc>
          <w:tcPr>
            <w:tcW w:w="7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656</w:t>
            </w:r>
          </w:p>
        </w:tc>
        <w:tc>
          <w:tcPr>
            <w:tcW w:w="178" w:type="dxa"/>
            <w:tcBorders/>
            <w:shd w:fill="CCEEFF" w:val="clear"/>
            <w:vAlign w:val="bottom"/>
          </w:tcPr>
          <w:p>
            <w:pPr>
              <w:pStyle w:val="TableContents"/>
              <w:spacing w:before="0" w:after="0"/>
              <w:ind w:left="0" w:right="0" w:hanging="0"/>
              <w:rPr/>
            </w:pPr>
            <w:r>
              <w:rPr/>
              <w:t> </w:t>
            </w:r>
          </w:p>
        </w:tc>
        <w:tc>
          <w:tcPr>
            <w:tcW w:w="73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743</w:t>
            </w:r>
          </w:p>
        </w:tc>
        <w:tc>
          <w:tcPr>
            <w:tcW w:w="172" w:type="dxa"/>
            <w:tcBorders/>
            <w:shd w:fill="CCEEFF" w:val="clear"/>
            <w:vAlign w:val="bottom"/>
          </w:tcPr>
          <w:p>
            <w:pPr>
              <w:pStyle w:val="TableContents"/>
              <w:spacing w:before="0" w:after="0"/>
              <w:ind w:left="0" w:right="0" w:hanging="0"/>
              <w:rPr/>
            </w:pPr>
            <w:r>
              <w:rPr/>
              <w:t> </w:t>
            </w:r>
          </w:p>
        </w:tc>
        <w:tc>
          <w:tcPr>
            <w:tcW w:w="7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1,319</w:t>
            </w:r>
          </w:p>
        </w:tc>
        <w:tc>
          <w:tcPr>
            <w:tcW w:w="173" w:type="dxa"/>
            <w:tcBorders/>
            <w:shd w:fill="CCEEFF" w:val="clear"/>
            <w:vAlign w:val="bottom"/>
          </w:tcPr>
          <w:p>
            <w:pPr>
              <w:pStyle w:val="TableContents"/>
              <w:spacing w:before="0" w:after="0"/>
              <w:ind w:left="0" w:right="0" w:hanging="0"/>
              <w:rPr/>
            </w:pPr>
            <w:r>
              <w:rPr/>
              <w:t> </w:t>
            </w:r>
          </w:p>
        </w:tc>
        <w:tc>
          <w:tcPr>
            <w:tcW w:w="7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1,449</w:t>
            </w:r>
          </w:p>
        </w:tc>
        <w:tc>
          <w:tcPr>
            <w:tcW w:w="111" w:type="dxa"/>
            <w:tcBorders/>
            <w:shd w:fill="CCEEFF" w:val="clear"/>
            <w:vAlign w:val="bottom"/>
          </w:tcPr>
          <w:p>
            <w:pPr>
              <w:pStyle w:val="TableContents"/>
              <w:spacing w:before="0" w:after="0"/>
              <w:ind w:left="0" w:right="0" w:hanging="0"/>
              <w:rPr/>
            </w:pPr>
            <w:r>
              <w:rPr/>
              <w:t> </w:t>
            </w:r>
          </w:p>
        </w:tc>
      </w:tr>
      <w:tr>
        <w:trPr/>
        <w:tc>
          <w:tcPr>
            <w:tcW w:w="317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Depreciation and amortization </w:t>
            </w:r>
          </w:p>
        </w:tc>
        <w:tc>
          <w:tcPr>
            <w:tcW w:w="173" w:type="dxa"/>
            <w:tcBorders/>
            <w:shd w:fill="auto" w:val="clear"/>
            <w:vAlign w:val="bottom"/>
          </w:tcPr>
          <w:p>
            <w:pPr>
              <w:pStyle w:val="TableContents"/>
              <w:spacing w:before="0" w:after="0"/>
              <w:ind w:left="0" w:right="0" w:hanging="0"/>
              <w:rPr/>
            </w:pPr>
            <w:r>
              <w:rPr/>
              <w:t> </w:t>
            </w:r>
          </w:p>
        </w:tc>
        <w:tc>
          <w:tcPr>
            <w:tcW w:w="73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178" w:type="dxa"/>
            <w:tcBorders/>
            <w:shd w:fill="auto" w:val="clear"/>
            <w:vAlign w:val="bottom"/>
          </w:tcPr>
          <w:p>
            <w:pPr>
              <w:pStyle w:val="TableContents"/>
              <w:spacing w:before="0" w:after="0"/>
              <w:ind w:left="0" w:right="0" w:hanging="0"/>
              <w:rPr/>
            </w:pPr>
            <w:r>
              <w:rPr/>
              <w:t> </w:t>
            </w:r>
          </w:p>
        </w:tc>
        <w:tc>
          <w:tcPr>
            <w:tcW w:w="7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173" w:type="dxa"/>
            <w:tcBorders/>
            <w:shd w:fill="auto" w:val="clear"/>
            <w:vAlign w:val="bottom"/>
          </w:tcPr>
          <w:p>
            <w:pPr>
              <w:pStyle w:val="TableContents"/>
              <w:spacing w:before="0" w:after="0"/>
              <w:ind w:left="0" w:right="0" w:hanging="0"/>
              <w:rPr/>
            </w:pPr>
            <w:r>
              <w:rPr/>
              <w:t> </w:t>
            </w:r>
          </w:p>
        </w:tc>
        <w:tc>
          <w:tcPr>
            <w:tcW w:w="73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w:t>
            </w:r>
          </w:p>
        </w:tc>
        <w:tc>
          <w:tcPr>
            <w:tcW w:w="178" w:type="dxa"/>
            <w:tcBorders/>
            <w:shd w:fill="auto" w:val="clear"/>
            <w:vAlign w:val="bottom"/>
          </w:tcPr>
          <w:p>
            <w:pPr>
              <w:pStyle w:val="TableContents"/>
              <w:spacing w:before="0" w:after="0"/>
              <w:ind w:left="0" w:right="0" w:hanging="0"/>
              <w:rPr/>
            </w:pPr>
            <w:r>
              <w:rPr/>
              <w:t> </w:t>
            </w:r>
          </w:p>
        </w:tc>
        <w:tc>
          <w:tcPr>
            <w:tcW w:w="73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172" w:type="dxa"/>
            <w:tcBorders/>
            <w:shd w:fill="auto" w:val="clear"/>
            <w:vAlign w:val="bottom"/>
          </w:tcPr>
          <w:p>
            <w:pPr>
              <w:pStyle w:val="TableContents"/>
              <w:spacing w:before="0" w:after="0"/>
              <w:ind w:left="0" w:right="0" w:hanging="0"/>
              <w:rPr/>
            </w:pPr>
            <w:r>
              <w:rPr/>
              <w:t> </w:t>
            </w:r>
          </w:p>
        </w:tc>
        <w:tc>
          <w:tcPr>
            <w:tcW w:w="7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w:t>
            </w:r>
          </w:p>
        </w:tc>
        <w:tc>
          <w:tcPr>
            <w:tcW w:w="173" w:type="dxa"/>
            <w:tcBorders/>
            <w:shd w:fill="auto" w:val="clear"/>
            <w:vAlign w:val="bottom"/>
          </w:tcPr>
          <w:p>
            <w:pPr>
              <w:pStyle w:val="TableContents"/>
              <w:spacing w:before="0" w:after="0"/>
              <w:ind w:left="0" w:right="0" w:hanging="0"/>
              <w:rPr/>
            </w:pPr>
            <w:r>
              <w:rPr/>
              <w:t> </w:t>
            </w:r>
          </w:p>
        </w:tc>
        <w:tc>
          <w:tcPr>
            <w:tcW w:w="75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w:t>
            </w:r>
          </w:p>
        </w:tc>
        <w:tc>
          <w:tcPr>
            <w:tcW w:w="111" w:type="dxa"/>
            <w:tcBorders/>
            <w:shd w:fill="auto" w:val="clear"/>
            <w:vAlign w:val="bottom"/>
          </w:tcPr>
          <w:p>
            <w:pPr>
              <w:pStyle w:val="TableContents"/>
              <w:spacing w:before="0" w:after="0"/>
              <w:ind w:left="0" w:right="0" w:hanging="0"/>
              <w:rPr/>
            </w:pPr>
            <w:r>
              <w:rPr/>
              <w:t> </w:t>
            </w:r>
          </w:p>
        </w:tc>
      </w:tr>
      <w:tr>
        <w:trPr/>
        <w:tc>
          <w:tcPr>
            <w:tcW w:w="317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EBITDA </w:t>
            </w:r>
          </w:p>
        </w:tc>
        <w:tc>
          <w:tcPr>
            <w:tcW w:w="173"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416</w:t>
            </w:r>
          </w:p>
        </w:tc>
        <w:tc>
          <w:tcPr>
            <w:tcW w:w="178"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456</w:t>
            </w:r>
          </w:p>
        </w:tc>
        <w:tc>
          <w:tcPr>
            <w:tcW w:w="173"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808</w:t>
            </w:r>
          </w:p>
        </w:tc>
        <w:tc>
          <w:tcPr>
            <w:tcW w:w="178"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59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888</w:t>
            </w:r>
          </w:p>
        </w:tc>
        <w:tc>
          <w:tcPr>
            <w:tcW w:w="172"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1,606</w:t>
            </w:r>
          </w:p>
        </w:tc>
        <w:tc>
          <w:tcPr>
            <w:tcW w:w="173"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3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1,726</w:t>
            </w:r>
          </w:p>
        </w:tc>
        <w:tc>
          <w:tcPr>
            <w:tcW w:w="11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8" w:name="PB_8_203547_7056"/>
      <w:bookmarkEnd w:id="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Forward-Looking Statements and Associated Risks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 most important of these factors include, but are not limited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failure to integrate the BP NGL acquisition;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failure to implement or capitalize on planned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maintenance of our credit rating and ability to receive open credit from our suppliers and trade counterparties;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continued creditworthiness of, and performance by, our counterparties, including financial institutions and trading companies with which we do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effectiveness of our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unanticipated changes in crude oil market structure, grade differentials and volatility (or lack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environmental liabilities or events that are not covered by an indemnity, insurance or existing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abrupt or severe declines or interruptions in outer continental shelf production located offshore California and transported on our pipeline systems;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shortages or cost increases of supplies, materials or labor;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and our ability to consummate, acquisition or combination opportunities;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ability to obtain debt or equity financing on satisfactory terms to fund additional acquisitions, expansion projects, working capital requirements and the repayment or refinancing of indebtedness;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successful integration and future performance of acquired assets or businesses and the risks associated with operating in lines of business that are distinct and separate from our historical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impact of current and future laws, rulings, governmental regulations, accounting standards and statements and related interpretations;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effects of competition;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interruptions in service on third-party pipelines;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costs or lack of availability of insurance;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the debt and equity markets, including the price of our units at the time of vesting under our long-term incentive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currency exchange rate of the Canadian dollar;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weather interference with business operations or project construction;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9" w:name="PB_9_203616_5335"/>
      <w:bookmarkEnd w:id="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risks related to the development and operation of natural gas storage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factors affecting demand for natural gas and natural gas storage services and rates;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general economic, market or business conditions and the amplification of other risks caused by volatile financial markets, capital constraints and pervasive liquidity concerns;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10" w:name="PB_10_203625_5796"/>
      <w:bookmarkEnd w:id="1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741"/>
        <w:gridCol w:w="412"/>
        <w:gridCol w:w="618"/>
        <w:gridCol w:w="4434"/>
      </w:tblGrid>
      <w:tr>
        <w:trPr/>
        <w:tc>
          <w:tcPr>
            <w:tcW w:w="4741" w:type="dxa"/>
            <w:tcBorders/>
            <w:shd w:fill="auto" w:val="clear"/>
          </w:tcPr>
          <w:p>
            <w:pPr>
              <w:pStyle w:val="TableContents"/>
              <w:spacing w:before="0" w:after="0"/>
              <w:ind w:left="0" w:right="0" w:hanging="0"/>
              <w:rPr/>
            </w:pPr>
            <w:r>
              <w:rPr/>
              <w:t> </w:t>
            </w:r>
          </w:p>
        </w:tc>
        <w:tc>
          <w:tcPr>
            <w:tcW w:w="5464"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4741"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4741"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505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4741"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4741"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505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 P., its sole member</w:t>
            </w:r>
          </w:p>
        </w:tc>
      </w:tr>
      <w:tr>
        <w:trPr/>
        <w:tc>
          <w:tcPr>
            <w:tcW w:w="4741"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4741"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505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4741"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47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May 7, 2012</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5052"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Charles Kingswell-Smith</w:t>
            </w:r>
          </w:p>
        </w:tc>
      </w:tr>
      <w:tr>
        <w:trPr/>
        <w:tc>
          <w:tcPr>
            <w:tcW w:w="4741"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34" w:type="dxa"/>
            <w:tcBorders>
              <w:top w:val="single" w:sz="8" w:space="0" w:color="000000"/>
            </w:tcBorders>
            <w:shd w:fill="auto"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Charles Kingswell-Smith</w:t>
            </w:r>
          </w:p>
        </w:tc>
      </w:tr>
      <w:tr>
        <w:trPr/>
        <w:tc>
          <w:tcPr>
            <w:tcW w:w="4741"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34"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Vice President and Treasurer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11" w:name="PB_11_203842_2897"/>
      <w:bookmarkEnd w:id="11"/>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12" w:name="a12-10982_1ex99d1.htm"/>
      <w:bookmarkStart w:id="13" w:name="ksa1210982_1ex99d1"/>
      <w:bookmarkEnd w:id="12"/>
      <w:bookmarkEnd w:id="13"/>
      <w:r>
        <w:rPr>
          <w:rFonts w:ascii="Times New Roman" w:hAnsi="Times New Roman"/>
          <w:b/>
          <w:sz w:val="17"/>
        </w:rPr>
        <w:t>Exhibit 99.1</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drawing>
                <wp:inline distT="0" distB="0" distL="0" distR="0">
                  <wp:extent cx="2590800"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90800" cy="876300"/>
                          </a:xfrm>
                          <a:prstGeom prst="rect">
                            <a:avLst/>
                          </a:prstGeom>
                        </pic:spPr>
                      </pic:pic>
                    </a:graphicData>
                  </a:graphic>
                </wp:inline>
              </w:drawing>
            </w:r>
          </w:p>
        </w:tc>
        <w:tc>
          <w:tcPr>
            <w:tcW w:w="5103" w:type="dxa"/>
            <w:tcBorders/>
            <w:shd w:fill="auto" w:val="clear"/>
            <w:vAlign w:val="bottom"/>
          </w:tcPr>
          <w:p>
            <w:pPr>
              <w:pStyle w:val="TableContents"/>
              <w:spacing w:before="0" w:after="0"/>
              <w:ind w:left="0" w:right="0" w:hanging="0"/>
              <w:jc w:val="right"/>
              <w:rPr/>
            </w:pPr>
            <w:r>
              <w:rPr/>
              <w:drawing>
                <wp:inline distT="0" distB="0" distL="0" distR="0">
                  <wp:extent cx="2819400" cy="876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19400" cy="876300"/>
                          </a:xfrm>
                          <a:prstGeom prst="rect">
                            <a:avLst/>
                          </a:prstGeom>
                        </pic:spPr>
                      </pic:pic>
                    </a:graphicData>
                  </a:graphic>
                </wp:inline>
              </w:drawing>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FOR IMMEDIATE RELEASE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Reports</w:t>
      </w:r>
    </w:p>
    <w:p>
      <w:pPr>
        <w:pStyle w:val="TextBody"/>
        <w:spacing w:before="0" w:after="0"/>
        <w:ind w:left="0" w:right="0" w:hanging="0"/>
        <w:jc w:val="center"/>
        <w:rPr>
          <w:rFonts w:ascii="Times New Roman" w:hAnsi="Times New Roman"/>
          <w:b/>
          <w:sz w:val="17"/>
        </w:rPr>
      </w:pPr>
      <w:r>
        <w:rPr>
          <w:rFonts w:ascii="Times New Roman" w:hAnsi="Times New Roman"/>
          <w:b/>
          <w:sz w:val="17"/>
        </w:rPr>
        <w:t>Strong First-Quarter 2012 Results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(Houston  May 7, 2012) Plains All American Pipeline, L.P. (NYSE: PAA) today reported net income attributable to Plains of $230 million, or $1.02 per diluted limited partner unit, for the first quarter of 2012 as compared to net income attributable to Plains for the first quarter of 2011 of $182 million, or $0.90 per diluted limited partner unit. The Partnership reported earnings before interest, taxes, depreciation and amortization (EBITDA) of $382 million for the first quarter of 2012, compared with reported EBITDA of $326 million for the first quarter of 2011.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reported results include the impact of items that affect comparability between reporting periods. The impact of these items is excluded from adjusted results, as detailed in the table below. Accordingly, the Partnerships first-quarter 2012 adjusted net income attributable to Plains, adjusted net income per diluted limited partner unit and adjusted EBITDA were $320 million, $1.58 and $472 million, respectively.  The comparable amounts for the first quarter of 2011 were $202 million, $1.03 and $348 million. (See the section of this release entitled Non-GAAP Financial Measures and the attached tables for discussion of EBITDA and other non-GAAP financial measures and reconciliations of such measures to the comparable GAAP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PAA delivered strong first-quarter results, underpinned by above-forecast performance from each of our segments, said Greg L. Armstrong, Chairman and CEO of Plains All American.  Adjusted EBITDA of $472 million surpassed the mid-point of our guidance by 18% driven by higher than forecasted pipeline volumes and solid execution during favorable market conditions.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also increased our targeted 2012 organic growth capital program by $150 million to $1 billion and raised the mid-point of our annual Adjusted EBITDA guidance by $150 million, incorporating our strong first-quarter performance and our enhanced outlook for the remainder of the year.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Armstrong added, PAA ended the quarter with a strong balance sheet and comfortably within our targeted credit metrics.  On March 31, we had cash on hand to fully prefund the acquisition of the $1.67 billion Canadian NGL business from BP, which closed immediately following the end of the quarter.  Following the close of this large transaction, PAA maintained approximately $2.5 billion of committed liquidity.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Armstrong also noted that with the distribution payable next week, PAA will have increased its year-over-year limited partner distributions by 7.7%, and remains on target to deliver 8-9% year-over-year distribution growth for 2012.</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2</w:t>
      </w:r>
      <w:bookmarkStart w:id="14" w:name="PB_2_125209_7056"/>
      <w:bookmarkEnd w:id="14"/>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selected items that the Partnership believes impact comparability of financial results between reporting periods (amounts in millions, except per unit amounts):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6995"/>
        <w:gridCol w:w="205"/>
        <w:gridCol w:w="126"/>
        <w:gridCol w:w="1067"/>
        <w:gridCol w:w="213"/>
        <w:gridCol w:w="126"/>
        <w:gridCol w:w="1068"/>
        <w:gridCol w:w="405"/>
      </w:tblGrid>
      <w:tr>
        <w:trPr/>
        <w:tc>
          <w:tcPr>
            <w:tcW w:w="6995"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60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405" w:type="dxa"/>
            <w:tcBorders/>
            <w:shd w:fill="auto" w:val="clear"/>
            <w:vAlign w:val="bottom"/>
          </w:tcPr>
          <w:p>
            <w:pPr>
              <w:pStyle w:val="TableContents"/>
              <w:spacing w:before="0" w:after="0"/>
              <w:ind w:left="0" w:right="0" w:hanging="0"/>
              <w:jc w:val="center"/>
              <w:rPr/>
            </w:pPr>
            <w:r>
              <w:rPr/>
              <w:t> </w:t>
            </w:r>
          </w:p>
        </w:tc>
      </w:tr>
      <w:tr>
        <w:trPr/>
        <w:tc>
          <w:tcPr>
            <w:tcW w:w="6995"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260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405" w:type="dxa"/>
            <w:tcBorders/>
            <w:shd w:fill="auto" w:val="clear"/>
            <w:vAlign w:val="bottom"/>
          </w:tcPr>
          <w:p>
            <w:pPr>
              <w:pStyle w:val="TableContents"/>
              <w:spacing w:before="0" w:after="0"/>
              <w:ind w:left="0" w:right="0" w:hanging="0"/>
              <w:jc w:val="center"/>
              <w:rPr/>
            </w:pPr>
            <w:r>
              <w:rPr/>
              <w:t> </w:t>
            </w:r>
          </w:p>
        </w:tc>
      </w:tr>
      <w:tr>
        <w:trPr/>
        <w:tc>
          <w:tcPr>
            <w:tcW w:w="6995"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119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3" w:type="dxa"/>
            <w:tcBorders/>
            <w:shd w:fill="auto" w:val="clear"/>
            <w:vAlign w:val="bottom"/>
          </w:tcPr>
          <w:p>
            <w:pPr>
              <w:pStyle w:val="TableContents"/>
              <w:spacing w:before="0" w:after="0"/>
              <w:ind w:left="0" w:right="0" w:hanging="0"/>
              <w:jc w:val="center"/>
              <w:rPr/>
            </w:pPr>
            <w:r>
              <w:rPr/>
              <w:t> </w:t>
            </w:r>
          </w:p>
        </w:tc>
        <w:tc>
          <w:tcPr>
            <w:tcW w:w="119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405" w:type="dxa"/>
            <w:tcBorders/>
            <w:shd w:fill="auto" w:val="clear"/>
            <w:vAlign w:val="bottom"/>
          </w:tcPr>
          <w:p>
            <w:pPr>
              <w:pStyle w:val="TableContents"/>
              <w:spacing w:before="0" w:after="0"/>
              <w:ind w:left="0" w:right="0" w:hanging="0"/>
              <w:jc w:val="center"/>
              <w:rPr/>
            </w:pPr>
            <w:r>
              <w:rPr/>
              <w:t> </w:t>
            </w:r>
          </w:p>
        </w:tc>
      </w:tr>
      <w:tr>
        <w:trPr/>
        <w:tc>
          <w:tcPr>
            <w:tcW w:w="6995" w:type="dxa"/>
            <w:tcBorders/>
            <w:shd w:fill="CCEEFF" w:val="clear"/>
            <w:vAlign w:val="center"/>
          </w:tcPr>
          <w:p>
            <w:pPr>
              <w:pStyle w:val="TableContents"/>
              <w:spacing w:before="0" w:after="0"/>
              <w:ind w:left="0" w:right="0" w:hanging="0"/>
              <w:rPr/>
            </w:pPr>
            <w:r>
              <w:rPr>
                <w:rFonts w:ascii="Times New Roman" w:hAnsi="Times New Roman"/>
                <w:b/>
                <w:sz w:val="17"/>
              </w:rPr>
              <w:t xml:space="preserve">Selected Items Impacting Comparability - Income / (Loss) </w:t>
            </w:r>
            <w:r>
              <w:rPr>
                <w:b/>
                <w:sz w:val="11"/>
              </w:rPr>
              <w:t>(1)</w:t>
            </w:r>
            <w:r>
              <w:rPr>
                <w:b/>
                <w:sz w:val="17"/>
              </w:rPr>
              <w:t>:</w:t>
            </w:r>
          </w:p>
        </w:tc>
        <w:tc>
          <w:tcPr>
            <w:tcW w:w="205"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1194" w:type="dxa"/>
            <w:gridSpan w:val="2"/>
            <w:tcBorders/>
            <w:shd w:fill="CCEEFF" w:val="clear"/>
            <w:vAlign w:val="bottom"/>
          </w:tcPr>
          <w:p>
            <w:pPr>
              <w:pStyle w:val="TableContents"/>
              <w:spacing w:before="0" w:after="0"/>
              <w:ind w:left="0" w:right="0" w:hanging="0"/>
              <w:jc w:val="right"/>
              <w:rPr/>
            </w:pPr>
            <w:r>
              <w:rPr/>
              <w:t> </w:t>
            </w:r>
          </w:p>
        </w:tc>
        <w:tc>
          <w:tcPr>
            <w:tcW w:w="405" w:type="dxa"/>
            <w:tcBorders/>
            <w:shd w:fill="CCEEFF" w:val="clear"/>
            <w:vAlign w:val="bottom"/>
          </w:tcPr>
          <w:p>
            <w:pPr>
              <w:pStyle w:val="TableContents"/>
              <w:spacing w:before="0" w:after="0"/>
              <w:ind w:left="0" w:right="0" w:hanging="0"/>
              <w:rPr/>
            </w:pPr>
            <w:r>
              <w:rPr/>
              <w:t> </w:t>
            </w:r>
          </w:p>
        </w:tc>
      </w:tr>
      <w:tr>
        <w:trPr/>
        <w:tc>
          <w:tcPr>
            <w:tcW w:w="699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Gains/(losses) from derivative activities </w:t>
            </w:r>
          </w:p>
        </w:tc>
        <w:tc>
          <w:tcPr>
            <w:tcW w:w="205" w:type="dxa"/>
            <w:tcBorders/>
            <w:shd w:fill="auto" w:val="clear"/>
            <w:vAlign w:val="bottom"/>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405" w:type="dxa"/>
            <w:tcBorders/>
            <w:shd w:fill="auto" w:val="clear"/>
            <w:vAlign w:val="bottom"/>
          </w:tcPr>
          <w:p>
            <w:pPr>
              <w:pStyle w:val="TableContents"/>
              <w:spacing w:before="0" w:after="0"/>
              <w:ind w:left="0" w:right="0" w:hanging="0"/>
              <w:rPr/>
            </w:pPr>
            <w:r>
              <w:rPr/>
              <w:t> </w:t>
            </w:r>
          </w:p>
        </w:tc>
      </w:tr>
      <w:tr>
        <w:trPr/>
        <w:tc>
          <w:tcPr>
            <w:tcW w:w="6995" w:type="dxa"/>
            <w:tcBorders/>
            <w:shd w:fill="CCEEFF" w:val="clear"/>
            <w:vAlign w:val="center"/>
          </w:tcPr>
          <w:p>
            <w:pPr>
              <w:pStyle w:val="TableContents"/>
              <w:spacing w:before="0" w:after="0"/>
              <w:ind w:left="0" w:right="0" w:hanging="0"/>
              <w:rPr/>
            </w:pPr>
            <w:r>
              <w:rPr>
                <w:rFonts w:ascii="Times New Roman" w:hAnsi="Times New Roman"/>
                <w:sz w:val="17"/>
              </w:rPr>
              <w:t xml:space="preserve">Equity compensation expense </w:t>
            </w:r>
            <w:r>
              <w:rPr>
                <w:sz w:val="11"/>
              </w:rPr>
              <w:t>(2)</w:t>
            </w:r>
          </w:p>
        </w:tc>
        <w:tc>
          <w:tcPr>
            <w:tcW w:w="205"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4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99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loss on early repayment of senior notes</w:t>
            </w:r>
          </w:p>
        </w:tc>
        <w:tc>
          <w:tcPr>
            <w:tcW w:w="205"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3" w:type="dxa"/>
            <w:tcBorders/>
            <w:shd w:fill="auto" w:val="clear"/>
            <w:vAlign w:val="bottom"/>
          </w:tcPr>
          <w:p>
            <w:pPr>
              <w:pStyle w:val="TableContents"/>
              <w:spacing w:before="0" w:after="0"/>
              <w:ind w:left="0" w:right="0" w:hanging="0"/>
              <w:rPr/>
            </w:pPr>
            <w:r>
              <w:rPr/>
              <w:t> </w:t>
            </w:r>
          </w:p>
        </w:tc>
        <w:tc>
          <w:tcPr>
            <w:tcW w:w="119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4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99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Significant acquisition-related expenses</w:t>
            </w:r>
          </w:p>
        </w:tc>
        <w:tc>
          <w:tcPr>
            <w:tcW w:w="205"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4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995" w:type="dxa"/>
            <w:tcBorders/>
            <w:shd w:fill="auto" w:val="clear"/>
            <w:vAlign w:val="center"/>
          </w:tcPr>
          <w:p>
            <w:pPr>
              <w:pStyle w:val="TableContents"/>
              <w:spacing w:before="0" w:after="0"/>
              <w:ind w:left="0" w:right="0" w:hanging="0"/>
              <w:rPr/>
            </w:pPr>
            <w:r>
              <w:rPr>
                <w:rFonts w:ascii="Times New Roman" w:hAnsi="Times New Roman"/>
                <w:sz w:val="17"/>
              </w:rPr>
              <w:t xml:space="preserve">Other </w:t>
            </w:r>
            <w:r>
              <w:rPr>
                <w:sz w:val="11"/>
              </w:rPr>
              <w:t>(3)</w:t>
            </w:r>
          </w:p>
        </w:tc>
        <w:tc>
          <w:tcPr>
            <w:tcW w:w="205" w:type="dxa"/>
            <w:tcBorders/>
            <w:shd w:fill="auto" w:val="clear"/>
            <w:vAlign w:val="bottom"/>
          </w:tcPr>
          <w:p>
            <w:pPr>
              <w:pStyle w:val="TableContents"/>
              <w:spacing w:before="0" w:after="0"/>
              <w:ind w:left="0" w:right="0" w:hanging="0"/>
              <w:rPr/>
            </w:pPr>
            <w:r>
              <w:rPr/>
              <w:t> </w:t>
            </w:r>
          </w:p>
        </w:tc>
        <w:tc>
          <w:tcPr>
            <w:tcW w:w="11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405" w:type="dxa"/>
            <w:tcBorders/>
            <w:shd w:fill="auto" w:val="clear"/>
            <w:vAlign w:val="bottom"/>
          </w:tcPr>
          <w:p>
            <w:pPr>
              <w:pStyle w:val="TableContents"/>
              <w:spacing w:before="0" w:after="0"/>
              <w:ind w:left="0" w:right="0" w:hanging="0"/>
              <w:rPr/>
            </w:pPr>
            <w:r>
              <w:rPr/>
              <w:t> </w:t>
            </w:r>
          </w:p>
        </w:tc>
      </w:tr>
      <w:tr>
        <w:trPr/>
        <w:tc>
          <w:tcPr>
            <w:tcW w:w="699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net income attributable to Plains</w:t>
            </w:r>
          </w:p>
        </w:tc>
        <w:tc>
          <w:tcPr>
            <w:tcW w:w="205" w:type="dxa"/>
            <w:tcBorders/>
            <w:shd w:fill="CCEEFF" w:val="clear"/>
            <w:vAlign w:val="bottom"/>
          </w:tcPr>
          <w:p>
            <w:pPr>
              <w:pStyle w:val="TableContents"/>
              <w:spacing w:before="0" w:after="0"/>
              <w:ind w:left="0" w:right="0" w:hanging="0"/>
              <w:rPr/>
            </w:pPr>
            <w:r>
              <w:rPr/>
              <w:t> </w:t>
            </w:r>
          </w:p>
        </w:tc>
        <w:tc>
          <w:tcPr>
            <w:tcW w:w="119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4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99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Less: GP 2% portion of selected items impacting comparability</w:t>
            </w:r>
          </w:p>
        </w:tc>
        <w:tc>
          <w:tcPr>
            <w:tcW w:w="205" w:type="dxa"/>
            <w:tcBorders/>
            <w:shd w:fill="auto" w:val="clear"/>
            <w:vAlign w:val="bottom"/>
          </w:tcPr>
          <w:p>
            <w:pPr>
              <w:pStyle w:val="TableContents"/>
              <w:spacing w:before="0" w:after="0"/>
              <w:ind w:left="0" w:right="0" w:hanging="0"/>
              <w:rPr/>
            </w:pPr>
            <w:r>
              <w:rPr/>
              <w:t> </w:t>
            </w:r>
          </w:p>
        </w:tc>
        <w:tc>
          <w:tcPr>
            <w:tcW w:w="119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3" w:type="dxa"/>
            <w:tcBorders/>
            <w:shd w:fill="auto" w:val="clear"/>
            <w:vAlign w:val="bottom"/>
          </w:tcPr>
          <w:p>
            <w:pPr>
              <w:pStyle w:val="TableContents"/>
              <w:spacing w:before="0" w:after="0"/>
              <w:ind w:left="0" w:right="0" w:hanging="0"/>
              <w:rPr/>
            </w:pPr>
            <w:r>
              <w:rPr/>
              <w:t> </w:t>
            </w:r>
          </w:p>
        </w:tc>
        <w:tc>
          <w:tcPr>
            <w:tcW w:w="119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405" w:type="dxa"/>
            <w:tcBorders/>
            <w:shd w:fill="auto" w:val="clear"/>
            <w:vAlign w:val="bottom"/>
          </w:tcPr>
          <w:p>
            <w:pPr>
              <w:pStyle w:val="TableContents"/>
              <w:spacing w:before="0" w:after="0"/>
              <w:ind w:left="0" w:right="0" w:hanging="0"/>
              <w:rPr/>
            </w:pPr>
            <w:r>
              <w:rPr/>
              <w:t> </w:t>
            </w:r>
          </w:p>
        </w:tc>
      </w:tr>
      <w:tr>
        <w:trPr/>
        <w:tc>
          <w:tcPr>
            <w:tcW w:w="699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LP 98% portion of selected items impacting comparability</w:t>
            </w:r>
          </w:p>
        </w:tc>
        <w:tc>
          <w:tcPr>
            <w:tcW w:w="205"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4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995" w:type="dxa"/>
            <w:tcBorders/>
            <w:shd w:fill="auto" w:val="clear"/>
            <w:vAlign w:val="cente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1193"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1194" w:type="dxa"/>
            <w:gridSpan w:val="2"/>
            <w:tcBorders/>
            <w:shd w:fill="auto" w:val="clear"/>
            <w:vAlign w:val="bottom"/>
          </w:tcPr>
          <w:p>
            <w:pPr>
              <w:pStyle w:val="TableContents"/>
              <w:spacing w:before="0" w:after="0"/>
              <w:ind w:left="0" w:right="0" w:hanging="0"/>
              <w:jc w:val="right"/>
              <w:rPr/>
            </w:pPr>
            <w:r>
              <w:rPr/>
              <w:t> </w:t>
            </w:r>
          </w:p>
        </w:tc>
        <w:tc>
          <w:tcPr>
            <w:tcW w:w="405" w:type="dxa"/>
            <w:tcBorders/>
            <w:shd w:fill="auto" w:val="clear"/>
            <w:vAlign w:val="bottom"/>
          </w:tcPr>
          <w:p>
            <w:pPr>
              <w:pStyle w:val="TableContents"/>
              <w:spacing w:before="0" w:after="0"/>
              <w:ind w:left="0" w:right="0" w:hanging="0"/>
              <w:rPr/>
            </w:pPr>
            <w:r>
              <w:rPr/>
              <w:t> </w:t>
            </w:r>
          </w:p>
        </w:tc>
      </w:tr>
      <w:tr>
        <w:trPr/>
        <w:tc>
          <w:tcPr>
            <w:tcW w:w="699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Impact to basic net income per limited partner unit </w:t>
            </w:r>
          </w:p>
        </w:tc>
        <w:tc>
          <w:tcPr>
            <w:tcW w:w="205" w:type="dxa"/>
            <w:tcBorders/>
            <w:shd w:fill="CCEEFF" w:val="clear"/>
            <w:vAlign w:val="bottom"/>
          </w:tcPr>
          <w:p>
            <w:pPr>
              <w:pStyle w:val="TableContents"/>
              <w:spacing w:before="0" w:after="0"/>
              <w:ind w:left="0" w:right="0" w:hanging="0"/>
              <w:rPr/>
            </w:pPr>
            <w:r>
              <w:rPr/>
              <w:t> </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(0.56</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(0.14</w:t>
            </w:r>
          </w:p>
        </w:tc>
        <w:tc>
          <w:tcPr>
            <w:tcW w:w="4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99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Impact to diluted net income per limited partner unit </w:t>
            </w:r>
          </w:p>
        </w:tc>
        <w:tc>
          <w:tcPr>
            <w:tcW w:w="205" w:type="dxa"/>
            <w:tcBorders/>
            <w:shd w:fill="auto" w:val="clear"/>
            <w:vAlign w:val="bottom"/>
          </w:tcPr>
          <w:p>
            <w:pPr>
              <w:pStyle w:val="TableContents"/>
              <w:spacing w:before="0" w:after="0"/>
              <w:ind w:left="0" w:right="0" w:hanging="0"/>
              <w:rPr/>
            </w:pPr>
            <w:r>
              <w:rPr/>
              <w:t> </w:t>
            </w:r>
          </w:p>
        </w:tc>
        <w:tc>
          <w:tcPr>
            <w:tcW w:w="1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(0.56</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(0.13</w:t>
            </w:r>
          </w:p>
        </w:tc>
        <w:tc>
          <w:tcPr>
            <w:tcW w:w="4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307"/>
        <w:gridCol w:w="9898"/>
      </w:tblGrid>
      <w:tr>
        <w:trPr/>
        <w:tc>
          <w:tcPr>
            <w:tcW w:w="307"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989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Certain of our non-GAAP financial measures may not be impacted by each of the selected items impacting comparability.</w:t>
            </w:r>
          </w:p>
        </w:tc>
      </w:tr>
      <w:tr>
        <w:trPr/>
        <w:tc>
          <w:tcPr>
            <w:tcW w:w="307"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989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 for the three months ended March 31, 2012 and 2011 excludes the portion of equity compensation expense represented by grants under our Long-term Incentive Plans (LTIPs) that, pursuant to the terms of the grant, will be settled in cash only and have no impact on diluted units.</w:t>
            </w:r>
          </w:p>
        </w:tc>
      </w:tr>
      <w:tr>
        <w:trPr/>
        <w:tc>
          <w:tcPr>
            <w:tcW w:w="307"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989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Includes other immaterial selected items impacting comparability, as well as the noncontrolling interests portion of selected items.</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3</w:t>
      </w:r>
      <w:bookmarkStart w:id="15" w:name="PB_3_125226_5335"/>
      <w:bookmarkEnd w:id="15"/>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tables present certain selected financial information by segment for the first quarter (amounts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488"/>
        <w:gridCol w:w="160"/>
        <w:gridCol w:w="261"/>
        <w:gridCol w:w="995"/>
        <w:gridCol w:w="176"/>
        <w:gridCol w:w="180"/>
        <w:gridCol w:w="782"/>
        <w:gridCol w:w="176"/>
        <w:gridCol w:w="168"/>
        <w:gridCol w:w="888"/>
        <w:gridCol w:w="176"/>
        <w:gridCol w:w="260"/>
        <w:gridCol w:w="995"/>
        <w:gridCol w:w="176"/>
        <w:gridCol w:w="180"/>
        <w:gridCol w:w="782"/>
        <w:gridCol w:w="176"/>
        <w:gridCol w:w="168"/>
        <w:gridCol w:w="888"/>
        <w:gridCol w:w="130"/>
      </w:tblGrid>
      <w:tr>
        <w:trPr/>
        <w:tc>
          <w:tcPr>
            <w:tcW w:w="2488"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jc w:val="center"/>
              <w:rPr/>
            </w:pPr>
            <w:r>
              <w:rPr/>
              <w:t> </w:t>
            </w:r>
          </w:p>
        </w:tc>
        <w:tc>
          <w:tcPr>
            <w:tcW w:w="3626"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76" w:type="dxa"/>
            <w:tcBorders/>
            <w:shd w:fill="auto" w:val="clear"/>
            <w:vAlign w:val="bottom"/>
          </w:tcPr>
          <w:p>
            <w:pPr>
              <w:pStyle w:val="TableContents"/>
              <w:spacing w:before="0" w:after="0"/>
              <w:ind w:left="0" w:right="0" w:hanging="0"/>
              <w:jc w:val="center"/>
              <w:rPr/>
            </w:pPr>
            <w:r>
              <w:rPr/>
              <w:t> </w:t>
            </w:r>
          </w:p>
        </w:tc>
        <w:tc>
          <w:tcPr>
            <w:tcW w:w="3625"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30" w:type="dxa"/>
            <w:tcBorders/>
            <w:shd w:fill="auto" w:val="clear"/>
            <w:vAlign w:val="bottom"/>
          </w:tcPr>
          <w:p>
            <w:pPr>
              <w:pStyle w:val="TableContents"/>
              <w:spacing w:before="0" w:after="0"/>
              <w:ind w:left="0" w:right="0" w:hanging="0"/>
              <w:jc w:val="center"/>
              <w:rPr/>
            </w:pPr>
            <w:r>
              <w:rPr/>
              <w:t> </w:t>
            </w:r>
          </w:p>
        </w:tc>
      </w:tr>
      <w:tr>
        <w:trPr/>
        <w:tc>
          <w:tcPr>
            <w:tcW w:w="2488"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jc w:val="center"/>
              <w:rPr/>
            </w:pPr>
            <w:r>
              <w:rPr/>
              <w:t> </w:t>
            </w:r>
          </w:p>
        </w:tc>
        <w:tc>
          <w:tcPr>
            <w:tcW w:w="3626"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 2012</w:t>
            </w:r>
          </w:p>
        </w:tc>
        <w:tc>
          <w:tcPr>
            <w:tcW w:w="176" w:type="dxa"/>
            <w:tcBorders/>
            <w:shd w:fill="auto" w:val="clear"/>
            <w:vAlign w:val="bottom"/>
          </w:tcPr>
          <w:p>
            <w:pPr>
              <w:pStyle w:val="TableContents"/>
              <w:spacing w:before="0" w:after="0"/>
              <w:ind w:left="0" w:right="0" w:hanging="0"/>
              <w:jc w:val="center"/>
              <w:rPr/>
            </w:pPr>
            <w:r>
              <w:rPr/>
              <w:t> </w:t>
            </w:r>
          </w:p>
        </w:tc>
        <w:tc>
          <w:tcPr>
            <w:tcW w:w="3625"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 2011</w:t>
            </w:r>
          </w:p>
        </w:tc>
        <w:tc>
          <w:tcPr>
            <w:tcW w:w="130" w:type="dxa"/>
            <w:tcBorders/>
            <w:shd w:fill="auto" w:val="clear"/>
            <w:vAlign w:val="bottom"/>
          </w:tcPr>
          <w:p>
            <w:pPr>
              <w:pStyle w:val="TableContents"/>
              <w:spacing w:before="0" w:after="0"/>
              <w:ind w:left="0" w:right="0" w:hanging="0"/>
              <w:jc w:val="center"/>
              <w:rPr/>
            </w:pPr>
            <w:r>
              <w:rPr/>
              <w:t> </w:t>
            </w:r>
          </w:p>
        </w:tc>
      </w:tr>
      <w:tr>
        <w:trPr/>
        <w:tc>
          <w:tcPr>
            <w:tcW w:w="2488"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jc w:val="center"/>
              <w:rPr/>
            </w:pPr>
            <w:r>
              <w:rPr/>
              <w:t> </w:t>
            </w:r>
          </w:p>
        </w:tc>
        <w:tc>
          <w:tcPr>
            <w:tcW w:w="1256" w:type="dxa"/>
            <w:gridSpan w:val="2"/>
            <w:tcBorders/>
            <w:shd w:fill="auto" w:val="clear"/>
            <w:vAlign w:val="bottom"/>
          </w:tcPr>
          <w:p>
            <w:pPr>
              <w:pStyle w:val="TableContents"/>
              <w:spacing w:before="0" w:after="0"/>
              <w:ind w:left="0" w:right="0" w:hanging="0"/>
              <w:jc w:val="center"/>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962" w:type="dxa"/>
            <w:gridSpan w:val="2"/>
            <w:tcBorders/>
            <w:shd w:fill="auto" w:val="clear"/>
            <w:vAlign w:val="bottom"/>
          </w:tcPr>
          <w:p>
            <w:pPr>
              <w:pStyle w:val="TableContents"/>
              <w:spacing w:before="0" w:after="0"/>
              <w:ind w:left="0" w:right="0" w:hanging="0"/>
              <w:jc w:val="center"/>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105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r>
          </w:p>
        </w:tc>
        <w:tc>
          <w:tcPr>
            <w:tcW w:w="176" w:type="dxa"/>
            <w:tcBorders/>
            <w:shd w:fill="auto" w:val="clear"/>
            <w:vAlign w:val="bottom"/>
          </w:tcPr>
          <w:p>
            <w:pPr>
              <w:pStyle w:val="TableContents"/>
              <w:spacing w:before="0" w:after="0"/>
              <w:ind w:left="0" w:right="0" w:hanging="0"/>
              <w:jc w:val="center"/>
              <w:rPr/>
            </w:pPr>
            <w:r>
              <w:rPr/>
              <w:t> </w:t>
            </w:r>
          </w:p>
        </w:tc>
        <w:tc>
          <w:tcPr>
            <w:tcW w:w="1255" w:type="dxa"/>
            <w:gridSpan w:val="2"/>
            <w:tcBorders/>
            <w:shd w:fill="auto" w:val="clear"/>
            <w:vAlign w:val="bottom"/>
          </w:tcPr>
          <w:p>
            <w:pPr>
              <w:pStyle w:val="TableContents"/>
              <w:spacing w:before="0" w:after="0"/>
              <w:ind w:left="0" w:right="0" w:hanging="0"/>
              <w:jc w:val="center"/>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962" w:type="dxa"/>
            <w:gridSpan w:val="2"/>
            <w:tcBorders/>
            <w:shd w:fill="auto" w:val="clear"/>
            <w:vAlign w:val="bottom"/>
          </w:tcPr>
          <w:p>
            <w:pPr>
              <w:pStyle w:val="TableContents"/>
              <w:spacing w:before="0" w:after="0"/>
              <w:ind w:left="0" w:right="0" w:hanging="0"/>
              <w:jc w:val="center"/>
              <w:rPr/>
            </w:pPr>
            <w:r>
              <w:rPr/>
              <w:t> </w:t>
            </w:r>
          </w:p>
        </w:tc>
        <w:tc>
          <w:tcPr>
            <w:tcW w:w="176" w:type="dxa"/>
            <w:tcBorders/>
            <w:shd w:fill="auto" w:val="clear"/>
            <w:vAlign w:val="bottom"/>
          </w:tcPr>
          <w:p>
            <w:pPr>
              <w:pStyle w:val="TableContents"/>
              <w:spacing w:before="0" w:after="0"/>
              <w:ind w:left="0" w:right="0" w:hanging="0"/>
              <w:jc w:val="center"/>
              <w:rPr/>
            </w:pPr>
            <w:r>
              <w:rPr/>
              <w:t> </w:t>
            </w:r>
          </w:p>
        </w:tc>
        <w:tc>
          <w:tcPr>
            <w:tcW w:w="105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r>
          </w:p>
        </w:tc>
        <w:tc>
          <w:tcPr>
            <w:tcW w:w="130" w:type="dxa"/>
            <w:tcBorders/>
            <w:shd w:fill="auto" w:val="clear"/>
            <w:vAlign w:val="bottom"/>
          </w:tcPr>
          <w:p>
            <w:pPr>
              <w:pStyle w:val="TableContents"/>
              <w:spacing w:before="0" w:after="0"/>
              <w:ind w:left="0" w:right="0" w:hanging="0"/>
              <w:jc w:val="center"/>
              <w:rPr/>
            </w:pPr>
            <w:r>
              <w:rPr/>
              <w:t> </w:t>
            </w:r>
          </w:p>
        </w:tc>
      </w:tr>
      <w:tr>
        <w:trPr/>
        <w:tc>
          <w:tcPr>
            <w:tcW w:w="2488"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jc w:val="center"/>
              <w:rPr/>
            </w:pPr>
            <w:r>
              <w:rPr/>
              <w:t> </w:t>
            </w:r>
          </w:p>
        </w:tc>
        <w:tc>
          <w:tcPr>
            <w:tcW w:w="12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6" w:type="dxa"/>
            <w:tcBorders/>
            <w:shd w:fill="auto" w:val="clear"/>
            <w:vAlign w:val="bottom"/>
          </w:tcPr>
          <w:p>
            <w:pPr>
              <w:pStyle w:val="TableContents"/>
              <w:spacing w:before="0" w:after="0"/>
              <w:ind w:left="0" w:right="0" w:hanging="0"/>
              <w:jc w:val="center"/>
              <w:rPr/>
            </w:pPr>
            <w:r>
              <w:rPr/>
              <w:t> </w:t>
            </w:r>
          </w:p>
        </w:tc>
        <w:tc>
          <w:tcPr>
            <w:tcW w:w="9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6" w:type="dxa"/>
            <w:tcBorders/>
            <w:shd w:fill="auto" w:val="clear"/>
            <w:vAlign w:val="bottom"/>
          </w:tcPr>
          <w:p>
            <w:pPr>
              <w:pStyle w:val="TableContents"/>
              <w:spacing w:before="0" w:after="0"/>
              <w:ind w:left="0" w:right="0" w:hanging="0"/>
              <w:jc w:val="center"/>
              <w:rPr/>
            </w:pPr>
            <w:r>
              <w:rPr/>
              <w:t> </w:t>
            </w:r>
          </w:p>
        </w:tc>
        <w:tc>
          <w:tcPr>
            <w:tcW w:w="10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76" w:type="dxa"/>
            <w:tcBorders/>
            <w:shd w:fill="auto" w:val="clear"/>
            <w:vAlign w:val="bottom"/>
          </w:tcPr>
          <w:p>
            <w:pPr>
              <w:pStyle w:val="TableContents"/>
              <w:spacing w:before="0" w:after="0"/>
              <w:ind w:left="0" w:right="0" w:hanging="0"/>
              <w:jc w:val="center"/>
              <w:rPr/>
            </w:pPr>
            <w:r>
              <w:rPr/>
              <w:t> </w:t>
            </w:r>
          </w:p>
        </w:tc>
        <w:tc>
          <w:tcPr>
            <w:tcW w:w="125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6" w:type="dxa"/>
            <w:tcBorders/>
            <w:shd w:fill="auto" w:val="clear"/>
            <w:vAlign w:val="bottom"/>
          </w:tcPr>
          <w:p>
            <w:pPr>
              <w:pStyle w:val="TableContents"/>
              <w:spacing w:before="0" w:after="0"/>
              <w:ind w:left="0" w:right="0" w:hanging="0"/>
              <w:jc w:val="center"/>
              <w:rPr/>
            </w:pPr>
            <w:r>
              <w:rPr/>
              <w:t> </w:t>
            </w:r>
          </w:p>
        </w:tc>
        <w:tc>
          <w:tcPr>
            <w:tcW w:w="9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6" w:type="dxa"/>
            <w:tcBorders/>
            <w:shd w:fill="auto" w:val="clear"/>
            <w:vAlign w:val="bottom"/>
          </w:tcPr>
          <w:p>
            <w:pPr>
              <w:pStyle w:val="TableContents"/>
              <w:spacing w:before="0" w:after="0"/>
              <w:ind w:left="0" w:right="0" w:hanging="0"/>
              <w:jc w:val="center"/>
              <w:rPr/>
            </w:pPr>
            <w:r>
              <w:rPr/>
              <w:t> </w:t>
            </w:r>
          </w:p>
        </w:tc>
        <w:tc>
          <w:tcPr>
            <w:tcW w:w="10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30" w:type="dxa"/>
            <w:tcBorders/>
            <w:shd w:fill="auto" w:val="clear"/>
            <w:vAlign w:val="bottom"/>
          </w:tcPr>
          <w:p>
            <w:pPr>
              <w:pStyle w:val="TableContents"/>
              <w:spacing w:before="0" w:after="0"/>
              <w:ind w:left="0" w:right="0" w:hanging="0"/>
              <w:jc w:val="center"/>
              <w:rPr/>
            </w:pPr>
            <w:r>
              <w:rPr/>
              <w:t> </w:t>
            </w:r>
          </w:p>
        </w:tc>
      </w:tr>
      <w:tr>
        <w:trPr/>
        <w:tc>
          <w:tcPr>
            <w:tcW w:w="2488"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(1)</w:t>
            </w:r>
          </w:p>
        </w:tc>
        <w:tc>
          <w:tcPr>
            <w:tcW w:w="160" w:type="dxa"/>
            <w:tcBorders/>
            <w:shd w:fill="CCEEFF" w:val="clear"/>
            <w:vAlign w:val="bottom"/>
          </w:tcPr>
          <w:p>
            <w:pPr>
              <w:pStyle w:val="TableContents"/>
              <w:spacing w:before="0" w:after="0"/>
              <w:ind w:left="0" w:right="0" w:hanging="0"/>
              <w:rPr/>
            </w:pPr>
            <w:r>
              <w:rPr/>
              <w:t> </w:t>
            </w:r>
          </w:p>
        </w:tc>
        <w:tc>
          <w:tcPr>
            <w:tcW w:w="2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317</w:t>
            </w:r>
          </w:p>
        </w:tc>
        <w:tc>
          <w:tcPr>
            <w:tcW w:w="176"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176"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8,877</w:t>
            </w:r>
          </w:p>
        </w:tc>
        <w:tc>
          <w:tcPr>
            <w:tcW w:w="176" w:type="dxa"/>
            <w:tcBorders/>
            <w:shd w:fill="CCEEFF" w:val="clear"/>
            <w:vAlign w:val="bottom"/>
          </w:tcPr>
          <w:p>
            <w:pPr>
              <w:pStyle w:val="TableContents"/>
              <w:spacing w:before="0" w:after="0"/>
              <w:ind w:left="0" w:right="0" w:hanging="0"/>
              <w:rPr/>
            </w:pPr>
            <w:r>
              <w:rPr/>
              <w:t> </w:t>
            </w:r>
          </w:p>
        </w:tc>
        <w:tc>
          <w:tcPr>
            <w:tcW w:w="2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w:t>
            </w:r>
          </w:p>
        </w:tc>
        <w:tc>
          <w:tcPr>
            <w:tcW w:w="176" w:type="dxa"/>
            <w:tcBorders/>
            <w:shd w:fill="CCEEFF" w:val="clear"/>
            <w:vAlign w:val="bottom"/>
          </w:tcPr>
          <w:p>
            <w:pPr>
              <w:pStyle w:val="TableContents"/>
              <w:spacing w:before="0" w:after="0"/>
              <w:ind w:left="0" w:right="0" w:hanging="0"/>
              <w:rPr/>
            </w:pPr>
            <w:r>
              <w:rPr/>
              <w:t> </w:t>
            </w:r>
          </w:p>
        </w:tc>
        <w:tc>
          <w:tcPr>
            <w:tcW w:w="18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176" w:type="dxa"/>
            <w:tcBorders/>
            <w:shd w:fill="CCEEFF" w:val="clear"/>
            <w:vAlign w:val="bottom"/>
          </w:tcPr>
          <w:p>
            <w:pPr>
              <w:pStyle w:val="TableContents"/>
              <w:spacing w:before="0" w:after="0"/>
              <w:ind w:left="0" w:right="0" w:hanging="0"/>
              <w:rPr/>
            </w:pPr>
            <w:r>
              <w:rPr/>
              <w:t> </w:t>
            </w:r>
          </w:p>
        </w:tc>
        <w:tc>
          <w:tcPr>
            <w:tcW w:w="16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7,435</w:t>
            </w:r>
          </w:p>
        </w:tc>
        <w:tc>
          <w:tcPr>
            <w:tcW w:w="130" w:type="dxa"/>
            <w:tcBorders/>
            <w:shd w:fill="CCEEFF" w:val="clear"/>
            <w:vAlign w:val="bottom"/>
          </w:tcPr>
          <w:p>
            <w:pPr>
              <w:pStyle w:val="TableContents"/>
              <w:spacing w:before="0" w:after="0"/>
              <w:ind w:left="0" w:right="0" w:hanging="0"/>
              <w:rPr/>
            </w:pPr>
            <w:r>
              <w:rPr/>
              <w:t> </w:t>
            </w:r>
          </w:p>
        </w:tc>
      </w:tr>
      <w:tr>
        <w:trPr/>
        <w:tc>
          <w:tcPr>
            <w:tcW w:w="2488" w:type="dxa"/>
            <w:tcBorders/>
            <w:shd w:fill="auto" w:val="clear"/>
            <w:vAlign w:val="bottom"/>
          </w:tcPr>
          <w:p>
            <w:pPr>
              <w:pStyle w:val="TableContents"/>
              <w:spacing w:before="0" w:after="0"/>
              <w:ind w:left="0" w:right="0" w:hanging="0"/>
              <w:rPr/>
            </w:pPr>
            <w:r>
              <w:rPr>
                <w:rFonts w:ascii="Times New Roman" w:hAnsi="Times New Roman"/>
                <w:sz w:val="17"/>
              </w:rPr>
              <w:t xml:space="preserve">Purchases and related costs </w:t>
            </w:r>
            <w:r>
              <w:rPr>
                <w:sz w:val="11"/>
              </w:rPr>
              <w:t>(1)</w:t>
            </w:r>
          </w:p>
        </w:tc>
        <w:tc>
          <w:tcPr>
            <w:tcW w:w="160"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(8,608</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(7,206</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88" w:type="dxa"/>
            <w:tcBorders/>
            <w:shd w:fill="CCEEFF" w:val="clear"/>
            <w:vAlign w:val="bottom"/>
          </w:tcPr>
          <w:p>
            <w:pPr>
              <w:pStyle w:val="TableContents"/>
              <w:spacing w:before="0" w:after="0"/>
              <w:ind w:left="0" w:right="0" w:hanging="0"/>
              <w:rPr/>
            </w:pPr>
            <w:r>
              <w:rPr>
                <w:rFonts w:ascii="Times New Roman" w:hAnsi="Times New Roman"/>
                <w:sz w:val="17"/>
              </w:rPr>
              <w:t xml:space="preserve">Field operating costs (excluding equity compensation expense) </w:t>
            </w:r>
            <w:r>
              <w:rPr>
                <w:sz w:val="11"/>
              </w:rPr>
              <w:t>(1)</w:t>
            </w:r>
          </w:p>
        </w:tc>
        <w:tc>
          <w:tcPr>
            <w:tcW w:w="160"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 - operations</w:t>
            </w:r>
          </w:p>
        </w:tc>
        <w:tc>
          <w:tcPr>
            <w:tcW w:w="160"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0" w:type="dxa"/>
            <w:tcBorders/>
            <w:shd w:fill="auto" w:val="clear"/>
            <w:vAlign w:val="bottom"/>
          </w:tcPr>
          <w:p>
            <w:pPr>
              <w:pStyle w:val="TableContents"/>
              <w:spacing w:before="0" w:after="0"/>
              <w:ind w:left="0" w:right="0" w:hanging="0"/>
              <w:rPr/>
            </w:pPr>
            <w:r>
              <w:rPr/>
              <w:t> </w:t>
            </w:r>
          </w:p>
        </w:tc>
      </w:tr>
      <w:tr>
        <w:trPr/>
        <w:tc>
          <w:tcPr>
            <w:tcW w:w="2488" w:type="dxa"/>
            <w:tcBorders/>
            <w:shd w:fill="CCEEFF" w:val="clear"/>
            <w:vAlign w:val="bottom"/>
          </w:tcPr>
          <w:p>
            <w:pPr>
              <w:pStyle w:val="TableContents"/>
              <w:spacing w:before="0" w:after="0"/>
              <w:ind w:left="0" w:right="0" w:hanging="0"/>
              <w:rPr/>
            </w:pPr>
            <w:r>
              <w:rPr>
                <w:rFonts w:ascii="Times New Roman" w:hAnsi="Times New Roman"/>
                <w:sz w:val="17"/>
              </w:rPr>
              <w:t xml:space="preserve">Segment G&amp;A expenses (excluding equity compensation expense) </w:t>
            </w:r>
            <w:r>
              <w:rPr>
                <w:sz w:val="11"/>
              </w:rPr>
              <w:t>(2)</w:t>
            </w:r>
          </w:p>
        </w:tc>
        <w:tc>
          <w:tcPr>
            <w:tcW w:w="160"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 - general and administrative</w:t>
            </w:r>
          </w:p>
        </w:tc>
        <w:tc>
          <w:tcPr>
            <w:tcW w:w="160"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8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60" w:type="dxa"/>
            <w:tcBorders/>
            <w:shd w:fill="CCEEFF" w:val="clear"/>
            <w:vAlign w:val="bottom"/>
          </w:tcPr>
          <w:p>
            <w:pPr>
              <w:pStyle w:val="TableContents"/>
              <w:spacing w:before="0" w:after="0"/>
              <w:ind w:left="0" w:right="0" w:hanging="0"/>
              <w:rPr/>
            </w:pPr>
            <w:r>
              <w:rPr/>
              <w:t> </w:t>
            </w:r>
          </w:p>
        </w:tc>
        <w:tc>
          <w:tcPr>
            <w:tcW w:w="12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76" w:type="dxa"/>
            <w:tcBorders/>
            <w:shd w:fill="CCEEFF" w:val="clear"/>
            <w:vAlign w:val="bottom"/>
          </w:tcPr>
          <w:p>
            <w:pPr>
              <w:pStyle w:val="TableContents"/>
              <w:spacing w:before="0" w:after="0"/>
              <w:ind w:left="0" w:right="0" w:hanging="0"/>
              <w:rPr/>
            </w:pPr>
            <w:r>
              <w:rPr/>
              <w:t> </w:t>
            </w:r>
          </w:p>
        </w:tc>
        <w:tc>
          <w:tcPr>
            <w:tcW w:w="9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CCEEFF" w:val="clear"/>
            <w:vAlign w:val="bottom"/>
          </w:tcPr>
          <w:p>
            <w:pPr>
              <w:pStyle w:val="TableContents"/>
              <w:spacing w:before="0" w:after="0"/>
              <w:ind w:left="0" w:right="0" w:hanging="0"/>
              <w:rPr/>
            </w:pPr>
            <w:r>
              <w:rPr/>
              <w:t> </w:t>
            </w:r>
          </w:p>
        </w:tc>
        <w:tc>
          <w:tcPr>
            <w:tcW w:w="10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CCEEFF" w:val="clear"/>
            <w:vAlign w:val="bottom"/>
          </w:tcPr>
          <w:p>
            <w:pPr>
              <w:pStyle w:val="TableContents"/>
              <w:spacing w:before="0" w:after="0"/>
              <w:ind w:left="0" w:right="0" w:hanging="0"/>
              <w:rPr/>
            </w:pPr>
            <w:r>
              <w:rPr/>
              <w:t> </w:t>
            </w:r>
          </w:p>
        </w:tc>
        <w:tc>
          <w:tcPr>
            <w:tcW w:w="125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CCEEFF" w:val="clear"/>
            <w:vAlign w:val="bottom"/>
          </w:tcPr>
          <w:p>
            <w:pPr>
              <w:pStyle w:val="TableContents"/>
              <w:spacing w:before="0" w:after="0"/>
              <w:ind w:left="0" w:right="0" w:hanging="0"/>
              <w:rPr/>
            </w:pPr>
            <w:r>
              <w:rPr/>
              <w:t> </w:t>
            </w:r>
          </w:p>
        </w:tc>
        <w:tc>
          <w:tcPr>
            <w:tcW w:w="9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6" w:type="dxa"/>
            <w:tcBorders/>
            <w:shd w:fill="CCEEFF" w:val="clear"/>
            <w:vAlign w:val="bottom"/>
          </w:tcPr>
          <w:p>
            <w:pPr>
              <w:pStyle w:val="TableContents"/>
              <w:spacing w:before="0" w:after="0"/>
              <w:ind w:left="0" w:right="0" w:hanging="0"/>
              <w:rPr/>
            </w:pPr>
            <w:r>
              <w:rPr/>
              <w:t> </w:t>
            </w:r>
          </w:p>
        </w:tc>
        <w:tc>
          <w:tcPr>
            <w:tcW w:w="10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30" w:type="dxa"/>
            <w:tcBorders/>
            <w:shd w:fill="CCEEFF" w:val="clear"/>
            <w:vAlign w:val="bottom"/>
          </w:tcPr>
          <w:p>
            <w:pPr>
              <w:pStyle w:val="TableContents"/>
              <w:spacing w:before="0" w:after="0"/>
              <w:ind w:left="0" w:right="0" w:hanging="0"/>
              <w:rPr/>
            </w:pPr>
            <w:r>
              <w:rPr/>
              <w:t> </w:t>
            </w:r>
          </w:p>
        </w:tc>
      </w:tr>
      <w:tr>
        <w:trPr/>
        <w:tc>
          <w:tcPr>
            <w:tcW w:w="24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Reported segment profit</w:t>
            </w:r>
          </w:p>
        </w:tc>
        <w:tc>
          <w:tcPr>
            <w:tcW w:w="160" w:type="dxa"/>
            <w:tcBorders/>
            <w:shd w:fill="auto" w:val="clear"/>
            <w:vAlign w:val="bottom"/>
          </w:tcPr>
          <w:p>
            <w:pPr>
              <w:pStyle w:val="TableContents"/>
              <w:spacing w:before="0" w:after="0"/>
              <w:ind w:left="0" w:right="0" w:hanging="0"/>
              <w:rPr/>
            </w:pPr>
            <w:r>
              <w:rPr/>
              <w:t> </w:t>
            </w:r>
          </w:p>
        </w:tc>
        <w:tc>
          <w:tcPr>
            <w:tcW w:w="2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176"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2"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176"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8"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176" w:type="dxa"/>
            <w:tcBorders/>
            <w:shd w:fill="auto" w:val="clear"/>
            <w:vAlign w:val="bottom"/>
          </w:tcPr>
          <w:p>
            <w:pPr>
              <w:pStyle w:val="TableContents"/>
              <w:spacing w:before="0" w:after="0"/>
              <w:ind w:left="0" w:right="0" w:hanging="0"/>
              <w:rPr/>
            </w:pPr>
            <w:r>
              <w:rPr/>
              <w:t> </w:t>
            </w:r>
          </w:p>
        </w:tc>
        <w:tc>
          <w:tcPr>
            <w:tcW w:w="2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76"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2"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76" w:type="dxa"/>
            <w:tcBorders/>
            <w:shd w:fill="auto" w:val="clear"/>
            <w:vAlign w:val="bottom"/>
          </w:tcPr>
          <w:p>
            <w:pPr>
              <w:pStyle w:val="TableContents"/>
              <w:spacing w:before="0" w:after="0"/>
              <w:ind w:left="0" w:right="0" w:hanging="0"/>
              <w:rPr/>
            </w:pPr>
            <w:r>
              <w:rPr/>
              <w:t> </w:t>
            </w:r>
          </w:p>
        </w:tc>
        <w:tc>
          <w:tcPr>
            <w:tcW w:w="1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8"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130" w:type="dxa"/>
            <w:tcBorders/>
            <w:shd w:fill="auto" w:val="clear"/>
            <w:vAlign w:val="bottom"/>
          </w:tcPr>
          <w:p>
            <w:pPr>
              <w:pStyle w:val="TableContents"/>
              <w:spacing w:before="0" w:after="0"/>
              <w:ind w:left="0" w:right="0" w:hanging="0"/>
              <w:rPr/>
            </w:pPr>
            <w:r>
              <w:rPr/>
              <w:t> </w:t>
            </w:r>
          </w:p>
        </w:tc>
      </w:tr>
      <w:tr>
        <w:trPr/>
        <w:tc>
          <w:tcPr>
            <w:tcW w:w="2488" w:type="dxa"/>
            <w:tcBorders/>
            <w:shd w:fill="CCEEFF" w:val="clear"/>
            <w:vAlign w:val="bottom"/>
          </w:tcPr>
          <w:p>
            <w:pPr>
              <w:pStyle w:val="TableContents"/>
              <w:spacing w:before="0" w:after="0"/>
              <w:ind w:left="0" w:right="0" w:hanging="0"/>
              <w:rPr/>
            </w:pPr>
            <w:r>
              <w:rPr>
                <w:rFonts w:ascii="Times New Roman" w:hAnsi="Times New Roman"/>
                <w:sz w:val="17"/>
              </w:rPr>
              <w:t>Selected items impacting comparability of segment profit</w:t>
            </w:r>
            <w:r>
              <w:rPr/>
              <w:t xml:space="preserve"> </w:t>
            </w:r>
            <w:r>
              <w:rPr>
                <w:sz w:val="11"/>
              </w:rPr>
              <w:t>(3)</w:t>
            </w:r>
          </w:p>
        </w:tc>
        <w:tc>
          <w:tcPr>
            <w:tcW w:w="160" w:type="dxa"/>
            <w:tcBorders/>
            <w:shd w:fill="CCEEFF" w:val="clear"/>
            <w:vAlign w:val="bottom"/>
          </w:tcPr>
          <w:p>
            <w:pPr>
              <w:pStyle w:val="TableContents"/>
              <w:spacing w:before="0" w:after="0"/>
              <w:ind w:left="0" w:right="0" w:hanging="0"/>
              <w:rPr/>
            </w:pPr>
            <w:r>
              <w:rPr/>
              <w:t> </w:t>
            </w:r>
          </w:p>
        </w:tc>
        <w:tc>
          <w:tcPr>
            <w:tcW w:w="12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76" w:type="dxa"/>
            <w:tcBorders/>
            <w:shd w:fill="CCEEFF" w:val="clear"/>
            <w:vAlign w:val="bottom"/>
          </w:tcPr>
          <w:p>
            <w:pPr>
              <w:pStyle w:val="TableContents"/>
              <w:spacing w:before="0" w:after="0"/>
              <w:ind w:left="0" w:right="0" w:hanging="0"/>
              <w:rPr/>
            </w:pPr>
            <w:r>
              <w:rPr/>
              <w:t> </w:t>
            </w:r>
          </w:p>
        </w:tc>
        <w:tc>
          <w:tcPr>
            <w:tcW w:w="9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76" w:type="dxa"/>
            <w:tcBorders/>
            <w:shd w:fill="CCEEFF" w:val="clear"/>
            <w:vAlign w:val="bottom"/>
          </w:tcPr>
          <w:p>
            <w:pPr>
              <w:pStyle w:val="TableContents"/>
              <w:spacing w:before="0" w:after="0"/>
              <w:ind w:left="0" w:right="0" w:hanging="0"/>
              <w:rPr/>
            </w:pPr>
            <w:r>
              <w:rPr/>
              <w:t> </w:t>
            </w:r>
          </w:p>
        </w:tc>
        <w:tc>
          <w:tcPr>
            <w:tcW w:w="10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176" w:type="dxa"/>
            <w:tcBorders/>
            <w:shd w:fill="CCEEFF" w:val="clear"/>
            <w:vAlign w:val="bottom"/>
          </w:tcPr>
          <w:p>
            <w:pPr>
              <w:pStyle w:val="TableContents"/>
              <w:spacing w:before="0" w:after="0"/>
              <w:ind w:left="0" w:right="0" w:hanging="0"/>
              <w:rPr/>
            </w:pPr>
            <w:r>
              <w:rPr/>
              <w:t> </w:t>
            </w:r>
          </w:p>
        </w:tc>
        <w:tc>
          <w:tcPr>
            <w:tcW w:w="125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76" w:type="dxa"/>
            <w:tcBorders/>
            <w:shd w:fill="CCEEFF" w:val="clear"/>
            <w:vAlign w:val="bottom"/>
          </w:tcPr>
          <w:p>
            <w:pPr>
              <w:pStyle w:val="TableContents"/>
              <w:spacing w:before="0" w:after="0"/>
              <w:ind w:left="0" w:right="0" w:hanging="0"/>
              <w:rPr/>
            </w:pPr>
            <w:r>
              <w:rPr/>
              <w:t> </w:t>
            </w:r>
          </w:p>
        </w:tc>
        <w:tc>
          <w:tcPr>
            <w:tcW w:w="9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76" w:type="dxa"/>
            <w:tcBorders/>
            <w:shd w:fill="CCEEFF" w:val="clear"/>
            <w:vAlign w:val="bottom"/>
          </w:tcPr>
          <w:p>
            <w:pPr>
              <w:pStyle w:val="TableContents"/>
              <w:spacing w:before="0" w:after="0"/>
              <w:ind w:left="0" w:right="0" w:hanging="0"/>
              <w:rPr/>
            </w:pPr>
            <w:r>
              <w:rPr/>
              <w:t> </w:t>
            </w:r>
          </w:p>
        </w:tc>
        <w:tc>
          <w:tcPr>
            <w:tcW w:w="10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4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excluding selected items impacting comparability</w:t>
            </w:r>
          </w:p>
        </w:tc>
        <w:tc>
          <w:tcPr>
            <w:tcW w:w="160"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176"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76" w:type="dxa"/>
            <w:tcBorders/>
            <w:shd w:fill="auto" w:val="clear"/>
            <w:vAlign w:val="bottom"/>
          </w:tcPr>
          <w:p>
            <w:pPr>
              <w:pStyle w:val="TableContents"/>
              <w:spacing w:before="0" w:after="0"/>
              <w:ind w:left="0" w:right="0" w:hanging="0"/>
              <w:rPr/>
            </w:pPr>
            <w:r>
              <w:rPr/>
              <w:t> </w:t>
            </w:r>
          </w:p>
        </w:tc>
        <w:tc>
          <w:tcPr>
            <w:tcW w:w="16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197</w:t>
            </w:r>
          </w:p>
        </w:tc>
        <w:tc>
          <w:tcPr>
            <w:tcW w:w="176" w:type="dxa"/>
            <w:tcBorders/>
            <w:shd w:fill="auto" w:val="clear"/>
            <w:vAlign w:val="bottom"/>
          </w:tcPr>
          <w:p>
            <w:pPr>
              <w:pStyle w:val="TableContents"/>
              <w:spacing w:before="0" w:after="0"/>
              <w:ind w:left="0" w:right="0" w:hanging="0"/>
              <w:rPr/>
            </w:pPr>
            <w:r>
              <w:rPr/>
              <w:t> </w:t>
            </w:r>
          </w:p>
        </w:tc>
        <w:tc>
          <w:tcPr>
            <w:tcW w:w="2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w:t>
            </w:r>
          </w:p>
        </w:tc>
        <w:tc>
          <w:tcPr>
            <w:tcW w:w="176"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176" w:type="dxa"/>
            <w:tcBorders/>
            <w:shd w:fill="auto" w:val="clear"/>
            <w:vAlign w:val="bottom"/>
          </w:tcPr>
          <w:p>
            <w:pPr>
              <w:pStyle w:val="TableContents"/>
              <w:spacing w:before="0" w:after="0"/>
              <w:ind w:left="0" w:right="0" w:hanging="0"/>
              <w:rPr/>
            </w:pPr>
            <w:r>
              <w:rPr/>
              <w:t> </w:t>
            </w:r>
          </w:p>
        </w:tc>
        <w:tc>
          <w:tcPr>
            <w:tcW w:w="16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130" w:type="dxa"/>
            <w:tcBorders/>
            <w:shd w:fill="auto" w:val="clear"/>
            <w:vAlign w:val="bottom"/>
          </w:tcPr>
          <w:p>
            <w:pPr>
              <w:pStyle w:val="TableContents"/>
              <w:spacing w:before="0" w:after="0"/>
              <w:ind w:left="0" w:right="0" w:hanging="0"/>
              <w:rPr/>
            </w:pPr>
            <w:r>
              <w:rPr/>
              <w:t> </w:t>
            </w:r>
          </w:p>
        </w:tc>
      </w:tr>
      <w:tr>
        <w:trPr/>
        <w:tc>
          <w:tcPr>
            <w:tcW w:w="2488" w:type="dxa"/>
            <w:tcBorders/>
            <w:shd w:fill="CCEEFF" w:val="clear"/>
            <w:vAlign w:val="bottom"/>
          </w:tcPr>
          <w:p>
            <w:pPr>
              <w:pStyle w:val="TableContents"/>
              <w:spacing w:before="0" w:after="0"/>
              <w:ind w:left="0" w:right="0" w:hanging="0"/>
              <w:rPr/>
            </w:pPr>
            <w:r>
              <w:rPr/>
              <w:t> </w:t>
            </w:r>
          </w:p>
        </w:tc>
        <w:tc>
          <w:tcPr>
            <w:tcW w:w="160"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pPr>
            <w:r>
              <w:rPr/>
              <w:t> </w:t>
            </w:r>
          </w:p>
        </w:tc>
        <w:tc>
          <w:tcPr>
            <w:tcW w:w="176" w:type="dxa"/>
            <w:tcBorders/>
            <w:shd w:fill="CCEEFF" w:val="clear"/>
            <w:vAlign w:val="bottom"/>
          </w:tcPr>
          <w:p>
            <w:pPr>
              <w:pStyle w:val="TableContents"/>
              <w:spacing w:before="0" w:after="0"/>
              <w:ind w:left="0" w:right="0" w:hanging="0"/>
              <w:rPr/>
            </w:pPr>
            <w:r>
              <w:rPr/>
              <w:t> </w:t>
            </w:r>
          </w:p>
        </w:tc>
        <w:tc>
          <w:tcPr>
            <w:tcW w:w="962" w:type="dxa"/>
            <w:gridSpan w:val="2"/>
            <w:tcBorders/>
            <w:shd w:fill="CCEEFF" w:val="clear"/>
            <w:vAlign w:val="bottom"/>
          </w:tcPr>
          <w:p>
            <w:pPr>
              <w:pStyle w:val="TableContents"/>
              <w:spacing w:before="0" w:after="0"/>
              <w:ind w:left="0" w:right="0" w:hanging="0"/>
              <w:jc w:val="right"/>
              <w:rPr/>
            </w:pPr>
            <w:r>
              <w:rPr/>
              <w:t> </w:t>
            </w:r>
          </w:p>
        </w:tc>
        <w:tc>
          <w:tcPr>
            <w:tcW w:w="176" w:type="dxa"/>
            <w:tcBorders/>
            <w:shd w:fill="CCEEFF" w:val="clear"/>
            <w:vAlign w:val="bottom"/>
          </w:tcPr>
          <w:p>
            <w:pPr>
              <w:pStyle w:val="TableContents"/>
              <w:spacing w:before="0" w:after="0"/>
              <w:ind w:left="0" w:right="0" w:hanging="0"/>
              <w:rPr/>
            </w:pPr>
            <w:r>
              <w:rPr/>
              <w:t> </w:t>
            </w:r>
          </w:p>
        </w:tc>
        <w:tc>
          <w:tcPr>
            <w:tcW w:w="1056" w:type="dxa"/>
            <w:gridSpan w:val="2"/>
            <w:tcBorders/>
            <w:shd w:fill="CCEEFF" w:val="clear"/>
            <w:vAlign w:val="bottom"/>
          </w:tcPr>
          <w:p>
            <w:pPr>
              <w:pStyle w:val="TableContents"/>
              <w:spacing w:before="0" w:after="0"/>
              <w:ind w:left="0" w:right="0" w:hanging="0"/>
              <w:jc w:val="right"/>
              <w:rPr/>
            </w:pPr>
            <w:r>
              <w:rPr/>
              <w:t> </w:t>
            </w:r>
          </w:p>
        </w:tc>
        <w:tc>
          <w:tcPr>
            <w:tcW w:w="176" w:type="dxa"/>
            <w:tcBorders/>
            <w:shd w:fill="CCEEFF" w:val="clear"/>
            <w:vAlign w:val="bottom"/>
          </w:tcPr>
          <w:p>
            <w:pPr>
              <w:pStyle w:val="TableContents"/>
              <w:spacing w:before="0" w:after="0"/>
              <w:ind w:left="0" w:right="0" w:hanging="0"/>
              <w:rPr/>
            </w:pPr>
            <w:r>
              <w:rPr/>
              <w:t> </w:t>
            </w:r>
          </w:p>
        </w:tc>
        <w:tc>
          <w:tcPr>
            <w:tcW w:w="1255" w:type="dxa"/>
            <w:gridSpan w:val="2"/>
            <w:tcBorders/>
            <w:shd w:fill="CCEEFF" w:val="clear"/>
            <w:vAlign w:val="bottom"/>
          </w:tcPr>
          <w:p>
            <w:pPr>
              <w:pStyle w:val="TableContents"/>
              <w:spacing w:before="0" w:after="0"/>
              <w:ind w:left="0" w:right="0" w:hanging="0"/>
              <w:jc w:val="right"/>
              <w:rPr/>
            </w:pPr>
            <w:r>
              <w:rPr/>
              <w:t> </w:t>
            </w:r>
          </w:p>
        </w:tc>
        <w:tc>
          <w:tcPr>
            <w:tcW w:w="176" w:type="dxa"/>
            <w:tcBorders/>
            <w:shd w:fill="CCEEFF" w:val="clear"/>
            <w:vAlign w:val="bottom"/>
          </w:tcPr>
          <w:p>
            <w:pPr>
              <w:pStyle w:val="TableContents"/>
              <w:spacing w:before="0" w:after="0"/>
              <w:ind w:left="0" w:right="0" w:hanging="0"/>
              <w:rPr/>
            </w:pPr>
            <w:r>
              <w:rPr/>
              <w:t> </w:t>
            </w:r>
          </w:p>
        </w:tc>
        <w:tc>
          <w:tcPr>
            <w:tcW w:w="962" w:type="dxa"/>
            <w:gridSpan w:val="2"/>
            <w:tcBorders/>
            <w:shd w:fill="CCEEFF" w:val="clear"/>
            <w:vAlign w:val="bottom"/>
          </w:tcPr>
          <w:p>
            <w:pPr>
              <w:pStyle w:val="TableContents"/>
              <w:spacing w:before="0" w:after="0"/>
              <w:ind w:left="0" w:right="0" w:hanging="0"/>
              <w:jc w:val="right"/>
              <w:rPr/>
            </w:pPr>
            <w:r>
              <w:rPr/>
              <w:t> </w:t>
            </w:r>
          </w:p>
        </w:tc>
        <w:tc>
          <w:tcPr>
            <w:tcW w:w="176" w:type="dxa"/>
            <w:tcBorders/>
            <w:shd w:fill="CCEEFF" w:val="clear"/>
            <w:vAlign w:val="bottom"/>
          </w:tcPr>
          <w:p>
            <w:pPr>
              <w:pStyle w:val="TableContents"/>
              <w:spacing w:before="0" w:after="0"/>
              <w:ind w:left="0" w:right="0" w:hanging="0"/>
              <w:rPr/>
            </w:pPr>
            <w:r>
              <w:rPr/>
              <w:t> </w:t>
            </w:r>
          </w:p>
        </w:tc>
        <w:tc>
          <w:tcPr>
            <w:tcW w:w="1056" w:type="dxa"/>
            <w:gridSpan w:val="2"/>
            <w:tcBorders/>
            <w:shd w:fill="CCEEFF" w:val="clear"/>
            <w:vAlign w:val="bottom"/>
          </w:tcPr>
          <w:p>
            <w:pPr>
              <w:pStyle w:val="TableContents"/>
              <w:spacing w:before="0" w:after="0"/>
              <w:ind w:left="0" w:right="0" w:hanging="0"/>
              <w:jc w:val="right"/>
              <w:rPr/>
            </w:pPr>
            <w:r>
              <w:rPr/>
              <w:t> </w:t>
            </w:r>
          </w:p>
        </w:tc>
        <w:tc>
          <w:tcPr>
            <w:tcW w:w="130" w:type="dxa"/>
            <w:tcBorders/>
            <w:shd w:fill="CCEEFF" w:val="clear"/>
            <w:vAlign w:val="bottom"/>
          </w:tcPr>
          <w:p>
            <w:pPr>
              <w:pStyle w:val="TableContents"/>
              <w:spacing w:before="0" w:after="0"/>
              <w:ind w:left="0" w:right="0" w:hanging="0"/>
              <w:rPr/>
            </w:pPr>
            <w:r>
              <w:rPr/>
              <w:t> </w:t>
            </w:r>
          </w:p>
        </w:tc>
      </w:tr>
      <w:tr>
        <w:trPr/>
        <w:tc>
          <w:tcPr>
            <w:tcW w:w="24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60"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76"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76" w:type="dxa"/>
            <w:tcBorders/>
            <w:shd w:fill="auto" w:val="clear"/>
            <w:vAlign w:val="bottom"/>
          </w:tcPr>
          <w:p>
            <w:pPr>
              <w:pStyle w:val="TableContents"/>
              <w:spacing w:before="0" w:after="0"/>
              <w:ind w:left="0" w:right="0" w:hanging="0"/>
              <w:rPr/>
            </w:pPr>
            <w:r>
              <w:rPr/>
              <w:t> </w:t>
            </w:r>
          </w:p>
        </w:tc>
        <w:tc>
          <w:tcPr>
            <w:tcW w:w="16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6" w:type="dxa"/>
            <w:tcBorders/>
            <w:shd w:fill="auto" w:val="clear"/>
            <w:vAlign w:val="bottom"/>
          </w:tcPr>
          <w:p>
            <w:pPr>
              <w:pStyle w:val="TableContents"/>
              <w:spacing w:before="0" w:after="0"/>
              <w:ind w:left="0" w:right="0" w:hanging="0"/>
              <w:rPr/>
            </w:pPr>
            <w:r>
              <w:rPr/>
              <w:t> </w:t>
            </w:r>
          </w:p>
        </w:tc>
        <w:tc>
          <w:tcPr>
            <w:tcW w:w="2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76"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6" w:type="dxa"/>
            <w:tcBorders/>
            <w:shd w:fill="auto" w:val="clear"/>
            <w:vAlign w:val="bottom"/>
          </w:tcPr>
          <w:p>
            <w:pPr>
              <w:pStyle w:val="TableContents"/>
              <w:spacing w:before="0" w:after="0"/>
              <w:ind w:left="0" w:right="0" w:hanging="0"/>
              <w:rPr/>
            </w:pPr>
            <w:r>
              <w:rPr/>
              <w:t> </w:t>
            </w:r>
          </w:p>
        </w:tc>
        <w:tc>
          <w:tcPr>
            <w:tcW w:w="16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0"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979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Includes intersegment amounts.</w:t>
            </w:r>
          </w:p>
        </w:tc>
      </w:tr>
      <w:tr>
        <w:trPr/>
        <w:tc>
          <w:tcPr>
            <w:tcW w:w="407"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979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general and administrative expenses (G&amp;A)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 Includes acquisition-related expenses for both the 2012 and 2011 periods.</w:t>
            </w:r>
          </w:p>
        </w:tc>
      </w:tr>
      <w:tr>
        <w:trPr/>
        <w:tc>
          <w:tcPr>
            <w:tcW w:w="407"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979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Certain of our non-GAAP financial measures may not be impacted by each of the selected items impacting comparability.</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for the Transportation segment for the first quarter of 2012 increased by 21% over comparable 2011 results.  The increase was primarily driven by higher pipeline tariffs, volumes and pipeline loss allowance revenue, partially offset by higher operating and general and administrative expenses.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for the Facilities segment for the first quarter of 2012 increased 15% over comparable 2011 results, benefitting from increased capacity from recently completed organic growth projects and the Southern Pines and Yorktown acquisitions.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for the Supply and Logistics segment for the first quarter of 2012 increased 68% over comparable 2011 results due primarily to increased crude oil lease gathering margins and volumes during a period of significant increases in US and Canadian crude oil production.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basic weighted average units outstanding for the first quarter of 2012 totaled 157 million (158 million diluted) as compared to 143 million (144 million diluted) in last years first quarter. On March 31, 2012, the Partnership had approximately 161.3 million units outstanding, long-term debt of approximately $5.8 billion and long-term debt-to-total capitalization ratio of 47%.</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4</w:t>
      </w:r>
      <w:bookmarkStart w:id="16" w:name="PB_4_125235_5796"/>
      <w:bookmarkEnd w:id="16"/>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has declared a quarterly distribution of $1.045 per unit ($4.18 per unit on an annualized basis) payable May 15, 2012, on its outstanding limited partner units.  This distribution represents an increase of approximately 7.7% over the quarterly distribution paid in May 2011 and an increase of approximately 2.0% over the quarterly distribution paid in February 2012.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will hold a conference call at 11:00 AM (Eastern) on May 8, 2012 (see details below).  Prior to this conference call, the Partnership will furnish a current report on Form 8-K, which will include material in this press release and financial and operational guidance for the second quarter and full year 2012.  A copy of the Form 8-K will be available on the Partnerships website at www.paalp.com.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Non-GAAP Financial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supplement our financial information presented in accordance with GAAP, management uses additional measures that are known as non-GAAP financial measures in its evaluation of past performance and prospects for the future. These measures include adjusted EBITDA and implied distributable cash flow (DCF).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 (iv) other items that we believe should be excluded in understanding our core operating performance. We have defined all such items as Selected Items Impacting Comparability. These additional financial measures are reconciled from the most directly comparable measures as reported in accordance with GAAP, and should be viewed in addition to, and not in lieu of, our consolidated financial statements and footnotes.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5</w:t>
      </w:r>
      <w:bookmarkStart w:id="17" w:name="PB_5_125244_2897"/>
      <w:bookmarkEnd w:id="17"/>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A full analysis of these types of variations are not separately identified in this release, but will be discussed, as applicable, in managements discussion and analysis of operating results in our Quarterly Report on Form 10-Q.</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Conference Call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will host a conference call at 11:00 AM (Eastern) on Tuesday, May 8, 2012 to discuss the following items: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The Partnerships first-quarter 2012 performance;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The status of major expansion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Capitalization and liquidity;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Financial and operating guidance for the second quarter and full year 2012;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The Partnerships outlook for the future.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Webcast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access the Internet webcast, please go to the Partnerships website at www.paalp.com, choose Investor Relations, and then choose Conference Calls.  Following the live webcast, the call will be archived for a period of sixty (60) days on the Partnerships website.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Alternatively, you may access the live conference call by dialing toll free 800-230-1059. International callers should dial 612-234-9960.  No password is required. You may access the slide presentation accompanying the conference call a few minutes prior to the call under the Conference Call Summaries portion of the Conference Calls tab of the Investor Relations section of PAAs website at www.paalp.com.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Telephonic Replay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listen to a telephonic replay of the conference call, please dial 800-475-6701, or, for international callers, 320-365-3844, and replay access code 242796.  The replay will be available beginning Tuesday, May 8, 2012, at approximately 1:00 PM (Eastern) and continue until 11:59 PM (Eastern) June 8, 2012.</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6</w:t>
      </w:r>
      <w:bookmarkStart w:id="18" w:name="PB_6_130236_3020"/>
      <w:bookmarkEnd w:id="18"/>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Forward 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for the historical information contained herein, the matters discussed in this release are forward-looking statements that involve certain risks and uncertainties that could cause actual results to differ materially from results anticipated in the forward-looking statements. These risks and uncertainties include, among other things, failure to integrate the BP NGL Acquisition; failure to implement or capitalize on planned internal growth projects; maintenance of our credit rating and ability to receive open credit from our suppliers and trade counterparties; continued creditworthiness of, and performance by, our counterparties, including financial institutions and trading companies with which we do business; the effectiveness of our risk management activities; unanticipated changes in crude oil market structure, grade differentials and volatility (or lack thereof); environmental liabilities or events that are not covered by an indemnity, insurance or existing reserves; abrupt or severe declines or interruptions in outer continental shelf production located offshore California and transported on our pipeline systems; shortages or cost increases of supplies, materials or labor; 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fluctuations in refinery capacity in areas supplied by our mainlines and other factors affecting demand for various grades of crude oil, refined products and natural gas and resulting changes in pricing conditions or transportation throughput requirements; the availability of, and our ability to consummate, acquisition or combination opportunities; our ability to obtain debt or equity financing on satisfactory terms to fund additional acquisitions, expansion projects, working capital requirements and the repayment or refinancing of indebtedness; the successful integration and future performance of acquired assets or businesses and the risks associated with operating in lines of business that are distinct and separate from our historical operations; the impact of current and future laws, rulings, governmental regulations, accounting standards and statements and related interpretations; the effects of competition; interruptions in service on third-party pipelines; increased costs or lack of availability of insurance; fluctuations in the debt and equity markets, including the price of our units at the time of vesting under our long-term incentive plans; the currency exchange rate of the Canadian dollar; weather interference with business operations or project construction; risks related to the development and operation of natural gas storage facilities;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discussed in the Partnerships filings with the Securities and Exchange Commission.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publicly traded master limited partnership engaged in the transportation, storage, terminalling and marketing of crude oil and refined products, as well as in the processing, transportation, fractionation, storage and marketing of natural gas liquids. Through its general partner interest and majority equity ownership position in PAA Natural Gas Storage, L.P. (NYSE: PNG), PAA owns and operates natural gas storage facilities. PAA is headquartered in Houston, Texas.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7</w:t>
      </w:r>
      <w:bookmarkStart w:id="19" w:name="PB_7_130258_7748"/>
      <w:bookmarkEnd w:id="19"/>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CONSOLIDATED STATEMENTS OF OPERATIONS</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249"/>
        <w:gridCol w:w="211"/>
        <w:gridCol w:w="121"/>
        <w:gridCol w:w="1084"/>
        <w:gridCol w:w="215"/>
        <w:gridCol w:w="121"/>
        <w:gridCol w:w="1085"/>
        <w:gridCol w:w="119"/>
      </w:tblGrid>
      <w:tr>
        <w:trPr/>
        <w:tc>
          <w:tcPr>
            <w:tcW w:w="724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62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19" w:type="dxa"/>
            <w:tcBorders/>
            <w:shd w:fill="auto" w:val="clear"/>
            <w:vAlign w:val="bottom"/>
          </w:tcPr>
          <w:p>
            <w:pPr>
              <w:pStyle w:val="TableContents"/>
              <w:spacing w:before="0" w:after="0"/>
              <w:ind w:left="0" w:right="0" w:hanging="0"/>
              <w:jc w:val="center"/>
              <w:rPr/>
            </w:pPr>
            <w:r>
              <w:rPr/>
              <w:t> </w:t>
            </w:r>
          </w:p>
        </w:tc>
      </w:tr>
      <w:tr>
        <w:trPr/>
        <w:tc>
          <w:tcPr>
            <w:tcW w:w="724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62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19" w:type="dxa"/>
            <w:tcBorders/>
            <w:shd w:fill="auto" w:val="clear"/>
            <w:vAlign w:val="bottom"/>
          </w:tcPr>
          <w:p>
            <w:pPr>
              <w:pStyle w:val="TableContents"/>
              <w:spacing w:before="0" w:after="0"/>
              <w:ind w:left="0" w:right="0" w:hanging="0"/>
              <w:jc w:val="center"/>
              <w:rPr/>
            </w:pPr>
            <w:r>
              <w:rPr/>
              <w:t> </w:t>
            </w:r>
          </w:p>
        </w:tc>
      </w:tr>
      <w:tr>
        <w:trPr/>
        <w:tc>
          <w:tcPr>
            <w:tcW w:w="724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5" w:type="dxa"/>
            <w:tcBorders/>
            <w:shd w:fill="auto" w:val="clear"/>
            <w:vAlign w:val="bottom"/>
          </w:tcPr>
          <w:p>
            <w:pPr>
              <w:pStyle w:val="TableContents"/>
              <w:spacing w:before="0" w:after="0"/>
              <w:ind w:left="0" w:right="0" w:hanging="0"/>
              <w:jc w:val="center"/>
              <w:rPr/>
            </w:pPr>
            <w:r>
              <w:rPr/>
              <w:t> </w:t>
            </w:r>
          </w:p>
        </w:tc>
        <w:tc>
          <w:tcPr>
            <w:tcW w:w="120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19" w:type="dxa"/>
            <w:tcBorders/>
            <w:shd w:fill="auto" w:val="clear"/>
            <w:vAlign w:val="bottom"/>
          </w:tcPr>
          <w:p>
            <w:pPr>
              <w:pStyle w:val="TableContents"/>
              <w:spacing w:before="0" w:after="0"/>
              <w:ind w:left="0" w:right="0" w:hanging="0"/>
              <w:jc w:val="center"/>
              <w:rPr/>
            </w:pPr>
            <w:r>
              <w:rPr/>
              <w:t> </w:t>
            </w:r>
          </w:p>
        </w:tc>
      </w:tr>
      <w:tr>
        <w:trPr/>
        <w:tc>
          <w:tcPr>
            <w:tcW w:w="7249"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211" w:type="dxa"/>
            <w:tcBorders/>
            <w:shd w:fill="CCEEFF" w:val="clear"/>
            <w:vAlign w:val="bottom"/>
          </w:tcPr>
          <w:p>
            <w:pPr>
              <w:pStyle w:val="TableContents"/>
              <w:spacing w:before="0" w:after="0"/>
              <w:ind w:left="0" w:right="0" w:hanging="0"/>
              <w:rPr/>
            </w:pPr>
            <w:r>
              <w:rPr/>
              <w:t> </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9,218</w:t>
            </w:r>
          </w:p>
        </w:tc>
        <w:tc>
          <w:tcPr>
            <w:tcW w:w="215" w:type="dxa"/>
            <w:tcBorders/>
            <w:shd w:fill="CCEEFF" w:val="clear"/>
            <w:vAlign w:val="bottom"/>
          </w:tcPr>
          <w:p>
            <w:pPr>
              <w:pStyle w:val="TableContents"/>
              <w:spacing w:before="0" w:after="0"/>
              <w:ind w:left="0" w:right="0" w:hanging="0"/>
              <w:rPr/>
            </w:pPr>
            <w:r>
              <w:rPr/>
              <w:t> </w:t>
            </w:r>
          </w:p>
        </w:tc>
        <w:tc>
          <w:tcPr>
            <w:tcW w:w="1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7,694</w:t>
            </w:r>
          </w:p>
        </w:tc>
        <w:tc>
          <w:tcPr>
            <w:tcW w:w="119" w:type="dxa"/>
            <w:tcBorders/>
            <w:shd w:fill="CCEEFF" w:val="clear"/>
            <w:vAlign w:val="bottom"/>
          </w:tcPr>
          <w:p>
            <w:pPr>
              <w:pStyle w:val="TableContents"/>
              <w:spacing w:before="0" w:after="0"/>
              <w:ind w:left="0" w:right="0" w:hanging="0"/>
              <w:rPr/>
            </w:pPr>
            <w:r>
              <w:rPr/>
              <w:t> </w:t>
            </w:r>
          </w:p>
        </w:tc>
      </w:tr>
      <w:tr>
        <w:trPr/>
        <w:tc>
          <w:tcPr>
            <w:tcW w:w="724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06"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7249"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211"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06"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24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11"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8,502</w:t>
            </w:r>
          </w:p>
        </w:tc>
        <w:tc>
          <w:tcPr>
            <w:tcW w:w="215" w:type="dxa"/>
            <w:tcBorders/>
            <w:shd w:fill="auto" w:val="clear"/>
            <w:vAlign w:val="bottom"/>
          </w:tcPr>
          <w:p>
            <w:pPr>
              <w:pStyle w:val="TableContents"/>
              <w:spacing w:before="0" w:after="0"/>
              <w:ind w:left="0" w:right="0" w:hanging="0"/>
              <w:rPr/>
            </w:pPr>
            <w:r>
              <w:rPr/>
              <w:t> </w:t>
            </w:r>
          </w:p>
        </w:tc>
        <w:tc>
          <w:tcPr>
            <w:tcW w:w="12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7,079</w:t>
            </w:r>
          </w:p>
        </w:tc>
        <w:tc>
          <w:tcPr>
            <w:tcW w:w="119" w:type="dxa"/>
            <w:tcBorders/>
            <w:shd w:fill="auto" w:val="clear"/>
            <w:vAlign w:val="bottom"/>
          </w:tcPr>
          <w:p>
            <w:pPr>
              <w:pStyle w:val="TableContents"/>
              <w:spacing w:before="0" w:after="0"/>
              <w:ind w:left="0" w:right="0" w:hanging="0"/>
              <w:rPr/>
            </w:pPr>
            <w:r>
              <w:rPr/>
              <w:t> </w:t>
            </w:r>
          </w:p>
        </w:tc>
      </w:tr>
      <w:tr>
        <w:trPr/>
        <w:tc>
          <w:tcPr>
            <w:tcW w:w="7249"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Field operating costs </w:t>
            </w:r>
          </w:p>
        </w:tc>
        <w:tc>
          <w:tcPr>
            <w:tcW w:w="211"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215" w:type="dxa"/>
            <w:tcBorders/>
            <w:shd w:fill="CCEEFF" w:val="clear"/>
            <w:vAlign w:val="bottom"/>
          </w:tcPr>
          <w:p>
            <w:pPr>
              <w:pStyle w:val="TableContents"/>
              <w:spacing w:before="0" w:after="0"/>
              <w:ind w:left="0" w:right="0" w:hanging="0"/>
              <w:rPr/>
            </w:pPr>
            <w:r>
              <w:rPr/>
              <w:t> </w:t>
            </w:r>
          </w:p>
        </w:tc>
        <w:tc>
          <w:tcPr>
            <w:tcW w:w="12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197</w:t>
            </w:r>
          </w:p>
        </w:tc>
        <w:tc>
          <w:tcPr>
            <w:tcW w:w="119" w:type="dxa"/>
            <w:tcBorders/>
            <w:shd w:fill="CCEEFF" w:val="clear"/>
            <w:vAlign w:val="bottom"/>
          </w:tcPr>
          <w:p>
            <w:pPr>
              <w:pStyle w:val="TableContents"/>
              <w:spacing w:before="0" w:after="0"/>
              <w:ind w:left="0" w:right="0" w:hanging="0"/>
              <w:rPr/>
            </w:pPr>
            <w:r>
              <w:rPr/>
              <w:t> </w:t>
            </w:r>
          </w:p>
        </w:tc>
      </w:tr>
      <w:tr>
        <w:trPr/>
        <w:tc>
          <w:tcPr>
            <w:tcW w:w="72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General and administrative expenses </w:t>
            </w:r>
          </w:p>
        </w:tc>
        <w:tc>
          <w:tcPr>
            <w:tcW w:w="211"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15" w:type="dxa"/>
            <w:tcBorders/>
            <w:shd w:fill="auto" w:val="clear"/>
            <w:vAlign w:val="bottom"/>
          </w:tcPr>
          <w:p>
            <w:pPr>
              <w:pStyle w:val="TableContents"/>
              <w:spacing w:before="0" w:after="0"/>
              <w:ind w:left="0" w:right="0" w:hanging="0"/>
              <w:rPr/>
            </w:pPr>
            <w:r>
              <w:rPr/>
              <w:t> </w:t>
            </w:r>
          </w:p>
        </w:tc>
        <w:tc>
          <w:tcPr>
            <w:tcW w:w="12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119" w:type="dxa"/>
            <w:tcBorders/>
            <w:shd w:fill="auto" w:val="clear"/>
            <w:vAlign w:val="bottom"/>
          </w:tcPr>
          <w:p>
            <w:pPr>
              <w:pStyle w:val="TableContents"/>
              <w:spacing w:before="0" w:after="0"/>
              <w:ind w:left="0" w:right="0" w:hanging="0"/>
              <w:rPr/>
            </w:pPr>
            <w:r>
              <w:rPr/>
              <w:t> </w:t>
            </w:r>
          </w:p>
        </w:tc>
      </w:tr>
      <w:tr>
        <w:trPr/>
        <w:tc>
          <w:tcPr>
            <w:tcW w:w="72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1" w:type="dxa"/>
            <w:tcBorders/>
            <w:shd w:fill="CCEEFF" w:val="clear"/>
            <w:vAlign w:val="bottom"/>
          </w:tcPr>
          <w:p>
            <w:pPr>
              <w:pStyle w:val="TableContents"/>
              <w:spacing w:before="0" w:after="0"/>
              <w:ind w:left="0" w:right="0" w:hanging="0"/>
              <w:rPr/>
            </w:pPr>
            <w:r>
              <w:rPr/>
              <w:t> </w:t>
            </w:r>
          </w:p>
        </w:tc>
        <w:tc>
          <w:tcPr>
            <w:tcW w:w="12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15" w:type="dxa"/>
            <w:tcBorders/>
            <w:shd w:fill="CCEEFF" w:val="clear"/>
            <w:vAlign w:val="bottom"/>
          </w:tcPr>
          <w:p>
            <w:pPr>
              <w:pStyle w:val="TableContents"/>
              <w:spacing w:before="0" w:after="0"/>
              <w:ind w:left="0" w:right="0" w:hanging="0"/>
              <w:rPr/>
            </w:pPr>
            <w:r>
              <w:rPr/>
              <w:t> </w:t>
            </w:r>
          </w:p>
        </w:tc>
        <w:tc>
          <w:tcPr>
            <w:tcW w:w="12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19" w:type="dxa"/>
            <w:tcBorders/>
            <w:shd w:fill="CCEEFF" w:val="clear"/>
            <w:vAlign w:val="bottom"/>
          </w:tcPr>
          <w:p>
            <w:pPr>
              <w:pStyle w:val="TableContents"/>
              <w:spacing w:before="0" w:after="0"/>
              <w:ind w:left="0" w:right="0" w:hanging="0"/>
              <w:rPr/>
            </w:pPr>
            <w:r>
              <w:rPr/>
              <w:t> </w:t>
            </w:r>
          </w:p>
        </w:tc>
      </w:tr>
      <w:tr>
        <w:trPr/>
        <w:tc>
          <w:tcPr>
            <w:tcW w:w="7249"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Total costs and expenses </w:t>
            </w:r>
          </w:p>
        </w:tc>
        <w:tc>
          <w:tcPr>
            <w:tcW w:w="211" w:type="dxa"/>
            <w:tcBorders/>
            <w:shd w:fill="auto" w:val="clear"/>
            <w:vAlign w:val="bottom"/>
          </w:tcPr>
          <w:p>
            <w:pPr>
              <w:pStyle w:val="TableContents"/>
              <w:spacing w:before="0" w:after="0"/>
              <w:ind w:left="0" w:right="0" w:hanging="0"/>
              <w:rPr/>
            </w:pPr>
            <w:r>
              <w:rPr/>
              <w:t> </w:t>
            </w:r>
          </w:p>
        </w:tc>
        <w:tc>
          <w:tcPr>
            <w:tcW w:w="12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8,905</w:t>
            </w:r>
          </w:p>
        </w:tc>
        <w:tc>
          <w:tcPr>
            <w:tcW w:w="215" w:type="dxa"/>
            <w:tcBorders/>
            <w:shd w:fill="auto" w:val="clear"/>
            <w:vAlign w:val="bottom"/>
          </w:tcPr>
          <w:p>
            <w:pPr>
              <w:pStyle w:val="TableContents"/>
              <w:spacing w:before="0" w:after="0"/>
              <w:ind w:left="0" w:right="0" w:hanging="0"/>
              <w:rPr/>
            </w:pPr>
            <w:r>
              <w:rPr/>
              <w:t> </w:t>
            </w:r>
          </w:p>
        </w:tc>
        <w:tc>
          <w:tcPr>
            <w:tcW w:w="12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7,409</w:t>
            </w:r>
          </w:p>
        </w:tc>
        <w:tc>
          <w:tcPr>
            <w:tcW w:w="119" w:type="dxa"/>
            <w:tcBorders/>
            <w:shd w:fill="auto" w:val="clear"/>
            <w:vAlign w:val="bottom"/>
          </w:tcPr>
          <w:p>
            <w:pPr>
              <w:pStyle w:val="TableContents"/>
              <w:spacing w:before="0" w:after="0"/>
              <w:ind w:left="0" w:right="0" w:hanging="0"/>
              <w:rPr/>
            </w:pPr>
            <w:r>
              <w:rPr/>
              <w:t> </w:t>
            </w:r>
          </w:p>
        </w:tc>
      </w:tr>
      <w:tr>
        <w:trPr/>
        <w:tc>
          <w:tcPr>
            <w:tcW w:w="7249"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06"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24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211"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313</w:t>
            </w:r>
          </w:p>
        </w:tc>
        <w:tc>
          <w:tcPr>
            <w:tcW w:w="215" w:type="dxa"/>
            <w:tcBorders/>
            <w:shd w:fill="auto" w:val="clear"/>
            <w:vAlign w:val="bottom"/>
          </w:tcPr>
          <w:p>
            <w:pPr>
              <w:pStyle w:val="TableContents"/>
              <w:spacing w:before="0" w:after="0"/>
              <w:ind w:left="0" w:right="0" w:hanging="0"/>
              <w:rPr/>
            </w:pPr>
            <w:r>
              <w:rPr/>
              <w:t> </w:t>
            </w:r>
          </w:p>
        </w:tc>
        <w:tc>
          <w:tcPr>
            <w:tcW w:w="12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285</w:t>
            </w:r>
          </w:p>
        </w:tc>
        <w:tc>
          <w:tcPr>
            <w:tcW w:w="119" w:type="dxa"/>
            <w:tcBorders/>
            <w:shd w:fill="auto" w:val="clear"/>
            <w:vAlign w:val="bottom"/>
          </w:tcPr>
          <w:p>
            <w:pPr>
              <w:pStyle w:val="TableContents"/>
              <w:spacing w:before="0" w:after="0"/>
              <w:ind w:left="0" w:right="0" w:hanging="0"/>
              <w:rPr/>
            </w:pPr>
            <w:r>
              <w:rPr/>
              <w:t> </w:t>
            </w:r>
          </w:p>
        </w:tc>
      </w:tr>
      <w:tr>
        <w:trPr/>
        <w:tc>
          <w:tcPr>
            <w:tcW w:w="7249"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06"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24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211"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06"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72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11"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5" w:type="dxa"/>
            <w:tcBorders/>
            <w:shd w:fill="CCEEFF" w:val="clear"/>
            <w:vAlign w:val="bottom"/>
          </w:tcPr>
          <w:p>
            <w:pPr>
              <w:pStyle w:val="TableContents"/>
              <w:spacing w:before="0" w:after="0"/>
              <w:ind w:left="0" w:right="0" w:hanging="0"/>
              <w:rPr/>
            </w:pPr>
            <w:r>
              <w:rPr/>
              <w:t> </w:t>
            </w:r>
          </w:p>
        </w:tc>
        <w:tc>
          <w:tcPr>
            <w:tcW w:w="12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shd w:fill="CCEEFF" w:val="clear"/>
            <w:vAlign w:val="bottom"/>
          </w:tcPr>
          <w:p>
            <w:pPr>
              <w:pStyle w:val="TableContents"/>
              <w:spacing w:before="0" w:after="0"/>
              <w:ind w:left="0" w:right="0" w:hanging="0"/>
              <w:rPr/>
            </w:pPr>
            <w:r>
              <w:rPr/>
              <w:t> </w:t>
            </w:r>
          </w:p>
        </w:tc>
      </w:tr>
      <w:tr>
        <w:trPr/>
        <w:tc>
          <w:tcPr>
            <w:tcW w:w="72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11"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2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211" w:type="dxa"/>
            <w:tcBorders/>
            <w:shd w:fill="CCEEFF" w:val="clear"/>
            <w:vAlign w:val="bottom"/>
          </w:tcPr>
          <w:p>
            <w:pPr>
              <w:pStyle w:val="TableContents"/>
              <w:spacing w:before="0" w:after="0"/>
              <w:ind w:left="0" w:right="0" w:hanging="0"/>
              <w:rPr/>
            </w:pPr>
            <w:r>
              <w:rPr/>
              <w:t> </w:t>
            </w:r>
          </w:p>
        </w:tc>
        <w:tc>
          <w:tcPr>
            <w:tcW w:w="12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5" w:type="dxa"/>
            <w:tcBorders/>
            <w:shd w:fill="CCEEFF" w:val="clear"/>
            <w:vAlign w:val="bottom"/>
          </w:tcPr>
          <w:p>
            <w:pPr>
              <w:pStyle w:val="TableContents"/>
              <w:spacing w:before="0" w:after="0"/>
              <w:ind w:left="0" w:right="0" w:hanging="0"/>
              <w:rPr/>
            </w:pPr>
            <w:r>
              <w:rPr/>
              <w:t> </w:t>
            </w:r>
          </w:p>
        </w:tc>
        <w:tc>
          <w:tcPr>
            <w:tcW w:w="12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24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06"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724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211"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215" w:type="dxa"/>
            <w:tcBorders/>
            <w:shd w:fill="CCEEFF" w:val="clear"/>
            <w:vAlign w:val="bottom"/>
          </w:tcPr>
          <w:p>
            <w:pPr>
              <w:pStyle w:val="TableContents"/>
              <w:spacing w:before="0" w:after="0"/>
              <w:ind w:left="0" w:right="0" w:hanging="0"/>
              <w:rPr/>
            </w:pPr>
            <w:r>
              <w:rPr/>
              <w:t> </w:t>
            </w:r>
          </w:p>
        </w:tc>
        <w:tc>
          <w:tcPr>
            <w:tcW w:w="12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w:t>
            </w:r>
          </w:p>
        </w:tc>
        <w:tc>
          <w:tcPr>
            <w:tcW w:w="119" w:type="dxa"/>
            <w:tcBorders/>
            <w:shd w:fill="CCEEFF" w:val="clear"/>
            <w:vAlign w:val="bottom"/>
          </w:tcPr>
          <w:p>
            <w:pPr>
              <w:pStyle w:val="TableContents"/>
              <w:spacing w:before="0" w:after="0"/>
              <w:ind w:left="0" w:right="0" w:hanging="0"/>
              <w:rPr/>
            </w:pPr>
            <w:r>
              <w:rPr/>
              <w:t> </w:t>
            </w:r>
          </w:p>
        </w:tc>
      </w:tr>
      <w:tr>
        <w:trPr/>
        <w:tc>
          <w:tcPr>
            <w:tcW w:w="72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1"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2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expense</w:t>
            </w:r>
          </w:p>
        </w:tc>
        <w:tc>
          <w:tcPr>
            <w:tcW w:w="211" w:type="dxa"/>
            <w:tcBorders/>
            <w:shd w:fill="CCEEFF" w:val="clear"/>
            <w:vAlign w:val="bottom"/>
          </w:tcPr>
          <w:p>
            <w:pPr>
              <w:pStyle w:val="TableContents"/>
              <w:spacing w:before="0" w:after="0"/>
              <w:ind w:left="0" w:right="0" w:hanging="0"/>
              <w:rPr/>
            </w:pPr>
            <w:r>
              <w:rPr/>
              <w:t> </w:t>
            </w:r>
          </w:p>
        </w:tc>
        <w:tc>
          <w:tcPr>
            <w:tcW w:w="12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24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06"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7249"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11"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215" w:type="dxa"/>
            <w:tcBorders/>
            <w:shd w:fill="CCEEFF" w:val="clear"/>
            <w:vAlign w:val="bottom"/>
          </w:tcPr>
          <w:p>
            <w:pPr>
              <w:pStyle w:val="TableContents"/>
              <w:spacing w:before="0" w:after="0"/>
              <w:ind w:left="0" w:right="0" w:hanging="0"/>
              <w:rPr/>
            </w:pPr>
            <w:r>
              <w:rPr/>
              <w:t> </w:t>
            </w:r>
          </w:p>
        </w:tc>
        <w:tc>
          <w:tcPr>
            <w:tcW w:w="12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119" w:type="dxa"/>
            <w:tcBorders/>
            <w:shd w:fill="CCEEFF" w:val="clear"/>
            <w:vAlign w:val="bottom"/>
          </w:tcPr>
          <w:p>
            <w:pPr>
              <w:pStyle w:val="TableContents"/>
              <w:spacing w:before="0" w:after="0"/>
              <w:ind w:left="0" w:right="0" w:hanging="0"/>
              <w:rPr/>
            </w:pPr>
            <w:r>
              <w:rPr/>
              <w:t> </w:t>
            </w:r>
          </w:p>
        </w:tc>
      </w:tr>
      <w:tr>
        <w:trPr/>
        <w:tc>
          <w:tcPr>
            <w:tcW w:w="72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interests</w:t>
            </w:r>
          </w:p>
        </w:tc>
        <w:tc>
          <w:tcPr>
            <w:tcW w:w="211" w:type="dxa"/>
            <w:tcBorders/>
            <w:shd w:fill="auto" w:val="clear"/>
            <w:vAlign w:val="bottom"/>
          </w:tcPr>
          <w:p>
            <w:pPr>
              <w:pStyle w:val="TableContents"/>
              <w:spacing w:before="0" w:after="0"/>
              <w:ind w:left="0" w:right="0" w:hanging="0"/>
              <w:rPr/>
            </w:pPr>
            <w:r>
              <w:rPr/>
              <w:t> </w:t>
            </w:r>
          </w:p>
        </w:tc>
        <w:tc>
          <w:tcPr>
            <w:tcW w:w="12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24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1" w:type="dxa"/>
            <w:tcBorders/>
            <w:shd w:fill="CCEEFF" w:val="clear"/>
            <w:vAlign w:val="bottom"/>
          </w:tcPr>
          <w:p>
            <w:pPr>
              <w:pStyle w:val="TableContents"/>
              <w:spacing w:before="0" w:after="0"/>
              <w:ind w:left="0" w:right="0" w:hanging="0"/>
              <w:rPr/>
            </w:pPr>
            <w:r>
              <w:rPr/>
              <w:t> </w:t>
            </w:r>
          </w:p>
        </w:tc>
        <w:tc>
          <w:tcPr>
            <w:tcW w:w="12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215" w:type="dxa"/>
            <w:tcBorders/>
            <w:shd w:fill="CCEEFF" w:val="clear"/>
            <w:vAlign w:val="bottom"/>
          </w:tcPr>
          <w:p>
            <w:pPr>
              <w:pStyle w:val="TableContents"/>
              <w:spacing w:before="0" w:after="0"/>
              <w:ind w:left="0" w:right="0" w:hanging="0"/>
              <w:rPr/>
            </w:pPr>
            <w:r>
              <w:rPr/>
              <w:t> </w:t>
            </w:r>
          </w:p>
        </w:tc>
        <w:tc>
          <w:tcPr>
            <w:tcW w:w="12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w:t>
            </w:r>
          </w:p>
        </w:tc>
        <w:tc>
          <w:tcPr>
            <w:tcW w:w="119" w:type="dxa"/>
            <w:tcBorders/>
            <w:shd w:fill="CCEEFF" w:val="clear"/>
            <w:vAlign w:val="bottom"/>
          </w:tcPr>
          <w:p>
            <w:pPr>
              <w:pStyle w:val="TableContents"/>
              <w:spacing w:before="0" w:after="0"/>
              <w:ind w:left="0" w:right="0" w:hanging="0"/>
              <w:rPr/>
            </w:pPr>
            <w:r>
              <w:rPr/>
              <w:t> </w:t>
            </w:r>
          </w:p>
        </w:tc>
      </w:tr>
      <w:tr>
        <w:trPr/>
        <w:tc>
          <w:tcPr>
            <w:tcW w:w="724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06"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724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1" w:type="dxa"/>
            <w:tcBorders/>
            <w:shd w:fill="CCEEFF" w:val="clear"/>
            <w:vAlign w:val="bottom"/>
          </w:tcPr>
          <w:p>
            <w:pPr>
              <w:pStyle w:val="TableContents"/>
              <w:spacing w:before="0" w:after="0"/>
              <w:ind w:left="0" w:right="0" w:hanging="0"/>
              <w:rPr/>
            </w:pPr>
            <w:r>
              <w:rPr/>
              <w:t> </w:t>
            </w:r>
          </w:p>
        </w:tc>
        <w:tc>
          <w:tcPr>
            <w:tcW w:w="1205"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1206"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249" w:type="dxa"/>
            <w:tcBorders/>
            <w:shd w:fill="auto"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LIMITED PARTNERS</w:t>
            </w:r>
          </w:p>
        </w:tc>
        <w:tc>
          <w:tcPr>
            <w:tcW w:w="211" w:type="dxa"/>
            <w:tcBorders/>
            <w:shd w:fill="auto" w:val="clear"/>
            <w:vAlign w:val="bottom"/>
          </w:tcPr>
          <w:p>
            <w:pPr>
              <w:pStyle w:val="TableContents"/>
              <w:spacing w:before="0" w:after="0"/>
              <w:ind w:left="0" w:right="0" w:hanging="0"/>
              <w:rPr/>
            </w:pPr>
            <w:r>
              <w:rPr/>
              <w:t> </w:t>
            </w:r>
          </w:p>
        </w:tc>
        <w:tc>
          <w:tcPr>
            <w:tcW w:w="12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15" w:type="dxa"/>
            <w:tcBorders/>
            <w:shd w:fill="auto" w:val="clear"/>
            <w:vAlign w:val="bottom"/>
          </w:tcPr>
          <w:p>
            <w:pPr>
              <w:pStyle w:val="TableContents"/>
              <w:spacing w:before="0" w:after="0"/>
              <w:ind w:left="0" w:right="0" w:hanging="0"/>
              <w:rPr/>
            </w:pPr>
            <w:r>
              <w:rPr/>
              <w:t> </w:t>
            </w:r>
          </w:p>
        </w:tc>
        <w:tc>
          <w:tcPr>
            <w:tcW w:w="12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19" w:type="dxa"/>
            <w:tcBorders/>
            <w:shd w:fill="auto" w:val="clear"/>
            <w:vAlign w:val="bottom"/>
          </w:tcPr>
          <w:p>
            <w:pPr>
              <w:pStyle w:val="TableContents"/>
              <w:spacing w:before="0" w:after="0"/>
              <w:ind w:left="0" w:right="0" w:hanging="0"/>
              <w:rPr/>
            </w:pPr>
            <w:r>
              <w:rPr/>
              <w:t> </w:t>
            </w:r>
          </w:p>
        </w:tc>
      </w:tr>
      <w:tr>
        <w:trPr/>
        <w:tc>
          <w:tcPr>
            <w:tcW w:w="7249"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GENERAL PARTNER</w:t>
            </w:r>
          </w:p>
        </w:tc>
        <w:tc>
          <w:tcPr>
            <w:tcW w:w="211" w:type="dxa"/>
            <w:tcBorders/>
            <w:shd w:fill="CCEEFF" w:val="clear"/>
            <w:vAlign w:val="bottom"/>
          </w:tcPr>
          <w:p>
            <w:pPr>
              <w:pStyle w:val="TableContents"/>
              <w:spacing w:before="0" w:after="0"/>
              <w:ind w:left="0" w:right="0" w:hanging="0"/>
              <w:rPr/>
            </w:pPr>
            <w:r>
              <w:rPr/>
              <w:t> </w:t>
            </w:r>
          </w:p>
        </w:tc>
        <w:tc>
          <w:tcPr>
            <w:tcW w:w="12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215" w:type="dxa"/>
            <w:tcBorders/>
            <w:shd w:fill="CCEEFF" w:val="clear"/>
            <w:vAlign w:val="bottom"/>
          </w:tcPr>
          <w:p>
            <w:pPr>
              <w:pStyle w:val="TableContents"/>
              <w:spacing w:before="0" w:after="0"/>
              <w:ind w:left="0" w:right="0" w:hanging="0"/>
              <w:rPr/>
            </w:pPr>
            <w:r>
              <w:rPr/>
              <w:t> </w:t>
            </w:r>
          </w:p>
        </w:tc>
        <w:tc>
          <w:tcPr>
            <w:tcW w:w="12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119" w:type="dxa"/>
            <w:tcBorders/>
            <w:shd w:fill="CCEEFF" w:val="clear"/>
            <w:vAlign w:val="bottom"/>
          </w:tcPr>
          <w:p>
            <w:pPr>
              <w:pStyle w:val="TableContents"/>
              <w:spacing w:before="0" w:after="0"/>
              <w:ind w:left="0" w:right="0" w:hanging="0"/>
              <w:rPr/>
            </w:pPr>
            <w:r>
              <w:rPr/>
              <w:t> </w:t>
            </w:r>
          </w:p>
        </w:tc>
      </w:tr>
      <w:tr>
        <w:trPr/>
        <w:tc>
          <w:tcPr>
            <w:tcW w:w="724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06"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7249"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1" w:type="dxa"/>
            <w:tcBorders/>
            <w:shd w:fill="CCEEFF" w:val="clear"/>
            <w:vAlign w:val="bottom"/>
          </w:tcPr>
          <w:p>
            <w:pPr>
              <w:pStyle w:val="TableContents"/>
              <w:spacing w:before="0" w:after="0"/>
              <w:ind w:left="0" w:right="0" w:hanging="0"/>
              <w:rPr/>
            </w:pPr>
            <w:r>
              <w:rPr/>
              <w:t> </w:t>
            </w:r>
          </w:p>
        </w:tc>
        <w:tc>
          <w:tcPr>
            <w:tcW w:w="12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215" w:type="dxa"/>
            <w:tcBorders/>
            <w:shd w:fill="CCEEFF" w:val="clear"/>
            <w:vAlign w:val="bottom"/>
          </w:tcPr>
          <w:p>
            <w:pPr>
              <w:pStyle w:val="TableContents"/>
              <w:spacing w:before="0" w:after="0"/>
              <w:ind w:left="0" w:right="0" w:hanging="0"/>
              <w:rPr/>
            </w:pPr>
            <w:r>
              <w:rPr/>
              <w:t> </w:t>
            </w:r>
          </w:p>
        </w:tc>
        <w:tc>
          <w:tcPr>
            <w:tcW w:w="12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0.90</w:t>
            </w:r>
          </w:p>
        </w:tc>
        <w:tc>
          <w:tcPr>
            <w:tcW w:w="119" w:type="dxa"/>
            <w:tcBorders/>
            <w:shd w:fill="CCEEFF" w:val="clear"/>
            <w:vAlign w:val="bottom"/>
          </w:tcPr>
          <w:p>
            <w:pPr>
              <w:pStyle w:val="TableContents"/>
              <w:spacing w:before="0" w:after="0"/>
              <w:ind w:left="0" w:right="0" w:hanging="0"/>
              <w:rPr/>
            </w:pPr>
            <w:r>
              <w:rPr/>
              <w:t> </w:t>
            </w:r>
          </w:p>
        </w:tc>
      </w:tr>
      <w:tr>
        <w:trPr/>
        <w:tc>
          <w:tcPr>
            <w:tcW w:w="724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06"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7249"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1" w:type="dxa"/>
            <w:tcBorders/>
            <w:shd w:fill="CCEEFF" w:val="clear"/>
            <w:vAlign w:val="bottom"/>
          </w:tcPr>
          <w:p>
            <w:pPr>
              <w:pStyle w:val="TableContents"/>
              <w:spacing w:before="0" w:after="0"/>
              <w:ind w:left="0" w:right="0" w:hanging="0"/>
              <w:rPr/>
            </w:pPr>
            <w:r>
              <w:rPr/>
              <w:t> </w:t>
            </w:r>
          </w:p>
        </w:tc>
        <w:tc>
          <w:tcPr>
            <w:tcW w:w="12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15" w:type="dxa"/>
            <w:tcBorders/>
            <w:shd w:fill="CCEEFF" w:val="clear"/>
            <w:vAlign w:val="bottom"/>
          </w:tcPr>
          <w:p>
            <w:pPr>
              <w:pStyle w:val="TableContents"/>
              <w:spacing w:before="0" w:after="0"/>
              <w:ind w:left="0" w:right="0" w:hanging="0"/>
              <w:rPr/>
            </w:pPr>
            <w:r>
              <w:rPr/>
              <w:t> </w:t>
            </w:r>
          </w:p>
        </w:tc>
        <w:tc>
          <w:tcPr>
            <w:tcW w:w="12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0.90</w:t>
            </w:r>
          </w:p>
        </w:tc>
        <w:tc>
          <w:tcPr>
            <w:tcW w:w="119" w:type="dxa"/>
            <w:tcBorders/>
            <w:shd w:fill="CCEEFF" w:val="clear"/>
            <w:vAlign w:val="bottom"/>
          </w:tcPr>
          <w:p>
            <w:pPr>
              <w:pStyle w:val="TableContents"/>
              <w:spacing w:before="0" w:after="0"/>
              <w:ind w:left="0" w:right="0" w:hanging="0"/>
              <w:rPr/>
            </w:pPr>
            <w:r>
              <w:rPr/>
              <w:t> </w:t>
            </w:r>
          </w:p>
        </w:tc>
      </w:tr>
      <w:tr>
        <w:trPr/>
        <w:tc>
          <w:tcPr>
            <w:tcW w:w="724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06"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724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WEIGHTED AVERAGE UNITS OUTSTANDING</w:t>
            </w:r>
          </w:p>
        </w:tc>
        <w:tc>
          <w:tcPr>
            <w:tcW w:w="211" w:type="dxa"/>
            <w:tcBorders/>
            <w:shd w:fill="CCEEFF" w:val="clear"/>
            <w:vAlign w:val="bottom"/>
          </w:tcPr>
          <w:p>
            <w:pPr>
              <w:pStyle w:val="TableContents"/>
              <w:spacing w:before="0" w:after="0"/>
              <w:ind w:left="0" w:right="0" w:hanging="0"/>
              <w:rPr/>
            </w:pPr>
            <w:r>
              <w:rPr/>
              <w:t> </w:t>
            </w:r>
          </w:p>
        </w:tc>
        <w:tc>
          <w:tcPr>
            <w:tcW w:w="120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215" w:type="dxa"/>
            <w:tcBorders/>
            <w:shd w:fill="CCEEFF" w:val="clear"/>
            <w:vAlign w:val="bottom"/>
          </w:tcPr>
          <w:p>
            <w:pPr>
              <w:pStyle w:val="TableContents"/>
              <w:spacing w:before="0" w:after="0"/>
              <w:ind w:left="0" w:right="0" w:hanging="0"/>
              <w:rPr/>
            </w:pPr>
            <w:r>
              <w:rPr/>
              <w:t> </w:t>
            </w:r>
          </w:p>
        </w:tc>
        <w:tc>
          <w:tcPr>
            <w:tcW w:w="120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w:t>
            </w:r>
          </w:p>
        </w:tc>
        <w:tc>
          <w:tcPr>
            <w:tcW w:w="119" w:type="dxa"/>
            <w:tcBorders/>
            <w:shd w:fill="CCEEFF" w:val="clear"/>
            <w:vAlign w:val="bottom"/>
          </w:tcPr>
          <w:p>
            <w:pPr>
              <w:pStyle w:val="TableContents"/>
              <w:spacing w:before="0" w:after="0"/>
              <w:ind w:left="0" w:right="0" w:hanging="0"/>
              <w:rPr/>
            </w:pPr>
            <w:r>
              <w:rPr/>
              <w:t> </w:t>
            </w:r>
          </w:p>
        </w:tc>
      </w:tr>
      <w:tr>
        <w:trPr/>
        <w:tc>
          <w:tcPr>
            <w:tcW w:w="724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06"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724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WEIGHTED AVERAGE UNITS OUTSTANDING</w:t>
            </w:r>
          </w:p>
        </w:tc>
        <w:tc>
          <w:tcPr>
            <w:tcW w:w="211" w:type="dxa"/>
            <w:tcBorders/>
            <w:shd w:fill="CCEEFF" w:val="clear"/>
            <w:vAlign w:val="bottom"/>
          </w:tcPr>
          <w:p>
            <w:pPr>
              <w:pStyle w:val="TableContents"/>
              <w:spacing w:before="0" w:after="0"/>
              <w:ind w:left="0" w:right="0" w:hanging="0"/>
              <w:rPr/>
            </w:pPr>
            <w:r>
              <w:rPr/>
              <w:t> </w:t>
            </w:r>
          </w:p>
        </w:tc>
        <w:tc>
          <w:tcPr>
            <w:tcW w:w="120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w:t>
            </w:r>
          </w:p>
        </w:tc>
        <w:tc>
          <w:tcPr>
            <w:tcW w:w="215" w:type="dxa"/>
            <w:tcBorders/>
            <w:shd w:fill="CCEEFF" w:val="clear"/>
            <w:vAlign w:val="bottom"/>
          </w:tcPr>
          <w:p>
            <w:pPr>
              <w:pStyle w:val="TableContents"/>
              <w:spacing w:before="0" w:after="0"/>
              <w:ind w:left="0" w:right="0" w:hanging="0"/>
              <w:rPr/>
            </w:pPr>
            <w:r>
              <w:rPr/>
              <w:t> </w:t>
            </w:r>
          </w:p>
        </w:tc>
        <w:tc>
          <w:tcPr>
            <w:tcW w:w="120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119" w:type="dxa"/>
            <w:tcBorders/>
            <w:shd w:fill="CCEEFF" w:val="clear"/>
            <w:vAlign w:val="bottom"/>
          </w:tcPr>
          <w:p>
            <w:pPr>
              <w:pStyle w:val="TableContents"/>
              <w:spacing w:before="0" w:after="0"/>
              <w:ind w:left="0" w:right="0" w:hanging="0"/>
              <w:rPr/>
            </w:pPr>
            <w:r>
              <w:rPr/>
              <w:t> </w:t>
            </w:r>
          </w:p>
        </w:tc>
      </w:tr>
      <w:tr>
        <w:trPr/>
        <w:tc>
          <w:tcPr>
            <w:tcW w:w="724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05"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1206"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8</w:t>
      </w:r>
      <w:bookmarkStart w:id="20" w:name="PB_8_130316_141"/>
      <w:bookmarkEnd w:id="20"/>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221"/>
        <w:gridCol w:w="204"/>
        <w:gridCol w:w="1237"/>
        <w:gridCol w:w="204"/>
        <w:gridCol w:w="1237"/>
        <w:gridCol w:w="102"/>
      </w:tblGrid>
      <w:tr>
        <w:trPr/>
        <w:tc>
          <w:tcPr>
            <w:tcW w:w="7221"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2678"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02" w:type="dxa"/>
            <w:tcBorders/>
            <w:shd w:fill="auto" w:val="clear"/>
            <w:vAlign w:val="bottom"/>
          </w:tcPr>
          <w:p>
            <w:pPr>
              <w:pStyle w:val="TableContents"/>
              <w:spacing w:before="0" w:after="0"/>
              <w:ind w:left="0" w:right="0" w:hanging="0"/>
              <w:jc w:val="center"/>
              <w:rPr/>
            </w:pPr>
            <w:r>
              <w:rPr/>
              <w:t> </w:t>
            </w:r>
          </w:p>
        </w:tc>
      </w:tr>
      <w:tr>
        <w:trPr/>
        <w:tc>
          <w:tcPr>
            <w:tcW w:w="7221"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2678"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02" w:type="dxa"/>
            <w:tcBorders/>
            <w:shd w:fill="auto" w:val="clear"/>
            <w:vAlign w:val="bottom"/>
          </w:tcPr>
          <w:p>
            <w:pPr>
              <w:pStyle w:val="TableContents"/>
              <w:spacing w:before="0" w:after="0"/>
              <w:ind w:left="0" w:right="0" w:hanging="0"/>
              <w:jc w:val="center"/>
              <w:rPr/>
            </w:pPr>
            <w:r>
              <w:rPr/>
              <w:t> </w:t>
            </w:r>
          </w:p>
        </w:tc>
      </w:tr>
      <w:tr>
        <w:trPr/>
        <w:tc>
          <w:tcPr>
            <w:tcW w:w="7221" w:type="dxa"/>
            <w:tcBorders/>
            <w:shd w:fill="auto" w:val="clear"/>
            <w:vAlign w:val="bottom"/>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4" w:type="dxa"/>
            <w:tcBorders/>
            <w:shd w:fill="auto" w:val="clear"/>
            <w:vAlign w:val="bottom"/>
          </w:tcPr>
          <w:p>
            <w:pPr>
              <w:pStyle w:val="TableContents"/>
              <w:spacing w:before="0" w:after="0"/>
              <w:ind w:left="0" w:right="0" w:hanging="0"/>
              <w:jc w:val="center"/>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02" w:type="dxa"/>
            <w:tcBorders/>
            <w:shd w:fill="auto" w:val="clear"/>
            <w:vAlign w:val="bottom"/>
          </w:tcPr>
          <w:p>
            <w:pPr>
              <w:pStyle w:val="TableContents"/>
              <w:spacing w:before="0" w:after="0"/>
              <w:ind w:left="0" w:right="0" w:hanging="0"/>
              <w:jc w:val="center"/>
              <w:rPr/>
            </w:pPr>
            <w:r>
              <w:rPr/>
              <w:t> </w:t>
            </w:r>
          </w:p>
        </w:tc>
      </w:tr>
      <w:tr>
        <w:trPr/>
        <w:tc>
          <w:tcPr>
            <w:tcW w:w="7221" w:type="dxa"/>
            <w:tcBorders/>
            <w:shd w:fill="CCEEFF" w:val="clear"/>
            <w:vAlign w:val="center"/>
          </w:tcPr>
          <w:p>
            <w:pPr>
              <w:pStyle w:val="TableContents"/>
              <w:spacing w:before="0" w:after="0"/>
              <w:ind w:left="0" w:right="0" w:hanging="0"/>
              <w:rPr/>
            </w:pPr>
            <w:r>
              <w:rPr>
                <w:rFonts w:ascii="Times New Roman" w:hAnsi="Times New Roman"/>
                <w:b/>
                <w:sz w:val="17"/>
                <w:u w:val="single"/>
              </w:rPr>
              <w:t>OPERATING DATA</w:t>
            </w:r>
            <w:r>
              <w:rPr>
                <w:u w:val="single"/>
              </w:rPr>
              <w:t xml:space="preserve"> </w:t>
            </w:r>
            <w:r>
              <w:rPr>
                <w:sz w:val="11"/>
                <w:u w:val="single"/>
              </w:rPr>
              <w:t>(1)</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Transportation activities (Average Daily Volumes in thousands of barrels):</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Basin</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497</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427</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188</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 63/Line 2000</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pPr>
            <w:r>
              <w:rPr>
                <w:rFonts w:ascii="Times New Roman" w:hAnsi="Times New Roman"/>
                <w:sz w:val="17"/>
              </w:rPr>
              <w:t xml:space="preserve">Salt Lake City Area Systems </w:t>
            </w:r>
            <w:r>
              <w:rPr>
                <w:sz w:val="11"/>
              </w:rPr>
              <w:t>(2)</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pPr>
            <w:r>
              <w:rPr>
                <w:rFonts w:ascii="Times New Roman" w:hAnsi="Times New Roman"/>
                <w:sz w:val="17"/>
              </w:rPr>
              <w:t xml:space="preserve">Permian Basin Area Systems </w:t>
            </w:r>
            <w:r>
              <w:rPr>
                <w:sz w:val="11"/>
              </w:rPr>
              <w:t>(2)</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454</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392</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pPr>
            <w:r>
              <w:rPr>
                <w:rFonts w:ascii="Times New Roman" w:hAnsi="Times New Roman"/>
                <w:sz w:val="17"/>
              </w:rPr>
              <w:t xml:space="preserve">Mid-Continent Area Systems </w:t>
            </w:r>
            <w:r>
              <w:rPr>
                <w:sz w:val="11"/>
              </w:rPr>
              <w:t>(2)</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215</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4" w:type="dxa"/>
            <w:tcBorders/>
            <w:shd w:fill="CCEEFF" w:val="clear"/>
            <w:vAlign w:val="bottom"/>
          </w:tcPr>
          <w:p>
            <w:pPr>
              <w:pStyle w:val="TableContents"/>
              <w:spacing w:before="0" w:after="0"/>
              <w:ind w:left="0" w:right="0" w:hanging="0"/>
              <w:rPr/>
            </w:pPr>
            <w:r>
              <w:rPr/>
              <w:t> </w:t>
            </w:r>
          </w:p>
        </w:tc>
        <w:tc>
          <w:tcPr>
            <w:tcW w:w="12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1,109</w:t>
            </w:r>
          </w:p>
        </w:tc>
        <w:tc>
          <w:tcPr>
            <w:tcW w:w="204" w:type="dxa"/>
            <w:tcBorders/>
            <w:shd w:fill="CCEEFF" w:val="clear"/>
            <w:vAlign w:val="bottom"/>
          </w:tcPr>
          <w:p>
            <w:pPr>
              <w:pStyle w:val="TableContents"/>
              <w:spacing w:before="0" w:after="0"/>
              <w:ind w:left="0" w:right="0" w:hanging="0"/>
              <w:rPr/>
            </w:pPr>
            <w:r>
              <w:rPr/>
              <w:t> </w:t>
            </w:r>
          </w:p>
        </w:tc>
        <w:tc>
          <w:tcPr>
            <w:tcW w:w="12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1,020</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 total</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3,058</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2,904</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204" w:type="dxa"/>
            <w:tcBorders/>
            <w:shd w:fill="CCEEFF" w:val="clear"/>
            <w:vAlign w:val="bottom"/>
          </w:tcPr>
          <w:p>
            <w:pPr>
              <w:pStyle w:val="TableContents"/>
              <w:spacing w:before="0" w:after="0"/>
              <w:ind w:left="0" w:right="0" w:hanging="0"/>
              <w:rPr/>
            </w:pPr>
            <w:r>
              <w:rPr/>
              <w:t> </w:t>
            </w:r>
          </w:p>
        </w:tc>
        <w:tc>
          <w:tcPr>
            <w:tcW w:w="12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w:t>
            </w:r>
          </w:p>
        </w:tc>
        <w:tc>
          <w:tcPr>
            <w:tcW w:w="204" w:type="dxa"/>
            <w:tcBorders/>
            <w:shd w:fill="CCEEFF" w:val="clear"/>
            <w:vAlign w:val="bottom"/>
          </w:tcPr>
          <w:p>
            <w:pPr>
              <w:pStyle w:val="TableContents"/>
              <w:spacing w:before="0" w:after="0"/>
              <w:ind w:left="0" w:right="0" w:hanging="0"/>
              <w:rPr/>
            </w:pPr>
            <w:r>
              <w:rPr/>
              <w:t> </w:t>
            </w:r>
          </w:p>
        </w:tc>
        <w:tc>
          <w:tcPr>
            <w:tcW w:w="12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activities total</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3,166</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3,003</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pPr>
            <w:r>
              <w:rPr/>
              <w:t> </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Facilities activities (Average Monthly Volumes):</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NGL storage (average monthly capacity in millions of barrels)</w:t>
            </w:r>
          </w:p>
        </w:tc>
        <w:tc>
          <w:tcPr>
            <w:tcW w:w="204" w:type="dxa"/>
            <w:tcBorders/>
            <w:shd w:fill="CCEEFF" w:val="clear"/>
            <w:vAlign w:val="bottom"/>
          </w:tcPr>
          <w:p>
            <w:pPr>
              <w:pStyle w:val="TableContents"/>
              <w:spacing w:before="0" w:after="0"/>
              <w:ind w:left="0" w:right="0" w:hanging="0"/>
              <w:rPr/>
            </w:pPr>
            <w:r>
              <w:rPr/>
              <w:t> </w:t>
            </w:r>
          </w:p>
        </w:tc>
        <w:tc>
          <w:tcPr>
            <w:tcW w:w="12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204" w:type="dxa"/>
            <w:tcBorders/>
            <w:shd w:fill="CCEEFF" w:val="clear"/>
            <w:vAlign w:val="bottom"/>
          </w:tcPr>
          <w:p>
            <w:pPr>
              <w:pStyle w:val="TableContents"/>
              <w:spacing w:before="0" w:after="0"/>
              <w:ind w:left="0" w:right="0" w:hanging="0"/>
              <w:rPr/>
            </w:pPr>
            <w:r>
              <w:rPr/>
              <w:t> </w:t>
            </w:r>
          </w:p>
        </w:tc>
        <w:tc>
          <w:tcPr>
            <w:tcW w:w="12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 storage (average monthly capacity in billions of cubic feet)</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fractionation (average throughput in thousands of barrels per day)</w:t>
            </w:r>
          </w:p>
        </w:tc>
        <w:tc>
          <w:tcPr>
            <w:tcW w:w="204" w:type="dxa"/>
            <w:tcBorders/>
            <w:shd w:fill="CCEEFF" w:val="clear"/>
            <w:vAlign w:val="bottom"/>
          </w:tcPr>
          <w:p>
            <w:pPr>
              <w:pStyle w:val="TableContents"/>
              <w:spacing w:before="0" w:after="0"/>
              <w:ind w:left="0" w:right="0" w:hanging="0"/>
              <w:rPr/>
            </w:pPr>
            <w:r>
              <w:rPr/>
              <w:t> </w:t>
            </w:r>
          </w:p>
        </w:tc>
        <w:tc>
          <w:tcPr>
            <w:tcW w:w="12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04" w:type="dxa"/>
            <w:tcBorders/>
            <w:shd w:fill="CCEEFF" w:val="clear"/>
            <w:vAlign w:val="bottom"/>
          </w:tcPr>
          <w:p>
            <w:pPr>
              <w:pStyle w:val="TableContents"/>
              <w:spacing w:before="0" w:after="0"/>
              <w:ind w:left="0" w:right="0" w:hanging="0"/>
              <w:rPr/>
            </w:pPr>
            <w:r>
              <w:rPr/>
              <w:t> </w:t>
            </w:r>
          </w:p>
        </w:tc>
        <w:tc>
          <w:tcPr>
            <w:tcW w:w="123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pPr>
            <w:r>
              <w:rPr>
                <w:rFonts w:ascii="Times New Roman" w:hAnsi="Times New Roman"/>
                <w:sz w:val="17"/>
              </w:rPr>
              <w:t xml:space="preserve">Facilities activities total (average monthly capacity in millions of barrels) </w:t>
            </w:r>
            <w:r>
              <w:rPr>
                <w:sz w:val="11"/>
              </w:rPr>
              <w:t>(3)</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center"/>
          </w:tcPr>
          <w:p>
            <w:pPr>
              <w:pStyle w:val="TableContents"/>
              <w:spacing w:before="0" w:after="0"/>
              <w:ind w:left="0" w:right="0" w:hanging="0"/>
              <w:rPr/>
            </w:pPr>
            <w:r>
              <w:rPr/>
              <w:t> </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Supply and Logistics activities (Average Daily Volumes in thousands of barrels):</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798</w:t>
            </w:r>
          </w:p>
        </w:tc>
        <w:tc>
          <w:tcPr>
            <w:tcW w:w="204"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723</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NGL sales </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204"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102" w:type="dxa"/>
            <w:tcBorders/>
            <w:shd w:fill="auto" w:val="clear"/>
            <w:vAlign w:val="bottom"/>
          </w:tcPr>
          <w:p>
            <w:pPr>
              <w:pStyle w:val="TableContents"/>
              <w:spacing w:before="0" w:after="0"/>
              <w:ind w:left="0" w:right="0" w:hanging="0"/>
              <w:rPr/>
            </w:pPr>
            <w:r>
              <w:rPr/>
              <w:t> </w:t>
            </w:r>
          </w:p>
        </w:tc>
      </w:tr>
      <w:tr>
        <w:trPr/>
        <w:tc>
          <w:tcPr>
            <w:tcW w:w="72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Waterborne cargos</w:t>
            </w:r>
          </w:p>
        </w:tc>
        <w:tc>
          <w:tcPr>
            <w:tcW w:w="204" w:type="dxa"/>
            <w:tcBorders/>
            <w:shd w:fill="CCEEFF" w:val="clear"/>
            <w:vAlign w:val="bottom"/>
          </w:tcPr>
          <w:p>
            <w:pPr>
              <w:pStyle w:val="TableContents"/>
              <w:spacing w:before="0" w:after="0"/>
              <w:ind w:left="0" w:right="0" w:hanging="0"/>
              <w:rPr/>
            </w:pPr>
            <w:r>
              <w:rPr/>
              <w:t> </w:t>
            </w:r>
          </w:p>
        </w:tc>
        <w:tc>
          <w:tcPr>
            <w:tcW w:w="12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4" w:type="dxa"/>
            <w:tcBorders/>
            <w:shd w:fill="CCEEFF" w:val="clear"/>
            <w:vAlign w:val="bottom"/>
          </w:tcPr>
          <w:p>
            <w:pPr>
              <w:pStyle w:val="TableContents"/>
              <w:spacing w:before="0" w:after="0"/>
              <w:ind w:left="0" w:right="0" w:hanging="0"/>
              <w:rPr/>
            </w:pPr>
            <w:r>
              <w:rPr/>
              <w:t> </w:t>
            </w:r>
          </w:p>
        </w:tc>
        <w:tc>
          <w:tcPr>
            <w:tcW w:w="12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02" w:type="dxa"/>
            <w:tcBorders/>
            <w:shd w:fill="CCEEFF" w:val="clear"/>
            <w:vAlign w:val="bottom"/>
          </w:tcPr>
          <w:p>
            <w:pPr>
              <w:pStyle w:val="TableContents"/>
              <w:spacing w:before="0" w:after="0"/>
              <w:ind w:left="0" w:right="0" w:hanging="0"/>
              <w:rPr/>
            </w:pPr>
            <w:r>
              <w:rPr/>
              <w:t> </w:t>
            </w:r>
          </w:p>
        </w:tc>
      </w:tr>
      <w:tr>
        <w:trPr/>
        <w:tc>
          <w:tcPr>
            <w:tcW w:w="72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activities total</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932</w:t>
            </w:r>
          </w:p>
        </w:tc>
        <w:tc>
          <w:tcPr>
            <w:tcW w:w="204"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900</w:t>
            </w:r>
          </w:p>
        </w:tc>
        <w:tc>
          <w:tcPr>
            <w:tcW w:w="10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307"/>
        <w:gridCol w:w="9898"/>
      </w:tblGrid>
      <w:tr>
        <w:trPr/>
        <w:tc>
          <w:tcPr>
            <w:tcW w:w="307"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989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Volumes associated with acquisitions represent total volumes for the number of days or months (dependent on the calculation) we actually owned the assets divided by the number of days or months in the period.</w:t>
            </w:r>
          </w:p>
        </w:tc>
      </w:tr>
      <w:tr>
        <w:trPr/>
        <w:tc>
          <w:tcPr>
            <w:tcW w:w="307"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989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aggregate of multiple systems in the respective areas.</w:t>
            </w:r>
          </w:p>
        </w:tc>
      </w:tr>
      <w:tr>
        <w:trPr/>
        <w:tc>
          <w:tcPr>
            <w:tcW w:w="307"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(3)</w:t>
            </w:r>
          </w:p>
        </w:tc>
        <w:tc>
          <w:tcPr>
            <w:tcW w:w="989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Facilities total is calculated as the sum of: (i) crude oil, refined products and NGL storage capacity; (ii) natural gas capacity divided by 6 to account for the 6:1 mcf of gas to crude Btu equivalent ratio and further divided by 1,000 to convert to monthly volumes in millions; and (iii) NGL fractionation volumes multiplied by the number of days in the period and divided by the number of months in the period.</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9</w:t>
      </w:r>
      <w:bookmarkStart w:id="21" w:name="PB_9_130330_7608"/>
      <w:bookmarkEnd w:id="21"/>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CONDENSED CONSOLIDATED BALANCE SHEET DATA</w:t>
      </w:r>
    </w:p>
    <w:p>
      <w:pPr>
        <w:pStyle w:val="TextBody"/>
        <w:spacing w:before="0" w:after="0"/>
        <w:ind w:left="0" w:right="0" w:hanging="0"/>
        <w:rPr>
          <w:rFonts w:ascii="Times New Roman" w:hAnsi="Times New Roman"/>
          <w:sz w:val="17"/>
        </w:rPr>
      </w:pPr>
      <w:r>
        <w:rPr>
          <w:rFonts w:ascii="Times New Roman" w:hAnsi="Times New Roman"/>
          <w:sz w:val="17"/>
        </w:rPr>
        <w:t xml:space="preserve">(in millions)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05"/>
        <w:gridCol w:w="212"/>
        <w:gridCol w:w="130"/>
        <w:gridCol w:w="1126"/>
        <w:gridCol w:w="212"/>
        <w:gridCol w:w="138"/>
        <w:gridCol w:w="1163"/>
        <w:gridCol w:w="119"/>
      </w:tblGrid>
      <w:tr>
        <w:trPr/>
        <w:tc>
          <w:tcPr>
            <w:tcW w:w="710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25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212" w:type="dxa"/>
            <w:tcBorders/>
            <w:shd w:fill="auto" w:val="clear"/>
            <w:vAlign w:val="bottom"/>
          </w:tcPr>
          <w:p>
            <w:pPr>
              <w:pStyle w:val="TableContents"/>
              <w:spacing w:before="0" w:after="0"/>
              <w:ind w:left="0" w:right="0" w:hanging="0"/>
              <w:jc w:val="center"/>
              <w:rPr/>
            </w:pPr>
            <w:r>
              <w:rPr/>
              <w:t> </w:t>
            </w:r>
          </w:p>
        </w:tc>
        <w:tc>
          <w:tcPr>
            <w:tcW w:w="130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19" w:type="dxa"/>
            <w:tcBorders/>
            <w:shd w:fill="auto" w:val="clear"/>
            <w:vAlign w:val="bottom"/>
          </w:tcPr>
          <w:p>
            <w:pPr>
              <w:pStyle w:val="TableContents"/>
              <w:spacing w:before="0" w:after="0"/>
              <w:ind w:left="0" w:right="0" w:hanging="0"/>
              <w:jc w:val="center"/>
              <w:rPr/>
            </w:pPr>
            <w:r>
              <w:rPr/>
              <w:t> </w:t>
            </w:r>
          </w:p>
        </w:tc>
      </w:tr>
      <w:tr>
        <w:trPr/>
        <w:tc>
          <w:tcPr>
            <w:tcW w:w="7105"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2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2" w:type="dxa"/>
            <w:tcBorders/>
            <w:shd w:fill="auto" w:val="clear"/>
            <w:vAlign w:val="bottom"/>
          </w:tcPr>
          <w:p>
            <w:pPr>
              <w:pStyle w:val="TableContents"/>
              <w:spacing w:before="0" w:after="0"/>
              <w:ind w:left="0" w:right="0" w:hanging="0"/>
              <w:jc w:val="center"/>
              <w:rPr/>
            </w:pPr>
            <w:r>
              <w:rPr/>
              <w:t> </w:t>
            </w:r>
          </w:p>
        </w:tc>
        <w:tc>
          <w:tcPr>
            <w:tcW w:w="13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19" w:type="dxa"/>
            <w:tcBorders/>
            <w:shd w:fill="auto" w:val="clear"/>
            <w:vAlign w:val="bottom"/>
          </w:tcPr>
          <w:p>
            <w:pPr>
              <w:pStyle w:val="TableContents"/>
              <w:spacing w:before="0" w:after="0"/>
              <w:ind w:left="0" w:right="0" w:hanging="0"/>
              <w:jc w:val="center"/>
              <w:rPr/>
            </w:pPr>
            <w:r>
              <w:rPr/>
              <w:t> </w:t>
            </w:r>
          </w:p>
        </w:tc>
      </w:tr>
      <w:tr>
        <w:trPr/>
        <w:tc>
          <w:tcPr>
            <w:tcW w:w="7105"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assets</w:t>
            </w:r>
          </w:p>
        </w:tc>
        <w:tc>
          <w:tcPr>
            <w:tcW w:w="212" w:type="dxa"/>
            <w:tcBorders/>
            <w:shd w:fill="auto" w:val="clear"/>
            <w:vAlign w:val="bottom"/>
          </w:tcPr>
          <w:p>
            <w:pPr>
              <w:pStyle w:val="TableContents"/>
              <w:spacing w:before="0" w:after="0"/>
              <w:ind w:left="0" w:right="0" w:hanging="0"/>
              <w:rPr/>
            </w:pPr>
            <w:r>
              <w:rPr/>
              <w:t> </w:t>
            </w:r>
          </w:p>
        </w:tc>
        <w:tc>
          <w:tcPr>
            <w:tcW w:w="1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4,166</w:t>
            </w:r>
          </w:p>
        </w:tc>
        <w:tc>
          <w:tcPr>
            <w:tcW w:w="212"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4,351</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Property and equipment, net</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7,975</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7,740</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1,879</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1,854</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pPr>
            <w:r>
              <w:rPr>
                <w:rFonts w:ascii="Times New Roman" w:hAnsi="Times New Roman"/>
                <w:sz w:val="17"/>
              </w:rPr>
              <w:t xml:space="preserve">Restricted cash </w:t>
            </w:r>
            <w:r>
              <w:rPr>
                <w:sz w:val="11"/>
              </w:rPr>
              <w:t>(1)</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1,632</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Linefill and base gas</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577</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564</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Investments in unconsolidated entities</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191</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net</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546</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12" w:type="dxa"/>
            <w:tcBorders/>
            <w:shd w:fill="auto" w:val="clear"/>
            <w:vAlign w:val="bottom"/>
          </w:tcPr>
          <w:p>
            <w:pPr>
              <w:pStyle w:val="TableContents"/>
              <w:spacing w:before="0" w:after="0"/>
              <w:ind w:left="0" w:right="0" w:hanging="0"/>
              <w:rPr/>
            </w:pPr>
            <w:r>
              <w:rPr/>
              <w:t> </w:t>
            </w:r>
          </w:p>
        </w:tc>
        <w:tc>
          <w:tcPr>
            <w:tcW w:w="13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17,081</w:t>
            </w:r>
          </w:p>
        </w:tc>
        <w:tc>
          <w:tcPr>
            <w:tcW w:w="212"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15,381</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pPr>
            <w:r>
              <w:rPr/>
              <w:t> </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liabilities</w:t>
            </w:r>
          </w:p>
        </w:tc>
        <w:tc>
          <w:tcPr>
            <w:tcW w:w="212" w:type="dxa"/>
            <w:tcBorders/>
            <w:shd w:fill="CCEEFF" w:val="clear"/>
            <w:vAlign w:val="bottom"/>
          </w:tcPr>
          <w:p>
            <w:pPr>
              <w:pStyle w:val="TableContents"/>
              <w:spacing w:before="0" w:after="0"/>
              <w:ind w:left="0" w:right="0" w:hanging="0"/>
              <w:rPr/>
            </w:pPr>
            <w:r>
              <w:rPr/>
              <w:t> </w:t>
            </w:r>
          </w:p>
        </w:tc>
        <w:tc>
          <w:tcPr>
            <w:tcW w:w="1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4,442</w:t>
            </w:r>
          </w:p>
        </w:tc>
        <w:tc>
          <w:tcPr>
            <w:tcW w:w="212" w:type="dxa"/>
            <w:tcBorders/>
            <w:shd w:fill="CCEEFF" w:val="clear"/>
            <w:vAlign w:val="bottom"/>
          </w:tcPr>
          <w:p>
            <w:pPr>
              <w:pStyle w:val="TableContents"/>
              <w:spacing w:before="0" w:after="0"/>
              <w:ind w:left="0" w:right="0" w:hanging="0"/>
              <w:rPr/>
            </w:pPr>
            <w:r>
              <w:rPr/>
              <w:t> </w:t>
            </w:r>
          </w:p>
        </w:tc>
        <w:tc>
          <w:tcPr>
            <w:tcW w:w="13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4,511</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5,510</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4,262</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258</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376</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liabilities</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10,568</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9,407</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shd w:fill="auto" w:val="clear"/>
            <w:vAlign w:val="bottom"/>
          </w:tcPr>
          <w:p>
            <w:pPr>
              <w:pStyle w:val="TableContents"/>
              <w:spacing w:before="0" w:after="0"/>
              <w:ind w:left="0" w:right="0" w:hanging="0"/>
              <w:jc w:val="right"/>
              <w:rPr/>
            </w:pPr>
            <w:r>
              <w:rPr/>
              <w:t> </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Partners capital excluding noncontrolling interests</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5,997</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5,450</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Noncontrolling interests</w:t>
            </w:r>
          </w:p>
        </w:tc>
        <w:tc>
          <w:tcPr>
            <w:tcW w:w="212" w:type="dxa"/>
            <w:tcBorders/>
            <w:shd w:fill="auto" w:val="clear"/>
            <w:vAlign w:val="bottom"/>
          </w:tcPr>
          <w:p>
            <w:pPr>
              <w:pStyle w:val="TableContents"/>
              <w:spacing w:before="0" w:after="0"/>
              <w:ind w:left="0" w:right="0" w:hanging="0"/>
              <w:rPr/>
            </w:pPr>
            <w:r>
              <w:rPr/>
              <w:t> </w:t>
            </w:r>
          </w:p>
        </w:tc>
        <w:tc>
          <w:tcPr>
            <w:tcW w:w="12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212" w:type="dxa"/>
            <w:tcBorders/>
            <w:shd w:fill="auto" w:val="clear"/>
            <w:vAlign w:val="bottom"/>
          </w:tcPr>
          <w:p>
            <w:pPr>
              <w:pStyle w:val="TableContents"/>
              <w:spacing w:before="0" w:after="0"/>
              <w:ind w:left="0" w:right="0" w:hanging="0"/>
              <w:rPr/>
            </w:pPr>
            <w:r>
              <w:rPr/>
              <w:t> </w:t>
            </w:r>
          </w:p>
        </w:tc>
        <w:tc>
          <w:tcPr>
            <w:tcW w:w="13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w:t>
            </w:r>
          </w:p>
        </w:tc>
        <w:tc>
          <w:tcPr>
            <w:tcW w:w="119" w:type="dxa"/>
            <w:tcBorders/>
            <w:shd w:fill="auto" w:val="clear"/>
            <w:vAlign w:val="bottom"/>
          </w:tcPr>
          <w:p>
            <w:pPr>
              <w:pStyle w:val="TableContents"/>
              <w:spacing w:before="0" w:after="0"/>
              <w:ind w:left="0" w:right="0" w:hanging="0"/>
              <w:rPr/>
            </w:pPr>
            <w:r>
              <w:rPr/>
              <w:t> </w:t>
            </w:r>
          </w:p>
        </w:tc>
      </w:tr>
      <w:tr>
        <w:trPr/>
        <w:tc>
          <w:tcPr>
            <w:tcW w:w="710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partners capital</w:t>
            </w:r>
          </w:p>
        </w:tc>
        <w:tc>
          <w:tcPr>
            <w:tcW w:w="212" w:type="dxa"/>
            <w:tcBorders/>
            <w:shd w:fill="CCEEFF" w:val="clear"/>
            <w:vAlign w:val="bottom"/>
          </w:tcPr>
          <w:p>
            <w:pPr>
              <w:pStyle w:val="TableContents"/>
              <w:spacing w:before="0" w:after="0"/>
              <w:ind w:left="0" w:right="0" w:hanging="0"/>
              <w:rPr/>
            </w:pPr>
            <w:r>
              <w:rPr/>
              <w:t> </w:t>
            </w:r>
          </w:p>
        </w:tc>
        <w:tc>
          <w:tcPr>
            <w:tcW w:w="125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6,513</w:t>
            </w:r>
          </w:p>
        </w:tc>
        <w:tc>
          <w:tcPr>
            <w:tcW w:w="212" w:type="dxa"/>
            <w:tcBorders/>
            <w:shd w:fill="CCEEFF" w:val="clear"/>
            <w:vAlign w:val="bottom"/>
          </w:tcPr>
          <w:p>
            <w:pPr>
              <w:pStyle w:val="TableContents"/>
              <w:spacing w:before="0" w:after="0"/>
              <w:ind w:left="0" w:right="0" w:hanging="0"/>
              <w:rPr/>
            </w:pPr>
            <w:r>
              <w:rPr/>
              <w:t> </w:t>
            </w:r>
          </w:p>
        </w:tc>
        <w:tc>
          <w:tcPr>
            <w:tcW w:w="13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5,974</w:t>
            </w:r>
          </w:p>
        </w:tc>
        <w:tc>
          <w:tcPr>
            <w:tcW w:w="119" w:type="dxa"/>
            <w:tcBorders/>
            <w:shd w:fill="CCEEFF" w:val="clear"/>
            <w:vAlign w:val="bottom"/>
          </w:tcPr>
          <w:p>
            <w:pPr>
              <w:pStyle w:val="TableContents"/>
              <w:spacing w:before="0" w:after="0"/>
              <w:ind w:left="0" w:right="0" w:hanging="0"/>
              <w:rPr/>
            </w:pPr>
            <w:r>
              <w:rPr/>
              <w:t> </w:t>
            </w:r>
          </w:p>
        </w:tc>
      </w:tr>
      <w:tr>
        <w:trPr/>
        <w:tc>
          <w:tcPr>
            <w:tcW w:w="710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212" w:type="dxa"/>
            <w:tcBorders/>
            <w:shd w:fill="auto" w:val="clear"/>
            <w:vAlign w:val="bottom"/>
          </w:tcPr>
          <w:p>
            <w:pPr>
              <w:pStyle w:val="TableContents"/>
              <w:spacing w:before="0" w:after="0"/>
              <w:ind w:left="0" w:right="0" w:hanging="0"/>
              <w:rPr/>
            </w:pPr>
            <w:r>
              <w:rPr/>
              <w:t> </w:t>
            </w:r>
          </w:p>
        </w:tc>
        <w:tc>
          <w:tcPr>
            <w:tcW w:w="13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17,081</w:t>
            </w:r>
          </w:p>
        </w:tc>
        <w:tc>
          <w:tcPr>
            <w:tcW w:w="212" w:type="dxa"/>
            <w:tcBorders/>
            <w:shd w:fill="auto" w:val="clear"/>
            <w:vAlign w:val="bottom"/>
          </w:tcPr>
          <w:p>
            <w:pPr>
              <w:pStyle w:val="TableContents"/>
              <w:spacing w:before="0" w:after="0"/>
              <w:ind w:left="0" w:right="0" w:hanging="0"/>
              <w:rPr/>
            </w:pPr>
            <w:r>
              <w:rPr/>
              <w:t> </w:t>
            </w:r>
          </w:p>
        </w:tc>
        <w:tc>
          <w:tcPr>
            <w:tcW w:w="13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15,381</w:t>
            </w:r>
          </w:p>
        </w:tc>
        <w:tc>
          <w:tcPr>
            <w:tcW w:w="119"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989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Restricted cash is associated with the BP NGL Acquisition, which was completed on April 1, 2012.</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10</w:t>
      </w:r>
      <w:bookmarkStart w:id="22" w:name="PB_10_130909_8146"/>
      <w:bookmarkEnd w:id="22"/>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CREDIT RATIOS</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942"/>
        <w:gridCol w:w="211"/>
        <w:gridCol w:w="139"/>
        <w:gridCol w:w="1149"/>
        <w:gridCol w:w="251"/>
        <w:gridCol w:w="150"/>
        <w:gridCol w:w="1200"/>
        <w:gridCol w:w="163"/>
      </w:tblGrid>
      <w:tr>
        <w:trPr/>
        <w:tc>
          <w:tcPr>
            <w:tcW w:w="6942"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8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251" w:type="dxa"/>
            <w:tcBorders/>
            <w:shd w:fill="auto" w:val="clear"/>
            <w:vAlign w:val="bottom"/>
          </w:tcPr>
          <w:p>
            <w:pPr>
              <w:pStyle w:val="TableContents"/>
              <w:spacing w:before="0" w:after="0"/>
              <w:ind w:left="0" w:right="0" w:hanging="0"/>
              <w:jc w:val="center"/>
              <w:rPr/>
            </w:pPr>
            <w:r>
              <w:rPr/>
              <w:t> </w:t>
            </w:r>
          </w:p>
        </w:tc>
        <w:tc>
          <w:tcPr>
            <w:tcW w:w="135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63" w:type="dxa"/>
            <w:tcBorders/>
            <w:shd w:fill="auto" w:val="clear"/>
            <w:vAlign w:val="bottom"/>
          </w:tcPr>
          <w:p>
            <w:pPr>
              <w:pStyle w:val="TableContents"/>
              <w:spacing w:before="0" w:after="0"/>
              <w:ind w:left="0" w:right="0" w:hanging="0"/>
              <w:jc w:val="center"/>
              <w:rPr/>
            </w:pPr>
            <w:r>
              <w:rPr/>
              <w:t> </w:t>
            </w:r>
          </w:p>
        </w:tc>
      </w:tr>
      <w:tr>
        <w:trPr/>
        <w:tc>
          <w:tcPr>
            <w:tcW w:w="6942"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28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51" w:type="dxa"/>
            <w:tcBorders/>
            <w:shd w:fill="auto" w:val="clear"/>
            <w:vAlign w:val="bottom"/>
          </w:tcPr>
          <w:p>
            <w:pPr>
              <w:pStyle w:val="TableContents"/>
              <w:spacing w:before="0" w:after="0"/>
              <w:ind w:left="0" w:right="0" w:hanging="0"/>
              <w:jc w:val="center"/>
              <w:rPr/>
            </w:pPr>
            <w:r>
              <w:rPr/>
              <w:t> </w:t>
            </w:r>
          </w:p>
        </w:tc>
        <w:tc>
          <w:tcPr>
            <w:tcW w:w="135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63" w:type="dxa"/>
            <w:tcBorders/>
            <w:shd w:fill="auto" w:val="clear"/>
            <w:vAlign w:val="bottom"/>
          </w:tcPr>
          <w:p>
            <w:pPr>
              <w:pStyle w:val="TableContents"/>
              <w:spacing w:before="0" w:after="0"/>
              <w:ind w:left="0" w:right="0" w:hanging="0"/>
              <w:jc w:val="center"/>
              <w:rPr/>
            </w:pPr>
            <w:r>
              <w:rPr/>
              <w:t> </w:t>
            </w:r>
          </w:p>
        </w:tc>
      </w:tr>
      <w:tr>
        <w:trPr/>
        <w:tc>
          <w:tcPr>
            <w:tcW w:w="69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Short-term debt</w:t>
            </w:r>
          </w:p>
        </w:tc>
        <w:tc>
          <w:tcPr>
            <w:tcW w:w="211" w:type="dxa"/>
            <w:tcBorders/>
            <w:shd w:fill="CCEEFF" w:val="clear"/>
            <w:vAlign w:val="bottom"/>
          </w:tcPr>
          <w:p>
            <w:pPr>
              <w:pStyle w:val="TableContents"/>
              <w:spacing w:before="0" w:after="0"/>
              <w:ind w:left="0" w:right="0" w:hanging="0"/>
              <w:rPr/>
            </w:pPr>
            <w:r>
              <w:rPr/>
              <w:t> </w:t>
            </w:r>
          </w:p>
        </w:tc>
        <w:tc>
          <w:tcPr>
            <w:tcW w:w="1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757</w:t>
            </w:r>
          </w:p>
        </w:tc>
        <w:tc>
          <w:tcPr>
            <w:tcW w:w="251" w:type="dxa"/>
            <w:tcBorders/>
            <w:shd w:fill="CCEEFF" w:val="clear"/>
            <w:vAlign w:val="bottom"/>
          </w:tcPr>
          <w:p>
            <w:pPr>
              <w:pStyle w:val="TableContents"/>
              <w:spacing w:before="0" w:after="0"/>
              <w:ind w:left="0" w:right="0" w:hanging="0"/>
              <w:rPr/>
            </w:pPr>
            <w:r>
              <w:rPr/>
              <w:t> </w:t>
            </w:r>
          </w:p>
        </w:tc>
        <w:tc>
          <w:tcPr>
            <w:tcW w:w="1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679</w:t>
            </w:r>
          </w:p>
        </w:tc>
        <w:tc>
          <w:tcPr>
            <w:tcW w:w="163" w:type="dxa"/>
            <w:tcBorders/>
            <w:shd w:fill="CCEEFF" w:val="clear"/>
            <w:vAlign w:val="bottom"/>
          </w:tcPr>
          <w:p>
            <w:pPr>
              <w:pStyle w:val="TableContents"/>
              <w:spacing w:before="0" w:after="0"/>
              <w:ind w:left="0" w:right="0" w:hanging="0"/>
              <w:rPr/>
            </w:pPr>
            <w:r>
              <w:rPr/>
              <w:t> </w:t>
            </w:r>
          </w:p>
        </w:tc>
      </w:tr>
      <w:tr>
        <w:trPr/>
        <w:tc>
          <w:tcPr>
            <w:tcW w:w="69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11" w:type="dxa"/>
            <w:tcBorders/>
            <w:shd w:fill="auto" w:val="clear"/>
            <w:vAlign w:val="bottom"/>
          </w:tcPr>
          <w:p>
            <w:pPr>
              <w:pStyle w:val="TableContents"/>
              <w:spacing w:before="0" w:after="0"/>
              <w:ind w:left="0" w:right="0" w:hanging="0"/>
              <w:rPr/>
            </w:pPr>
            <w:r>
              <w:rPr/>
              <w:t> </w:t>
            </w:r>
          </w:p>
        </w:tc>
        <w:tc>
          <w:tcPr>
            <w:tcW w:w="12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5,794</w:t>
            </w:r>
          </w:p>
        </w:tc>
        <w:tc>
          <w:tcPr>
            <w:tcW w:w="251" w:type="dxa"/>
            <w:tcBorders/>
            <w:shd w:fill="auto" w:val="clear"/>
            <w:vAlign w:val="bottom"/>
          </w:tcPr>
          <w:p>
            <w:pPr>
              <w:pStyle w:val="TableContents"/>
              <w:spacing w:before="0" w:after="0"/>
              <w:ind w:left="0" w:right="0" w:hanging="0"/>
              <w:rPr/>
            </w:pPr>
            <w:r>
              <w:rPr/>
              <w:t> </w:t>
            </w:r>
          </w:p>
        </w:tc>
        <w:tc>
          <w:tcPr>
            <w:tcW w:w="13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4,520</w:t>
            </w:r>
          </w:p>
        </w:tc>
        <w:tc>
          <w:tcPr>
            <w:tcW w:w="163" w:type="dxa"/>
            <w:tcBorders/>
            <w:shd w:fill="auto" w:val="clear"/>
            <w:vAlign w:val="bottom"/>
          </w:tcPr>
          <w:p>
            <w:pPr>
              <w:pStyle w:val="TableContents"/>
              <w:spacing w:before="0" w:after="0"/>
              <w:ind w:left="0" w:right="0" w:hanging="0"/>
              <w:rPr/>
            </w:pPr>
            <w:r>
              <w:rPr/>
              <w:t> </w:t>
            </w:r>
          </w:p>
        </w:tc>
      </w:tr>
      <w:tr>
        <w:trPr/>
        <w:tc>
          <w:tcPr>
            <w:tcW w:w="69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w:t>
            </w:r>
          </w:p>
        </w:tc>
        <w:tc>
          <w:tcPr>
            <w:tcW w:w="211"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6,551</w:t>
            </w:r>
          </w:p>
        </w:tc>
        <w:tc>
          <w:tcPr>
            <w:tcW w:w="251" w:type="dxa"/>
            <w:tcBorders/>
            <w:shd w:fill="CCEEFF" w:val="clear"/>
            <w:vAlign w:val="bottom"/>
          </w:tcPr>
          <w:p>
            <w:pPr>
              <w:pStyle w:val="TableContents"/>
              <w:spacing w:before="0" w:after="0"/>
              <w:ind w:left="0" w:right="0" w:hanging="0"/>
              <w:rPr/>
            </w:pPr>
            <w:r>
              <w:rPr/>
              <w:t> </w:t>
            </w:r>
          </w:p>
        </w:tc>
        <w:tc>
          <w:tcPr>
            <w:tcW w:w="15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5,199</w:t>
            </w:r>
          </w:p>
        </w:tc>
        <w:tc>
          <w:tcPr>
            <w:tcW w:w="163" w:type="dxa"/>
            <w:tcBorders/>
            <w:shd w:fill="CCEEFF" w:val="clear"/>
            <w:vAlign w:val="bottom"/>
          </w:tcPr>
          <w:p>
            <w:pPr>
              <w:pStyle w:val="TableContents"/>
              <w:spacing w:before="0" w:after="0"/>
              <w:ind w:left="0" w:right="0" w:hanging="0"/>
              <w:rPr/>
            </w:pPr>
            <w:r>
              <w:rPr/>
              <w:t> </w:t>
            </w:r>
          </w:p>
        </w:tc>
      </w:tr>
      <w:tr>
        <w:trPr/>
        <w:tc>
          <w:tcPr>
            <w:tcW w:w="6942"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288" w:type="dxa"/>
            <w:gridSpan w:val="2"/>
            <w:tcBorders/>
            <w:shd w:fill="auto" w:val="clear"/>
            <w:vAlign w:val="bottom"/>
          </w:tcPr>
          <w:p>
            <w:pPr>
              <w:pStyle w:val="TableContents"/>
              <w:spacing w:before="0" w:after="0"/>
              <w:ind w:left="0" w:right="0" w:hanging="0"/>
              <w:jc w:val="right"/>
              <w:rPr/>
            </w:pPr>
            <w:r>
              <w:rPr/>
              <w:t> </w:t>
            </w:r>
          </w:p>
        </w:tc>
        <w:tc>
          <w:tcPr>
            <w:tcW w:w="251" w:type="dxa"/>
            <w:tcBorders/>
            <w:shd w:fill="auto" w:val="clear"/>
            <w:vAlign w:val="bottom"/>
          </w:tcPr>
          <w:p>
            <w:pPr>
              <w:pStyle w:val="TableContents"/>
              <w:spacing w:before="0" w:after="0"/>
              <w:ind w:left="0" w:right="0" w:hanging="0"/>
              <w:rPr/>
            </w:pPr>
            <w:r>
              <w:rPr/>
              <w:t> </w:t>
            </w:r>
          </w:p>
        </w:tc>
        <w:tc>
          <w:tcPr>
            <w:tcW w:w="1350" w:type="dxa"/>
            <w:gridSpan w:val="2"/>
            <w:tcBorders/>
            <w:shd w:fill="auto" w:val="clear"/>
            <w:vAlign w:val="bottom"/>
          </w:tcPr>
          <w:p>
            <w:pPr>
              <w:pStyle w:val="TableContents"/>
              <w:spacing w:before="0" w:after="0"/>
              <w:ind w:left="0" w:right="0" w:hanging="0"/>
              <w:jc w:val="right"/>
              <w:rPr/>
            </w:pPr>
            <w:r>
              <w:rPr/>
              <w:t> </w:t>
            </w:r>
          </w:p>
        </w:tc>
        <w:tc>
          <w:tcPr>
            <w:tcW w:w="163" w:type="dxa"/>
            <w:tcBorders/>
            <w:shd w:fill="auto" w:val="clear"/>
            <w:vAlign w:val="bottom"/>
          </w:tcPr>
          <w:p>
            <w:pPr>
              <w:pStyle w:val="TableContents"/>
              <w:spacing w:before="0" w:after="0"/>
              <w:ind w:left="0" w:right="0" w:hanging="0"/>
              <w:rPr/>
            </w:pPr>
            <w:r>
              <w:rPr/>
              <w:t> </w:t>
            </w:r>
          </w:p>
        </w:tc>
      </w:tr>
      <w:tr>
        <w:trPr/>
        <w:tc>
          <w:tcPr>
            <w:tcW w:w="69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11" w:type="dxa"/>
            <w:tcBorders/>
            <w:shd w:fill="CCEEFF" w:val="clear"/>
            <w:vAlign w:val="bottom"/>
          </w:tcPr>
          <w:p>
            <w:pPr>
              <w:pStyle w:val="TableContents"/>
              <w:spacing w:before="0" w:after="0"/>
              <w:ind w:left="0" w:right="0" w:hanging="0"/>
              <w:rPr/>
            </w:pPr>
            <w:r>
              <w:rPr/>
              <w:t> </w:t>
            </w:r>
          </w:p>
        </w:tc>
        <w:tc>
          <w:tcPr>
            <w:tcW w:w="12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5,794</w:t>
            </w:r>
          </w:p>
        </w:tc>
        <w:tc>
          <w:tcPr>
            <w:tcW w:w="251" w:type="dxa"/>
            <w:tcBorders/>
            <w:shd w:fill="CCEEFF" w:val="clear"/>
            <w:vAlign w:val="bottom"/>
          </w:tcPr>
          <w:p>
            <w:pPr>
              <w:pStyle w:val="TableContents"/>
              <w:spacing w:before="0" w:after="0"/>
              <w:ind w:left="0" w:right="0" w:hanging="0"/>
              <w:rPr/>
            </w:pPr>
            <w:r>
              <w:rPr/>
              <w:t> </w:t>
            </w:r>
          </w:p>
        </w:tc>
        <w:tc>
          <w:tcPr>
            <w:tcW w:w="13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4,520</w:t>
            </w:r>
          </w:p>
        </w:tc>
        <w:tc>
          <w:tcPr>
            <w:tcW w:w="163" w:type="dxa"/>
            <w:tcBorders/>
            <w:shd w:fill="CCEEFF" w:val="clear"/>
            <w:vAlign w:val="bottom"/>
          </w:tcPr>
          <w:p>
            <w:pPr>
              <w:pStyle w:val="TableContents"/>
              <w:spacing w:before="0" w:after="0"/>
              <w:ind w:left="0" w:right="0" w:hanging="0"/>
              <w:rPr/>
            </w:pPr>
            <w:r>
              <w:rPr/>
              <w:t> </w:t>
            </w:r>
          </w:p>
        </w:tc>
      </w:tr>
      <w:tr>
        <w:trPr/>
        <w:tc>
          <w:tcPr>
            <w:tcW w:w="69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Partners capital</w:t>
            </w:r>
          </w:p>
        </w:tc>
        <w:tc>
          <w:tcPr>
            <w:tcW w:w="211" w:type="dxa"/>
            <w:tcBorders/>
            <w:shd w:fill="auto" w:val="clear"/>
            <w:vAlign w:val="bottom"/>
          </w:tcPr>
          <w:p>
            <w:pPr>
              <w:pStyle w:val="TableContents"/>
              <w:spacing w:before="0" w:after="0"/>
              <w:ind w:left="0" w:right="0" w:hanging="0"/>
              <w:rPr/>
            </w:pPr>
            <w:r>
              <w:rPr/>
              <w:t> </w:t>
            </w:r>
          </w:p>
        </w:tc>
        <w:tc>
          <w:tcPr>
            <w:tcW w:w="12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6,513</w:t>
            </w:r>
          </w:p>
        </w:tc>
        <w:tc>
          <w:tcPr>
            <w:tcW w:w="251" w:type="dxa"/>
            <w:tcBorders/>
            <w:shd w:fill="auto" w:val="clear"/>
            <w:vAlign w:val="bottom"/>
          </w:tcPr>
          <w:p>
            <w:pPr>
              <w:pStyle w:val="TableContents"/>
              <w:spacing w:before="0" w:after="0"/>
              <w:ind w:left="0" w:right="0" w:hanging="0"/>
              <w:rPr/>
            </w:pPr>
            <w:r>
              <w:rPr/>
              <w:t> </w:t>
            </w:r>
          </w:p>
        </w:tc>
        <w:tc>
          <w:tcPr>
            <w:tcW w:w="13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5,974</w:t>
            </w:r>
          </w:p>
        </w:tc>
        <w:tc>
          <w:tcPr>
            <w:tcW w:w="163" w:type="dxa"/>
            <w:tcBorders/>
            <w:shd w:fill="auto" w:val="clear"/>
            <w:vAlign w:val="bottom"/>
          </w:tcPr>
          <w:p>
            <w:pPr>
              <w:pStyle w:val="TableContents"/>
              <w:spacing w:before="0" w:after="0"/>
              <w:ind w:left="0" w:right="0" w:hanging="0"/>
              <w:rPr/>
            </w:pPr>
            <w:r>
              <w:rPr/>
              <w:t> </w:t>
            </w:r>
          </w:p>
        </w:tc>
      </w:tr>
      <w:tr>
        <w:trPr/>
        <w:tc>
          <w:tcPr>
            <w:tcW w:w="69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book capitalization</w:t>
            </w:r>
          </w:p>
        </w:tc>
        <w:tc>
          <w:tcPr>
            <w:tcW w:w="211" w:type="dxa"/>
            <w:tcBorders/>
            <w:shd w:fill="CCEEFF" w:val="clear"/>
            <w:vAlign w:val="bottom"/>
          </w:tcPr>
          <w:p>
            <w:pPr>
              <w:pStyle w:val="TableContents"/>
              <w:spacing w:before="0" w:after="0"/>
              <w:ind w:left="0" w:right="0" w:hanging="0"/>
              <w:rPr/>
            </w:pPr>
            <w:r>
              <w:rPr/>
              <w:t> </w:t>
            </w:r>
          </w:p>
        </w:tc>
        <w:tc>
          <w:tcPr>
            <w:tcW w:w="13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12,307</w:t>
            </w:r>
          </w:p>
        </w:tc>
        <w:tc>
          <w:tcPr>
            <w:tcW w:w="251" w:type="dxa"/>
            <w:tcBorders/>
            <w:shd w:fill="CCEEFF" w:val="clear"/>
            <w:vAlign w:val="bottom"/>
          </w:tcPr>
          <w:p>
            <w:pPr>
              <w:pStyle w:val="TableContents"/>
              <w:spacing w:before="0" w:after="0"/>
              <w:ind w:left="0" w:right="0" w:hanging="0"/>
              <w:rPr/>
            </w:pPr>
            <w:r>
              <w:rPr/>
              <w:t> </w:t>
            </w:r>
          </w:p>
        </w:tc>
        <w:tc>
          <w:tcPr>
            <w:tcW w:w="15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10,494</w:t>
            </w:r>
          </w:p>
        </w:tc>
        <w:tc>
          <w:tcPr>
            <w:tcW w:w="163" w:type="dxa"/>
            <w:tcBorders/>
            <w:shd w:fill="CCEEFF" w:val="clear"/>
            <w:vAlign w:val="bottom"/>
          </w:tcPr>
          <w:p>
            <w:pPr>
              <w:pStyle w:val="TableContents"/>
              <w:spacing w:before="0" w:after="0"/>
              <w:ind w:left="0" w:right="0" w:hanging="0"/>
              <w:rPr/>
            </w:pPr>
            <w:r>
              <w:rPr/>
              <w:t> </w:t>
            </w:r>
          </w:p>
        </w:tc>
      </w:tr>
      <w:tr>
        <w:trPr/>
        <w:tc>
          <w:tcPr>
            <w:tcW w:w="69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book capitalization, including short-term debt</w:t>
            </w:r>
          </w:p>
        </w:tc>
        <w:tc>
          <w:tcPr>
            <w:tcW w:w="211"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13,064</w:t>
            </w:r>
          </w:p>
        </w:tc>
        <w:tc>
          <w:tcPr>
            <w:tcW w:w="251" w:type="dxa"/>
            <w:tcBorders/>
            <w:shd w:fill="auto" w:val="clear"/>
            <w:vAlign w:val="bottom"/>
          </w:tcPr>
          <w:p>
            <w:pPr>
              <w:pStyle w:val="TableContents"/>
              <w:spacing w:before="0" w:after="0"/>
              <w:ind w:left="0" w:right="0" w:hanging="0"/>
              <w:rPr/>
            </w:pPr>
            <w:r>
              <w:rPr/>
              <w:t> </w:t>
            </w:r>
          </w:p>
        </w:tc>
        <w:tc>
          <w:tcPr>
            <w:tcW w:w="15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11,173</w:t>
            </w:r>
          </w:p>
        </w:tc>
        <w:tc>
          <w:tcPr>
            <w:tcW w:w="163" w:type="dxa"/>
            <w:tcBorders/>
            <w:shd w:fill="auto" w:val="clear"/>
            <w:vAlign w:val="bottom"/>
          </w:tcPr>
          <w:p>
            <w:pPr>
              <w:pStyle w:val="TableContents"/>
              <w:spacing w:before="0" w:after="0"/>
              <w:ind w:left="0" w:right="0" w:hanging="0"/>
              <w:rPr/>
            </w:pPr>
            <w:r>
              <w:rPr/>
              <w:t> </w:t>
            </w:r>
          </w:p>
        </w:tc>
      </w:tr>
      <w:tr>
        <w:trPr/>
        <w:tc>
          <w:tcPr>
            <w:tcW w:w="6942"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288" w:type="dxa"/>
            <w:gridSpan w:val="2"/>
            <w:tcBorders/>
            <w:shd w:fill="CCEEFF" w:val="clear"/>
            <w:vAlign w:val="bottom"/>
          </w:tcPr>
          <w:p>
            <w:pPr>
              <w:pStyle w:val="TableContents"/>
              <w:spacing w:before="0" w:after="0"/>
              <w:ind w:left="0" w:right="0" w:hanging="0"/>
              <w:jc w:val="right"/>
              <w:rPr/>
            </w:pPr>
            <w:r>
              <w:rPr/>
              <w:t> </w:t>
            </w:r>
          </w:p>
        </w:tc>
        <w:tc>
          <w:tcPr>
            <w:tcW w:w="251" w:type="dxa"/>
            <w:tcBorders/>
            <w:shd w:fill="CCEEFF" w:val="clear"/>
            <w:vAlign w:val="bottom"/>
          </w:tcPr>
          <w:p>
            <w:pPr>
              <w:pStyle w:val="TableContents"/>
              <w:spacing w:before="0" w:after="0"/>
              <w:ind w:left="0" w:right="0" w:hanging="0"/>
              <w:rPr/>
            </w:pPr>
            <w:r>
              <w:rPr/>
              <w:t> </w:t>
            </w:r>
          </w:p>
        </w:tc>
        <w:tc>
          <w:tcPr>
            <w:tcW w:w="1350" w:type="dxa"/>
            <w:gridSpan w:val="2"/>
            <w:tcBorders/>
            <w:shd w:fill="CCEEFF" w:val="clear"/>
            <w:vAlign w:val="bottom"/>
          </w:tcPr>
          <w:p>
            <w:pPr>
              <w:pStyle w:val="TableContents"/>
              <w:spacing w:before="0" w:after="0"/>
              <w:ind w:left="0" w:right="0" w:hanging="0"/>
              <w:jc w:val="right"/>
              <w:rPr/>
            </w:pPr>
            <w:r>
              <w:rPr/>
              <w:t> </w:t>
            </w:r>
          </w:p>
        </w:tc>
        <w:tc>
          <w:tcPr>
            <w:tcW w:w="163" w:type="dxa"/>
            <w:tcBorders/>
            <w:shd w:fill="CCEEFF" w:val="clear"/>
            <w:vAlign w:val="bottom"/>
          </w:tcPr>
          <w:p>
            <w:pPr>
              <w:pStyle w:val="TableContents"/>
              <w:spacing w:before="0" w:after="0"/>
              <w:ind w:left="0" w:right="0" w:hanging="0"/>
              <w:rPr/>
            </w:pPr>
            <w:r>
              <w:rPr/>
              <w:t> </w:t>
            </w:r>
          </w:p>
        </w:tc>
      </w:tr>
      <w:tr>
        <w:trPr/>
        <w:tc>
          <w:tcPr>
            <w:tcW w:w="69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debt-to-total book capitalization</w:t>
            </w:r>
          </w:p>
        </w:tc>
        <w:tc>
          <w:tcPr>
            <w:tcW w:w="211" w:type="dxa"/>
            <w:tcBorders/>
            <w:shd w:fill="auto" w:val="clear"/>
            <w:vAlign w:val="bottom"/>
          </w:tcPr>
          <w:p>
            <w:pPr>
              <w:pStyle w:val="TableContents"/>
              <w:spacing w:before="0" w:after="0"/>
              <w:ind w:left="0" w:right="0" w:hanging="0"/>
              <w:rPr/>
            </w:pPr>
            <w:r>
              <w:rPr/>
              <w:t> </w:t>
            </w:r>
          </w:p>
        </w:tc>
        <w:tc>
          <w:tcPr>
            <w:tcW w:w="12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5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6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69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debt-to-total book capitalization, including short-term debt</w:t>
            </w:r>
          </w:p>
        </w:tc>
        <w:tc>
          <w:tcPr>
            <w:tcW w:w="211" w:type="dxa"/>
            <w:tcBorders/>
            <w:shd w:fill="CCEEFF" w:val="clear"/>
            <w:vAlign w:val="bottom"/>
          </w:tcPr>
          <w:p>
            <w:pPr>
              <w:pStyle w:val="TableContents"/>
              <w:spacing w:before="0" w:after="0"/>
              <w:ind w:left="0" w:right="0" w:hanging="0"/>
              <w:rPr/>
            </w:pPr>
            <w:r>
              <w:rPr/>
              <w:t> </w:t>
            </w:r>
          </w:p>
        </w:tc>
        <w:tc>
          <w:tcPr>
            <w:tcW w:w="12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5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6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11</w:t>
      </w:r>
      <w:bookmarkStart w:id="23" w:name="PB_11_130932_7091"/>
      <w:bookmarkEnd w:id="23"/>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COMPUTATION OF BASIC AND DILUTED EARNINGS PER LIMITED PARTNER UNIT</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19"/>
        <w:gridCol w:w="214"/>
        <w:gridCol w:w="143"/>
        <w:gridCol w:w="1115"/>
        <w:gridCol w:w="228"/>
        <w:gridCol w:w="143"/>
        <w:gridCol w:w="1116"/>
        <w:gridCol w:w="127"/>
      </w:tblGrid>
      <w:tr>
        <w:trPr/>
        <w:tc>
          <w:tcPr>
            <w:tcW w:w="7119"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4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27" w:type="dxa"/>
            <w:tcBorders/>
            <w:shd w:fill="auto" w:val="clear"/>
            <w:vAlign w:val="bottom"/>
          </w:tcPr>
          <w:p>
            <w:pPr>
              <w:pStyle w:val="TableContents"/>
              <w:spacing w:before="0" w:after="0"/>
              <w:ind w:left="0" w:right="0" w:hanging="0"/>
              <w:jc w:val="center"/>
              <w:rPr/>
            </w:pPr>
            <w:r>
              <w:rPr/>
              <w:t> </w:t>
            </w:r>
          </w:p>
        </w:tc>
      </w:tr>
      <w:tr>
        <w:trPr/>
        <w:tc>
          <w:tcPr>
            <w:tcW w:w="7119"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4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27" w:type="dxa"/>
            <w:tcBorders/>
            <w:shd w:fill="auto" w:val="clear"/>
            <w:vAlign w:val="bottom"/>
          </w:tcPr>
          <w:p>
            <w:pPr>
              <w:pStyle w:val="TableContents"/>
              <w:spacing w:before="0" w:after="0"/>
              <w:ind w:left="0" w:right="0" w:hanging="0"/>
              <w:jc w:val="center"/>
              <w:rPr/>
            </w:pPr>
            <w:r>
              <w:rPr/>
              <w:t> </w:t>
            </w:r>
          </w:p>
        </w:tc>
      </w:tr>
      <w:tr>
        <w:trPr/>
        <w:tc>
          <w:tcPr>
            <w:tcW w:w="7119"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5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8" w:type="dxa"/>
            <w:tcBorders/>
            <w:shd w:fill="auto" w:val="clear"/>
            <w:vAlign w:val="bottom"/>
          </w:tcPr>
          <w:p>
            <w:pPr>
              <w:pStyle w:val="TableContents"/>
              <w:spacing w:before="0" w:after="0"/>
              <w:ind w:left="0" w:right="0" w:hanging="0"/>
              <w:jc w:val="center"/>
              <w:rPr/>
            </w:pPr>
            <w:r>
              <w:rPr/>
              <w:t> </w:t>
            </w:r>
          </w:p>
        </w:tc>
        <w:tc>
          <w:tcPr>
            <w:tcW w:w="125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27" w:type="dxa"/>
            <w:tcBorders/>
            <w:shd w:fill="auto" w:val="clear"/>
            <w:vAlign w:val="bottom"/>
          </w:tcPr>
          <w:p>
            <w:pPr>
              <w:pStyle w:val="TableContents"/>
              <w:spacing w:before="0" w:after="0"/>
              <w:ind w:left="0" w:right="0" w:hanging="0"/>
              <w:jc w:val="center"/>
              <w:rPr/>
            </w:pPr>
            <w:r>
              <w:rPr/>
              <w:t> </w:t>
            </w:r>
          </w:p>
        </w:tc>
      </w:tr>
      <w:tr>
        <w:trPr/>
        <w:tc>
          <w:tcPr>
            <w:tcW w:w="7119" w:type="dxa"/>
            <w:tcBorders/>
            <w:shd w:fill="CCEEFF" w:val="clear"/>
            <w:vAlign w:val="bottom"/>
          </w:tcPr>
          <w:p>
            <w:pPr>
              <w:pStyle w:val="TableContents"/>
              <w:spacing w:before="0" w:after="0"/>
              <w:ind w:left="0" w:right="0" w:hanging="0"/>
              <w:rPr/>
            </w:pPr>
            <w:r>
              <w:rPr>
                <w:rFonts w:ascii="Times New Roman" w:hAnsi="Times New Roman"/>
                <w:sz w:val="17"/>
              </w:rPr>
              <w:t xml:space="preserve">Numerator for basic and diluted earnings per limited partner unit </w:t>
            </w:r>
            <w:r>
              <w:rPr>
                <w:sz w:val="11"/>
              </w:rPr>
              <w:t>(1)</w:t>
            </w:r>
            <w:r>
              <w:rPr>
                <w:sz w:val="17"/>
              </w:rPr>
              <w:t>:</w:t>
            </w:r>
          </w:p>
        </w:tc>
        <w:tc>
          <w:tcPr>
            <w:tcW w:w="214" w:type="dxa"/>
            <w:tcBorders/>
            <w:shd w:fill="CCEEFF" w:val="clear"/>
            <w:vAlign w:val="bottom"/>
          </w:tcPr>
          <w:p>
            <w:pPr>
              <w:pStyle w:val="TableContents"/>
              <w:spacing w:before="0" w:after="0"/>
              <w:ind w:left="0" w:right="0" w:hanging="0"/>
              <w:rPr/>
            </w:pPr>
            <w:r>
              <w:rPr/>
              <w:t> </w:t>
            </w:r>
          </w:p>
        </w:tc>
        <w:tc>
          <w:tcPr>
            <w:tcW w:w="1258" w:type="dxa"/>
            <w:gridSpan w:val="2"/>
            <w:tcBorders/>
            <w:shd w:fill="CCEEFF" w:val="clear"/>
            <w:vAlign w:val="bottom"/>
          </w:tcPr>
          <w:p>
            <w:pPr>
              <w:pStyle w:val="TableContents"/>
              <w:spacing w:before="0" w:after="0"/>
              <w:ind w:left="0" w:right="0" w:hanging="0"/>
              <w:jc w:val="right"/>
              <w:rPr/>
            </w:pPr>
            <w:r>
              <w:rPr/>
              <w:t> </w:t>
            </w:r>
          </w:p>
        </w:tc>
        <w:tc>
          <w:tcPr>
            <w:tcW w:w="228" w:type="dxa"/>
            <w:tcBorders/>
            <w:shd w:fill="CCEEFF" w:val="clear"/>
            <w:vAlign w:val="bottom"/>
          </w:tcPr>
          <w:p>
            <w:pPr>
              <w:pStyle w:val="TableContents"/>
              <w:spacing w:before="0" w:after="0"/>
              <w:ind w:left="0" w:right="0" w:hanging="0"/>
              <w:rPr/>
            </w:pPr>
            <w:r>
              <w:rPr/>
              <w:t> </w:t>
            </w:r>
          </w:p>
        </w:tc>
        <w:tc>
          <w:tcPr>
            <w:tcW w:w="1259"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4"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228"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w:t>
            </w:r>
          </w:p>
        </w:tc>
        <w:tc>
          <w:tcPr>
            <w:tcW w:w="127" w:type="dxa"/>
            <w:tcBorders/>
            <w:shd w:fill="auto" w:val="clear"/>
            <w:vAlign w:val="bottom"/>
          </w:tcPr>
          <w:p>
            <w:pPr>
              <w:pStyle w:val="TableContents"/>
              <w:spacing w:before="0" w:after="0"/>
              <w:ind w:left="0" w:right="0" w:hanging="0"/>
              <w:rPr/>
            </w:pPr>
            <w:r>
              <w:rPr/>
              <w:t> </w:t>
            </w:r>
          </w:p>
        </w:tc>
      </w:tr>
      <w:tr>
        <w:trPr/>
        <w:tc>
          <w:tcPr>
            <w:tcW w:w="7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General partners incentive distribution</w:t>
            </w:r>
          </w:p>
        </w:tc>
        <w:tc>
          <w:tcPr>
            <w:tcW w:w="214" w:type="dxa"/>
            <w:tcBorders/>
            <w:shd w:fill="CCEEFF" w:val="clear"/>
            <w:vAlign w:val="bottom"/>
          </w:tcPr>
          <w:p>
            <w:pPr>
              <w:pStyle w:val="TableContents"/>
              <w:spacing w:before="0" w:after="0"/>
              <w:ind w:left="0" w:right="0" w:hanging="0"/>
              <w:rPr/>
            </w:pPr>
            <w:r>
              <w:rPr/>
              <w:t> </w:t>
            </w:r>
          </w:p>
        </w:tc>
        <w:tc>
          <w:tcPr>
            <w:tcW w:w="12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General partner 2% ownership</w:t>
            </w:r>
          </w:p>
        </w:tc>
        <w:tc>
          <w:tcPr>
            <w:tcW w:w="214" w:type="dxa"/>
            <w:tcBorders/>
            <w:shd w:fill="auto" w:val="clear"/>
            <w:vAlign w:val="bottom"/>
          </w:tcPr>
          <w:p>
            <w:pPr>
              <w:pStyle w:val="TableContents"/>
              <w:spacing w:before="0" w:after="0"/>
              <w:ind w:left="0" w:right="0" w:hanging="0"/>
              <w:rPr/>
            </w:pPr>
            <w:r>
              <w:rPr/>
              <w:t> </w:t>
            </w:r>
          </w:p>
        </w:tc>
        <w:tc>
          <w:tcPr>
            <w:tcW w:w="125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14"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28"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27" w:type="dxa"/>
            <w:tcBorders/>
            <w:shd w:fill="CCEEFF" w:val="clear"/>
            <w:vAlign w:val="bottom"/>
          </w:tcPr>
          <w:p>
            <w:pPr>
              <w:pStyle w:val="TableContents"/>
              <w:spacing w:before="0" w:after="0"/>
              <w:ind w:left="0" w:right="0" w:hanging="0"/>
              <w:rPr/>
            </w:pPr>
            <w:r>
              <w:rPr/>
              <w:t> </w:t>
            </w:r>
          </w:p>
        </w:tc>
      </w:tr>
      <w:tr>
        <w:trPr/>
        <w:tc>
          <w:tcPr>
            <w:tcW w:w="7119"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c>
          <w:tcPr>
            <w:tcW w:w="1259"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Denominator:</w:t>
            </w:r>
          </w:p>
        </w:tc>
        <w:tc>
          <w:tcPr>
            <w:tcW w:w="214" w:type="dxa"/>
            <w:tcBorders/>
            <w:shd w:fill="CCEEFF" w:val="clear"/>
            <w:vAlign w:val="bottom"/>
          </w:tcPr>
          <w:p>
            <w:pPr>
              <w:pStyle w:val="TableContents"/>
              <w:spacing w:before="0" w:after="0"/>
              <w:ind w:left="0" w:right="0" w:hanging="0"/>
              <w:rPr/>
            </w:pPr>
            <w:r>
              <w:rPr/>
              <w:t> </w:t>
            </w:r>
          </w:p>
        </w:tc>
        <w:tc>
          <w:tcPr>
            <w:tcW w:w="1258" w:type="dxa"/>
            <w:gridSpan w:val="2"/>
            <w:tcBorders/>
            <w:shd w:fill="CCEEFF" w:val="clear"/>
            <w:vAlign w:val="bottom"/>
          </w:tcPr>
          <w:p>
            <w:pPr>
              <w:pStyle w:val="TableContents"/>
              <w:spacing w:before="0" w:after="0"/>
              <w:ind w:left="0" w:right="0" w:hanging="0"/>
              <w:jc w:val="right"/>
              <w:rPr/>
            </w:pPr>
            <w:r>
              <w:rPr/>
              <w:t> </w:t>
            </w:r>
          </w:p>
        </w:tc>
        <w:tc>
          <w:tcPr>
            <w:tcW w:w="228" w:type="dxa"/>
            <w:tcBorders/>
            <w:shd w:fill="CCEEFF" w:val="clear"/>
            <w:vAlign w:val="bottom"/>
          </w:tcPr>
          <w:p>
            <w:pPr>
              <w:pStyle w:val="TableContents"/>
              <w:spacing w:before="0" w:after="0"/>
              <w:ind w:left="0" w:right="0" w:hanging="0"/>
              <w:rPr/>
            </w:pPr>
            <w:r>
              <w:rPr/>
              <w:t> </w:t>
            </w:r>
          </w:p>
        </w:tc>
        <w:tc>
          <w:tcPr>
            <w:tcW w:w="1259"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4"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228" w:type="dxa"/>
            <w:tcBorders/>
            <w:shd w:fill="auto" w:val="clear"/>
            <w:vAlign w:val="bottom"/>
          </w:tcPr>
          <w:p>
            <w:pPr>
              <w:pStyle w:val="TableContents"/>
              <w:spacing w:before="0" w:after="0"/>
              <w:ind w:left="0" w:right="0" w:hanging="0"/>
              <w:rPr/>
            </w:pPr>
            <w:r>
              <w:rPr/>
              <w:t> </w:t>
            </w:r>
          </w:p>
        </w:tc>
        <w:tc>
          <w:tcPr>
            <w:tcW w:w="12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w:t>
            </w:r>
          </w:p>
        </w:tc>
        <w:tc>
          <w:tcPr>
            <w:tcW w:w="127" w:type="dxa"/>
            <w:tcBorders/>
            <w:shd w:fill="auto" w:val="clear"/>
            <w:vAlign w:val="bottom"/>
          </w:tcPr>
          <w:p>
            <w:pPr>
              <w:pStyle w:val="TableContents"/>
              <w:spacing w:before="0" w:after="0"/>
              <w:ind w:left="0" w:right="0" w:hanging="0"/>
              <w:rPr/>
            </w:pPr>
            <w:r>
              <w:rPr/>
              <w:t> </w:t>
            </w:r>
          </w:p>
        </w:tc>
      </w:tr>
      <w:tr>
        <w:trPr/>
        <w:tc>
          <w:tcPr>
            <w:tcW w:w="7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dilutive securities:</w:t>
            </w:r>
          </w:p>
        </w:tc>
        <w:tc>
          <w:tcPr>
            <w:tcW w:w="214" w:type="dxa"/>
            <w:tcBorders/>
            <w:shd w:fill="CCEEFF" w:val="clear"/>
            <w:vAlign w:val="bottom"/>
          </w:tcPr>
          <w:p>
            <w:pPr>
              <w:pStyle w:val="TableContents"/>
              <w:spacing w:before="0" w:after="0"/>
              <w:ind w:left="0" w:right="0" w:hanging="0"/>
              <w:rPr/>
            </w:pPr>
            <w:r>
              <w:rPr/>
              <w:t> </w:t>
            </w:r>
          </w:p>
        </w:tc>
        <w:tc>
          <w:tcPr>
            <w:tcW w:w="1258" w:type="dxa"/>
            <w:gridSpan w:val="2"/>
            <w:tcBorders/>
            <w:shd w:fill="CCEEFF" w:val="clear"/>
            <w:vAlign w:val="bottom"/>
          </w:tcPr>
          <w:p>
            <w:pPr>
              <w:pStyle w:val="TableContents"/>
              <w:spacing w:before="0" w:after="0"/>
              <w:ind w:left="0" w:right="0" w:hanging="0"/>
              <w:jc w:val="right"/>
              <w:rPr/>
            </w:pPr>
            <w:r>
              <w:rPr/>
              <w:t> </w:t>
            </w:r>
          </w:p>
        </w:tc>
        <w:tc>
          <w:tcPr>
            <w:tcW w:w="228" w:type="dxa"/>
            <w:tcBorders/>
            <w:shd w:fill="CCEEFF" w:val="clear"/>
            <w:vAlign w:val="bottom"/>
          </w:tcPr>
          <w:p>
            <w:pPr>
              <w:pStyle w:val="TableContents"/>
              <w:spacing w:before="0" w:after="0"/>
              <w:ind w:left="0" w:right="0" w:hanging="0"/>
              <w:rPr/>
            </w:pPr>
            <w:r>
              <w:rPr/>
              <w:t> </w:t>
            </w:r>
          </w:p>
        </w:tc>
        <w:tc>
          <w:tcPr>
            <w:tcW w:w="1259" w:type="dxa"/>
            <w:gridSpan w:val="2"/>
            <w:tcBorders/>
            <w:shd w:fill="CCEEFF" w:val="clear"/>
            <w:vAlign w:val="bottom"/>
          </w:tcPr>
          <w:p>
            <w:pPr>
              <w:pStyle w:val="TableContents"/>
              <w:spacing w:before="0" w:after="0"/>
              <w:ind w:left="0" w:right="0" w:hanging="0"/>
              <w:jc w:val="right"/>
              <w:rPr/>
            </w:pPr>
            <w:r>
              <w:rPr/>
              <w:t> </w:t>
            </w:r>
          </w:p>
        </w:tc>
        <w:tc>
          <w:tcPr>
            <w:tcW w:w="127" w:type="dxa"/>
            <w:tcBorders/>
            <w:shd w:fill="CCEEFF" w:val="clear"/>
            <w:vAlign w:val="bottom"/>
          </w:tcPr>
          <w:p>
            <w:pPr>
              <w:pStyle w:val="TableContents"/>
              <w:spacing w:before="0" w:after="0"/>
              <w:ind w:left="0" w:right="0" w:hanging="0"/>
              <w:rPr/>
            </w:pPr>
            <w:r>
              <w:rPr/>
              <w:t> </w:t>
            </w:r>
          </w:p>
        </w:tc>
      </w:tr>
      <w:tr>
        <w:trPr/>
        <w:tc>
          <w:tcPr>
            <w:tcW w:w="71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Weighted average LTIP units </w:t>
            </w:r>
          </w:p>
        </w:tc>
        <w:tc>
          <w:tcPr>
            <w:tcW w:w="214" w:type="dxa"/>
            <w:tcBorders/>
            <w:shd w:fill="auto" w:val="clear"/>
            <w:vAlign w:val="bottom"/>
          </w:tcPr>
          <w:p>
            <w:pPr>
              <w:pStyle w:val="TableContents"/>
              <w:spacing w:before="0" w:after="0"/>
              <w:ind w:left="0" w:right="0" w:hanging="0"/>
              <w:rPr/>
            </w:pPr>
            <w:r>
              <w:rPr/>
              <w:t> </w:t>
            </w:r>
          </w:p>
        </w:tc>
        <w:tc>
          <w:tcPr>
            <w:tcW w:w="125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8" w:type="dxa"/>
            <w:tcBorders/>
            <w:shd w:fill="auto" w:val="clear"/>
            <w:vAlign w:val="bottom"/>
          </w:tcPr>
          <w:p>
            <w:pPr>
              <w:pStyle w:val="TableContents"/>
              <w:spacing w:before="0" w:after="0"/>
              <w:ind w:left="0" w:right="0" w:hanging="0"/>
              <w:rPr/>
            </w:pPr>
            <w:r>
              <w:rPr/>
              <w:t> </w:t>
            </w:r>
          </w:p>
        </w:tc>
        <w:tc>
          <w:tcPr>
            <w:tcW w:w="12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7" w:type="dxa"/>
            <w:tcBorders/>
            <w:shd w:fill="auto" w:val="clear"/>
            <w:vAlign w:val="bottom"/>
          </w:tcPr>
          <w:p>
            <w:pPr>
              <w:pStyle w:val="TableContents"/>
              <w:spacing w:before="0" w:after="0"/>
              <w:ind w:left="0" w:right="0" w:hanging="0"/>
              <w:rPr/>
            </w:pPr>
            <w:r>
              <w:rPr/>
              <w:t> </w:t>
            </w:r>
          </w:p>
        </w:tc>
      </w:tr>
      <w:tr>
        <w:trPr/>
        <w:tc>
          <w:tcPr>
            <w:tcW w:w="7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214" w:type="dxa"/>
            <w:tcBorders/>
            <w:shd w:fill="CCEEFF" w:val="clear"/>
            <w:vAlign w:val="bottom"/>
          </w:tcPr>
          <w:p>
            <w:pPr>
              <w:pStyle w:val="TableContents"/>
              <w:spacing w:before="0" w:after="0"/>
              <w:ind w:left="0" w:right="0" w:hanging="0"/>
              <w:rPr/>
            </w:pPr>
            <w:r>
              <w:rPr/>
              <w:t> </w:t>
            </w:r>
          </w:p>
        </w:tc>
        <w:tc>
          <w:tcPr>
            <w:tcW w:w="1258"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w:t>
            </w:r>
          </w:p>
        </w:tc>
        <w:tc>
          <w:tcPr>
            <w:tcW w:w="228" w:type="dxa"/>
            <w:tcBorders/>
            <w:shd w:fill="CCEEFF" w:val="clear"/>
            <w:vAlign w:val="bottom"/>
          </w:tcPr>
          <w:p>
            <w:pPr>
              <w:pStyle w:val="TableContents"/>
              <w:spacing w:before="0" w:after="0"/>
              <w:ind w:left="0" w:right="0" w:hanging="0"/>
              <w:rPr/>
            </w:pPr>
            <w:r>
              <w:rPr/>
              <w:t> </w:t>
            </w:r>
          </w:p>
        </w:tc>
        <w:tc>
          <w:tcPr>
            <w:tcW w:w="125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127" w:type="dxa"/>
            <w:tcBorders/>
            <w:shd w:fill="CCEEFF" w:val="clear"/>
            <w:vAlign w:val="bottom"/>
          </w:tcPr>
          <w:p>
            <w:pPr>
              <w:pStyle w:val="TableContents"/>
              <w:spacing w:before="0" w:after="0"/>
              <w:ind w:left="0" w:right="0" w:hanging="0"/>
              <w:rPr/>
            </w:pPr>
            <w:r>
              <w:rPr/>
              <w:t> </w:t>
            </w:r>
          </w:p>
        </w:tc>
      </w:tr>
      <w:tr>
        <w:trPr/>
        <w:tc>
          <w:tcPr>
            <w:tcW w:w="7119"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c>
          <w:tcPr>
            <w:tcW w:w="1259"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Basic net income per limited partner unit </w:t>
            </w:r>
          </w:p>
        </w:tc>
        <w:tc>
          <w:tcPr>
            <w:tcW w:w="214"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228"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0.90</w:t>
            </w:r>
          </w:p>
        </w:tc>
        <w:tc>
          <w:tcPr>
            <w:tcW w:w="127" w:type="dxa"/>
            <w:tcBorders/>
            <w:shd w:fill="CCEEFF" w:val="clear"/>
            <w:vAlign w:val="bottom"/>
          </w:tcPr>
          <w:p>
            <w:pPr>
              <w:pStyle w:val="TableContents"/>
              <w:spacing w:before="0" w:after="0"/>
              <w:ind w:left="0" w:right="0" w:hanging="0"/>
              <w:rPr/>
            </w:pPr>
            <w:r>
              <w:rPr/>
              <w:t> </w:t>
            </w:r>
          </w:p>
        </w:tc>
      </w:tr>
      <w:tr>
        <w:trPr/>
        <w:tc>
          <w:tcPr>
            <w:tcW w:w="7119"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pPr>
            <w:r>
              <w:rPr/>
              <w:t> </w:t>
            </w:r>
          </w:p>
        </w:tc>
        <w:tc>
          <w:tcPr>
            <w:tcW w:w="228" w:type="dxa"/>
            <w:tcBorders/>
            <w:shd w:fill="auto" w:val="clear"/>
            <w:vAlign w:val="bottom"/>
          </w:tcPr>
          <w:p>
            <w:pPr>
              <w:pStyle w:val="TableContents"/>
              <w:spacing w:before="0" w:after="0"/>
              <w:ind w:left="0" w:right="0" w:hanging="0"/>
              <w:rPr/>
            </w:pPr>
            <w:r>
              <w:rPr/>
              <w:t> </w:t>
            </w:r>
          </w:p>
        </w:tc>
        <w:tc>
          <w:tcPr>
            <w:tcW w:w="1259" w:type="dxa"/>
            <w:gridSpan w:val="2"/>
            <w:tcBorders/>
            <w:shd w:fill="auto" w:val="clear"/>
            <w:vAlign w:val="bottom"/>
          </w:tcPr>
          <w:p>
            <w:pPr>
              <w:pStyle w:val="TableContents"/>
              <w:spacing w:before="0" w:after="0"/>
              <w:ind w:left="0" w:right="0" w:hanging="0"/>
              <w:jc w:val="right"/>
              <w:rPr/>
            </w:pPr>
            <w:r>
              <w:rPr/>
              <w:t> </w:t>
            </w:r>
          </w:p>
        </w:tc>
        <w:tc>
          <w:tcPr>
            <w:tcW w:w="127" w:type="dxa"/>
            <w:tcBorders/>
            <w:shd w:fill="auto" w:val="clear"/>
            <w:vAlign w:val="bottom"/>
          </w:tcPr>
          <w:p>
            <w:pPr>
              <w:pStyle w:val="TableContents"/>
              <w:spacing w:before="0" w:after="0"/>
              <w:ind w:left="0" w:right="0" w:hanging="0"/>
              <w:rPr/>
            </w:pPr>
            <w:r>
              <w:rPr/>
              <w:t> </w:t>
            </w:r>
          </w:p>
        </w:tc>
      </w:tr>
      <w:tr>
        <w:trPr/>
        <w:tc>
          <w:tcPr>
            <w:tcW w:w="71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Diluted net income per limited partner unit </w:t>
            </w:r>
          </w:p>
        </w:tc>
        <w:tc>
          <w:tcPr>
            <w:tcW w:w="214"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28"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0.90</w:t>
            </w:r>
          </w:p>
        </w:tc>
        <w:tc>
          <w:tcPr>
            <w:tcW w:w="12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989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and limited partners in accordance with the contractual terms of the partnership agreement.</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12</w:t>
      </w:r>
      <w:bookmarkStart w:id="24" w:name="PB_12_130955_455"/>
      <w:bookmarkEnd w:id="24"/>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FINANCIAL DATA RECONCILIATIONS</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95"/>
        <w:gridCol w:w="213"/>
        <w:gridCol w:w="159"/>
        <w:gridCol w:w="1116"/>
        <w:gridCol w:w="224"/>
        <w:gridCol w:w="159"/>
        <w:gridCol w:w="1117"/>
        <w:gridCol w:w="122"/>
      </w:tblGrid>
      <w:tr>
        <w:trPr/>
        <w:tc>
          <w:tcPr>
            <w:tcW w:w="7095"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277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22" w:type="dxa"/>
            <w:tcBorders/>
            <w:shd w:fill="auto" w:val="clear"/>
            <w:vAlign w:val="bottom"/>
          </w:tcPr>
          <w:p>
            <w:pPr>
              <w:pStyle w:val="TableContents"/>
              <w:spacing w:before="0" w:after="0"/>
              <w:ind w:left="0" w:right="0" w:hanging="0"/>
              <w:jc w:val="center"/>
              <w:rPr/>
            </w:pPr>
            <w:r>
              <w:rPr/>
              <w:t> </w:t>
            </w:r>
          </w:p>
        </w:tc>
      </w:tr>
      <w:tr>
        <w:trPr/>
        <w:tc>
          <w:tcPr>
            <w:tcW w:w="7095"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277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22" w:type="dxa"/>
            <w:tcBorders/>
            <w:shd w:fill="auto" w:val="clear"/>
            <w:vAlign w:val="bottom"/>
          </w:tcPr>
          <w:p>
            <w:pPr>
              <w:pStyle w:val="TableContents"/>
              <w:spacing w:before="0" w:after="0"/>
              <w:ind w:left="0" w:right="0" w:hanging="0"/>
              <w:jc w:val="center"/>
              <w:rPr/>
            </w:pPr>
            <w:r>
              <w:rPr/>
              <w:t> </w:t>
            </w:r>
          </w:p>
        </w:tc>
      </w:tr>
      <w:tr>
        <w:trPr/>
        <w:tc>
          <w:tcPr>
            <w:tcW w:w="7095"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127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4" w:type="dxa"/>
            <w:tcBorders/>
            <w:shd w:fill="auto" w:val="clear"/>
            <w:vAlign w:val="bottom"/>
          </w:tcPr>
          <w:p>
            <w:pPr>
              <w:pStyle w:val="TableContents"/>
              <w:spacing w:before="0" w:after="0"/>
              <w:ind w:left="0" w:right="0" w:hanging="0"/>
              <w:jc w:val="center"/>
              <w:rPr/>
            </w:pPr>
            <w:r>
              <w:rPr/>
              <w:t> </w:t>
            </w:r>
          </w:p>
        </w:tc>
        <w:tc>
          <w:tcPr>
            <w:tcW w:w="12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22" w:type="dxa"/>
            <w:tcBorders/>
            <w:shd w:fill="auto" w:val="clear"/>
            <w:vAlign w:val="bottom"/>
          </w:tcPr>
          <w:p>
            <w:pPr>
              <w:pStyle w:val="TableContents"/>
              <w:spacing w:before="0" w:after="0"/>
              <w:ind w:left="0" w:right="0" w:hanging="0"/>
              <w:jc w:val="center"/>
              <w:rPr/>
            </w:pPr>
            <w:r>
              <w:rPr/>
              <w:t> </w:t>
            </w:r>
          </w:p>
        </w:tc>
      </w:tr>
      <w:tr>
        <w:trPr/>
        <w:tc>
          <w:tcPr>
            <w:tcW w:w="7095"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Net income to earnings before interest, taxes, depreciation and amortization (EBITDA) and excluding selected items impacting comparability (Adjusted EBITDA) reconciliations</w:t>
            </w:r>
          </w:p>
        </w:tc>
        <w:tc>
          <w:tcPr>
            <w:tcW w:w="213"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pPr>
            <w:r>
              <w:rPr/>
              <w:t> </w:t>
            </w:r>
          </w:p>
        </w:tc>
        <w:tc>
          <w:tcPr>
            <w:tcW w:w="224" w:type="dxa"/>
            <w:tcBorders/>
            <w:shd w:fill="CCEEFF" w:val="clear"/>
            <w:vAlign w:val="bottom"/>
          </w:tcPr>
          <w:p>
            <w:pPr>
              <w:pStyle w:val="TableContents"/>
              <w:spacing w:before="0" w:after="0"/>
              <w:ind w:left="0" w:right="0" w:hanging="0"/>
              <w:rPr/>
            </w:pPr>
            <w:r>
              <w:rPr/>
              <w:t> </w:t>
            </w:r>
          </w:p>
        </w:tc>
        <w:tc>
          <w:tcPr>
            <w:tcW w:w="1276"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709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3" w:type="dxa"/>
            <w:tcBorders/>
            <w:shd w:fill="auto" w:val="clear"/>
            <w:vAlign w:val="bottom"/>
          </w:tcPr>
          <w:p>
            <w:pPr>
              <w:pStyle w:val="TableContents"/>
              <w:spacing w:before="0" w:after="0"/>
              <w:ind w:left="0" w:right="0" w:hanging="0"/>
              <w:rPr/>
            </w:pPr>
            <w:r>
              <w:rPr/>
              <w:t> </w:t>
            </w:r>
          </w:p>
        </w:tc>
        <w:tc>
          <w:tcPr>
            <w:tcW w:w="15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224" w:type="dxa"/>
            <w:tcBorders/>
            <w:shd w:fill="auto" w:val="clear"/>
            <w:vAlign w:val="bottom"/>
          </w:tcPr>
          <w:p>
            <w:pPr>
              <w:pStyle w:val="TableContents"/>
              <w:spacing w:before="0" w:after="0"/>
              <w:ind w:left="0" w:right="0" w:hanging="0"/>
              <w:rPr/>
            </w:pPr>
            <w:r>
              <w:rPr/>
              <w:t> </w:t>
            </w:r>
          </w:p>
        </w:tc>
        <w:tc>
          <w:tcPr>
            <w:tcW w:w="15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122" w:type="dxa"/>
            <w:tcBorders/>
            <w:shd w:fill="auto" w:val="clear"/>
            <w:vAlign w:val="bottom"/>
          </w:tcPr>
          <w:p>
            <w:pPr>
              <w:pStyle w:val="TableContents"/>
              <w:spacing w:before="0" w:after="0"/>
              <w:ind w:left="0" w:right="0" w:hanging="0"/>
              <w:rPr/>
            </w:pPr>
            <w:r>
              <w:rPr/>
              <w:t> </w:t>
            </w:r>
          </w:p>
        </w:tc>
      </w:tr>
      <w:tr>
        <w:trPr/>
        <w:tc>
          <w:tcPr>
            <w:tcW w:w="709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Interest expense</w:t>
            </w:r>
          </w:p>
        </w:tc>
        <w:tc>
          <w:tcPr>
            <w:tcW w:w="213" w:type="dxa"/>
            <w:tcBorders/>
            <w:shd w:fill="CCEEFF" w:val="clear"/>
            <w:vAlign w:val="bottom"/>
          </w:tcPr>
          <w:p>
            <w:pPr>
              <w:pStyle w:val="TableContents"/>
              <w:spacing w:before="0" w:after="0"/>
              <w:ind w:left="0" w:right="0" w:hanging="0"/>
              <w:rPr/>
            </w:pPr>
            <w:r>
              <w:rPr/>
              <w:t> </w:t>
            </w:r>
          </w:p>
        </w:tc>
        <w:tc>
          <w:tcPr>
            <w:tcW w:w="127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24" w:type="dxa"/>
            <w:tcBorders/>
            <w:shd w:fill="CCEEFF" w:val="clear"/>
            <w:vAlign w:val="bottom"/>
          </w:tcPr>
          <w:p>
            <w:pPr>
              <w:pStyle w:val="TableContents"/>
              <w:spacing w:before="0" w:after="0"/>
              <w:ind w:left="0" w:right="0" w:hanging="0"/>
              <w:rPr/>
            </w:pPr>
            <w:r>
              <w:rPr/>
              <w:t> </w:t>
            </w:r>
          </w:p>
        </w:tc>
        <w:tc>
          <w:tcPr>
            <w:tcW w:w="12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22" w:type="dxa"/>
            <w:tcBorders/>
            <w:shd w:fill="CCEEFF" w:val="clear"/>
            <w:vAlign w:val="bottom"/>
          </w:tcPr>
          <w:p>
            <w:pPr>
              <w:pStyle w:val="TableContents"/>
              <w:spacing w:before="0" w:after="0"/>
              <w:ind w:left="0" w:right="0" w:hanging="0"/>
              <w:rPr/>
            </w:pPr>
            <w:r>
              <w:rPr/>
              <w:t> </w:t>
            </w:r>
          </w:p>
        </w:tc>
      </w:tr>
      <w:tr>
        <w:trPr/>
        <w:tc>
          <w:tcPr>
            <w:tcW w:w="709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Income tax expense</w:t>
            </w:r>
          </w:p>
        </w:tc>
        <w:tc>
          <w:tcPr>
            <w:tcW w:w="213"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24" w:type="dxa"/>
            <w:tcBorders/>
            <w:shd w:fill="auto" w:val="clear"/>
            <w:vAlign w:val="bottom"/>
          </w:tcPr>
          <w:p>
            <w:pPr>
              <w:pStyle w:val="TableContents"/>
              <w:spacing w:before="0" w:after="0"/>
              <w:ind w:left="0" w:right="0" w:hanging="0"/>
              <w:rPr/>
            </w:pPr>
            <w:r>
              <w:rPr/>
              <w:t> </w:t>
            </w:r>
          </w:p>
        </w:tc>
        <w:tc>
          <w:tcPr>
            <w:tcW w:w="12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22" w:type="dxa"/>
            <w:tcBorders/>
            <w:shd w:fill="auto" w:val="clear"/>
            <w:vAlign w:val="bottom"/>
          </w:tcPr>
          <w:p>
            <w:pPr>
              <w:pStyle w:val="TableContents"/>
              <w:spacing w:before="0" w:after="0"/>
              <w:ind w:left="0" w:right="0" w:hanging="0"/>
              <w:rPr/>
            </w:pPr>
            <w:r>
              <w:rPr/>
              <w:t> </w:t>
            </w:r>
          </w:p>
        </w:tc>
      </w:tr>
      <w:tr>
        <w:trPr/>
        <w:tc>
          <w:tcPr>
            <w:tcW w:w="709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Depreciation and amortization</w:t>
            </w:r>
          </w:p>
        </w:tc>
        <w:tc>
          <w:tcPr>
            <w:tcW w:w="213" w:type="dxa"/>
            <w:tcBorders/>
            <w:shd w:fill="CCEEFF"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24" w:type="dxa"/>
            <w:tcBorders/>
            <w:shd w:fill="CCEEFF" w:val="clear"/>
            <w:vAlign w:val="bottom"/>
          </w:tcPr>
          <w:p>
            <w:pPr>
              <w:pStyle w:val="TableContents"/>
              <w:spacing w:before="0" w:after="0"/>
              <w:ind w:left="0" w:right="0" w:hanging="0"/>
              <w:rPr/>
            </w:pPr>
            <w:r>
              <w:rPr/>
              <w:t> </w:t>
            </w:r>
          </w:p>
        </w:tc>
        <w:tc>
          <w:tcPr>
            <w:tcW w:w="12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22" w:type="dxa"/>
            <w:tcBorders/>
            <w:shd w:fill="CCEEFF" w:val="clear"/>
            <w:vAlign w:val="bottom"/>
          </w:tcPr>
          <w:p>
            <w:pPr>
              <w:pStyle w:val="TableContents"/>
              <w:spacing w:before="0" w:after="0"/>
              <w:ind w:left="0" w:right="0" w:hanging="0"/>
              <w:rPr/>
            </w:pPr>
            <w:r>
              <w:rPr/>
              <w:t> </w:t>
            </w:r>
          </w:p>
        </w:tc>
      </w:tr>
      <w:tr>
        <w:trPr/>
        <w:tc>
          <w:tcPr>
            <w:tcW w:w="709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13" w:type="dxa"/>
            <w:tcBorders/>
            <w:shd w:fill="auto" w:val="clear"/>
            <w:vAlign w:val="bottom"/>
          </w:tcPr>
          <w:p>
            <w:pPr>
              <w:pStyle w:val="TableContents"/>
              <w:spacing w:before="0" w:after="0"/>
              <w:ind w:left="0" w:right="0" w:hanging="0"/>
              <w:rPr/>
            </w:pPr>
            <w:r>
              <w:rPr/>
              <w:t> </w:t>
            </w:r>
          </w:p>
        </w:tc>
        <w:tc>
          <w:tcPr>
            <w:tcW w:w="127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w:t>
            </w:r>
          </w:p>
        </w:tc>
        <w:tc>
          <w:tcPr>
            <w:tcW w:w="224" w:type="dxa"/>
            <w:tcBorders/>
            <w:shd w:fill="auto" w:val="clear"/>
            <w:vAlign w:val="bottom"/>
          </w:tcPr>
          <w:p>
            <w:pPr>
              <w:pStyle w:val="TableContents"/>
              <w:spacing w:before="0" w:after="0"/>
              <w:ind w:left="0" w:right="0" w:hanging="0"/>
              <w:rPr/>
            </w:pPr>
            <w:r>
              <w:rPr/>
              <w:t> </w:t>
            </w:r>
          </w:p>
        </w:tc>
        <w:tc>
          <w:tcPr>
            <w:tcW w:w="12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w:t>
            </w:r>
          </w:p>
        </w:tc>
        <w:tc>
          <w:tcPr>
            <w:tcW w:w="122" w:type="dxa"/>
            <w:tcBorders/>
            <w:shd w:fill="auto" w:val="clear"/>
            <w:vAlign w:val="bottom"/>
          </w:tcPr>
          <w:p>
            <w:pPr>
              <w:pStyle w:val="TableContents"/>
              <w:spacing w:before="0" w:after="0"/>
              <w:ind w:left="0" w:right="0" w:hanging="0"/>
              <w:rPr/>
            </w:pPr>
            <w:r>
              <w:rPr/>
              <w:t> </w:t>
            </w:r>
          </w:p>
        </w:tc>
      </w:tr>
      <w:tr>
        <w:trPr/>
        <w:tc>
          <w:tcPr>
            <w:tcW w:w="7095" w:type="dxa"/>
            <w:tcBorders/>
            <w:shd w:fill="CCEEFF" w:val="clear"/>
            <w:vAlign w:val="bottom"/>
          </w:tcPr>
          <w:p>
            <w:pPr>
              <w:pStyle w:val="TableContents"/>
              <w:spacing w:before="0" w:after="0"/>
              <w:ind w:left="0" w:right="0" w:hanging="0"/>
              <w:rPr/>
            </w:pPr>
            <w:r>
              <w:rPr>
                <w:rFonts w:ascii="Times New Roman" w:hAnsi="Times New Roman"/>
                <w:sz w:val="17"/>
              </w:rPr>
              <w:t xml:space="preserve">Selected items impacting comparability of EBITDA </w:t>
            </w:r>
            <w:r>
              <w:rPr>
                <w:sz w:val="11"/>
              </w:rPr>
              <w:t>(1)</w:t>
            </w:r>
          </w:p>
        </w:tc>
        <w:tc>
          <w:tcPr>
            <w:tcW w:w="213" w:type="dxa"/>
            <w:tcBorders/>
            <w:shd w:fill="CCEEFF" w:val="clear"/>
            <w:vAlign w:val="bottom"/>
          </w:tcPr>
          <w:p>
            <w:pPr>
              <w:pStyle w:val="TableContents"/>
              <w:spacing w:before="0" w:after="0"/>
              <w:ind w:left="0" w:right="0" w:hanging="0"/>
              <w:rPr/>
            </w:pPr>
            <w:r>
              <w:rPr/>
              <w:t> </w:t>
            </w:r>
          </w:p>
        </w:tc>
        <w:tc>
          <w:tcPr>
            <w:tcW w:w="127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224" w:type="dxa"/>
            <w:tcBorders/>
            <w:shd w:fill="CCEEFF" w:val="clear"/>
            <w:vAlign w:val="bottom"/>
          </w:tcPr>
          <w:p>
            <w:pPr>
              <w:pStyle w:val="TableContents"/>
              <w:spacing w:before="0" w:after="0"/>
              <w:ind w:left="0" w:right="0" w:hanging="0"/>
              <w:rPr/>
            </w:pPr>
            <w:r>
              <w:rPr/>
              <w:t> </w:t>
            </w:r>
          </w:p>
        </w:tc>
        <w:tc>
          <w:tcPr>
            <w:tcW w:w="12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22" w:type="dxa"/>
            <w:tcBorders/>
            <w:shd w:fill="CCEEFF" w:val="clear"/>
            <w:vAlign w:val="bottom"/>
          </w:tcPr>
          <w:p>
            <w:pPr>
              <w:pStyle w:val="TableContents"/>
              <w:spacing w:before="0" w:after="0"/>
              <w:ind w:left="0" w:right="0" w:hanging="0"/>
              <w:rPr/>
            </w:pPr>
            <w:r>
              <w:rPr/>
              <w:t> </w:t>
            </w:r>
          </w:p>
        </w:tc>
      </w:tr>
      <w:tr>
        <w:trPr/>
        <w:tc>
          <w:tcPr>
            <w:tcW w:w="7095"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13" w:type="dxa"/>
            <w:tcBorders/>
            <w:shd w:fill="auto" w:val="clear"/>
            <w:vAlign w:val="bottom"/>
          </w:tcPr>
          <w:p>
            <w:pPr>
              <w:pStyle w:val="TableContents"/>
              <w:spacing w:before="0" w:after="0"/>
              <w:ind w:left="0" w:right="0" w:hanging="0"/>
              <w:rPr/>
            </w:pPr>
            <w:r>
              <w:rPr/>
              <w:t> </w:t>
            </w:r>
          </w:p>
        </w:tc>
        <w:tc>
          <w:tcPr>
            <w:tcW w:w="15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472</w:t>
            </w:r>
          </w:p>
        </w:tc>
        <w:tc>
          <w:tcPr>
            <w:tcW w:w="224" w:type="dxa"/>
            <w:tcBorders/>
            <w:shd w:fill="auto" w:val="clear"/>
            <w:vAlign w:val="bottom"/>
          </w:tcPr>
          <w:p>
            <w:pPr>
              <w:pStyle w:val="TableContents"/>
              <w:spacing w:before="0" w:after="0"/>
              <w:ind w:left="0" w:right="0" w:hanging="0"/>
              <w:rPr/>
            </w:pPr>
            <w:r>
              <w:rPr/>
              <w:t> </w:t>
            </w:r>
          </w:p>
        </w:tc>
        <w:tc>
          <w:tcPr>
            <w:tcW w:w="15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348</w:t>
            </w:r>
          </w:p>
        </w:tc>
        <w:tc>
          <w:tcPr>
            <w:tcW w:w="12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307"/>
        <w:gridCol w:w="9898"/>
      </w:tblGrid>
      <w:tr>
        <w:trPr/>
        <w:tc>
          <w:tcPr>
            <w:tcW w:w="307"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989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Certain of our non-GAAP financial measures may not be impacted by each of the selected items impacting comparability.</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64"/>
        <w:gridCol w:w="214"/>
        <w:gridCol w:w="160"/>
        <w:gridCol w:w="1118"/>
        <w:gridCol w:w="236"/>
        <w:gridCol w:w="160"/>
        <w:gridCol w:w="1120"/>
        <w:gridCol w:w="133"/>
      </w:tblGrid>
      <w:tr>
        <w:trPr/>
        <w:tc>
          <w:tcPr>
            <w:tcW w:w="706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9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33" w:type="dxa"/>
            <w:tcBorders/>
            <w:shd w:fill="auto" w:val="clear"/>
            <w:vAlign w:val="bottom"/>
          </w:tcPr>
          <w:p>
            <w:pPr>
              <w:pStyle w:val="TableContents"/>
              <w:spacing w:before="0" w:after="0"/>
              <w:ind w:left="0" w:right="0" w:hanging="0"/>
              <w:jc w:val="center"/>
              <w:rPr/>
            </w:pPr>
            <w:r>
              <w:rPr/>
              <w:t> </w:t>
            </w:r>
          </w:p>
        </w:tc>
      </w:tr>
      <w:tr>
        <w:trPr/>
        <w:tc>
          <w:tcPr>
            <w:tcW w:w="706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9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33" w:type="dxa"/>
            <w:tcBorders/>
            <w:shd w:fill="auto" w:val="clear"/>
            <w:vAlign w:val="bottom"/>
          </w:tcPr>
          <w:p>
            <w:pPr>
              <w:pStyle w:val="TableContents"/>
              <w:spacing w:before="0" w:after="0"/>
              <w:ind w:left="0" w:right="0" w:hanging="0"/>
              <w:jc w:val="center"/>
              <w:rPr/>
            </w:pPr>
            <w:r>
              <w:rPr/>
              <w:t> </w:t>
            </w:r>
          </w:p>
        </w:tc>
      </w:tr>
      <w:tr>
        <w:trPr/>
        <w:tc>
          <w:tcPr>
            <w:tcW w:w="7064"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7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36" w:type="dxa"/>
            <w:tcBorders/>
            <w:shd w:fill="auto" w:val="clear"/>
            <w:vAlign w:val="bottom"/>
          </w:tcPr>
          <w:p>
            <w:pPr>
              <w:pStyle w:val="TableContents"/>
              <w:spacing w:before="0" w:after="0"/>
              <w:ind w:left="0" w:right="0" w:hanging="0"/>
              <w:jc w:val="center"/>
              <w:rPr/>
            </w:pPr>
            <w:r>
              <w:rPr/>
              <w:t> </w:t>
            </w:r>
          </w:p>
        </w:tc>
        <w:tc>
          <w:tcPr>
            <w:tcW w:w="12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33" w:type="dxa"/>
            <w:tcBorders/>
            <w:shd w:fill="auto" w:val="clear"/>
            <w:vAlign w:val="bottom"/>
          </w:tcPr>
          <w:p>
            <w:pPr>
              <w:pStyle w:val="TableContents"/>
              <w:spacing w:before="0" w:after="0"/>
              <w:ind w:left="0" w:right="0" w:hanging="0"/>
              <w:jc w:val="center"/>
              <w:rPr/>
            </w:pPr>
            <w:r>
              <w:rPr/>
              <w:t> </w:t>
            </w:r>
          </w:p>
        </w:tc>
      </w:tr>
      <w:tr>
        <w:trPr/>
        <w:tc>
          <w:tcPr>
            <w:tcW w:w="7064"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Adjusted EBITDA to Implied Distributable Cash Flow (DCF)</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pPr>
            <w:r>
              <w:rPr/>
              <w:t> </w:t>
            </w:r>
          </w:p>
        </w:tc>
        <w:tc>
          <w:tcPr>
            <w:tcW w:w="236" w:type="dxa"/>
            <w:tcBorders/>
            <w:shd w:fill="CCEEFF" w:val="clear"/>
            <w:vAlign w:val="bottom"/>
          </w:tcPr>
          <w:p>
            <w:pPr>
              <w:pStyle w:val="TableContents"/>
              <w:spacing w:before="0" w:after="0"/>
              <w:ind w:left="0" w:right="0" w:hanging="0"/>
              <w:rPr/>
            </w:pPr>
            <w:r>
              <w:rPr/>
              <w:t> </w:t>
            </w:r>
          </w:p>
        </w:tc>
        <w:tc>
          <w:tcPr>
            <w:tcW w:w="1280" w:type="dxa"/>
            <w:gridSpan w:val="2"/>
            <w:tcBorders/>
            <w:shd w:fill="CCEEFF" w:val="clear"/>
            <w:vAlign w:val="bottom"/>
          </w:tcPr>
          <w:p>
            <w:pPr>
              <w:pStyle w:val="TableContents"/>
              <w:spacing w:before="0" w:after="0"/>
              <w:ind w:left="0" w:right="0" w:hanging="0"/>
              <w:jc w:val="right"/>
              <w:rPr/>
            </w:pPr>
            <w:r>
              <w:rPr/>
              <w:t> </w:t>
            </w:r>
          </w:p>
        </w:tc>
        <w:tc>
          <w:tcPr>
            <w:tcW w:w="133" w:type="dxa"/>
            <w:tcBorders/>
            <w:shd w:fill="CCEEFF" w:val="clear"/>
            <w:vAlign w:val="bottom"/>
          </w:tcPr>
          <w:p>
            <w:pPr>
              <w:pStyle w:val="TableContents"/>
              <w:spacing w:before="0" w:after="0"/>
              <w:ind w:left="0" w:right="0" w:hanging="0"/>
              <w:rPr/>
            </w:pPr>
            <w:r>
              <w:rPr/>
              <w:t> </w:t>
            </w:r>
          </w:p>
        </w:tc>
      </w:tr>
      <w:tr>
        <w:trPr/>
        <w:tc>
          <w:tcPr>
            <w:tcW w:w="706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14"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472</w:t>
            </w:r>
          </w:p>
        </w:tc>
        <w:tc>
          <w:tcPr>
            <w:tcW w:w="236"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348</w:t>
            </w:r>
          </w:p>
        </w:tc>
        <w:tc>
          <w:tcPr>
            <w:tcW w:w="133" w:type="dxa"/>
            <w:tcBorders/>
            <w:shd w:fill="auto" w:val="clear"/>
            <w:vAlign w:val="bottom"/>
          </w:tcPr>
          <w:p>
            <w:pPr>
              <w:pStyle w:val="TableContents"/>
              <w:spacing w:before="0" w:after="0"/>
              <w:ind w:left="0" w:right="0" w:hanging="0"/>
              <w:rPr/>
            </w:pPr>
            <w:r>
              <w:rPr/>
              <w:t> </w:t>
            </w:r>
          </w:p>
        </w:tc>
      </w:tr>
      <w:tr>
        <w:trPr/>
        <w:tc>
          <w:tcPr>
            <w:tcW w:w="7064"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 net of distributions</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33" w:type="dxa"/>
            <w:tcBorders/>
            <w:shd w:fill="auto" w:val="clear"/>
            <w:vAlign w:val="bottom"/>
          </w:tcPr>
          <w:p>
            <w:pPr>
              <w:pStyle w:val="TableContents"/>
              <w:spacing w:before="0" w:after="0"/>
              <w:ind w:left="0" w:right="0" w:hanging="0"/>
              <w:rPr/>
            </w:pPr>
            <w:r>
              <w:rPr/>
              <w:t> </w:t>
            </w:r>
          </w:p>
        </w:tc>
      </w:tr>
      <w:tr>
        <w:trPr/>
        <w:tc>
          <w:tcPr>
            <w:tcW w:w="7064" w:type="dxa"/>
            <w:tcBorders/>
            <w:shd w:fill="CCEEFF" w:val="clear"/>
            <w:vAlign w:val="center"/>
          </w:tcPr>
          <w:p>
            <w:pPr>
              <w:pStyle w:val="TableContents"/>
              <w:spacing w:before="0" w:after="0"/>
              <w:ind w:left="0" w:right="0" w:hanging="0"/>
              <w:rPr/>
            </w:pPr>
            <w:r>
              <w:rPr>
                <w:rFonts w:ascii="Times New Roman" w:hAnsi="Times New Roman"/>
                <w:sz w:val="17"/>
              </w:rPr>
              <w:t xml:space="preserve">Distributions to noncontrolling interests </w:t>
            </w:r>
            <w:r>
              <w:rPr>
                <w:sz w:val="11"/>
              </w:rPr>
              <w:t>(1)</w:t>
            </w:r>
          </w:p>
        </w:tc>
        <w:tc>
          <w:tcPr>
            <w:tcW w:w="214" w:type="dxa"/>
            <w:tcBorders/>
            <w:shd w:fill="CCEEFF" w:val="clear"/>
            <w:vAlign w:val="bottom"/>
          </w:tcPr>
          <w:p>
            <w:pPr>
              <w:pStyle w:val="TableContents"/>
              <w:spacing w:before="0" w:after="0"/>
              <w:ind w:left="0" w:right="0" w:hanging="0"/>
              <w:rPr/>
            </w:pPr>
            <w:r>
              <w:rPr/>
              <w:t> </w:t>
            </w:r>
          </w:p>
        </w:tc>
        <w:tc>
          <w:tcPr>
            <w:tcW w:w="127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3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14" w:type="dxa"/>
            <w:tcBorders/>
            <w:shd w:fill="auto" w:val="clear"/>
            <w:vAlign w:val="bottom"/>
          </w:tcPr>
          <w:p>
            <w:pPr>
              <w:pStyle w:val="TableContents"/>
              <w:spacing w:before="0" w:after="0"/>
              <w:ind w:left="0" w:right="0" w:hanging="0"/>
              <w:rPr/>
            </w:pPr>
            <w:r>
              <w:rPr/>
              <w:t> </w:t>
            </w:r>
          </w:p>
        </w:tc>
        <w:tc>
          <w:tcPr>
            <w:tcW w:w="127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36" w:type="dxa"/>
            <w:tcBorders/>
            <w:shd w:fill="auto" w:val="clear"/>
            <w:vAlign w:val="bottom"/>
          </w:tcPr>
          <w:p>
            <w:pPr>
              <w:pStyle w:val="TableContents"/>
              <w:spacing w:before="0" w:after="0"/>
              <w:ind w:left="0" w:right="0" w:hanging="0"/>
              <w:rPr/>
            </w:pPr>
            <w:r>
              <w:rPr/>
              <w:t> </w:t>
            </w:r>
          </w:p>
        </w:tc>
        <w:tc>
          <w:tcPr>
            <w:tcW w:w="12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3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64"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Implied DCF</w:t>
            </w:r>
          </w:p>
        </w:tc>
        <w:tc>
          <w:tcPr>
            <w:tcW w:w="214" w:type="dxa"/>
            <w:tcBorders/>
            <w:shd w:fill="CCEEFF" w:val="clear"/>
            <w:vAlign w:val="bottom"/>
          </w:tcPr>
          <w:p>
            <w:pPr>
              <w:pStyle w:val="TableContents"/>
              <w:spacing w:before="0" w:after="0"/>
              <w:ind w:left="0" w:right="0" w:hanging="0"/>
              <w:rPr/>
            </w:pPr>
            <w:r>
              <w:rPr/>
              <w:t> </w:t>
            </w:r>
          </w:p>
        </w:tc>
        <w:tc>
          <w:tcPr>
            <w:tcW w:w="16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w:t>
            </w:r>
          </w:p>
        </w:tc>
        <w:tc>
          <w:tcPr>
            <w:tcW w:w="236" w:type="dxa"/>
            <w:tcBorders/>
            <w:shd w:fill="CCEEFF" w:val="clear"/>
            <w:vAlign w:val="bottom"/>
          </w:tcPr>
          <w:p>
            <w:pPr>
              <w:pStyle w:val="TableContents"/>
              <w:spacing w:before="0" w:after="0"/>
              <w:ind w:left="0" w:right="0" w:hanging="0"/>
              <w:rPr/>
            </w:pPr>
            <w:r>
              <w:rPr/>
              <w:t> </w:t>
            </w:r>
          </w:p>
        </w:tc>
        <w:tc>
          <w:tcPr>
            <w:tcW w:w="16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133"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307"/>
        <w:gridCol w:w="9898"/>
      </w:tblGrid>
      <w:tr>
        <w:trPr/>
        <w:tc>
          <w:tcPr>
            <w:tcW w:w="307"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989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Includes distributions that pertain to the current quarters net income and are to be paid in the subsequent quarter.</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70"/>
        <w:gridCol w:w="214"/>
        <w:gridCol w:w="158"/>
        <w:gridCol w:w="1118"/>
        <w:gridCol w:w="236"/>
        <w:gridCol w:w="158"/>
        <w:gridCol w:w="1119"/>
        <w:gridCol w:w="132"/>
      </w:tblGrid>
      <w:tr>
        <w:trPr/>
        <w:tc>
          <w:tcPr>
            <w:tcW w:w="707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8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32" w:type="dxa"/>
            <w:tcBorders/>
            <w:shd w:fill="auto" w:val="clear"/>
            <w:vAlign w:val="bottom"/>
          </w:tcPr>
          <w:p>
            <w:pPr>
              <w:pStyle w:val="TableContents"/>
              <w:spacing w:before="0" w:after="0"/>
              <w:ind w:left="0" w:right="0" w:hanging="0"/>
              <w:jc w:val="center"/>
              <w:rPr/>
            </w:pPr>
            <w:r>
              <w:rPr/>
              <w:t> </w:t>
            </w:r>
          </w:p>
        </w:tc>
      </w:tr>
      <w:tr>
        <w:trPr/>
        <w:tc>
          <w:tcPr>
            <w:tcW w:w="707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8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32" w:type="dxa"/>
            <w:tcBorders/>
            <w:shd w:fill="auto" w:val="clear"/>
            <w:vAlign w:val="bottom"/>
          </w:tcPr>
          <w:p>
            <w:pPr>
              <w:pStyle w:val="TableContents"/>
              <w:spacing w:before="0" w:after="0"/>
              <w:ind w:left="0" w:right="0" w:hanging="0"/>
              <w:jc w:val="center"/>
              <w:rPr/>
            </w:pPr>
            <w:r>
              <w:rPr/>
              <w:t> </w:t>
            </w:r>
          </w:p>
        </w:tc>
      </w:tr>
      <w:tr>
        <w:trPr/>
        <w:tc>
          <w:tcPr>
            <w:tcW w:w="7070"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36" w:type="dxa"/>
            <w:tcBorders/>
            <w:shd w:fill="auto" w:val="clear"/>
            <w:vAlign w:val="bottom"/>
          </w:tcPr>
          <w:p>
            <w:pPr>
              <w:pStyle w:val="TableContents"/>
              <w:spacing w:before="0" w:after="0"/>
              <w:ind w:left="0" w:right="0" w:hanging="0"/>
              <w:jc w:val="center"/>
              <w:rPr/>
            </w:pPr>
            <w:r>
              <w:rPr/>
              <w:t> </w:t>
            </w:r>
          </w:p>
        </w:tc>
        <w:tc>
          <w:tcPr>
            <w:tcW w:w="12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32" w:type="dxa"/>
            <w:tcBorders/>
            <w:shd w:fill="auto" w:val="clear"/>
            <w:vAlign w:val="bottom"/>
          </w:tcPr>
          <w:p>
            <w:pPr>
              <w:pStyle w:val="TableContents"/>
              <w:spacing w:before="0" w:after="0"/>
              <w:ind w:left="0" w:right="0" w:hanging="0"/>
              <w:jc w:val="center"/>
              <w:rPr/>
            </w:pPr>
            <w:r>
              <w:rPr/>
              <w:t> </w:t>
            </w:r>
          </w:p>
        </w:tc>
      </w:tr>
      <w:tr>
        <w:trPr/>
        <w:tc>
          <w:tcPr>
            <w:tcW w:w="7070"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Cash flow from operating activities reconciliation</w:t>
            </w:r>
          </w:p>
        </w:tc>
        <w:tc>
          <w:tcPr>
            <w:tcW w:w="214" w:type="dxa"/>
            <w:tcBorders/>
            <w:shd w:fill="CCEEFF" w:val="clear"/>
            <w:vAlign w:val="bottom"/>
          </w:tcPr>
          <w:p>
            <w:pPr>
              <w:pStyle w:val="TableContents"/>
              <w:spacing w:before="0" w:after="0"/>
              <w:ind w:left="0" w:right="0" w:hanging="0"/>
              <w:rPr/>
            </w:pPr>
            <w:r>
              <w:rPr/>
              <w:t> </w:t>
            </w:r>
          </w:p>
        </w:tc>
        <w:tc>
          <w:tcPr>
            <w:tcW w:w="1276" w:type="dxa"/>
            <w:gridSpan w:val="2"/>
            <w:tcBorders/>
            <w:shd w:fill="CCEEFF" w:val="clear"/>
            <w:vAlign w:val="bottom"/>
          </w:tcPr>
          <w:p>
            <w:pPr>
              <w:pStyle w:val="TableContents"/>
              <w:spacing w:before="0" w:after="0"/>
              <w:ind w:left="0" w:right="0" w:hanging="0"/>
              <w:jc w:val="right"/>
              <w:rPr/>
            </w:pPr>
            <w:r>
              <w:rPr/>
              <w:t> </w:t>
            </w:r>
          </w:p>
        </w:tc>
        <w:tc>
          <w:tcPr>
            <w:tcW w:w="236" w:type="dxa"/>
            <w:tcBorders/>
            <w:shd w:fill="CCEEFF" w:val="clear"/>
            <w:vAlign w:val="bottom"/>
          </w:tcPr>
          <w:p>
            <w:pPr>
              <w:pStyle w:val="TableContents"/>
              <w:spacing w:before="0" w:after="0"/>
              <w:ind w:left="0" w:right="0" w:hanging="0"/>
              <w:rPr/>
            </w:pPr>
            <w:r>
              <w:rPr/>
              <w:t> </w:t>
            </w:r>
          </w:p>
        </w:tc>
        <w:tc>
          <w:tcPr>
            <w:tcW w:w="1277" w:type="dxa"/>
            <w:gridSpan w:val="2"/>
            <w:tcBorders/>
            <w:shd w:fill="CCEEFF" w:val="clear"/>
            <w:vAlign w:val="bottom"/>
          </w:tcPr>
          <w:p>
            <w:pPr>
              <w:pStyle w:val="TableContents"/>
              <w:spacing w:before="0" w:after="0"/>
              <w:ind w:left="0" w:right="0" w:hanging="0"/>
              <w:jc w:val="right"/>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7070"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14"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382</w:t>
            </w:r>
          </w:p>
        </w:tc>
        <w:tc>
          <w:tcPr>
            <w:tcW w:w="236" w:type="dxa"/>
            <w:tcBorders/>
            <w:shd w:fill="auto" w:val="clear"/>
            <w:vAlign w:val="bottom"/>
          </w:tcPr>
          <w:p>
            <w:pPr>
              <w:pStyle w:val="TableContents"/>
              <w:spacing w:before="0" w:after="0"/>
              <w:ind w:left="0" w:right="0" w:hanging="0"/>
              <w:rPr/>
            </w:pPr>
            <w:r>
              <w:rPr/>
              <w:t> </w:t>
            </w:r>
          </w:p>
        </w:tc>
        <w:tc>
          <w:tcPr>
            <w:tcW w:w="15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w:t>
            </w:r>
          </w:p>
        </w:tc>
        <w:tc>
          <w:tcPr>
            <w:tcW w:w="132" w:type="dxa"/>
            <w:tcBorders/>
            <w:shd w:fill="auto" w:val="clear"/>
            <w:vAlign w:val="bottom"/>
          </w:tcPr>
          <w:p>
            <w:pPr>
              <w:pStyle w:val="TableContents"/>
              <w:spacing w:before="0" w:after="0"/>
              <w:ind w:left="0" w:right="0" w:hanging="0"/>
              <w:rPr/>
            </w:pPr>
            <w:r>
              <w:rPr/>
              <w:t> </w:t>
            </w:r>
          </w:p>
        </w:tc>
      </w:tr>
      <w:tr>
        <w:trPr/>
        <w:tc>
          <w:tcPr>
            <w:tcW w:w="7070"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4" w:type="dxa"/>
            <w:tcBorders/>
            <w:shd w:fill="CCEEFF" w:val="clear"/>
            <w:vAlign w:val="bottom"/>
          </w:tcPr>
          <w:p>
            <w:pPr>
              <w:pStyle w:val="TableContents"/>
              <w:spacing w:before="0" w:after="0"/>
              <w:ind w:left="0" w:right="0" w:hanging="0"/>
              <w:rPr/>
            </w:pPr>
            <w:r>
              <w:rPr/>
              <w:t> </w:t>
            </w:r>
          </w:p>
        </w:tc>
        <w:tc>
          <w:tcPr>
            <w:tcW w:w="12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70"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14" w:type="dxa"/>
            <w:tcBorders/>
            <w:shd w:fill="auto" w:val="clear"/>
            <w:vAlign w:val="bottom"/>
          </w:tcPr>
          <w:p>
            <w:pPr>
              <w:pStyle w:val="TableContents"/>
              <w:spacing w:before="0" w:after="0"/>
              <w:ind w:left="0" w:right="0" w:hanging="0"/>
              <w:rPr/>
            </w:pPr>
            <w:r>
              <w:rPr/>
              <w:t> </w:t>
            </w:r>
          </w:p>
        </w:tc>
        <w:tc>
          <w:tcPr>
            <w:tcW w:w="12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3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070"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change in assets and liabilities, net of acquisitions</w:t>
            </w:r>
          </w:p>
        </w:tc>
        <w:tc>
          <w:tcPr>
            <w:tcW w:w="214" w:type="dxa"/>
            <w:tcBorders/>
            <w:shd w:fill="CCEEFF" w:val="clear"/>
            <w:vAlign w:val="bottom"/>
          </w:tcPr>
          <w:p>
            <w:pPr>
              <w:pStyle w:val="TableContents"/>
              <w:spacing w:before="0" w:after="0"/>
              <w:ind w:left="0" w:right="0" w:hanging="0"/>
              <w:rPr/>
            </w:pPr>
            <w:r>
              <w:rPr/>
              <w:t> </w:t>
            </w:r>
          </w:p>
        </w:tc>
        <w:tc>
          <w:tcPr>
            <w:tcW w:w="12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3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384</w:t>
            </w:r>
          </w:p>
        </w:tc>
        <w:tc>
          <w:tcPr>
            <w:tcW w:w="132" w:type="dxa"/>
            <w:tcBorders/>
            <w:shd w:fill="CCEEFF" w:val="clear"/>
            <w:vAlign w:val="bottom"/>
          </w:tcPr>
          <w:p>
            <w:pPr>
              <w:pStyle w:val="TableContents"/>
              <w:spacing w:before="0" w:after="0"/>
              <w:ind w:left="0" w:right="0" w:hanging="0"/>
              <w:rPr/>
            </w:pPr>
            <w:r>
              <w:rPr/>
              <w:t> </w:t>
            </w:r>
          </w:p>
        </w:tc>
      </w:tr>
      <w:tr>
        <w:trPr/>
        <w:tc>
          <w:tcPr>
            <w:tcW w:w="7070"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items to reconcile to cash flows from operating activities:</w:t>
            </w:r>
          </w:p>
        </w:tc>
        <w:tc>
          <w:tcPr>
            <w:tcW w:w="214" w:type="dxa"/>
            <w:tcBorders/>
            <w:shd w:fill="auto" w:val="clear"/>
            <w:vAlign w:val="bottom"/>
          </w:tcPr>
          <w:p>
            <w:pPr>
              <w:pStyle w:val="TableContents"/>
              <w:spacing w:before="0" w:after="0"/>
              <w:ind w:left="0" w:right="0" w:hanging="0"/>
              <w:rPr/>
            </w:pPr>
            <w:r>
              <w:rPr/>
              <w:t> </w:t>
            </w:r>
          </w:p>
        </w:tc>
        <w:tc>
          <w:tcPr>
            <w:tcW w:w="1276" w:type="dxa"/>
            <w:gridSpan w:val="2"/>
            <w:tcBorders/>
            <w:shd w:fill="auto" w:val="clear"/>
            <w:vAlign w:val="bottom"/>
          </w:tcPr>
          <w:p>
            <w:pPr>
              <w:pStyle w:val="TableContents"/>
              <w:spacing w:before="0" w:after="0"/>
              <w:ind w:left="0" w:right="0" w:hanging="0"/>
              <w:jc w:val="right"/>
              <w:rPr/>
            </w:pPr>
            <w:r>
              <w:rPr/>
              <w:t> </w:t>
            </w:r>
          </w:p>
        </w:tc>
        <w:tc>
          <w:tcPr>
            <w:tcW w:w="236" w:type="dxa"/>
            <w:tcBorders/>
            <w:shd w:fill="auto" w:val="clear"/>
            <w:vAlign w:val="bottom"/>
          </w:tcPr>
          <w:p>
            <w:pPr>
              <w:pStyle w:val="TableContents"/>
              <w:spacing w:before="0" w:after="0"/>
              <w:ind w:left="0" w:right="0" w:hanging="0"/>
              <w:rPr/>
            </w:pPr>
            <w:r>
              <w:rPr/>
              <w:t> </w:t>
            </w:r>
          </w:p>
        </w:tc>
        <w:tc>
          <w:tcPr>
            <w:tcW w:w="1277" w:type="dxa"/>
            <w:gridSpan w:val="2"/>
            <w:tcBorders/>
            <w:shd w:fill="auto" w:val="clear"/>
            <w:vAlign w:val="bottom"/>
          </w:tcPr>
          <w:p>
            <w:pPr>
              <w:pStyle w:val="TableContents"/>
              <w:spacing w:before="0" w:after="0"/>
              <w:ind w:left="0" w:right="0" w:hanging="0"/>
              <w:jc w:val="right"/>
              <w:rPr/>
            </w:pPr>
            <w:r>
              <w:rPr/>
              <w:t> </w:t>
            </w:r>
          </w:p>
        </w:tc>
        <w:tc>
          <w:tcPr>
            <w:tcW w:w="132" w:type="dxa"/>
            <w:tcBorders/>
            <w:shd w:fill="auto" w:val="clear"/>
            <w:vAlign w:val="bottom"/>
          </w:tcPr>
          <w:p>
            <w:pPr>
              <w:pStyle w:val="TableContents"/>
              <w:spacing w:before="0" w:after="0"/>
              <w:ind w:left="0" w:right="0" w:hanging="0"/>
              <w:rPr/>
            </w:pPr>
            <w:r>
              <w:rPr/>
              <w:t> </w:t>
            </w:r>
          </w:p>
        </w:tc>
      </w:tr>
      <w:tr>
        <w:trPr/>
        <w:tc>
          <w:tcPr>
            <w:tcW w:w="7070"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compensation expense</w:t>
            </w:r>
          </w:p>
        </w:tc>
        <w:tc>
          <w:tcPr>
            <w:tcW w:w="214" w:type="dxa"/>
            <w:tcBorders/>
            <w:shd w:fill="CCEEFF" w:val="clear"/>
            <w:vAlign w:val="bottom"/>
          </w:tcPr>
          <w:p>
            <w:pPr>
              <w:pStyle w:val="TableContents"/>
              <w:spacing w:before="0" w:after="0"/>
              <w:ind w:left="0" w:right="0" w:hanging="0"/>
              <w:rPr/>
            </w:pPr>
            <w:r>
              <w:rPr/>
              <w:t> </w:t>
            </w:r>
          </w:p>
        </w:tc>
        <w:tc>
          <w:tcPr>
            <w:tcW w:w="12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36" w:type="dxa"/>
            <w:tcBorders/>
            <w:shd w:fill="CCEEFF" w:val="clear"/>
            <w:vAlign w:val="bottom"/>
          </w:tcPr>
          <w:p>
            <w:pPr>
              <w:pStyle w:val="TableContents"/>
              <w:spacing w:before="0" w:after="0"/>
              <w:ind w:left="0" w:right="0" w:hanging="0"/>
              <w:rPr/>
            </w:pPr>
            <w:r>
              <w:rPr/>
              <w:t> </w:t>
            </w:r>
          </w:p>
        </w:tc>
        <w:tc>
          <w:tcPr>
            <w:tcW w:w="127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32" w:type="dxa"/>
            <w:tcBorders/>
            <w:shd w:fill="CCEEFF" w:val="clear"/>
            <w:vAlign w:val="bottom"/>
          </w:tcPr>
          <w:p>
            <w:pPr>
              <w:pStyle w:val="TableContents"/>
              <w:spacing w:before="0" w:after="0"/>
              <w:ind w:left="0" w:right="0" w:hanging="0"/>
              <w:rPr/>
            </w:pPr>
            <w:r>
              <w:rPr/>
              <w:t> </w:t>
            </w:r>
          </w:p>
        </w:tc>
      </w:tr>
      <w:tr>
        <w:trPr/>
        <w:tc>
          <w:tcPr>
            <w:tcW w:w="7070"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214" w:type="dxa"/>
            <w:tcBorders/>
            <w:shd w:fill="auto" w:val="clear"/>
            <w:vAlign w:val="bottom"/>
          </w:tcPr>
          <w:p>
            <w:pPr>
              <w:pStyle w:val="TableContents"/>
              <w:spacing w:before="0" w:after="0"/>
              <w:ind w:left="0" w:right="0" w:hanging="0"/>
              <w:rPr/>
            </w:pPr>
            <w:r>
              <w:rPr/>
              <w:t> </w:t>
            </w:r>
          </w:p>
        </w:tc>
        <w:tc>
          <w:tcPr>
            <w:tcW w:w="15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317</w:t>
            </w:r>
          </w:p>
        </w:tc>
        <w:tc>
          <w:tcPr>
            <w:tcW w:w="236" w:type="dxa"/>
            <w:tcBorders/>
            <w:shd w:fill="auto" w:val="clear"/>
            <w:vAlign w:val="bottom"/>
          </w:tcPr>
          <w:p>
            <w:pPr>
              <w:pStyle w:val="TableContents"/>
              <w:spacing w:before="0" w:after="0"/>
              <w:ind w:left="0" w:right="0" w:hanging="0"/>
              <w:rPr/>
            </w:pPr>
            <w:r>
              <w:rPr/>
              <w:t> </w:t>
            </w:r>
          </w:p>
        </w:tc>
        <w:tc>
          <w:tcPr>
            <w:tcW w:w="15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654</w:t>
            </w:r>
          </w:p>
        </w:tc>
        <w:tc>
          <w:tcPr>
            <w:tcW w:w="13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more -</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13</w:t>
      </w:r>
      <w:bookmarkStart w:id="25" w:name="PB_13_131012_4141"/>
      <w:bookmarkEnd w:id="25"/>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FINANCIAL DATA RECONCILIATIONS</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 (continued)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12"/>
        <w:gridCol w:w="214"/>
        <w:gridCol w:w="147"/>
        <w:gridCol w:w="1121"/>
        <w:gridCol w:w="220"/>
        <w:gridCol w:w="147"/>
        <w:gridCol w:w="1122"/>
        <w:gridCol w:w="122"/>
      </w:tblGrid>
      <w:tr>
        <w:trPr/>
        <w:tc>
          <w:tcPr>
            <w:tcW w:w="7112"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5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22" w:type="dxa"/>
            <w:tcBorders/>
            <w:shd w:fill="auto" w:val="clear"/>
            <w:vAlign w:val="bottom"/>
          </w:tcPr>
          <w:p>
            <w:pPr>
              <w:pStyle w:val="TableContents"/>
              <w:spacing w:before="0" w:after="0"/>
              <w:ind w:left="0" w:right="0" w:hanging="0"/>
              <w:jc w:val="center"/>
              <w:rPr/>
            </w:pPr>
            <w:r>
              <w:rPr/>
              <w:t> </w:t>
            </w:r>
          </w:p>
        </w:tc>
      </w:tr>
      <w:tr>
        <w:trPr/>
        <w:tc>
          <w:tcPr>
            <w:tcW w:w="7112"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275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March 31,</w:t>
            </w:r>
          </w:p>
        </w:tc>
        <w:tc>
          <w:tcPr>
            <w:tcW w:w="122" w:type="dxa"/>
            <w:tcBorders/>
            <w:shd w:fill="auto" w:val="clear"/>
            <w:vAlign w:val="bottom"/>
          </w:tcPr>
          <w:p>
            <w:pPr>
              <w:pStyle w:val="TableContents"/>
              <w:spacing w:before="0" w:after="0"/>
              <w:ind w:left="0" w:right="0" w:hanging="0"/>
              <w:jc w:val="center"/>
              <w:rPr/>
            </w:pPr>
            <w:r>
              <w:rPr/>
              <w:t> </w:t>
            </w:r>
          </w:p>
        </w:tc>
      </w:tr>
      <w:tr>
        <w:trPr/>
        <w:tc>
          <w:tcPr>
            <w:tcW w:w="7112"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jc w:val="center"/>
              <w:rPr/>
            </w:pPr>
            <w:r>
              <w:rPr/>
              <w:t> </w:t>
            </w:r>
          </w:p>
        </w:tc>
        <w:tc>
          <w:tcPr>
            <w:tcW w:w="126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20" w:type="dxa"/>
            <w:tcBorders/>
            <w:shd w:fill="auto" w:val="clear"/>
            <w:vAlign w:val="bottom"/>
          </w:tcPr>
          <w:p>
            <w:pPr>
              <w:pStyle w:val="TableContents"/>
              <w:spacing w:before="0" w:after="0"/>
              <w:ind w:left="0" w:right="0" w:hanging="0"/>
              <w:jc w:val="center"/>
              <w:rPr/>
            </w:pPr>
            <w:r>
              <w:rPr/>
              <w:t> </w:t>
            </w:r>
          </w:p>
        </w:tc>
        <w:tc>
          <w:tcPr>
            <w:tcW w:w="12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22" w:type="dxa"/>
            <w:tcBorders/>
            <w:shd w:fill="auto" w:val="clear"/>
            <w:vAlign w:val="bottom"/>
          </w:tcPr>
          <w:p>
            <w:pPr>
              <w:pStyle w:val="TableContents"/>
              <w:spacing w:before="0" w:after="0"/>
              <w:ind w:left="0" w:right="0" w:hanging="0"/>
              <w:jc w:val="center"/>
              <w:rPr/>
            </w:pPr>
            <w:r>
              <w:rPr/>
              <w:t> </w:t>
            </w:r>
          </w:p>
        </w:tc>
      </w:tr>
      <w:tr>
        <w:trPr/>
        <w:tc>
          <w:tcPr>
            <w:tcW w:w="7112"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Net income and earnings per limited partner unit excluding selected items impacting comparability</w:t>
            </w:r>
          </w:p>
        </w:tc>
        <w:tc>
          <w:tcPr>
            <w:tcW w:w="214" w:type="dxa"/>
            <w:tcBorders/>
            <w:shd w:fill="CCEEFF" w:val="clear"/>
            <w:vAlign w:val="bottom"/>
          </w:tcPr>
          <w:p>
            <w:pPr>
              <w:pStyle w:val="TableContents"/>
              <w:spacing w:before="0" w:after="0"/>
              <w:ind w:left="0" w:right="0" w:hanging="0"/>
              <w:rPr/>
            </w:pPr>
            <w:r>
              <w:rPr/>
              <w:t> </w:t>
            </w:r>
          </w:p>
        </w:tc>
        <w:tc>
          <w:tcPr>
            <w:tcW w:w="1268"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7112" w:type="dxa"/>
            <w:tcBorders/>
            <w:shd w:fill="auto" w:val="clear"/>
            <w:vAlign w:val="cente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68"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1269"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711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4" w:type="dxa"/>
            <w:tcBorders/>
            <w:shd w:fill="CCEEFF" w:val="cle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220" w:type="dxa"/>
            <w:tcBorders/>
            <w:shd w:fill="CCEEFF" w:val="cle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w:t>
            </w:r>
          </w:p>
        </w:tc>
        <w:tc>
          <w:tcPr>
            <w:tcW w:w="122" w:type="dxa"/>
            <w:tcBorders/>
            <w:shd w:fill="CCEEFF" w:val="clear"/>
            <w:vAlign w:val="bottom"/>
          </w:tcPr>
          <w:p>
            <w:pPr>
              <w:pStyle w:val="TableContents"/>
              <w:spacing w:before="0" w:after="0"/>
              <w:ind w:left="0" w:right="0" w:hanging="0"/>
              <w:rPr/>
            </w:pPr>
            <w:r>
              <w:rPr/>
              <w:t> </w:t>
            </w:r>
          </w:p>
        </w:tc>
      </w:tr>
      <w:tr>
        <w:trPr/>
        <w:tc>
          <w:tcPr>
            <w:tcW w:w="711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net income attributable to Plains</w:t>
            </w:r>
          </w:p>
        </w:tc>
        <w:tc>
          <w:tcPr>
            <w:tcW w:w="214" w:type="dxa"/>
            <w:tcBorders/>
            <w:shd w:fill="auto" w:val="clear"/>
            <w:vAlign w:val="bottom"/>
          </w:tcPr>
          <w:p>
            <w:pPr>
              <w:pStyle w:val="TableContents"/>
              <w:spacing w:before="0" w:after="0"/>
              <w:ind w:left="0" w:right="0" w:hanging="0"/>
              <w:rPr/>
            </w:pPr>
            <w:r>
              <w:rPr/>
              <w:t> </w:t>
            </w:r>
          </w:p>
        </w:tc>
        <w:tc>
          <w:tcPr>
            <w:tcW w:w="126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w:t>
            </w:r>
          </w:p>
        </w:tc>
        <w:tc>
          <w:tcPr>
            <w:tcW w:w="220" w:type="dxa"/>
            <w:tcBorders/>
            <w:shd w:fill="auto" w:val="clear"/>
            <w:vAlign w:val="bottom"/>
          </w:tcPr>
          <w:p>
            <w:pPr>
              <w:pStyle w:val="TableContents"/>
              <w:spacing w:before="0" w:after="0"/>
              <w:ind w:left="0" w:right="0" w:hanging="0"/>
              <w:rPr/>
            </w:pPr>
            <w:r>
              <w:rPr/>
              <w:t> </w:t>
            </w:r>
          </w:p>
        </w:tc>
        <w:tc>
          <w:tcPr>
            <w:tcW w:w="12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22" w:type="dxa"/>
            <w:tcBorders/>
            <w:shd w:fill="auto" w:val="clear"/>
            <w:vAlign w:val="bottom"/>
          </w:tcPr>
          <w:p>
            <w:pPr>
              <w:pStyle w:val="TableContents"/>
              <w:spacing w:before="0" w:after="0"/>
              <w:ind w:left="0" w:right="0" w:hanging="0"/>
              <w:rPr/>
            </w:pPr>
            <w:r>
              <w:rPr/>
              <w:t> </w:t>
            </w:r>
          </w:p>
        </w:tc>
      </w:tr>
      <w:tr>
        <w:trPr/>
        <w:tc>
          <w:tcPr>
            <w:tcW w:w="711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Adjusted net income attributable to Plains</w:t>
            </w:r>
          </w:p>
        </w:tc>
        <w:tc>
          <w:tcPr>
            <w:tcW w:w="214"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220"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202</w:t>
            </w:r>
          </w:p>
        </w:tc>
        <w:tc>
          <w:tcPr>
            <w:tcW w:w="122" w:type="dxa"/>
            <w:tcBorders/>
            <w:shd w:fill="CCEEFF" w:val="clear"/>
            <w:vAlign w:val="bottom"/>
          </w:tcPr>
          <w:p>
            <w:pPr>
              <w:pStyle w:val="TableContents"/>
              <w:spacing w:before="0" w:after="0"/>
              <w:ind w:left="0" w:right="0" w:hanging="0"/>
              <w:rPr/>
            </w:pPr>
            <w:r>
              <w:rPr/>
              <w:t> </w:t>
            </w:r>
          </w:p>
        </w:tc>
      </w:tr>
      <w:tr>
        <w:trPr/>
        <w:tc>
          <w:tcPr>
            <w:tcW w:w="7112" w:type="dxa"/>
            <w:tcBorders/>
            <w:shd w:fill="auto" w:val="clear"/>
            <w:vAlign w:val="bottom"/>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68"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1269"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7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14" w:type="dxa"/>
            <w:tcBorders/>
            <w:shd w:fill="CCEEFF" w:val="cle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20" w:type="dxa"/>
            <w:tcBorders/>
            <w:shd w:fill="CCEEFF" w:val="cle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22" w:type="dxa"/>
            <w:tcBorders/>
            <w:shd w:fill="CCEEFF" w:val="clear"/>
            <w:vAlign w:val="bottom"/>
          </w:tcPr>
          <w:p>
            <w:pPr>
              <w:pStyle w:val="TableContents"/>
              <w:spacing w:before="0" w:after="0"/>
              <w:ind w:left="0" w:right="0" w:hanging="0"/>
              <w:rPr/>
            </w:pPr>
            <w:r>
              <w:rPr/>
              <w:t> </w:t>
            </w:r>
          </w:p>
        </w:tc>
      </w:tr>
      <w:tr>
        <w:trPr/>
        <w:tc>
          <w:tcPr>
            <w:tcW w:w="7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Limited partners 98% of selected items impacting comparability</w:t>
            </w:r>
          </w:p>
        </w:tc>
        <w:tc>
          <w:tcPr>
            <w:tcW w:w="214" w:type="dxa"/>
            <w:tcBorders/>
            <w:shd w:fill="auto" w:val="clear"/>
            <w:vAlign w:val="bottom"/>
          </w:tcPr>
          <w:p>
            <w:pPr>
              <w:pStyle w:val="TableContents"/>
              <w:spacing w:before="0" w:after="0"/>
              <w:ind w:left="0" w:right="0" w:hanging="0"/>
              <w:rPr/>
            </w:pPr>
            <w:r>
              <w:rPr/>
              <w:t> </w:t>
            </w:r>
          </w:p>
        </w:tc>
        <w:tc>
          <w:tcPr>
            <w:tcW w:w="126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20" w:type="dxa"/>
            <w:tcBorders/>
            <w:shd w:fill="auto" w:val="clear"/>
            <w:vAlign w:val="bottom"/>
          </w:tcPr>
          <w:p>
            <w:pPr>
              <w:pStyle w:val="TableContents"/>
              <w:spacing w:before="0" w:after="0"/>
              <w:ind w:left="0" w:right="0" w:hanging="0"/>
              <w:rPr/>
            </w:pPr>
            <w:r>
              <w:rPr/>
              <w:t> </w:t>
            </w:r>
          </w:p>
        </w:tc>
        <w:tc>
          <w:tcPr>
            <w:tcW w:w="12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22" w:type="dxa"/>
            <w:tcBorders/>
            <w:shd w:fill="auto" w:val="clear"/>
            <w:vAlign w:val="bottom"/>
          </w:tcPr>
          <w:p>
            <w:pPr>
              <w:pStyle w:val="TableContents"/>
              <w:spacing w:before="0" w:after="0"/>
              <w:ind w:left="0" w:right="0" w:hanging="0"/>
              <w:rPr/>
            </w:pPr>
            <w:r>
              <w:rPr/>
              <w:t> </w:t>
            </w:r>
          </w:p>
        </w:tc>
      </w:tr>
      <w:tr>
        <w:trPr/>
        <w:tc>
          <w:tcPr>
            <w:tcW w:w="7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limited partners net income</w:t>
            </w:r>
          </w:p>
        </w:tc>
        <w:tc>
          <w:tcPr>
            <w:tcW w:w="214"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220"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122" w:type="dxa"/>
            <w:tcBorders/>
            <w:shd w:fill="CCEEFF" w:val="clear"/>
            <w:vAlign w:val="bottom"/>
          </w:tcPr>
          <w:p>
            <w:pPr>
              <w:pStyle w:val="TableContents"/>
              <w:spacing w:before="0" w:after="0"/>
              <w:ind w:left="0" w:right="0" w:hanging="0"/>
              <w:rPr/>
            </w:pPr>
            <w:r>
              <w:rPr/>
              <w:t> </w:t>
            </w:r>
          </w:p>
        </w:tc>
      </w:tr>
      <w:tr>
        <w:trPr/>
        <w:tc>
          <w:tcPr>
            <w:tcW w:w="7112" w:type="dxa"/>
            <w:tcBorders/>
            <w:shd w:fill="auto" w:val="clear"/>
            <w:vAlign w:val="cente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68"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1269"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711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Adjusted basic net income per limited partner unit </w:t>
            </w:r>
          </w:p>
        </w:tc>
        <w:tc>
          <w:tcPr>
            <w:tcW w:w="214"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220"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122" w:type="dxa"/>
            <w:tcBorders/>
            <w:shd w:fill="CCEEFF" w:val="clear"/>
            <w:vAlign w:val="bottom"/>
          </w:tcPr>
          <w:p>
            <w:pPr>
              <w:pStyle w:val="TableContents"/>
              <w:spacing w:before="0" w:after="0"/>
              <w:ind w:left="0" w:right="0" w:hanging="0"/>
              <w:rPr/>
            </w:pPr>
            <w:r>
              <w:rPr/>
              <w:t> </w:t>
            </w:r>
          </w:p>
        </w:tc>
      </w:tr>
      <w:tr>
        <w:trPr/>
        <w:tc>
          <w:tcPr>
            <w:tcW w:w="7112" w:type="dxa"/>
            <w:tcBorders/>
            <w:shd w:fill="auto" w:val="clear"/>
            <w:vAlign w:val="cente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68"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1269"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711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Adjusted diluted net income per limited partner unit </w:t>
            </w:r>
          </w:p>
        </w:tc>
        <w:tc>
          <w:tcPr>
            <w:tcW w:w="214"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w:t>
            </w:r>
          </w:p>
        </w:tc>
        <w:tc>
          <w:tcPr>
            <w:tcW w:w="220"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2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22" w:type="dxa"/>
            <w:tcBorders/>
            <w:shd w:fill="CCEEFF" w:val="clear"/>
            <w:vAlign w:val="bottom"/>
          </w:tcPr>
          <w:p>
            <w:pPr>
              <w:pStyle w:val="TableContents"/>
              <w:spacing w:before="0" w:after="0"/>
              <w:ind w:left="0" w:right="0" w:hanging="0"/>
              <w:rPr/>
            </w:pPr>
            <w:r>
              <w:rPr/>
              <w:t> </w:t>
            </w:r>
          </w:p>
        </w:tc>
      </w:tr>
      <w:tr>
        <w:trPr/>
        <w:tc>
          <w:tcPr>
            <w:tcW w:w="7112" w:type="dxa"/>
            <w:tcBorders/>
            <w:shd w:fill="auto" w:val="clear"/>
            <w:vAlign w:val="cente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68"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1269"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711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Basic weighted average units outstanding</w:t>
            </w:r>
          </w:p>
        </w:tc>
        <w:tc>
          <w:tcPr>
            <w:tcW w:w="214" w:type="dxa"/>
            <w:tcBorders/>
            <w:shd w:fill="CCEEFF" w:val="clear"/>
            <w:vAlign w:val="bottom"/>
          </w:tcPr>
          <w:p>
            <w:pPr>
              <w:pStyle w:val="TableContents"/>
              <w:spacing w:before="0" w:after="0"/>
              <w:ind w:left="0" w:right="0" w:hanging="0"/>
              <w:rPr/>
            </w:pPr>
            <w:r>
              <w:rPr/>
              <w:t> </w:t>
            </w:r>
          </w:p>
        </w:tc>
        <w:tc>
          <w:tcPr>
            <w:tcW w:w="1268"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220" w:type="dxa"/>
            <w:tcBorders/>
            <w:shd w:fill="CCEEFF" w:val="clear"/>
            <w:vAlign w:val="bottom"/>
          </w:tcPr>
          <w:p>
            <w:pPr>
              <w:pStyle w:val="TableContents"/>
              <w:spacing w:before="0" w:after="0"/>
              <w:ind w:left="0" w:right="0" w:hanging="0"/>
              <w:rPr/>
            </w:pPr>
            <w:r>
              <w:rPr/>
              <w:t> </w:t>
            </w:r>
          </w:p>
        </w:tc>
        <w:tc>
          <w:tcPr>
            <w:tcW w:w="126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w:t>
            </w:r>
          </w:p>
        </w:tc>
        <w:tc>
          <w:tcPr>
            <w:tcW w:w="122" w:type="dxa"/>
            <w:tcBorders/>
            <w:shd w:fill="CCEEFF" w:val="clear"/>
            <w:vAlign w:val="bottom"/>
          </w:tcPr>
          <w:p>
            <w:pPr>
              <w:pStyle w:val="TableContents"/>
              <w:spacing w:before="0" w:after="0"/>
              <w:ind w:left="0" w:right="0" w:hanging="0"/>
              <w:rPr/>
            </w:pPr>
            <w:r>
              <w:rPr/>
              <w:t> </w:t>
            </w:r>
          </w:p>
        </w:tc>
      </w:tr>
      <w:tr>
        <w:trPr/>
        <w:tc>
          <w:tcPr>
            <w:tcW w:w="7112" w:type="dxa"/>
            <w:tcBorders/>
            <w:shd w:fill="auto" w:val="clear"/>
            <w:vAlign w:val="center"/>
          </w:tcPr>
          <w:p>
            <w:pPr>
              <w:pStyle w:val="TableContents"/>
              <w:spacing w:before="0" w:after="0"/>
              <w:ind w:left="0" w:right="0" w:hanging="0"/>
              <w:rPr/>
            </w:pPr>
            <w:r>
              <w:rPr/>
              <w:t> </w:t>
            </w:r>
          </w:p>
        </w:tc>
        <w:tc>
          <w:tcPr>
            <w:tcW w:w="214" w:type="dxa"/>
            <w:tcBorders/>
            <w:shd w:fill="auto" w:val="clear"/>
            <w:vAlign w:val="bottom"/>
          </w:tcPr>
          <w:p>
            <w:pPr>
              <w:pStyle w:val="TableContents"/>
              <w:spacing w:before="0" w:after="0"/>
              <w:ind w:left="0" w:right="0" w:hanging="0"/>
              <w:rPr/>
            </w:pPr>
            <w:r>
              <w:rPr/>
              <w:t> </w:t>
            </w:r>
          </w:p>
        </w:tc>
        <w:tc>
          <w:tcPr>
            <w:tcW w:w="1268"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1269"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711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Diluted weighted average units outstanding</w:t>
            </w:r>
          </w:p>
        </w:tc>
        <w:tc>
          <w:tcPr>
            <w:tcW w:w="214" w:type="dxa"/>
            <w:tcBorders/>
            <w:shd w:fill="CCEEFF" w:val="clear"/>
            <w:vAlign w:val="bottom"/>
          </w:tcPr>
          <w:p>
            <w:pPr>
              <w:pStyle w:val="TableContents"/>
              <w:spacing w:before="0" w:after="0"/>
              <w:ind w:left="0" w:right="0" w:hanging="0"/>
              <w:rPr/>
            </w:pPr>
            <w:r>
              <w:rPr/>
              <w:t> </w:t>
            </w:r>
          </w:p>
        </w:tc>
        <w:tc>
          <w:tcPr>
            <w:tcW w:w="1268"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w:t>
            </w:r>
          </w:p>
        </w:tc>
        <w:tc>
          <w:tcPr>
            <w:tcW w:w="220" w:type="dxa"/>
            <w:tcBorders/>
            <w:shd w:fill="CCEEFF" w:val="clear"/>
            <w:vAlign w:val="bottom"/>
          </w:tcPr>
          <w:p>
            <w:pPr>
              <w:pStyle w:val="TableContents"/>
              <w:spacing w:before="0" w:after="0"/>
              <w:ind w:left="0" w:right="0" w:hanging="0"/>
              <w:rPr/>
            </w:pPr>
            <w:r>
              <w:rPr/>
              <w:t> </w:t>
            </w:r>
          </w:p>
        </w:tc>
        <w:tc>
          <w:tcPr>
            <w:tcW w:w="126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12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Contacts</w:t>
      </w:r>
      <w:r>
        <w:rPr>
          <w:rFonts w:ascii="Times New Roman" w:hAnsi="Times New Roman"/>
        </w:rPr>
        <w:t xml:space="preserve"> </w:t>
      </w:r>
      <w:r>
        <w:rPr>
          <w:rFonts w:ascii="Times New Roman" w:hAnsi="Times New Roman"/>
          <w:sz w:val="17"/>
        </w:rPr>
        <w:t>:</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441"/>
        <w:gridCol w:w="4123"/>
        <w:gridCol w:w="4641"/>
      </w:tblGrid>
      <w:tr>
        <w:trPr/>
        <w:tc>
          <w:tcPr>
            <w:tcW w:w="1441" w:type="dxa"/>
            <w:tcBorders/>
            <w:shd w:fill="auto" w:val="clear"/>
          </w:tcPr>
          <w:p>
            <w:pPr>
              <w:pStyle w:val="TableContents"/>
              <w:spacing w:before="0" w:after="0"/>
              <w:ind w:left="0" w:right="0" w:hanging="0"/>
              <w:rPr/>
            </w:pPr>
            <w:r>
              <w:rPr/>
              <w:t> </w:t>
            </w:r>
          </w:p>
        </w:tc>
        <w:tc>
          <w:tcPr>
            <w:tcW w:w="41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Roy I. Lamoreaux</w:t>
            </w:r>
          </w:p>
        </w:tc>
        <w:tc>
          <w:tcPr>
            <w:tcW w:w="46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Al Swanson</w:t>
            </w:r>
          </w:p>
        </w:tc>
      </w:tr>
      <w:tr>
        <w:trPr/>
        <w:tc>
          <w:tcPr>
            <w:tcW w:w="1441" w:type="dxa"/>
            <w:tcBorders/>
            <w:shd w:fill="auto" w:val="clear"/>
          </w:tcPr>
          <w:p>
            <w:pPr>
              <w:pStyle w:val="TableContents"/>
              <w:spacing w:before="0" w:after="0"/>
              <w:ind w:left="0" w:right="0" w:hanging="0"/>
              <w:rPr/>
            </w:pPr>
            <w:r>
              <w:rPr/>
              <w:t> </w:t>
            </w:r>
          </w:p>
        </w:tc>
        <w:tc>
          <w:tcPr>
            <w:tcW w:w="41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 Investor Relations</w:t>
            </w:r>
          </w:p>
        </w:tc>
        <w:tc>
          <w:tcPr>
            <w:tcW w:w="46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 CFO</w:t>
            </w:r>
          </w:p>
        </w:tc>
      </w:tr>
      <w:tr>
        <w:trPr/>
        <w:tc>
          <w:tcPr>
            <w:tcW w:w="1441" w:type="dxa"/>
            <w:tcBorders/>
            <w:shd w:fill="auto" w:val="clear"/>
          </w:tcPr>
          <w:p>
            <w:pPr>
              <w:pStyle w:val="TableContents"/>
              <w:spacing w:before="0" w:after="0"/>
              <w:ind w:left="0" w:right="0" w:hanging="0"/>
              <w:rPr/>
            </w:pPr>
            <w:r>
              <w:rPr/>
              <w:t> </w:t>
            </w:r>
          </w:p>
        </w:tc>
        <w:tc>
          <w:tcPr>
            <w:tcW w:w="412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(713) 646-4222  (800) 564-3036</w:t>
            </w:r>
          </w:p>
        </w:tc>
        <w:tc>
          <w:tcPr>
            <w:tcW w:w="46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(800) 564-3036</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24</Pages>
  <Words>8791</Words>
  <CharactersWithSpaces>56662</CharactersWithSpaces>
  <Paragraphs>3644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