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20,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2020 annual meeting of Common unitholders (other than Plains AAP, L.P.) and Series A Convertible Preferred unitholders (collectively, the “Eligible Unitholders”) of Plains All American Pipeline, L.P. (“PAA” or the “Partnership”) was held on May 20, 2020. At the annual meeting, the Eligible Unitholders considered and voted on how to instruct PAA to vote the Class C shares of Plains GP Holdings, L.P. (“PAGP”) that PAA owns at PAGP’s annual meeting with respect to each of the following matters: (i) the election of two Class I directors to serve on the board of directors of PAA GP Holdings LLC until the 2023 annual meeting; (ii) the ratification of the appointment of PricewaterhouseCoopers LLP as PAGP’s and PAA’s independent registered public accounting firm for the fiscal year ending December 31, 2020; and (iii) the approval, on a non-binding advisory basis, of our named executive officer compensation.</w:t>
      </w:r>
    </w:p>
    <w:p>
      <w:pPr>
        <w:spacing w:after="0" w:line="19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voting results for each matter presented at the PAA annual meeting were as follows (note, for Items 1 and 3 below, which are considered non-routine matters, broker non-votes are not considered votes cast and have no impact on the outcome):</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 directors to serve on the board of directors of PAA GP Holdings LLC until the 2023 annual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Nominees</w:t>
            </w:r>
          </w:p>
        </w:tc>
        <w:tc>
          <w:tcPr>
            <w:tcW w:w="2060" w:type="dxa"/>
            <w:vAlign w:val="bottom"/>
            <w:gridSpan w:val="2"/>
          </w:tcPr>
          <w:p>
            <w:pPr>
              <w:ind w:left="760"/>
              <w:spacing w:after="0"/>
              <w:rPr>
                <w:sz w:val="20"/>
                <w:szCs w:val="20"/>
                <w:color w:val="auto"/>
              </w:rPr>
            </w:pPr>
            <w:r>
              <w:rPr>
                <w:rFonts w:ascii="Arial" w:cs="Arial" w:eastAsia="Arial" w:hAnsi="Arial"/>
                <w:sz w:val="18"/>
                <w:szCs w:val="18"/>
                <w:b w:val="1"/>
                <w:bCs w:val="1"/>
                <w:color w:val="auto"/>
              </w:rPr>
              <w:t>For</w:t>
            </w:r>
          </w:p>
        </w:tc>
        <w:tc>
          <w:tcPr>
            <w:tcW w:w="1980" w:type="dxa"/>
            <w:vAlign w:val="bottom"/>
            <w:gridSpan w:val="2"/>
          </w:tcPr>
          <w:p>
            <w:pPr>
              <w:ind w:left="520"/>
              <w:spacing w:after="0"/>
              <w:rPr>
                <w:sz w:val="20"/>
                <w:szCs w:val="20"/>
                <w:color w:val="auto"/>
              </w:rPr>
            </w:pPr>
            <w:r>
              <w:rPr>
                <w:rFonts w:ascii="Arial" w:cs="Arial" w:eastAsia="Arial" w:hAnsi="Arial"/>
                <w:sz w:val="18"/>
                <w:szCs w:val="18"/>
                <w:b w:val="1"/>
                <w:bCs w:val="1"/>
                <w:color w:val="auto"/>
              </w:rPr>
              <w:t>Withheld</w:t>
            </w:r>
          </w:p>
        </w:tc>
        <w:tc>
          <w:tcPr>
            <w:tcW w:w="1900" w:type="dxa"/>
            <w:vAlign w:val="bottom"/>
            <w:gridSpan w:val="2"/>
          </w:tcPr>
          <w:p>
            <w:pPr>
              <w:ind w:left="2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Alexandra Pruner</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7"/>
              </w:rPr>
              <w:t>350,338,936</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14,332,786</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107,927,273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Lawrence Ziemba</w:t>
            </w:r>
          </w:p>
        </w:tc>
        <w:tc>
          <w:tcPr>
            <w:tcW w:w="2060" w:type="dxa"/>
            <w:vAlign w:val="bottom"/>
            <w:gridSpan w:val="2"/>
          </w:tcPr>
          <w:p>
            <w:pPr>
              <w:ind w:left="900"/>
              <w:spacing w:after="0"/>
              <w:rPr>
                <w:sz w:val="20"/>
                <w:szCs w:val="20"/>
                <w:color w:val="auto"/>
              </w:rPr>
            </w:pPr>
            <w:r>
              <w:rPr>
                <w:rFonts w:ascii="Arial" w:cs="Arial" w:eastAsia="Arial" w:hAnsi="Arial"/>
                <w:sz w:val="18"/>
                <w:szCs w:val="18"/>
                <w:color w:val="auto"/>
              </w:rPr>
              <w:t>354,957,194</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9,714,528</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107,927,273</w:t>
            </w:r>
          </w:p>
        </w:tc>
      </w:tr>
    </w:tbl>
    <w:p>
      <w:pPr>
        <w:spacing w:after="0" w:line="187" w:lineRule="exact"/>
        <w:rPr>
          <w:sz w:val="20"/>
          <w:szCs w:val="20"/>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PAA’s independent registered public accounting firm for the fiscal year ending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2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Abstained</w:t>
            </w:r>
          </w:p>
        </w:tc>
        <w:tc>
          <w:tcPr>
            <w:tcW w:w="2680" w:type="dxa"/>
            <w:vAlign w:val="bottom"/>
            <w:gridSpan w:val="2"/>
          </w:tcPr>
          <w:p>
            <w:pPr>
              <w:ind w:left="60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443,748,810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27,060,228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1,789,957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Abstained</w:t>
            </w:r>
          </w:p>
        </w:tc>
        <w:tc>
          <w:tcPr>
            <w:tcW w:w="2680" w:type="dxa"/>
            <w:vAlign w:val="bottom"/>
            <w:gridSpan w:val="2"/>
          </w:tcPr>
          <w:p>
            <w:pPr>
              <w:ind w:left="60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9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204,095,118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158,377,388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2,199,216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107,927,273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8.01</w:t>
            </w:r>
          </w:p>
        </w:tc>
        <w:tc>
          <w:tcPr>
            <w:tcW w:w="1980" w:type="dxa"/>
            <w:vAlign w:val="bottom"/>
            <w:gridSpan w:val="2"/>
          </w:tcPr>
          <w:p>
            <w:pPr>
              <w:ind w:left="320"/>
              <w:spacing w:after="0"/>
              <w:rPr>
                <w:sz w:val="20"/>
                <w:szCs w:val="20"/>
                <w:color w:val="auto"/>
              </w:rPr>
            </w:pPr>
            <w:r>
              <w:rPr>
                <w:rFonts w:ascii="Arial" w:cs="Arial" w:eastAsia="Arial" w:hAnsi="Arial"/>
                <w:sz w:val="18"/>
                <w:szCs w:val="18"/>
                <w:b w:val="1"/>
                <w:bCs w:val="1"/>
                <w:color w:val="auto"/>
              </w:rPr>
              <w:t>Other Events.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21, 2020, the board of directors of Plains GP Holdings LLC approved the following changes to the composition of its committees:</w:t>
      </w:r>
    </w:p>
    <w:p>
      <w:pPr>
        <w:spacing w:after="0" w:line="237" w:lineRule="exact"/>
        <w:rPr>
          <w:sz w:val="20"/>
          <w:szCs w:val="20"/>
          <w:color w:val="auto"/>
        </w:rPr>
      </w:pPr>
    </w:p>
    <w:p>
      <w:pPr>
        <w:jc w:val="both"/>
        <w:ind w:left="980" w:right="4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Audit Committee – The appointment of Lawrence Ziemba to serve as a member of the Audit Committee, replacing Taft Symonds whose term expired on May 20, 2020. Effective May 21, 2020, the Audit Committee consists of Victor Burk (Chairman), Alexandra Pruner and Lawrence Ziemba.</w:t>
      </w:r>
    </w:p>
    <w:p>
      <w:pPr>
        <w:spacing w:after="0" w:line="2"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Governance Committee – The appointment of Alexandra Pruner to serve as a member of the Governance Committee, replacing Taft Symonds whose term expired on May 20, 2020. Effective May 21, 2020, the Governance Committee consists of Bobby Shackouls (Chairman), Gary Petersen and Alexandra Pruner.</w:t>
      </w:r>
    </w:p>
    <w:p>
      <w:pPr>
        <w:spacing w:after="0" w:line="1" w:lineRule="exact"/>
        <w:rPr>
          <w:rFonts w:ascii="Arial" w:cs="Arial" w:eastAsia="Arial" w:hAnsi="Arial"/>
          <w:sz w:val="18"/>
          <w:szCs w:val="18"/>
          <w:color w:val="auto"/>
        </w:rPr>
      </w:pPr>
    </w:p>
    <w:p>
      <w:pPr>
        <w:ind w:left="980" w:right="44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Compensation Committee – The rotation of the Compensation Committee chair role from Robert Sinnott to John Raymond, with Robert Sinnott continuing to serve as a Director and member of the Compensation Committee. Effective May 21, 2020, the Compensation Committee consists of John Raymond (Chairman), Gary Petersen and Robert Sinnott.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27, 2020</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2020-05-27T15:17:40Z</dcterms:created>
  <dcterms:modified xsi:type="dcterms:W3CDTF">2020-05-27T15:17:40Z</dcterms:modified>
</cp:coreProperties>
</file>