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4.gif" ContentType="image/gif"/>
  <Override PartName="/word/media/image13.gif" ContentType="image/gif"/>
  <Override PartName="/word/media/image12.gif" ContentType="image/gif"/>
  <Override PartName="/word/media/image11.gif" ContentType="image/gif"/>
  <Override PartName="/word/media/image4.gif" ContentType="image/gif"/>
  <Override PartName="/word/media/image3.gif" ContentType="image/gif"/>
  <Override PartName="/word/media/image2.gif" ContentType="image/gif"/>
  <Override PartName="/word/media/image1.gif" ContentType="image/gif"/>
  <Override PartName="/word/media/image5.gif" ContentType="image/gif"/>
  <Override PartName="/word/media/image6.gif" ContentType="image/gif"/>
  <Override PartName="/word/media/image7.gif" ContentType="image/gif"/>
  <Override PartName="/word/media/image8.gif" ContentType="image/gif"/>
  <Override PartName="/word/media/image10.gif" ContentType="image/gif"/>
  <Override PartName="/word/media/image9.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3746e8vk.htm"/>
        <w:bookmarkStart w:id="1" w:name="ksh43746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reported)February 22, 2007</w:t>
      </w:r>
    </w:p>
    <w:p>
      <w:pPr>
        <w:pStyle w:val="TextBody"/>
        <w:spacing w:before="360" w:after="283"/>
        <w:jc w:val="center"/>
        <w:rPr>
          <w:rFonts w:ascii="Times New Roman;Times;serif" w:hAnsi="Times New Roman;Times;serif"/>
          <w:sz w:val="43"/>
        </w:rPr>
      </w:pPr>
      <w:r>
        <w:rPr>
          <w:rFonts w:ascii="Times New Roman;Times;serif" w:hAnsi="Times New Roman;Times;serif"/>
          <w:b/>
          <w:sz w:val="43"/>
        </w:rPr>
        <w:t>Plains All American Pipeline, L.P.</w:t>
      </w:r>
      <w:r>
        <w:rPr>
          <w:rFonts w:ascii="Times New Roman;Times;serif" w:hAnsi="Times New Roman;Times;serif"/>
          <w:sz w:val="43"/>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both"/>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both"/>
              <w:rPr/>
            </w:pPr>
            <w:r>
              <w:rPr/>
              <w:t>Written communications pursuant to Rule 425 under the Securities Act (17 CFR 230.425)</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both"/>
              <w:rPr/>
            </w:pPr>
            <w:r>
              <w:rPr/>
              <w:t>Soliciting material pursuant to Rule 14a-12 under the Exchange Act (17 CFR 240.14a-12)</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both"/>
              <w:rPr/>
            </w:pPr>
            <w:r>
              <w:rPr/>
              <w:t>Pre-commencement communications pursuant to Rule 14d-2(b) under the Exchange Act (17 CFR 240.14d-2(b))</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0"/>
              <w:jc w:val="both"/>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59"/>
        <w:gridCol w:w="634"/>
        <w:gridCol w:w="327"/>
        <w:gridCol w:w="327"/>
        <w:gridCol w:w="327"/>
        <w:gridCol w:w="327"/>
        <w:gridCol w:w="327"/>
        <w:gridCol w:w="326"/>
        <w:gridCol w:w="6330"/>
      </w:tblGrid>
      <w:tr>
        <w:trPr/>
        <w:tc>
          <w:tcPr>
            <w:tcW w:w="25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6330" w:type="dxa"/>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0">
              <w:r>
                <w:rPr>
                  <w:rStyle w:val="InternetLink"/>
                </w:rPr>
                <w:t>Item 9.01. Financial Statements and Exhibits</w:t>
              </w:r>
            </w:hyperlink>
          </w:p>
        </w:tc>
      </w:tr>
      <w:tr>
        <w:trPr/>
        <w:tc>
          <w:tcPr>
            <w:tcW w:w="259" w:type="dxa"/>
            <w:tcBorders/>
            <w:shd w:fill="auto" w:val="clear"/>
            <w:vAlign w:val="center"/>
          </w:tcPr>
          <w:p>
            <w:pPr>
              <w:pStyle w:val="TableContents"/>
              <w:spacing w:before="0" w:after="283"/>
              <w:rPr>
                <w:sz w:val="4"/>
                <w:szCs w:val="4"/>
              </w:rPr>
            </w:pPr>
            <w:r>
              <w:rPr>
                <w:sz w:val="4"/>
                <w:szCs w:val="4"/>
              </w:rPr>
            </w:r>
          </w:p>
        </w:tc>
        <w:tc>
          <w:tcPr>
            <w:tcW w:w="8925" w:type="dxa"/>
            <w:gridSpan w:val="8"/>
            <w:tcBorders/>
            <w:shd w:fill="auto" w:val="clear"/>
            <w:vAlign w:val="center"/>
          </w:tcPr>
          <w:p>
            <w:pPr>
              <w:pStyle w:val="TableContents"/>
              <w:spacing w:before="0" w:after="283"/>
              <w:rPr/>
            </w:pPr>
            <w:hyperlink w:anchor="001">
              <w:r>
                <w:rPr>
                  <w:rStyle w:val="InternetLink"/>
                </w:rPr>
                <w:t>Item 2.02 and Item 7.01. Results of Operations and Financial Condition; Regulation FD Disclosure</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h43746exv99w1.htm">
              <w:r>
                <w:rPr>
                  <w:rStyle w:val="InternetLink"/>
                </w:rPr>
                <w:t>Press Release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both"/>
        <w:rPr>
          <w:rFonts w:ascii="Times New Roman;Times;serif" w:hAnsi="Times New Roman;Times;serif"/>
          <w:sz w:val="17"/>
        </w:rPr>
      </w:pPr>
      <w:bookmarkStart w:id="3" w:name="000"/>
      <w:bookmarkEnd w:id="3"/>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both"/>
        <w:rPr/>
      </w:pPr>
      <w:r>
        <w:rPr/>
        <w:t>     </w:t>
      </w:r>
      <w:r>
        <w:rPr>
          <w:rFonts w:ascii="Times New Roman;Times;serif" w:hAnsi="Times New Roman;Times;serif"/>
          <w:sz w:val="17"/>
        </w:rPr>
        <w:t xml:space="preserve">(d) Exhibit 99.1Press release dated February 22, 2007 </w:t>
      </w:r>
    </w:p>
    <w:p>
      <w:pPr>
        <w:pStyle w:val="TextBody"/>
        <w:spacing w:before="240" w:after="283"/>
        <w:jc w:val="both"/>
        <w:rPr>
          <w:rFonts w:ascii="Times New Roman;Times;serif" w:hAnsi="Times New Roman;Times;serif"/>
          <w:sz w:val="17"/>
        </w:rPr>
      </w:pPr>
      <w:bookmarkStart w:id="4" w:name="001"/>
      <w:bookmarkEnd w:id="4"/>
      <w:r>
        <w:rPr>
          <w:rFonts w:ascii="Times New Roman;Times;serif" w:hAnsi="Times New Roman;Times;serif"/>
          <w:b/>
          <w:sz w:val="17"/>
        </w:rPr>
        <w:t>Item 2.02 and Item 7.01. Results of Operations and Financial Condition; Regulation FD Disclosure</w:t>
      </w:r>
      <w:r>
        <w:rPr>
          <w:rFonts w:ascii="Times New Roman;Times;serif" w:hAnsi="Times New Roman;Times;serif"/>
          <w:sz w:val="17"/>
        </w:rPr>
        <w:t xml:space="preserve"> </w:t>
      </w:r>
    </w:p>
    <w:p>
      <w:pPr>
        <w:pStyle w:val="TextBody"/>
        <w:spacing w:before="120" w:after="283"/>
        <w:jc w:val="both"/>
        <w:rPr/>
      </w:pPr>
      <w:r>
        <w:rPr/>
        <w:t>     </w:t>
      </w:r>
      <w:r>
        <w:rPr>
          <w:rFonts w:ascii="Times New Roman;Times;serif" w:hAnsi="Times New Roman;Times;serif"/>
          <w:sz w:val="17"/>
        </w:rPr>
        <w:t xml:space="preserve">Plains All American Pipeline, L.P. (the Partnership) today issued a press release reporting its fourth quarter and annual 2006 results. We are furnishing the press release, attached as Exhibit 99.1, pursuant to Item 2.02 and Item 7.01 of Form 8-K. Pursuant to Item 7.01 we are providing detailed guidance for financial performance for the first quarter of calendar 2007 and the full year of calendar 2007. In accordance with General Instruction B.2. of Form 8-K, the information presented herein under Item 2.02 and Item 7.01 shall not be deemed filed for purposes of Section 18 of the Securities Exchange Act of 1934, as amended, nor shall it be deemed incorporated by reference in any filing under the Securities Act of 1933, as amended, except as expressly set forth by specific reference in such a filing. </w:t>
      </w:r>
    </w:p>
    <w:p>
      <w:pPr>
        <w:pStyle w:val="TextBody"/>
        <w:spacing w:before="240" w:after="283"/>
        <w:jc w:val="both"/>
        <w:rPr>
          <w:rFonts w:ascii="Times New Roman;Times;serif" w:hAnsi="Times New Roman;Times;serif"/>
          <w:sz w:val="17"/>
        </w:rPr>
      </w:pPr>
      <w:r>
        <w:rPr>
          <w:rFonts w:ascii="Times New Roman;Times;serif" w:hAnsi="Times New Roman;Times;serif"/>
          <w:b/>
          <w:sz w:val="17"/>
        </w:rPr>
        <w:t>Disclosure of First Quarter 2007 Guidance; Update of Full Year 2007 Guidance</w:t>
      </w:r>
      <w:r>
        <w:rPr>
          <w:rFonts w:ascii="Times New Roman;Times;serif" w:hAnsi="Times New Roman;Times;serif"/>
          <w:sz w:val="17"/>
        </w:rPr>
        <w:t xml:space="preserve"> </w:t>
      </w:r>
    </w:p>
    <w:p>
      <w:pPr>
        <w:pStyle w:val="TextBody"/>
        <w:spacing w:before="120" w:after="283"/>
        <w:jc w:val="both"/>
        <w:rPr/>
      </w:pPr>
      <w:r>
        <w:rPr/>
        <w:t>     </w:t>
      </w:r>
      <w:r>
        <w:rPr>
          <w:rFonts w:ascii="Times New Roman;Times;serif" w:hAnsi="Times New Roman;Times;serif"/>
          <w:sz w:val="17"/>
        </w:rPr>
        <w:t xml:space="preserve">EBIT and EBITDA (each as defined below in Note 1 to the Operating and Financial Guidance table) are non-GAAP financial measures. Net income and cash flows from operating activities are the most directly comparable GAAP measures to EBIT and EBITDA. In Note 10 below, we reconcile EBITDA and EBIT to net income for the 2007 guidance periods presented. However, it is impractical to reconcile EBIT and EBITDA to cash flows from operating activities for forecasted periods. We encourage you to visit our website at </w:t>
      </w:r>
      <w:r>
        <w:rPr>
          <w:rFonts w:ascii="Times New Roman;Times;serif" w:hAnsi="Times New Roman;Times;serif"/>
          <w:i/>
          <w:sz w:val="17"/>
        </w:rPr>
        <w:t>www.paalp.com</w:t>
      </w:r>
      <w:r>
        <w:rPr>
          <w:rFonts w:ascii="Times New Roman;Times;serif" w:hAnsi="Times New Roman;Times;serif"/>
          <w:sz w:val="17"/>
        </w:rPr>
        <w:t xml:space="preserve">, in particular the section entitled Non-GAAP Reconciliation, which presents a historical reconciliation of certain commonly used non-GAAP financial measures, including EBIT and EBITDA. We present EBIT and EBITDA because we believe they provide additional information with respect to both the performance of our fundamental business activities and our ability to meet our future debt service, capital expenditures and working capital requirements. We also believe that debt holders commonly use EBITDA to analyze partnership performance. In addition, we have highlighted the impact of our long-term incentive plan on Segment Profit, Net Income and Net Income per Basic and Diluted Limited Partner Unit. </w:t>
      </w:r>
    </w:p>
    <w:p>
      <w:pPr>
        <w:pStyle w:val="TextBody"/>
        <w:spacing w:before="120" w:after="283"/>
        <w:jc w:val="both"/>
        <w:rPr/>
      </w:pPr>
      <w:r>
        <w:rPr/>
        <w:t>     </w:t>
      </w:r>
      <w:r>
        <w:rPr>
          <w:rFonts w:ascii="Times New Roman;Times;serif" w:hAnsi="Times New Roman;Times;serif"/>
          <w:sz w:val="17"/>
        </w:rPr>
        <w:t xml:space="preserve">The following guidance for the three-month period ending March 31, 2007 and twelve-month period ending December 31, 2007 is based on assumptions and estimates that we believe are reasonable given our assessment of historical trends, business cycles and other information reasonably available. However, our assumptions and future performance are both subject to a wide range of business risks and uncertainties, so no assurance can be provided that actual performance will fall within the guidance ranges. Please refer to the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February 21, 2007. We undertake no obligation to publicly update or revise any forward-looking statements. </w:t>
      </w:r>
    </w:p>
    <w:p>
      <w:pPr>
        <w:pStyle w:val="TextBody"/>
        <w:jc w:val="center"/>
        <w:rPr>
          <w:rFonts w:ascii="Times New Roman;Times;serif" w:hAnsi="Times New Roman;Times;serif"/>
          <w:sz w:val="17"/>
        </w:rPr>
      </w:pPr>
      <w:r>
        <w:rPr>
          <w:rFonts w:ascii="Times New Roman;Times;serif" w:hAnsi="Times New Roman;Times;serif"/>
          <w:sz w:val="17"/>
        </w:rPr>
        <w:t xml:space="preserve">- 2 -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br/>
        <w:t>Operating and Financial Guidance</w:t>
        <w:br/>
        <w:t>(in millions, except per unit data)</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8"/>
        <w:gridCol w:w="3771"/>
        <w:gridCol w:w="329"/>
        <w:gridCol w:w="187"/>
        <w:gridCol w:w="878"/>
        <w:gridCol w:w="145"/>
        <w:gridCol w:w="343"/>
        <w:gridCol w:w="187"/>
        <w:gridCol w:w="879"/>
        <w:gridCol w:w="122"/>
        <w:gridCol w:w="329"/>
        <w:gridCol w:w="178"/>
        <w:gridCol w:w="932"/>
        <w:gridCol w:w="140"/>
        <w:gridCol w:w="340"/>
        <w:gridCol w:w="178"/>
        <w:gridCol w:w="934"/>
        <w:gridCol w:w="123"/>
        <w:gridCol w:w="112"/>
      </w:tblGrid>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5772"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 1</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2619" w:type="dxa"/>
            <w:gridSpan w:val="6"/>
            <w:tcBorders/>
            <w:shd w:fill="auto" w:val="clear"/>
            <w:vAlign w:val="bottom"/>
          </w:tcPr>
          <w:p>
            <w:pPr>
              <w:pStyle w:val="TableContents"/>
              <w:spacing w:before="0" w:after="283"/>
              <w:jc w:val="center"/>
              <w:rPr>
                <w:b/>
              </w:rPr>
            </w:pPr>
            <w:r>
              <w:rPr>
                <w:b/>
              </w:rPr>
              <w:t>Three Months Ending</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2702" w:type="dxa"/>
            <w:gridSpan w:val="6"/>
            <w:tcBorders/>
            <w:shd w:fill="auto" w:val="clear"/>
            <w:vAlign w:val="bottom"/>
          </w:tcPr>
          <w:p>
            <w:pPr>
              <w:pStyle w:val="TableContents"/>
              <w:spacing w:before="0" w:after="283"/>
              <w:jc w:val="center"/>
              <w:rPr>
                <w:b/>
              </w:rPr>
            </w:pPr>
            <w:r>
              <w:rPr>
                <w:b/>
              </w:rPr>
              <w:t>Twelve Months Ending</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261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2702"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06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06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1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11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b/>
              </w:rPr>
            </w:pPr>
            <w:r>
              <w:rPr>
                <w:b/>
              </w:rPr>
              <w:t>Segment Profit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Net revenues</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336.6</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346.0</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1,310.2</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1,340.3</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450" w:right="0" w:hanging="225"/>
              <w:rPr/>
            </w:pPr>
            <w:r>
              <w:rPr/>
              <w:t>Field operating costs</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(134.4</w:t>
            </w:r>
          </w:p>
        </w:tc>
        <w:tc>
          <w:tcPr>
            <w:tcW w:w="145" w:type="dxa"/>
            <w:tcBorders/>
            <w:shd w:fill="CCEEFF" w:val="clear"/>
            <w:vAlign w:val="bottom"/>
          </w:tcPr>
          <w:p>
            <w:pPr>
              <w:pStyle w:val="TableContents"/>
              <w:spacing w:before="0" w:after="283"/>
              <w:rPr/>
            </w:pPr>
            <w:r>
              <w:rPr/>
              <w:t>)</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79" w:type="dxa"/>
            <w:tcBorders/>
            <w:shd w:fill="CCEEFF" w:val="clear"/>
            <w:vAlign w:val="bottom"/>
          </w:tcPr>
          <w:p>
            <w:pPr>
              <w:pStyle w:val="TableContents"/>
              <w:spacing w:before="0" w:after="283"/>
              <w:jc w:val="right"/>
              <w:rPr/>
            </w:pPr>
            <w:r>
              <w:rPr/>
              <w:t>(132.4</w:t>
            </w:r>
          </w:p>
        </w:tc>
        <w:tc>
          <w:tcPr>
            <w:tcW w:w="122" w:type="dxa"/>
            <w:tcBorders/>
            <w:shd w:fill="CCEEFF" w:val="clear"/>
            <w:vAlign w:val="bottom"/>
          </w:tcPr>
          <w:p>
            <w:pPr>
              <w:pStyle w:val="TableContents"/>
              <w:spacing w:before="0" w:after="283"/>
              <w:rPr/>
            </w:pPr>
            <w:r>
              <w:rPr/>
              <w:t>)</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(533.7</w:t>
            </w:r>
          </w:p>
        </w:tc>
        <w:tc>
          <w:tcPr>
            <w:tcW w:w="140"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934" w:type="dxa"/>
            <w:tcBorders/>
            <w:shd w:fill="CCEEFF" w:val="clear"/>
            <w:vAlign w:val="bottom"/>
          </w:tcPr>
          <w:p>
            <w:pPr>
              <w:pStyle w:val="TableContents"/>
              <w:spacing w:before="0" w:after="283"/>
              <w:jc w:val="right"/>
              <w:rPr/>
            </w:pPr>
            <w:r>
              <w:rPr/>
              <w:t>(526.2</w:t>
            </w:r>
          </w:p>
        </w:tc>
        <w:tc>
          <w:tcPr>
            <w:tcW w:w="123" w:type="dxa"/>
            <w:tcBorders/>
            <w:shd w:fill="CCEEFF" w:val="clear"/>
            <w:vAlign w:val="bottom"/>
          </w:tcPr>
          <w:p>
            <w:pPr>
              <w:pStyle w:val="TableContents"/>
              <w:spacing w:before="0" w:after="283"/>
              <w:rPr/>
            </w:pPr>
            <w:r>
              <w:rPr/>
              <w:t>)</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General and administrative expenses</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(40.2</w:t>
            </w:r>
          </w:p>
        </w:tc>
        <w:tc>
          <w:tcPr>
            <w:tcW w:w="145" w:type="dxa"/>
            <w:tcBorders/>
            <w:shd w:fill="auto" w:val="clear"/>
            <w:vAlign w:val="bottom"/>
          </w:tcPr>
          <w:p>
            <w:pPr>
              <w:pStyle w:val="TableContents"/>
              <w:spacing w:before="0" w:after="283"/>
              <w:rPr/>
            </w:pPr>
            <w:r>
              <w:rPr/>
              <w:t>)</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9" w:type="dxa"/>
            <w:tcBorders/>
            <w:shd w:fill="auto" w:val="clear"/>
            <w:vAlign w:val="bottom"/>
          </w:tcPr>
          <w:p>
            <w:pPr>
              <w:pStyle w:val="TableContents"/>
              <w:spacing w:before="0" w:after="283"/>
              <w:jc w:val="right"/>
              <w:rPr/>
            </w:pPr>
            <w:r>
              <w:rPr/>
              <w:t>(39.6</w:t>
            </w:r>
          </w:p>
        </w:tc>
        <w:tc>
          <w:tcPr>
            <w:tcW w:w="122" w:type="dxa"/>
            <w:tcBorders/>
            <w:shd w:fill="auto" w:val="clear"/>
            <w:vAlign w:val="bottom"/>
          </w:tcPr>
          <w:p>
            <w:pPr>
              <w:pStyle w:val="TableContents"/>
              <w:spacing w:before="0" w:after="283"/>
              <w:rPr/>
            </w:pPr>
            <w:r>
              <w:rPr/>
              <w:t>)</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(141.8</w:t>
            </w:r>
          </w:p>
        </w:tc>
        <w:tc>
          <w:tcPr>
            <w:tcW w:w="140"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(139.4</w:t>
            </w:r>
          </w:p>
        </w:tc>
        <w:tc>
          <w:tcPr>
            <w:tcW w:w="123" w:type="dxa"/>
            <w:tcBorders/>
            <w:shd w:fill="auto" w:val="clear"/>
            <w:vAlign w:val="bottom"/>
          </w:tcPr>
          <w:p>
            <w:pPr>
              <w:pStyle w:val="TableContents"/>
              <w:spacing w:before="0" w:after="283"/>
              <w:rPr/>
            </w:pPr>
            <w:r>
              <w:rPr/>
              <w:t>)</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 </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162.0</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174.0</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634.7</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674.7</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Depreciation and amortization expense</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(41.5</w:t>
            </w:r>
          </w:p>
        </w:tc>
        <w:tc>
          <w:tcPr>
            <w:tcW w:w="145" w:type="dxa"/>
            <w:tcBorders/>
            <w:shd w:fill="auto" w:val="clear"/>
            <w:vAlign w:val="bottom"/>
          </w:tcPr>
          <w:p>
            <w:pPr>
              <w:pStyle w:val="TableContents"/>
              <w:spacing w:before="0" w:after="283"/>
              <w:rPr/>
            </w:pPr>
            <w:r>
              <w:rPr/>
              <w:t>)</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9" w:type="dxa"/>
            <w:tcBorders/>
            <w:shd w:fill="auto" w:val="clear"/>
            <w:vAlign w:val="bottom"/>
          </w:tcPr>
          <w:p>
            <w:pPr>
              <w:pStyle w:val="TableContents"/>
              <w:spacing w:before="0" w:after="283"/>
              <w:jc w:val="right"/>
              <w:rPr/>
            </w:pPr>
            <w:r>
              <w:rPr/>
              <w:t>(41.0</w:t>
            </w:r>
          </w:p>
        </w:tc>
        <w:tc>
          <w:tcPr>
            <w:tcW w:w="122" w:type="dxa"/>
            <w:tcBorders/>
            <w:shd w:fill="auto" w:val="clear"/>
            <w:vAlign w:val="bottom"/>
          </w:tcPr>
          <w:p>
            <w:pPr>
              <w:pStyle w:val="TableContents"/>
              <w:spacing w:before="0" w:after="283"/>
              <w:rPr/>
            </w:pPr>
            <w:r>
              <w:rPr/>
              <w:t>)</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(170.0</w:t>
            </w:r>
          </w:p>
        </w:tc>
        <w:tc>
          <w:tcPr>
            <w:tcW w:w="140"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(168.0</w:t>
            </w:r>
          </w:p>
        </w:tc>
        <w:tc>
          <w:tcPr>
            <w:tcW w:w="123" w:type="dxa"/>
            <w:tcBorders/>
            <w:shd w:fill="auto" w:val="clear"/>
            <w:vAlign w:val="bottom"/>
          </w:tcPr>
          <w:p>
            <w:pPr>
              <w:pStyle w:val="TableContents"/>
              <w:spacing w:before="0" w:after="283"/>
              <w:rPr/>
            </w:pPr>
            <w:r>
              <w:rPr/>
              <w:t>)</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Interest expense, net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78" w:type="dxa"/>
            <w:tcBorders/>
            <w:shd w:fill="CCEEFF" w:val="clear"/>
            <w:vAlign w:val="bottom"/>
          </w:tcPr>
          <w:p>
            <w:pPr>
              <w:pStyle w:val="TableContents"/>
              <w:spacing w:before="0" w:after="283"/>
              <w:jc w:val="right"/>
              <w:rPr/>
            </w:pPr>
            <w:r>
              <w:rPr/>
              <w:t>(41.5</w:t>
            </w:r>
          </w:p>
        </w:tc>
        <w:tc>
          <w:tcPr>
            <w:tcW w:w="145" w:type="dxa"/>
            <w:tcBorders/>
            <w:shd w:fill="CCEEFF" w:val="clear"/>
            <w:vAlign w:val="bottom"/>
          </w:tcPr>
          <w:p>
            <w:pPr>
              <w:pStyle w:val="TableContents"/>
              <w:spacing w:before="0" w:after="283"/>
              <w:rPr/>
            </w:pPr>
            <w:r>
              <w:rPr/>
              <w:t>)</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 </w:t>
            </w:r>
          </w:p>
        </w:tc>
        <w:tc>
          <w:tcPr>
            <w:tcW w:w="879" w:type="dxa"/>
            <w:tcBorders/>
            <w:shd w:fill="CCEEFF" w:val="clear"/>
            <w:vAlign w:val="bottom"/>
          </w:tcPr>
          <w:p>
            <w:pPr>
              <w:pStyle w:val="TableContents"/>
              <w:spacing w:before="0" w:after="283"/>
              <w:jc w:val="right"/>
              <w:rPr/>
            </w:pPr>
            <w:r>
              <w:rPr/>
              <w:t>(40.5</w:t>
            </w:r>
          </w:p>
        </w:tc>
        <w:tc>
          <w:tcPr>
            <w:tcW w:w="122" w:type="dxa"/>
            <w:tcBorders/>
            <w:shd w:fill="CCEEFF" w:val="clear"/>
            <w:vAlign w:val="bottom"/>
          </w:tcPr>
          <w:p>
            <w:pPr>
              <w:pStyle w:val="TableContents"/>
              <w:spacing w:before="0" w:after="283"/>
              <w:rPr/>
            </w:pPr>
            <w:r>
              <w:rPr/>
              <w:t>)</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(168.0</w:t>
            </w:r>
          </w:p>
        </w:tc>
        <w:tc>
          <w:tcPr>
            <w:tcW w:w="140"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 </w:t>
            </w:r>
          </w:p>
        </w:tc>
        <w:tc>
          <w:tcPr>
            <w:tcW w:w="934" w:type="dxa"/>
            <w:tcBorders/>
            <w:shd w:fill="CCEEFF" w:val="clear"/>
            <w:vAlign w:val="bottom"/>
          </w:tcPr>
          <w:p>
            <w:pPr>
              <w:pStyle w:val="TableContents"/>
              <w:spacing w:before="0" w:after="283"/>
              <w:jc w:val="right"/>
              <w:rPr/>
            </w:pPr>
            <w:r>
              <w:rPr/>
              <w:t>(164.0</w:t>
            </w:r>
          </w:p>
        </w:tc>
        <w:tc>
          <w:tcPr>
            <w:tcW w:w="123" w:type="dxa"/>
            <w:tcBorders/>
            <w:shd w:fill="CCEEFF" w:val="clear"/>
            <w:vAlign w:val="bottom"/>
          </w:tcPr>
          <w:p>
            <w:pPr>
              <w:pStyle w:val="TableContents"/>
              <w:spacing w:before="0" w:after="283"/>
              <w:rPr/>
            </w:pPr>
            <w:r>
              <w:rPr/>
              <w:t>)</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Income tax expense</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8" w:type="dxa"/>
            <w:tcBorders/>
            <w:shd w:fill="auto" w:val="clear"/>
            <w:vAlign w:val="bottom"/>
          </w:tcPr>
          <w:p>
            <w:pPr>
              <w:pStyle w:val="TableContents"/>
              <w:spacing w:before="0" w:after="283"/>
              <w:jc w:val="right"/>
              <w:rPr/>
            </w:pPr>
            <w:r>
              <w:rPr/>
              <w:t>(0.6</w:t>
            </w:r>
          </w:p>
        </w:tc>
        <w:tc>
          <w:tcPr>
            <w:tcW w:w="145" w:type="dxa"/>
            <w:tcBorders/>
            <w:shd w:fill="auto" w:val="clear"/>
            <w:vAlign w:val="bottom"/>
          </w:tcPr>
          <w:p>
            <w:pPr>
              <w:pStyle w:val="TableContents"/>
              <w:spacing w:before="0" w:after="283"/>
              <w:rPr/>
            </w:pPr>
            <w:r>
              <w:rPr/>
              <w:t>)</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 </w:t>
            </w:r>
          </w:p>
        </w:tc>
        <w:tc>
          <w:tcPr>
            <w:tcW w:w="879" w:type="dxa"/>
            <w:tcBorders/>
            <w:shd w:fill="auto" w:val="clear"/>
            <w:vAlign w:val="bottom"/>
          </w:tcPr>
          <w:p>
            <w:pPr>
              <w:pStyle w:val="TableContents"/>
              <w:spacing w:before="0" w:after="283"/>
              <w:jc w:val="right"/>
              <w:rPr/>
            </w:pPr>
            <w:r>
              <w:rPr/>
              <w:t>(0.2</w:t>
            </w:r>
          </w:p>
        </w:tc>
        <w:tc>
          <w:tcPr>
            <w:tcW w:w="122" w:type="dxa"/>
            <w:tcBorders/>
            <w:shd w:fill="auto" w:val="clear"/>
            <w:vAlign w:val="bottom"/>
          </w:tcPr>
          <w:p>
            <w:pPr>
              <w:pStyle w:val="TableContents"/>
              <w:spacing w:before="0" w:after="283"/>
              <w:rPr/>
            </w:pPr>
            <w:r>
              <w:rPr/>
              <w:t>)</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2" w:type="dxa"/>
            <w:tcBorders/>
            <w:shd w:fill="auto" w:val="clear"/>
            <w:vAlign w:val="bottom"/>
          </w:tcPr>
          <w:p>
            <w:pPr>
              <w:pStyle w:val="TableContents"/>
              <w:spacing w:before="0" w:after="283"/>
              <w:jc w:val="right"/>
              <w:rPr/>
            </w:pPr>
            <w:r>
              <w:rPr/>
              <w:t>(1.7</w:t>
            </w:r>
          </w:p>
        </w:tc>
        <w:tc>
          <w:tcPr>
            <w:tcW w:w="140" w:type="dxa"/>
            <w:tcBorders/>
            <w:shd w:fill="auto" w:val="clear"/>
            <w:vAlign w:val="bottom"/>
          </w:tcPr>
          <w:p>
            <w:pPr>
              <w:pStyle w:val="TableContents"/>
              <w:spacing w:before="0" w:after="283"/>
              <w:rPr/>
            </w:pPr>
            <w:r>
              <w:rPr/>
              <w:t>)</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(1.3</w:t>
            </w:r>
          </w:p>
        </w:tc>
        <w:tc>
          <w:tcPr>
            <w:tcW w:w="123" w:type="dxa"/>
            <w:tcBorders/>
            <w:shd w:fill="auto" w:val="clear"/>
            <w:vAlign w:val="bottom"/>
          </w:tcPr>
          <w:p>
            <w:pPr>
              <w:pStyle w:val="TableContents"/>
              <w:spacing w:before="0" w:after="283"/>
              <w:rPr/>
            </w:pPr>
            <w:r>
              <w:rPr/>
              <w:t>)</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Other Income (Expense)</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b/>
              </w:rPr>
            </w:pPr>
            <w:r>
              <w:rPr>
                <w:b/>
              </w:rPr>
              <w:t>Net Income</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78" w:type="dxa"/>
            <w:tcBorders/>
            <w:shd w:fill="auto" w:val="clear"/>
            <w:vAlign w:val="bottom"/>
          </w:tcPr>
          <w:p>
            <w:pPr>
              <w:pStyle w:val="TableContents"/>
              <w:spacing w:before="0" w:after="283"/>
              <w:jc w:val="right"/>
              <w:rPr>
                <w:b/>
              </w:rPr>
            </w:pPr>
            <w:r>
              <w:rPr>
                <w:b/>
              </w:rPr>
              <w:t>78.4</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79" w:type="dxa"/>
            <w:tcBorders/>
            <w:shd w:fill="auto" w:val="clear"/>
            <w:vAlign w:val="bottom"/>
          </w:tcPr>
          <w:p>
            <w:pPr>
              <w:pStyle w:val="TableContents"/>
              <w:spacing w:before="0" w:after="283"/>
              <w:jc w:val="right"/>
              <w:rPr>
                <w:b/>
              </w:rPr>
            </w:pPr>
            <w:r>
              <w:rPr>
                <w:b/>
              </w:rPr>
              <w:t>92.3</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b/>
              </w:rPr>
            </w:pPr>
            <w:r>
              <w:rPr>
                <w:b/>
              </w:rPr>
              <w:t>$</w:t>
            </w:r>
          </w:p>
        </w:tc>
        <w:tc>
          <w:tcPr>
            <w:tcW w:w="932" w:type="dxa"/>
            <w:tcBorders/>
            <w:shd w:fill="auto" w:val="clear"/>
            <w:vAlign w:val="bottom"/>
          </w:tcPr>
          <w:p>
            <w:pPr>
              <w:pStyle w:val="TableContents"/>
              <w:spacing w:before="0" w:after="283"/>
              <w:jc w:val="right"/>
              <w:rPr>
                <w:b/>
              </w:rPr>
            </w:pPr>
            <w:r>
              <w:rPr>
                <w:b/>
              </w:rPr>
              <w:t>295.0</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b/>
              </w:rPr>
            </w:pPr>
            <w:r>
              <w:rPr>
                <w:b/>
              </w:rPr>
              <w:t>$</w:t>
            </w:r>
          </w:p>
        </w:tc>
        <w:tc>
          <w:tcPr>
            <w:tcW w:w="934" w:type="dxa"/>
            <w:tcBorders/>
            <w:shd w:fill="auto" w:val="clear"/>
            <w:vAlign w:val="bottom"/>
          </w:tcPr>
          <w:p>
            <w:pPr>
              <w:pStyle w:val="TableContents"/>
              <w:spacing w:before="0" w:after="283"/>
              <w:jc w:val="right"/>
              <w:rPr>
                <w:b/>
              </w:rPr>
            </w:pPr>
            <w:r>
              <w:rPr>
                <w:b/>
              </w:rPr>
              <w:t>341.4</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Net Income to Limited Partners</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61.8</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75.4</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228.9</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274.4</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Basic Net Income Per Limited Partner Unit:</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450" w:right="0" w:hanging="225"/>
              <w:rPr/>
            </w:pPr>
            <w:r>
              <w:rPr/>
              <w:t>Weighted Average Units Outstanding</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jc w:val="right"/>
              <w:rPr/>
            </w:pPr>
            <w:r>
              <w:rPr/>
              <w:t>109.4</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jc w:val="right"/>
              <w:rPr/>
            </w:pPr>
            <w:r>
              <w:rPr/>
              <w:t>109.4</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jc w:val="right"/>
              <w:rPr/>
            </w:pPr>
            <w:r>
              <w:rPr/>
              <w:t>109.6</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109.6</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Net Income Per Unit</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0.56</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0.69</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2.09</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2.50</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Diluted Net Income Per Limited Partner Unit: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Weighted Average Units Outstanding</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jc w:val="right"/>
              <w:rPr/>
            </w:pPr>
            <w:r>
              <w:rPr/>
              <w:t>110.7</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jc w:val="right"/>
              <w:rPr/>
            </w:pPr>
            <w:r>
              <w:rPr/>
              <w:t>110.7</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jc w:val="right"/>
              <w:rPr/>
            </w:pPr>
            <w:r>
              <w:rPr/>
              <w:t>110.6</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jc w:val="right"/>
              <w:rPr/>
            </w:pPr>
            <w:r>
              <w:rPr/>
              <w:t>110.6</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450" w:right="0" w:hanging="225"/>
              <w:rPr/>
            </w:pPr>
            <w:r>
              <w:rPr/>
              <w:t>Net Income Per Unit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0.56</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0.68</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2.07</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2.48</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b/>
              </w:rPr>
            </w:pPr>
            <w:r>
              <w:rPr>
                <w:b/>
              </w:rPr>
              <w:t>EBIT</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78" w:type="dxa"/>
            <w:tcBorders/>
            <w:shd w:fill="auto" w:val="clear"/>
            <w:vAlign w:val="bottom"/>
          </w:tcPr>
          <w:p>
            <w:pPr>
              <w:pStyle w:val="TableContents"/>
              <w:spacing w:before="0" w:after="283"/>
              <w:jc w:val="right"/>
              <w:rPr>
                <w:b/>
              </w:rPr>
            </w:pPr>
            <w:r>
              <w:rPr>
                <w:b/>
              </w:rPr>
              <w:t>120.5</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b/>
              </w:rPr>
            </w:pPr>
            <w:r>
              <w:rPr>
                <w:b/>
              </w:rPr>
              <w:t>$</w:t>
            </w:r>
          </w:p>
        </w:tc>
        <w:tc>
          <w:tcPr>
            <w:tcW w:w="879" w:type="dxa"/>
            <w:tcBorders/>
            <w:shd w:fill="auto" w:val="clear"/>
            <w:vAlign w:val="bottom"/>
          </w:tcPr>
          <w:p>
            <w:pPr>
              <w:pStyle w:val="TableContents"/>
              <w:spacing w:before="0" w:after="283"/>
              <w:jc w:val="right"/>
              <w:rPr>
                <w:b/>
              </w:rPr>
            </w:pPr>
            <w:r>
              <w:rPr>
                <w:b/>
              </w:rPr>
              <w:t>133.0</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b/>
              </w:rPr>
            </w:pPr>
            <w:r>
              <w:rPr>
                <w:b/>
              </w:rPr>
              <w:t>$</w:t>
            </w:r>
          </w:p>
        </w:tc>
        <w:tc>
          <w:tcPr>
            <w:tcW w:w="932" w:type="dxa"/>
            <w:tcBorders/>
            <w:shd w:fill="auto" w:val="clear"/>
            <w:vAlign w:val="bottom"/>
          </w:tcPr>
          <w:p>
            <w:pPr>
              <w:pStyle w:val="TableContents"/>
              <w:spacing w:before="0" w:after="283"/>
              <w:jc w:val="right"/>
              <w:rPr>
                <w:b/>
              </w:rPr>
            </w:pPr>
            <w:r>
              <w:rPr>
                <w:b/>
              </w:rPr>
              <w:t>464.7</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b/>
              </w:rPr>
            </w:pPr>
            <w:r>
              <w:rPr>
                <w:b/>
              </w:rPr>
              <w:t>$</w:t>
            </w:r>
          </w:p>
        </w:tc>
        <w:tc>
          <w:tcPr>
            <w:tcW w:w="934" w:type="dxa"/>
            <w:tcBorders/>
            <w:shd w:fill="auto" w:val="clear"/>
            <w:vAlign w:val="bottom"/>
          </w:tcPr>
          <w:p>
            <w:pPr>
              <w:pStyle w:val="TableContents"/>
              <w:spacing w:before="0" w:after="283"/>
              <w:jc w:val="right"/>
              <w:rPr>
                <w:b/>
              </w:rPr>
            </w:pPr>
            <w:r>
              <w:rPr>
                <w:b/>
              </w:rPr>
              <w:t>506.7</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shd w:fill="auto" w:val="cle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98" w:type="dxa"/>
            <w:tcBorders/>
            <w:shd w:fill="CCEEFF" w:val="cle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b/>
              </w:rPr>
            </w:pPr>
            <w:r>
              <w:rPr>
                <w:b/>
              </w:rPr>
              <w:t>EBITDA</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b/>
              </w:rPr>
            </w:pPr>
            <w:r>
              <w:rPr>
                <w:b/>
              </w:rPr>
              <w:t>$</w:t>
            </w:r>
          </w:p>
        </w:tc>
        <w:tc>
          <w:tcPr>
            <w:tcW w:w="878" w:type="dxa"/>
            <w:tcBorders/>
            <w:shd w:fill="CCEEFF" w:val="clear"/>
            <w:vAlign w:val="bottom"/>
          </w:tcPr>
          <w:p>
            <w:pPr>
              <w:pStyle w:val="TableContents"/>
              <w:spacing w:before="0" w:after="283"/>
              <w:jc w:val="right"/>
              <w:rPr>
                <w:b/>
              </w:rPr>
            </w:pPr>
            <w:r>
              <w:rPr>
                <w:b/>
              </w:rPr>
              <w:t>162.0</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b/>
              </w:rPr>
            </w:pPr>
            <w:r>
              <w:rPr>
                <w:b/>
              </w:rPr>
              <w:t>$</w:t>
            </w:r>
          </w:p>
        </w:tc>
        <w:tc>
          <w:tcPr>
            <w:tcW w:w="879" w:type="dxa"/>
            <w:tcBorders/>
            <w:shd w:fill="CCEEFF" w:val="clear"/>
            <w:vAlign w:val="bottom"/>
          </w:tcPr>
          <w:p>
            <w:pPr>
              <w:pStyle w:val="TableContents"/>
              <w:spacing w:before="0" w:after="283"/>
              <w:jc w:val="right"/>
              <w:rPr>
                <w:b/>
              </w:rPr>
            </w:pPr>
            <w:r>
              <w:rPr>
                <w:b/>
              </w:rPr>
              <w:t>174.0</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b/>
              </w:rPr>
            </w:pPr>
            <w:r>
              <w:rPr>
                <w:b/>
              </w:rPr>
              <w:t>$</w:t>
            </w:r>
          </w:p>
        </w:tc>
        <w:tc>
          <w:tcPr>
            <w:tcW w:w="932" w:type="dxa"/>
            <w:tcBorders/>
            <w:shd w:fill="CCEEFF" w:val="clear"/>
            <w:vAlign w:val="bottom"/>
          </w:tcPr>
          <w:p>
            <w:pPr>
              <w:pStyle w:val="TableContents"/>
              <w:spacing w:before="0" w:after="283"/>
              <w:jc w:val="right"/>
              <w:rPr>
                <w:b/>
              </w:rPr>
            </w:pPr>
            <w:r>
              <w:rPr>
                <w:b/>
              </w:rPr>
              <w:t>634.7</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b/>
              </w:rPr>
            </w:pPr>
            <w:r>
              <w:rPr>
                <w:b/>
              </w:rPr>
              <w:t>$</w:t>
            </w:r>
          </w:p>
        </w:tc>
        <w:tc>
          <w:tcPr>
            <w:tcW w:w="934" w:type="dxa"/>
            <w:tcBorders/>
            <w:shd w:fill="CCEEFF" w:val="clear"/>
            <w:vAlign w:val="bottom"/>
          </w:tcPr>
          <w:p>
            <w:pPr>
              <w:pStyle w:val="TableContents"/>
              <w:spacing w:before="0" w:after="283"/>
              <w:jc w:val="right"/>
              <w:rPr>
                <w:b/>
              </w:rPr>
            </w:pPr>
            <w:r>
              <w:rPr>
                <w:b/>
              </w:rPr>
              <w:t>674.7</w:t>
            </w:r>
          </w:p>
        </w:tc>
        <w:tc>
          <w:tcPr>
            <w:tcW w:w="123"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98" w:type="dxa"/>
            <w:tcBorders/>
            <w:shd w:fill="auto" w:val="cle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99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c>
          <w:tcPr>
            <w:tcW w:w="112"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b/>
              </w:rPr>
            </w:pPr>
            <w:r>
              <w:rPr>
                <w:b/>
              </w:rPr>
              <w:t>Selected Items Impacting Comparability</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CCEEFF" w:val="clear"/>
            <w:tcMar>
              <w:left w:w="28" w:type="dxa"/>
            </w:tcM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LTIP charge</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(13.0</w:t>
            </w:r>
          </w:p>
        </w:tc>
        <w:tc>
          <w:tcPr>
            <w:tcW w:w="145" w:type="dxa"/>
            <w:tcBorders/>
            <w:shd w:fill="CCEEFF" w:val="clear"/>
            <w:vAlign w:val="bottom"/>
          </w:tcPr>
          <w:p>
            <w:pPr>
              <w:pStyle w:val="TableContents"/>
              <w:spacing w:before="0" w:after="283"/>
              <w:rPr/>
            </w:pPr>
            <w:r>
              <w:rPr/>
              <w:t>)</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(13.0</w:t>
            </w:r>
          </w:p>
        </w:tc>
        <w:tc>
          <w:tcPr>
            <w:tcW w:w="122" w:type="dxa"/>
            <w:tcBorders/>
            <w:shd w:fill="CCEEFF" w:val="clear"/>
            <w:vAlign w:val="bottom"/>
          </w:tcPr>
          <w:p>
            <w:pPr>
              <w:pStyle w:val="TableContents"/>
              <w:spacing w:before="0" w:after="283"/>
              <w:rPr/>
            </w:pPr>
            <w:r>
              <w:rPr/>
              <w:t>)</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(35.3</w:t>
            </w:r>
          </w:p>
        </w:tc>
        <w:tc>
          <w:tcPr>
            <w:tcW w:w="140" w:type="dxa"/>
            <w:tcBorders/>
            <w:shd w:fill="CCEEFF" w:val="clear"/>
            <w:vAlign w:val="bottom"/>
          </w:tcPr>
          <w:p>
            <w:pPr>
              <w:pStyle w:val="TableContents"/>
              <w:spacing w:before="0" w:after="283"/>
              <w:rPr/>
            </w:pPr>
            <w:r>
              <w:rPr/>
              <w:t>)</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(35.3</w:t>
            </w:r>
          </w:p>
        </w:tc>
        <w:tc>
          <w:tcPr>
            <w:tcW w:w="123" w:type="dxa"/>
            <w:tcBorders/>
            <w:shd w:fill="CCEEFF" w:val="clear"/>
            <w:vAlign w:val="bottom"/>
          </w:tcPr>
          <w:p>
            <w:pPr>
              <w:pStyle w:val="TableContents"/>
              <w:spacing w:before="0" w:after="283"/>
              <w:rPr/>
            </w:pPr>
            <w:r>
              <w:rPr/>
              <w:t>)</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top w:val="single" w:sz="2" w:space="0" w:color="000000"/>
            </w:tcBorders>
            <w:shd w:fill="auto" w:val="clear"/>
            <w:tcMar>
              <w:top w:w="28" w:type="dxa"/>
            </w:tcMar>
            <w:vAlign w:val="center"/>
          </w:tcPr>
          <w:p>
            <w:pPr>
              <w:pStyle w:val="TableContents"/>
              <w:spacing w:before="0" w:after="283"/>
              <w:rPr/>
            </w:pPr>
            <w:r>
              <w:rPr/>
              <w:t> </w:t>
            </w:r>
          </w:p>
        </w:tc>
        <w:tc>
          <w:tcPr>
            <w:tcW w:w="999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c>
          <w:tcPr>
            <w:tcW w:w="112" w:type="dxa"/>
            <w:tcBorders>
              <w:top w:val="single" w:sz="2" w:space="0" w:color="000000"/>
            </w:tcBorders>
            <w:shd w:fill="auto" w:val="clear"/>
            <w:tcMar>
              <w:top w:w="28" w:type="dxa"/>
            </w:tcMar>
            <w:vAlign w:val="center"/>
          </w:tcPr>
          <w:p>
            <w:pPr>
              <w:pStyle w:val="TableContents"/>
              <w:spacing w:before="0" w:after="283"/>
              <w:rPr/>
            </w:pPr>
            <w:r>
              <w:rPr/>
              <w:t> </w:t>
            </w:r>
          </w:p>
        </w:tc>
      </w:tr>
      <w:tr>
        <w:trPr/>
        <w:tc>
          <w:tcPr>
            <w:tcW w:w="98" w:type="dxa"/>
            <w:tcBorders/>
            <w:shd w:fill="auto" w:val="cle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 </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98" w:type="dxa"/>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99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c>
          <w:tcPr>
            <w:tcW w:w="112" w:type="dxa"/>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b/>
              </w:rPr>
            </w:pPr>
            <w:r>
              <w:rPr>
                <w:b/>
              </w:rPr>
              <w:t>Excluding Selected Items Impacting Comparability</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8"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879"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CCEEFF" w:val="clear"/>
            <w:tcMar>
              <w:left w:w="28" w:type="dxa"/>
            </w:tcM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Adjusted Segment Profit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8"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879" w:type="dxa"/>
            <w:tcBorders/>
            <w:shd w:fill="CCEEFF" w:val="clear"/>
            <w:vAlign w:val="bottom"/>
          </w:tcPr>
          <w:p>
            <w:pPr>
              <w:pStyle w:val="TableContents"/>
              <w:spacing w:before="0" w:after="283"/>
              <w:rPr/>
            </w:pPr>
            <w:r>
              <w:rPr/>
              <w:t> </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Transportation</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77.0</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81.0</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330.0</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342.0</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CCEEFF" w:val="clear"/>
            <w:tcMar>
              <w:left w:w="28" w:type="dxa"/>
            </w:tcM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450" w:right="0" w:hanging="225"/>
              <w:rPr/>
            </w:pPr>
            <w:r>
              <w:rPr/>
              <w:t>Facilities</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878" w:type="dxa"/>
            <w:tcBorders/>
            <w:shd w:fill="CCEEFF" w:val="clear"/>
            <w:vAlign w:val="bottom"/>
          </w:tcPr>
          <w:p>
            <w:pPr>
              <w:pStyle w:val="TableContents"/>
              <w:spacing w:before="0" w:after="283"/>
              <w:jc w:val="right"/>
              <w:rPr/>
            </w:pPr>
            <w:r>
              <w:rPr/>
              <w:t>23.0</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879" w:type="dxa"/>
            <w:tcBorders/>
            <w:shd w:fill="CCEEFF" w:val="clear"/>
            <w:vAlign w:val="bottom"/>
          </w:tcPr>
          <w:p>
            <w:pPr>
              <w:pStyle w:val="TableContents"/>
              <w:spacing w:before="0" w:after="283"/>
              <w:jc w:val="right"/>
              <w:rPr/>
            </w:pPr>
            <w:r>
              <w:rPr/>
              <w:t>25.0</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sz w:val="4"/>
                <w:szCs w:val="4"/>
              </w:rPr>
            </w:pPr>
            <w:r>
              <w:rPr>
                <w:sz w:val="4"/>
                <w:szCs w:val="4"/>
              </w:rPr>
            </w:r>
          </w:p>
        </w:tc>
        <w:tc>
          <w:tcPr>
            <w:tcW w:w="932" w:type="dxa"/>
            <w:tcBorders/>
            <w:shd w:fill="CCEEFF" w:val="clear"/>
            <w:vAlign w:val="bottom"/>
          </w:tcPr>
          <w:p>
            <w:pPr>
              <w:pStyle w:val="TableContents"/>
              <w:spacing w:before="0" w:after="283"/>
              <w:jc w:val="right"/>
              <w:rPr/>
            </w:pPr>
            <w:r>
              <w:rPr/>
              <w:t>112.0</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sz w:val="4"/>
                <w:szCs w:val="4"/>
              </w:rPr>
            </w:pPr>
            <w:r>
              <w:rPr>
                <w:sz w:val="4"/>
                <w:szCs w:val="4"/>
              </w:rPr>
            </w:r>
          </w:p>
        </w:tc>
        <w:tc>
          <w:tcPr>
            <w:tcW w:w="934" w:type="dxa"/>
            <w:tcBorders/>
            <w:shd w:fill="CCEEFF" w:val="clear"/>
            <w:vAlign w:val="bottom"/>
          </w:tcPr>
          <w:p>
            <w:pPr>
              <w:pStyle w:val="TableContents"/>
              <w:spacing w:before="0" w:after="283"/>
              <w:jc w:val="right"/>
              <w:rPr/>
            </w:pPr>
            <w:r>
              <w:rPr/>
              <w:t>120.0</w:t>
            </w:r>
          </w:p>
        </w:tc>
        <w:tc>
          <w:tcPr>
            <w:tcW w:w="123" w:type="dxa"/>
            <w:tcBorders/>
            <w:shd w:fill="CCEEFF" w:val="clear"/>
            <w:vAlign w:val="bottom"/>
          </w:tcPr>
          <w:p>
            <w:pPr>
              <w:pStyle w:val="TableContents"/>
              <w:spacing w:before="0" w:after="283"/>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450" w:right="0" w:hanging="225"/>
              <w:rPr/>
            </w:pPr>
            <w:r>
              <w:rPr/>
              <w:t>Marketing</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bottom"/>
          </w:tcPr>
          <w:p>
            <w:pPr>
              <w:pStyle w:val="TableContents"/>
              <w:spacing w:before="0" w:after="283"/>
              <w:jc w:val="right"/>
              <w:rPr/>
            </w:pPr>
            <w:r>
              <w:rPr/>
              <w:t>75.0</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bottom"/>
          </w:tcPr>
          <w:p>
            <w:pPr>
              <w:pStyle w:val="TableContents"/>
              <w:spacing w:before="0" w:after="283"/>
              <w:jc w:val="right"/>
              <w:rPr/>
            </w:pPr>
            <w:r>
              <w:rPr/>
              <w:t>81.0</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sz w:val="4"/>
                <w:szCs w:val="4"/>
              </w:rPr>
            </w:pPr>
            <w:r>
              <w:rPr>
                <w:sz w:val="4"/>
                <w:szCs w:val="4"/>
              </w:rPr>
            </w:r>
          </w:p>
        </w:tc>
        <w:tc>
          <w:tcPr>
            <w:tcW w:w="932" w:type="dxa"/>
            <w:tcBorders/>
            <w:shd w:fill="auto" w:val="clear"/>
            <w:vAlign w:val="bottom"/>
          </w:tcPr>
          <w:p>
            <w:pPr>
              <w:pStyle w:val="TableContents"/>
              <w:spacing w:before="0" w:after="283"/>
              <w:jc w:val="right"/>
              <w:rPr/>
            </w:pPr>
            <w:r>
              <w:rPr/>
              <w:t>228.0</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sz w:val="4"/>
                <w:szCs w:val="4"/>
              </w:rPr>
            </w:pPr>
            <w:r>
              <w:rPr>
                <w:sz w:val="4"/>
                <w:szCs w:val="4"/>
              </w:rPr>
            </w:r>
          </w:p>
        </w:tc>
        <w:tc>
          <w:tcPr>
            <w:tcW w:w="934" w:type="dxa"/>
            <w:tcBorders/>
            <w:shd w:fill="auto" w:val="clear"/>
            <w:vAlign w:val="bottom"/>
          </w:tcPr>
          <w:p>
            <w:pPr>
              <w:pStyle w:val="TableContents"/>
              <w:spacing w:before="0" w:after="283"/>
              <w:jc w:val="right"/>
              <w:rPr/>
            </w:pPr>
            <w:r>
              <w:rPr/>
              <w:t>248.0</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left w:val="single" w:sz="2" w:space="0" w:color="000000"/>
            </w:tcBorders>
            <w:shd w:fill="CCEEFF" w:val="clear"/>
            <w:tcMar>
              <w:left w:w="28" w:type="dxa"/>
            </w:tcM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Adjusted EBITDA</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175.0</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187.0</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670.0</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710.0</w:t>
            </w:r>
          </w:p>
        </w:tc>
        <w:tc>
          <w:tcPr>
            <w:tcW w:w="123" w:type="dxa"/>
            <w:tcBorders/>
            <w:shd w:fill="CCEEFF" w:val="clear"/>
            <w:vAlign w:val="bottom"/>
          </w:tcPr>
          <w:p>
            <w:pPr>
              <w:pStyle w:val="TableContents"/>
              <w:spacing w:before="0" w:after="283"/>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Adjusted Net Income</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91.4</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105.3</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330.3</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376.7</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left w:val="single" w:sz="2" w:space="0" w:color="000000"/>
            </w:tcBorders>
            <w:shd w:fill="CCEEFF" w:val="clear"/>
            <w:tcMar>
              <w:left w:w="28" w:type="dxa"/>
            </w:tcMar>
            <w:vAlign w:val="bottom"/>
          </w:tcPr>
          <w:p>
            <w:pPr>
              <w:pStyle w:val="TableContents"/>
              <w:spacing w:before="0" w:after="283"/>
              <w:rPr/>
            </w:pPr>
            <w:r>
              <w:rPr/>
              <w:t> </w:t>
            </w:r>
          </w:p>
        </w:tc>
        <w:tc>
          <w:tcPr>
            <w:tcW w:w="3771" w:type="dxa"/>
            <w:tcBorders/>
            <w:shd w:fill="CCEEFF" w:val="clear"/>
            <w:vAlign w:val="bottom"/>
          </w:tcPr>
          <w:p>
            <w:pPr>
              <w:pStyle w:val="TableContents"/>
              <w:spacing w:before="0" w:after="0"/>
              <w:ind w:left="225" w:right="0" w:hanging="225"/>
              <w:rPr/>
            </w:pPr>
            <w:r>
              <w:rPr/>
              <w:t>Adjusted Basic Net Income per Limited Partner Unit</w:t>
            </w:r>
          </w:p>
        </w:tc>
        <w:tc>
          <w:tcPr>
            <w:tcW w:w="329"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8" w:type="dxa"/>
            <w:tcBorders/>
            <w:shd w:fill="CCEEFF" w:val="clear"/>
            <w:vAlign w:val="bottom"/>
          </w:tcPr>
          <w:p>
            <w:pPr>
              <w:pStyle w:val="TableContents"/>
              <w:spacing w:before="0" w:after="283"/>
              <w:jc w:val="right"/>
              <w:rPr/>
            </w:pPr>
            <w:r>
              <w:rPr/>
              <w:t>0.68</w:t>
            </w:r>
          </w:p>
        </w:tc>
        <w:tc>
          <w:tcPr>
            <w:tcW w:w="145"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jc w:val="left"/>
              <w:rPr/>
            </w:pPr>
            <w:r>
              <w:rPr/>
              <w:t>$</w:t>
            </w:r>
          </w:p>
        </w:tc>
        <w:tc>
          <w:tcPr>
            <w:tcW w:w="879" w:type="dxa"/>
            <w:tcBorders/>
            <w:shd w:fill="CCEEFF" w:val="clear"/>
            <w:vAlign w:val="bottom"/>
          </w:tcPr>
          <w:p>
            <w:pPr>
              <w:pStyle w:val="TableContents"/>
              <w:spacing w:before="0" w:after="283"/>
              <w:jc w:val="right"/>
              <w:rPr/>
            </w:pPr>
            <w:r>
              <w:rPr/>
              <w:t>0.81</w:t>
            </w:r>
          </w:p>
        </w:tc>
        <w:tc>
          <w:tcPr>
            <w:tcW w:w="122" w:type="dxa"/>
            <w:tcBorders/>
            <w:shd w:fill="CCEEFF" w:val="clear"/>
            <w:vAlign w:val="bottom"/>
          </w:tcPr>
          <w:p>
            <w:pPr>
              <w:pStyle w:val="TableContents"/>
              <w:spacing w:before="0" w:after="283"/>
              <w:rPr/>
            </w:pPr>
            <w:r>
              <w:rPr/>
              <w:t> </w:t>
            </w:r>
          </w:p>
        </w:tc>
        <w:tc>
          <w:tcPr>
            <w:tcW w:w="329"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2" w:type="dxa"/>
            <w:tcBorders/>
            <w:shd w:fill="CCEEFF" w:val="clear"/>
            <w:vAlign w:val="bottom"/>
          </w:tcPr>
          <w:p>
            <w:pPr>
              <w:pStyle w:val="TableContents"/>
              <w:spacing w:before="0" w:after="283"/>
              <w:jc w:val="right"/>
              <w:rPr/>
            </w:pPr>
            <w:r>
              <w:rPr/>
              <w:t>2.40</w:t>
            </w:r>
          </w:p>
        </w:tc>
        <w:tc>
          <w:tcPr>
            <w:tcW w:w="14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pPr>
            <w:r>
              <w:rPr/>
              <w:t>$</w:t>
            </w:r>
          </w:p>
        </w:tc>
        <w:tc>
          <w:tcPr>
            <w:tcW w:w="934" w:type="dxa"/>
            <w:tcBorders/>
            <w:shd w:fill="CCEEFF" w:val="clear"/>
            <w:vAlign w:val="bottom"/>
          </w:tcPr>
          <w:p>
            <w:pPr>
              <w:pStyle w:val="TableContents"/>
              <w:spacing w:before="0" w:after="283"/>
              <w:jc w:val="right"/>
              <w:rPr/>
            </w:pPr>
            <w:r>
              <w:rPr/>
              <w:t>2.82</w:t>
            </w:r>
          </w:p>
        </w:tc>
        <w:tc>
          <w:tcPr>
            <w:tcW w:w="123" w:type="dxa"/>
            <w:tcBorders/>
            <w:shd w:fill="CCEEFF" w:val="clear"/>
            <w:vAlign w:val="bottom"/>
          </w:tcPr>
          <w:p>
            <w:pPr>
              <w:pStyle w:val="TableContents"/>
              <w:spacing w:before="0" w:after="283"/>
              <w:rPr/>
            </w:pPr>
            <w:r>
              <w:rPr/>
              <w:t> </w:t>
            </w:r>
          </w:p>
        </w:tc>
        <w:tc>
          <w:tcPr>
            <w:tcW w:w="112" w:type="dxa"/>
            <w:tcBorders>
              <w:right w:val="single" w:sz="2" w:space="0" w:color="000000"/>
            </w:tcBorders>
            <w:shd w:fill="CCEEFF"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bottom"/>
          </w:tcPr>
          <w:p>
            <w:pPr>
              <w:pStyle w:val="TableContents"/>
              <w:spacing w:before="0" w:after="283"/>
              <w:rPr/>
            </w:pPr>
            <w:r>
              <w:rPr/>
              <w:t> </w:t>
            </w:r>
          </w:p>
        </w:tc>
        <w:tc>
          <w:tcPr>
            <w:tcW w:w="3771" w:type="dxa"/>
            <w:tcBorders/>
            <w:shd w:fill="auto" w:val="clear"/>
            <w:vAlign w:val="bottom"/>
          </w:tcPr>
          <w:p>
            <w:pPr>
              <w:pStyle w:val="TableContents"/>
              <w:spacing w:before="0" w:after="0"/>
              <w:ind w:left="225" w:right="0" w:hanging="225"/>
              <w:rPr/>
            </w:pPr>
            <w:r>
              <w:rPr/>
              <w:t>Adjusted Diluted Net Income per Limited Partner Unit</w:t>
            </w:r>
          </w:p>
        </w:tc>
        <w:tc>
          <w:tcPr>
            <w:tcW w:w="329"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8" w:type="dxa"/>
            <w:tcBorders/>
            <w:shd w:fill="auto" w:val="clear"/>
            <w:vAlign w:val="bottom"/>
          </w:tcPr>
          <w:p>
            <w:pPr>
              <w:pStyle w:val="TableContents"/>
              <w:spacing w:before="0" w:after="283"/>
              <w:jc w:val="right"/>
              <w:rPr/>
            </w:pPr>
            <w:r>
              <w:rPr/>
              <w:t>0.67</w:t>
            </w:r>
          </w:p>
        </w:tc>
        <w:tc>
          <w:tcPr>
            <w:tcW w:w="145"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jc w:val="left"/>
              <w:rPr/>
            </w:pPr>
            <w:r>
              <w:rPr/>
              <w:t>$</w:t>
            </w:r>
          </w:p>
        </w:tc>
        <w:tc>
          <w:tcPr>
            <w:tcW w:w="879" w:type="dxa"/>
            <w:tcBorders/>
            <w:shd w:fill="auto" w:val="clear"/>
            <w:vAlign w:val="bottom"/>
          </w:tcPr>
          <w:p>
            <w:pPr>
              <w:pStyle w:val="TableContents"/>
              <w:spacing w:before="0" w:after="283"/>
              <w:jc w:val="right"/>
              <w:rPr/>
            </w:pPr>
            <w:r>
              <w:rPr/>
              <w:t>0.80</w:t>
            </w:r>
          </w:p>
        </w:tc>
        <w:tc>
          <w:tcPr>
            <w:tcW w:w="122"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2" w:type="dxa"/>
            <w:tcBorders/>
            <w:shd w:fill="auto" w:val="clear"/>
            <w:vAlign w:val="bottom"/>
          </w:tcPr>
          <w:p>
            <w:pPr>
              <w:pStyle w:val="TableContents"/>
              <w:spacing w:before="0" w:after="283"/>
              <w:jc w:val="right"/>
              <w:rPr/>
            </w:pPr>
            <w:r>
              <w:rPr/>
              <w:t>2.38</w:t>
            </w:r>
          </w:p>
        </w:tc>
        <w:tc>
          <w:tcPr>
            <w:tcW w:w="14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2.79</w:t>
            </w:r>
          </w:p>
        </w:tc>
        <w:tc>
          <w:tcPr>
            <w:tcW w:w="123" w:type="dxa"/>
            <w:tcBorders/>
            <w:shd w:fill="auto" w:val="clear"/>
            <w:vAlign w:val="bottom"/>
          </w:tcPr>
          <w:p>
            <w:pPr>
              <w:pStyle w:val="TableContents"/>
              <w:spacing w:before="0" w:after="283"/>
              <w:rPr/>
            </w:pPr>
            <w:r>
              <w:rPr/>
              <w:t> </w:t>
            </w:r>
          </w:p>
        </w:tc>
        <w:tc>
          <w:tcPr>
            <w:tcW w:w="112" w:type="dxa"/>
            <w:tcBorders>
              <w:right w:val="single" w:sz="2" w:space="0" w:color="000000"/>
            </w:tcBorders>
            <w:shd w:fill="auto" w:val="clear"/>
            <w:tcMar>
              <w:right w:w="28" w:type="dxa"/>
            </w:tcMar>
            <w:vAlign w:val="bottom"/>
          </w:tcPr>
          <w:p>
            <w:pPr>
              <w:pStyle w:val="TableContents"/>
              <w:spacing w:before="0" w:after="283"/>
              <w:rPr/>
            </w:pPr>
            <w:r>
              <w:rPr/>
              <w:t> </w:t>
            </w:r>
          </w:p>
        </w:tc>
      </w:tr>
      <w:tr>
        <w:trPr/>
        <w:tc>
          <w:tcPr>
            <w:tcW w:w="98" w:type="dxa"/>
            <w:tcBorders>
              <w:left w:val="single" w:sz="2" w:space="0" w:color="000000"/>
            </w:tcBorders>
            <w:shd w:fill="auto" w:val="clear"/>
            <w:tcMar>
              <w:left w:w="28" w:type="dxa"/>
            </w:tcMar>
            <w:vAlign w:val="center"/>
          </w:tcPr>
          <w:p>
            <w:pPr>
              <w:pStyle w:val="TableContents"/>
              <w:spacing w:before="0" w:after="283"/>
              <w:rPr/>
            </w:pPr>
            <w:r>
              <w:rPr/>
              <w:t> </w:t>
            </w:r>
          </w:p>
        </w:tc>
        <w:tc>
          <w:tcPr>
            <w:tcW w:w="3771" w:type="dxa"/>
            <w:tcBorders/>
            <w:shd w:fill="auto" w:val="clear"/>
            <w:vAlign w:val="center"/>
          </w:tcPr>
          <w:p>
            <w:pPr>
              <w:pStyle w:val="TableContents"/>
              <w:spacing w:before="0" w:after="0"/>
              <w:ind w:left="225" w:right="0" w:hanging="225"/>
              <w:rPr/>
            </w:pPr>
            <w:r>
              <w:rPr/>
              <w:t> </w:t>
            </w:r>
          </w:p>
        </w:tc>
        <w:tc>
          <w:tcPr>
            <w:tcW w:w="329" w:type="dxa"/>
            <w:tcBorders/>
            <w:shd w:fill="auto" w:val="clear"/>
            <w:vAlign w:val="center"/>
          </w:tcPr>
          <w:p>
            <w:pPr>
              <w:pStyle w:val="TableContents"/>
              <w:spacing w:before="0" w:after="283"/>
              <w:rPr/>
            </w:pPr>
            <w:r>
              <w:rPr/>
              <w:t> </w:t>
            </w:r>
          </w:p>
        </w:tc>
        <w:tc>
          <w:tcPr>
            <w:tcW w:w="106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43" w:type="dxa"/>
            <w:tcBorders/>
            <w:shd w:fill="auto" w:val="clear"/>
            <w:vAlign w:val="center"/>
          </w:tcPr>
          <w:p>
            <w:pPr>
              <w:pStyle w:val="TableContents"/>
              <w:spacing w:before="0" w:after="283"/>
              <w:rPr/>
            </w:pPr>
            <w:r>
              <w:rPr/>
              <w:t> </w:t>
            </w:r>
          </w:p>
        </w:tc>
        <w:tc>
          <w:tcPr>
            <w:tcW w:w="106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c>
          <w:tcPr>
            <w:tcW w:w="329" w:type="dxa"/>
            <w:tcBorders/>
            <w:shd w:fill="auto" w:val="clear"/>
            <w:vAlign w:val="center"/>
          </w:tcPr>
          <w:p>
            <w:pPr>
              <w:pStyle w:val="TableContents"/>
              <w:spacing w:before="0" w:after="283"/>
              <w:rPr/>
            </w:pPr>
            <w:r>
              <w:rPr/>
              <w:t> </w:t>
            </w:r>
          </w:p>
        </w:tc>
        <w:tc>
          <w:tcPr>
            <w:tcW w:w="11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 </w:t>
            </w:r>
          </w:p>
        </w:tc>
        <w:tc>
          <w:tcPr>
            <w:tcW w:w="111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112" w:type="dxa"/>
            <w:tcBorders>
              <w:right w:val="single" w:sz="2" w:space="0" w:color="000000"/>
            </w:tcBorders>
            <w:shd w:fill="auto" w:val="clear"/>
            <w:tcMar>
              <w:right w:w="28" w:type="dxa"/>
            </w:tcMar>
            <w:vAlign w:val="center"/>
          </w:tcPr>
          <w:p>
            <w:pPr>
              <w:pStyle w:val="TableContents"/>
              <w:spacing w:before="0" w:after="283"/>
              <w:rPr/>
            </w:pPr>
            <w:r>
              <w:rPr/>
              <w:t> </w:t>
            </w:r>
          </w:p>
        </w:tc>
      </w:tr>
      <w:tr>
        <w:trPr/>
        <w:tc>
          <w:tcPr>
            <w:tcW w:w="98" w:type="dxa"/>
            <w:tcBorders>
              <w:top w:val="single" w:sz="2" w:space="0" w:color="000000"/>
            </w:tcBorders>
            <w:shd w:fill="auto" w:val="clear"/>
            <w:tcMar>
              <w:top w:w="28" w:type="dxa"/>
            </w:tcMar>
            <w:vAlign w:val="center"/>
          </w:tcPr>
          <w:p>
            <w:pPr>
              <w:pStyle w:val="TableContents"/>
              <w:spacing w:before="0" w:after="283"/>
              <w:rPr/>
            </w:pPr>
            <w:r>
              <w:rPr/>
              <w:t> </w:t>
            </w:r>
          </w:p>
        </w:tc>
        <w:tc>
          <w:tcPr>
            <w:tcW w:w="9995" w:type="dxa"/>
            <w:gridSpan w:val="17"/>
            <w:tcBorders>
              <w:top w:val="single" w:sz="2" w:space="0" w:color="000000"/>
            </w:tcBorders>
            <w:shd w:fill="auto" w:val="clear"/>
            <w:tcMar>
              <w:top w:w="28" w:type="dxa"/>
            </w:tcMar>
            <w:vAlign w:val="center"/>
          </w:tcPr>
          <w:p>
            <w:pPr>
              <w:pStyle w:val="TableContents"/>
              <w:spacing w:before="0" w:after="283"/>
              <w:jc w:val="left"/>
              <w:rPr/>
            </w:pPr>
            <w:r>
              <w:rPr/>
              <w:t> </w:t>
            </w:r>
          </w:p>
        </w:tc>
        <w:tc>
          <w:tcPr>
            <w:tcW w:w="112" w:type="dxa"/>
            <w:tcBorders>
              <w:top w:val="single" w:sz="2" w:space="0" w:color="000000"/>
            </w:tcBorders>
            <w:shd w:fill="auto" w:val="clear"/>
            <w:tcMar>
              <w:top w:w="28" w:type="dxa"/>
            </w:tcMar>
            <w:vAlign w:val="center"/>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963"/>
        <w:gridCol w:w="2321"/>
        <w:gridCol w:w="921"/>
      </w:tblGrid>
      <w:tr>
        <w:trPr/>
        <w:tc>
          <w:tcPr>
            <w:tcW w:w="6963" w:type="dxa"/>
            <w:tcBorders/>
            <w:shd w:fill="auto" w:val="clear"/>
            <w:vAlign w:val="center"/>
          </w:tcPr>
          <w:p>
            <w:pPr>
              <w:pStyle w:val="TableContents"/>
              <w:spacing w:before="0" w:after="283"/>
              <w:rPr>
                <w:sz w:val="4"/>
                <w:szCs w:val="4"/>
              </w:rPr>
            </w:pPr>
            <w:r>
              <w:rPr>
                <w:sz w:val="4"/>
                <w:szCs w:val="4"/>
              </w:rPr>
            </w:r>
          </w:p>
        </w:tc>
        <w:tc>
          <w:tcPr>
            <w:tcW w:w="2321"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r>
      <w:tr>
        <w:trPr/>
        <w:tc>
          <w:tcPr>
            <w:tcW w:w="6963" w:type="dxa"/>
            <w:tcBorders/>
            <w:shd w:fill="auto" w:val="clear"/>
          </w:tcPr>
          <w:p>
            <w:pPr>
              <w:pStyle w:val="TableContents"/>
              <w:spacing w:before="0" w:after="283"/>
              <w:jc w:val="left"/>
              <w:rPr/>
            </w:pPr>
            <w:r>
              <w:rPr/>
              <w:t>1</w:t>
            </w:r>
          </w:p>
        </w:tc>
        <w:tc>
          <w:tcPr>
            <w:tcW w:w="2321" w:type="dxa"/>
            <w:tcBorders/>
            <w:shd w:fill="auto" w:val="clear"/>
          </w:tcPr>
          <w:p>
            <w:pPr>
              <w:pStyle w:val="TableContents"/>
              <w:spacing w:before="0" w:after="283"/>
              <w:rPr/>
            </w:pPr>
            <w:r>
              <w:rPr/>
              <w:t> </w:t>
            </w:r>
          </w:p>
        </w:tc>
        <w:tc>
          <w:tcPr>
            <w:tcW w:w="921" w:type="dxa"/>
            <w:tcBorders/>
            <w:shd w:fill="auto" w:val="clear"/>
          </w:tcPr>
          <w:p>
            <w:pPr>
              <w:pStyle w:val="TableContents"/>
              <w:spacing w:before="0" w:after="0"/>
              <w:jc w:val="both"/>
              <w:rPr/>
            </w:pPr>
            <w:r>
              <w:rPr/>
              <w:t>The projected average foreign exchange rate is $1.20 CAD to $1 USD. The rate as of February 21, 2007 was $1.16 CAD to $1 USD.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- 3 -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both"/>
        <w:rPr>
          <w:rFonts w:ascii="Times New Roman;Times;serif" w:hAnsi="Times New Roman;Times;serif"/>
          <w:sz w:val="17"/>
        </w:rPr>
      </w:pPr>
      <w:r>
        <w:rPr>
          <w:rFonts w:ascii="Times New Roman;Times;serif" w:hAnsi="Times New Roman;Times;serif"/>
          <w:sz w:val="17"/>
        </w:rPr>
        <w:t xml:space="preserve">Notes and Significant Assumptions: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i/>
              </w:rPr>
            </w:pPr>
            <w:r>
              <w:rPr>
                <w:i/>
              </w:rPr>
              <w:t>Definitions.</w:t>
            </w:r>
          </w:p>
        </w:tc>
      </w:tr>
    </w:tbl>
    <w:tbl>
      <w:tblPr>
        <w:tblW w:w="4800" w:type="pct"/>
        <w:jc w:val="right"/>
        <w:tblInd w:w="0" w:type="dxa"/>
        <w:tblCellMar>
          <w:top w:w="0" w:type="dxa"/>
          <w:left w:w="0" w:type="dxa"/>
          <w:bottom w:w="0" w:type="dxa"/>
          <w:right w:w="0" w:type="dxa"/>
        </w:tblCellMar>
      </w:tblPr>
      <w:tblGrid>
        <w:gridCol w:w="1463"/>
        <w:gridCol w:w="410"/>
        <w:gridCol w:w="7923"/>
      </w:tblGrid>
      <w:tr>
        <w:trPr/>
        <w:tc>
          <w:tcPr>
            <w:tcW w:w="1463" w:type="dxa"/>
            <w:tcBorders/>
            <w:shd w:fill="auto" w:val="clear"/>
            <w:vAlign w:val="bottom"/>
          </w:tcPr>
          <w:p>
            <w:pPr>
              <w:pStyle w:val="TableContents"/>
              <w:spacing w:before="0" w:after="283"/>
              <w:rPr/>
            </w:pPr>
            <w:r>
              <w:rPr/>
              <w:t> </w:t>
            </w:r>
          </w:p>
        </w:tc>
        <w:tc>
          <w:tcPr>
            <w:tcW w:w="410" w:type="dxa"/>
            <w:tcBorders/>
            <w:shd w:fill="auto" w:val="clear"/>
            <w:vAlign w:val="bottom"/>
          </w:tcPr>
          <w:p>
            <w:pPr>
              <w:pStyle w:val="TableContents"/>
              <w:spacing w:before="0" w:after="283"/>
              <w:rPr/>
            </w:pPr>
            <w:r>
              <w:rPr/>
              <w:t> </w:t>
            </w:r>
          </w:p>
        </w:tc>
        <w:tc>
          <w:tcPr>
            <w:tcW w:w="7923" w:type="dxa"/>
            <w:tcBorders/>
            <w:shd w:fill="auto" w:val="clear"/>
            <w:vAlign w:val="bottom"/>
          </w:tcPr>
          <w:p>
            <w:pPr>
              <w:pStyle w:val="TableContents"/>
              <w:spacing w:before="0" w:after="283"/>
              <w:rPr/>
            </w:pPr>
            <w:r>
              <w:rPr/>
              <w:t> </w:t>
            </w:r>
          </w:p>
        </w:tc>
      </w:tr>
      <w:tr>
        <w:trPr/>
        <w:tc>
          <w:tcPr>
            <w:tcW w:w="1463" w:type="dxa"/>
            <w:tcBorders/>
            <w:shd w:fill="auto" w:val="clear"/>
          </w:tcPr>
          <w:p>
            <w:pPr>
              <w:pStyle w:val="TableContents"/>
              <w:spacing w:before="0" w:after="0"/>
              <w:ind w:left="0" w:right="0" w:hanging="0"/>
              <w:rPr/>
            </w:pPr>
            <w:r>
              <w:rPr/>
              <w:t xml:space="preserve">Bcf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Billion cubic feet</w:t>
            </w:r>
          </w:p>
        </w:tc>
      </w:tr>
      <w:tr>
        <w:trPr/>
        <w:tc>
          <w:tcPr>
            <w:tcW w:w="1463" w:type="dxa"/>
            <w:tcBorders/>
            <w:shd w:fill="auto" w:val="clear"/>
          </w:tcPr>
          <w:p>
            <w:pPr>
              <w:pStyle w:val="TableContents"/>
              <w:spacing w:before="0" w:after="0"/>
              <w:ind w:left="0" w:right="0" w:hanging="0"/>
              <w:rPr/>
            </w:pPr>
            <w:r>
              <w:rPr/>
              <w:t xml:space="preserve">EBIT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Earnings before interest and taxes</w:t>
            </w:r>
          </w:p>
        </w:tc>
      </w:tr>
      <w:tr>
        <w:trPr/>
        <w:tc>
          <w:tcPr>
            <w:tcW w:w="1463" w:type="dxa"/>
            <w:tcBorders/>
            <w:shd w:fill="auto" w:val="clear"/>
          </w:tcPr>
          <w:p>
            <w:pPr>
              <w:pStyle w:val="TableContents"/>
              <w:spacing w:before="0" w:after="0"/>
              <w:ind w:left="0" w:right="0" w:hanging="0"/>
              <w:rPr/>
            </w:pPr>
            <w:r>
              <w:rPr/>
              <w:t xml:space="preserve">EBITDA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Earnings before interest, taxes and depreciation and amortization expense</w:t>
            </w:r>
          </w:p>
        </w:tc>
      </w:tr>
      <w:tr>
        <w:trPr/>
        <w:tc>
          <w:tcPr>
            <w:tcW w:w="1463" w:type="dxa"/>
            <w:tcBorders/>
            <w:shd w:fill="auto" w:val="clear"/>
          </w:tcPr>
          <w:p>
            <w:pPr>
              <w:pStyle w:val="TableContents"/>
              <w:spacing w:before="0" w:after="0"/>
              <w:ind w:left="0" w:right="0" w:hanging="0"/>
              <w:rPr/>
            </w:pPr>
            <w:r>
              <w:rPr/>
              <w:t xml:space="preserve">Bbls/d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Barrels per day</w:t>
            </w:r>
          </w:p>
        </w:tc>
      </w:tr>
      <w:tr>
        <w:trPr/>
        <w:tc>
          <w:tcPr>
            <w:tcW w:w="1463" w:type="dxa"/>
            <w:tcBorders/>
            <w:shd w:fill="auto" w:val="clear"/>
          </w:tcPr>
          <w:p>
            <w:pPr>
              <w:pStyle w:val="TableContents"/>
              <w:spacing w:before="0" w:after="0"/>
              <w:ind w:left="0" w:right="0" w:hanging="0"/>
              <w:rPr/>
            </w:pPr>
            <w:r>
              <w:rPr/>
              <w:t xml:space="preserve">Segment Profit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Net revenues less purchases (including equity earnings, as applicable), field operating costs, and segment general and administrative expenses</w:t>
            </w:r>
          </w:p>
        </w:tc>
      </w:tr>
      <w:tr>
        <w:trPr/>
        <w:tc>
          <w:tcPr>
            <w:tcW w:w="1463" w:type="dxa"/>
            <w:tcBorders/>
            <w:shd w:fill="auto" w:val="clear"/>
          </w:tcPr>
          <w:p>
            <w:pPr>
              <w:pStyle w:val="TableContents"/>
              <w:spacing w:before="0" w:after="0"/>
              <w:ind w:left="0" w:right="0" w:hanging="0"/>
              <w:rPr/>
            </w:pPr>
            <w:r>
              <w:rPr/>
              <w:t xml:space="preserve">LTIP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Long-Term Incentive Plan</w:t>
            </w:r>
          </w:p>
        </w:tc>
      </w:tr>
      <w:tr>
        <w:trPr/>
        <w:tc>
          <w:tcPr>
            <w:tcW w:w="1463" w:type="dxa"/>
            <w:tcBorders/>
            <w:shd w:fill="auto" w:val="clear"/>
          </w:tcPr>
          <w:p>
            <w:pPr>
              <w:pStyle w:val="TableContents"/>
              <w:spacing w:before="0" w:after="0"/>
              <w:ind w:left="0" w:right="0" w:hanging="0"/>
              <w:rPr/>
            </w:pPr>
            <w:r>
              <w:rPr/>
              <w:t xml:space="preserve">LPG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Liquefied petroleum gas and other petroleum products</w:t>
            </w:r>
          </w:p>
        </w:tc>
      </w:tr>
      <w:tr>
        <w:trPr/>
        <w:tc>
          <w:tcPr>
            <w:tcW w:w="1463" w:type="dxa"/>
            <w:tcBorders/>
            <w:shd w:fill="auto" w:val="clear"/>
          </w:tcPr>
          <w:p>
            <w:pPr>
              <w:pStyle w:val="TableContents"/>
              <w:spacing w:before="0" w:after="0"/>
              <w:ind w:left="0" w:right="0" w:hanging="0"/>
              <w:rPr/>
            </w:pPr>
            <w:r>
              <w:rPr/>
              <w:t xml:space="preserve">FX </w:t>
            </w:r>
          </w:p>
        </w:tc>
        <w:tc>
          <w:tcPr>
            <w:tcW w:w="410" w:type="dxa"/>
            <w:tcBorders/>
            <w:shd w:fill="auto" w:val="clear"/>
            <w:vAlign w:val="bottom"/>
          </w:tcPr>
          <w:p>
            <w:pPr>
              <w:pStyle w:val="TableContents"/>
              <w:spacing w:before="0" w:after="283"/>
              <w:rPr/>
            </w:pPr>
            <w:r>
              <w:rPr/>
              <w:t> </w:t>
            </w:r>
          </w:p>
        </w:tc>
        <w:tc>
          <w:tcPr>
            <w:tcW w:w="7923" w:type="dxa"/>
            <w:tcBorders/>
            <w:shd w:fill="auto" w:val="clear"/>
          </w:tcPr>
          <w:p>
            <w:pPr>
              <w:pStyle w:val="TableContents"/>
              <w:spacing w:before="0" w:after="283"/>
              <w:jc w:val="left"/>
              <w:rPr/>
            </w:pPr>
            <w:r>
              <w:rPr/>
              <w:t>Foreign currency exchange</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i/>
              </w:rPr>
              <w:t>Business Segments</w:t>
            </w:r>
            <w:r>
              <w:rPr/>
              <w:t>. Prior to the fourth quarter of 2006, we managed our operations through two segments. Due to our growth, especially in the facilities portion of our business (most notably in conjunction with our acquisition of Pacific Energy Partners, L.P. (Pacific)), we have revised the manner in which we internally evaluate our segment performance and decide how to allocate resources to our segments. As a result, we now manage our operations through three operating segments: (i) Transportation, (ii) Facilities, and (iii) Marketing.</w:t>
            </w:r>
          </w:p>
        </w:tc>
      </w:tr>
    </w:tbl>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i/>
              </w:rPr>
              <w:t xml:space="preserve">Transportation. </w:t>
            </w:r>
            <w:r>
              <w:rPr/>
              <w:t>Our transportation segment operations generally consist of fee-based activities associated with transporting crude oil and refined products on pipelines and gathering systems. We generate revenue through a combination of tariffs, third-party leases of pipeline capacity, transportation fees, barrel exchanges and buy/sell arrangements. We also include in this segment our equity earnings from our investments in the Butte and Frontier pipeline systems, in which we own minority interests, and Settoon Towing, in which we own a 50% interest.</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Pipeline volume estimates are based on historical trends, anticipated future operating performance and completion of internal growth projects. Volumes are influenced by temporary market-driven storage and withdrawal of oil, maintenance schedules at refineries, production declines and other external factors beyond our control. Actual segment profit could vary materially depending on the level of volumes transported.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The following table summarizes our total pipeline volumes and highlights major systems that are significant either in total volumes transported or in contribution to total transportation segment profit.</w:t>
            </w:r>
          </w:p>
        </w:tc>
      </w:tr>
    </w:tbl>
    <w:tbl>
      <w:tblPr>
        <w:tblW w:w="4250" w:type="pct"/>
        <w:jc w:val="right"/>
        <w:tblInd w:w="0" w:type="dxa"/>
        <w:tblCellMar>
          <w:top w:w="0" w:type="dxa"/>
          <w:left w:w="0" w:type="dxa"/>
          <w:bottom w:w="0" w:type="dxa"/>
          <w:right w:w="0" w:type="dxa"/>
        </w:tblCellMar>
      </w:tblPr>
      <w:tblGrid>
        <w:gridCol w:w="4174"/>
        <w:gridCol w:w="273"/>
        <w:gridCol w:w="299"/>
        <w:gridCol w:w="1330"/>
        <w:gridCol w:w="294"/>
        <w:gridCol w:w="273"/>
        <w:gridCol w:w="320"/>
        <w:gridCol w:w="1413"/>
        <w:gridCol w:w="298"/>
      </w:tblGrid>
      <w:tr>
        <w:trPr/>
        <w:tc>
          <w:tcPr>
            <w:tcW w:w="417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929"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2007 Guidance</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Three Months</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33" w:type="dxa"/>
            <w:gridSpan w:val="2"/>
            <w:tcBorders/>
            <w:shd w:fill="auto" w:val="clear"/>
            <w:vAlign w:val="bottom"/>
          </w:tcPr>
          <w:p>
            <w:pPr>
              <w:pStyle w:val="TableContents"/>
              <w:spacing w:before="0" w:after="283"/>
              <w:jc w:val="center"/>
              <w:rPr>
                <w:b/>
              </w:rPr>
            </w:pPr>
            <w:r>
              <w:rPr>
                <w:b/>
              </w:rPr>
              <w:t>Twelve Months</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29" w:type="dxa"/>
            <w:gridSpan w:val="2"/>
            <w:tcBorders/>
            <w:shd w:fill="auto" w:val="clear"/>
            <w:vAlign w:val="bottom"/>
          </w:tcPr>
          <w:p>
            <w:pPr>
              <w:pStyle w:val="TableContents"/>
              <w:spacing w:before="0" w:after="283"/>
              <w:jc w:val="center"/>
              <w:rPr>
                <w:b/>
              </w:rPr>
            </w:pPr>
            <w:r>
              <w:rPr>
                <w:b/>
              </w:rPr>
              <w:t>Ending</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33" w:type="dxa"/>
            <w:gridSpan w:val="2"/>
            <w:tcBorders/>
            <w:shd w:fill="auto" w:val="clear"/>
            <w:vAlign w:val="bottom"/>
          </w:tcPr>
          <w:p>
            <w:pPr>
              <w:pStyle w:val="TableContents"/>
              <w:spacing w:before="0" w:after="283"/>
              <w:jc w:val="center"/>
              <w:rPr>
                <w:b/>
              </w:rPr>
            </w:pPr>
            <w:r>
              <w:rPr>
                <w:b/>
              </w:rPr>
              <w:t>Ending</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62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7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225" w:right="0" w:hanging="225"/>
              <w:rPr/>
            </w:pPr>
            <w:r>
              <w:rPr/>
              <w:t>Average Daily Volumes (MBbls/d)</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rPr/>
            </w:pPr>
            <w:r>
              <w:rPr/>
              <w:t> </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rPr/>
            </w:pPr>
            <w:r>
              <w:rPr/>
              <w:t> </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225" w:right="0" w:hanging="225"/>
              <w:rPr/>
            </w:pPr>
            <w:r>
              <w:rPr/>
              <w:t>Crude Oil</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450" w:right="0" w:hanging="225"/>
              <w:rPr/>
            </w:pPr>
            <w:r>
              <w:rPr/>
              <w:t>All American</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50</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48</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450" w:right="0" w:hanging="225"/>
              <w:rPr/>
            </w:pPr>
            <w:r>
              <w:rPr/>
              <w:t>Basin</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310</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335</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450" w:right="0" w:hanging="225"/>
              <w:rPr/>
            </w:pPr>
            <w:r>
              <w:rPr/>
              <w:t>BOA / CAM</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195</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215</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450" w:right="0" w:hanging="225"/>
              <w:rPr/>
            </w:pPr>
            <w:r>
              <w:rPr/>
              <w:t>Capline</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215</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190</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450" w:right="0" w:hanging="225"/>
              <w:rPr/>
            </w:pPr>
            <w:r>
              <w:rPr/>
              <w:t>Line 63 / 2000</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150</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145</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450" w:right="0" w:hanging="225"/>
              <w:rPr/>
            </w:pPr>
            <w:r>
              <w:rPr/>
              <w:t>Salt Lake City</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130</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130</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450" w:right="0" w:hanging="225"/>
              <w:rPr/>
            </w:pPr>
            <w:r>
              <w:rPr/>
              <w:t>North Dakota / Trenton</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95</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90</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450" w:right="0" w:hanging="225"/>
              <w:rPr/>
            </w:pPr>
            <w:r>
              <w:rPr/>
              <w:t>West Texas / New Mexico area systems (1)</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385</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400</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450" w:right="0" w:hanging="225"/>
              <w:rPr/>
            </w:pPr>
            <w:r>
              <w:rPr/>
              <w:t>Manito</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80</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75</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450" w:right="0" w:hanging="225"/>
              <w:rPr/>
            </w:pPr>
            <w:r>
              <w:rPr/>
              <w:t>Other</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870</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912</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center"/>
          </w:tcPr>
          <w:p>
            <w:pPr>
              <w:pStyle w:val="TableContents"/>
              <w:spacing w:before="0" w:after="0"/>
              <w:ind w:left="450" w:right="0" w:hanging="225"/>
              <w:rPr/>
            </w:pPr>
            <w:r>
              <w:rPr/>
              <w:t> </w:t>
            </w:r>
          </w:p>
        </w:tc>
        <w:tc>
          <w:tcPr>
            <w:tcW w:w="273"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225" w:right="0" w:hanging="225"/>
              <w:rPr/>
            </w:pPr>
            <w:r>
              <w:rPr/>
              <w:t> </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2,480</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2,540</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bottom"/>
          </w:tcPr>
          <w:p>
            <w:pPr>
              <w:pStyle w:val="TableContents"/>
              <w:spacing w:before="0" w:after="0"/>
              <w:ind w:left="225" w:right="0" w:hanging="225"/>
              <w:rPr/>
            </w:pPr>
            <w:r>
              <w:rPr/>
              <w:t>Refined Products</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jc w:val="right"/>
              <w:rPr/>
            </w:pPr>
            <w:r>
              <w:rPr/>
              <w:t>120</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120</w:t>
            </w:r>
          </w:p>
        </w:tc>
        <w:tc>
          <w:tcPr>
            <w:tcW w:w="298" w:type="dxa"/>
            <w:tcBorders/>
            <w:shd w:fill="auto" w:val="clear"/>
            <w:vAlign w:val="bottom"/>
          </w:tcPr>
          <w:p>
            <w:pPr>
              <w:pStyle w:val="TableContents"/>
              <w:spacing w:before="0" w:after="283"/>
              <w:rPr/>
            </w:pPr>
            <w:r>
              <w:rPr/>
              <w:t> </w:t>
            </w:r>
          </w:p>
        </w:tc>
      </w:tr>
      <w:tr>
        <w:trPr/>
        <w:tc>
          <w:tcPr>
            <w:tcW w:w="4174" w:type="dxa"/>
            <w:tcBorders/>
            <w:shd w:fill="auto" w:val="clear"/>
            <w:vAlign w:val="center"/>
          </w:tcPr>
          <w:p>
            <w:pPr>
              <w:pStyle w:val="TableContents"/>
              <w:spacing w:before="0" w:after="0"/>
              <w:ind w:left="450" w:right="0" w:hanging="225"/>
              <w:rPr/>
            </w:pPr>
            <w:r>
              <w:rPr/>
              <w:t> </w:t>
            </w:r>
          </w:p>
        </w:tc>
        <w:tc>
          <w:tcPr>
            <w:tcW w:w="273" w:type="dxa"/>
            <w:tcBorders/>
            <w:shd w:fill="auto" w:val="clear"/>
            <w:vAlign w:val="center"/>
          </w:tcPr>
          <w:p>
            <w:pPr>
              <w:pStyle w:val="TableContents"/>
              <w:spacing w:before="0" w:after="283"/>
              <w:rPr/>
            </w:pPr>
            <w:r>
              <w:rPr/>
              <w:t> </w:t>
            </w:r>
          </w:p>
        </w:tc>
        <w:tc>
          <w:tcPr>
            <w:tcW w:w="162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3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225" w:right="0" w:hanging="225"/>
              <w:rPr/>
            </w:pPr>
            <w:r>
              <w:rPr/>
              <w:t> </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1330" w:type="dxa"/>
            <w:tcBorders/>
            <w:shd w:fill="CCEEFF" w:val="clear"/>
            <w:vAlign w:val="bottom"/>
          </w:tcPr>
          <w:p>
            <w:pPr>
              <w:pStyle w:val="TableContents"/>
              <w:spacing w:before="0" w:after="283"/>
              <w:jc w:val="right"/>
              <w:rPr/>
            </w:pPr>
            <w:r>
              <w:rPr/>
              <w:t>2,600</w:t>
            </w:r>
          </w:p>
        </w:tc>
        <w:tc>
          <w:tcPr>
            <w:tcW w:w="294"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2,660</w:t>
            </w:r>
          </w:p>
        </w:tc>
        <w:tc>
          <w:tcPr>
            <w:tcW w:w="298" w:type="dxa"/>
            <w:tcBorders/>
            <w:shd w:fill="CCEEFF" w:val="clear"/>
            <w:vAlign w:val="bottom"/>
          </w:tcPr>
          <w:p>
            <w:pPr>
              <w:pStyle w:val="TableContents"/>
              <w:spacing w:before="0" w:after="283"/>
              <w:rPr/>
            </w:pPr>
            <w:r>
              <w:rPr/>
              <w:t> </w:t>
            </w:r>
          </w:p>
        </w:tc>
      </w:tr>
      <w:tr>
        <w:trPr/>
        <w:tc>
          <w:tcPr>
            <w:tcW w:w="4174" w:type="dxa"/>
            <w:tcBorders/>
            <w:shd w:fill="auto" w:val="clear"/>
            <w:vAlign w:val="center"/>
          </w:tcPr>
          <w:p>
            <w:pPr>
              <w:pStyle w:val="TableContents"/>
              <w:spacing w:before="0" w:after="0"/>
              <w:ind w:left="450" w:right="0" w:hanging="225"/>
              <w:rPr/>
            </w:pPr>
            <w:r>
              <w:rPr/>
              <w:t> </w:t>
            </w:r>
          </w:p>
        </w:tc>
        <w:tc>
          <w:tcPr>
            <w:tcW w:w="273"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r>
      <w:tr>
        <w:trPr/>
        <w:tc>
          <w:tcPr>
            <w:tcW w:w="4174" w:type="dxa"/>
            <w:tcBorders/>
            <w:shd w:fill="auto" w:val="clear"/>
            <w:vAlign w:val="bottom"/>
          </w:tcPr>
          <w:p>
            <w:pPr>
              <w:pStyle w:val="TableContents"/>
              <w:spacing w:before="0" w:after="0"/>
              <w:ind w:left="225" w:right="0" w:hanging="225"/>
              <w:rPr/>
            </w:pPr>
            <w:r>
              <w:rPr/>
              <w:t>Average Segment Profit ($/Bbl)</w:t>
            </w:r>
          </w:p>
        </w:tc>
        <w:tc>
          <w:tcPr>
            <w:tcW w:w="273"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30"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r>
      <w:tr>
        <w:trPr/>
        <w:tc>
          <w:tcPr>
            <w:tcW w:w="4174" w:type="dxa"/>
            <w:tcBorders/>
            <w:shd w:fill="CCEEFF" w:val="clear"/>
            <w:vAlign w:val="bottom"/>
          </w:tcPr>
          <w:p>
            <w:pPr>
              <w:pStyle w:val="TableContents"/>
              <w:spacing w:before="0" w:after="0"/>
              <w:ind w:left="225" w:right="0" w:hanging="225"/>
              <w:rPr/>
            </w:pPr>
            <w:r>
              <w:rPr/>
              <w:t>Excluding Selected Items Impacting Comparability</w:t>
            </w:r>
          </w:p>
        </w:tc>
        <w:tc>
          <w:tcPr>
            <w:tcW w:w="273"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w:t>
            </w:r>
          </w:p>
        </w:tc>
        <w:tc>
          <w:tcPr>
            <w:tcW w:w="1330" w:type="dxa"/>
            <w:tcBorders/>
            <w:shd w:fill="CCEEFF" w:val="clear"/>
            <w:vAlign w:val="bottom"/>
          </w:tcPr>
          <w:p>
            <w:pPr>
              <w:pStyle w:val="TableContents"/>
              <w:spacing w:before="0" w:after="283"/>
              <w:jc w:val="right"/>
              <w:rPr/>
            </w:pPr>
            <w:r>
              <w:rPr/>
              <w:t>0.34</w:t>
            </w:r>
          </w:p>
        </w:tc>
        <w:tc>
          <w:tcPr>
            <w:tcW w:w="294" w:type="dxa"/>
            <w:tcBorders/>
            <w:shd w:fill="CCEEFF" w:val="clear"/>
            <w:vAlign w:val="bottom"/>
          </w:tcPr>
          <w:p>
            <w:pPr>
              <w:pStyle w:val="TableContents"/>
              <w:spacing w:before="0" w:after="283"/>
              <w:rPr/>
            </w:pPr>
            <w:r>
              <w:rPr/>
              <w:t>(2)</w:t>
            </w:r>
          </w:p>
        </w:tc>
        <w:tc>
          <w:tcPr>
            <w:tcW w:w="273"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jc w:val="left"/>
              <w:rPr/>
            </w:pPr>
            <w:r>
              <w:rPr/>
              <w:t>$</w:t>
            </w:r>
          </w:p>
        </w:tc>
        <w:tc>
          <w:tcPr>
            <w:tcW w:w="1413" w:type="dxa"/>
            <w:tcBorders/>
            <w:shd w:fill="CCEEFF" w:val="clear"/>
            <w:vAlign w:val="bottom"/>
          </w:tcPr>
          <w:p>
            <w:pPr>
              <w:pStyle w:val="TableContents"/>
              <w:spacing w:before="0" w:after="283"/>
              <w:jc w:val="right"/>
              <w:rPr/>
            </w:pPr>
            <w:r>
              <w:rPr/>
              <w:t>0.35</w:t>
            </w:r>
          </w:p>
        </w:tc>
        <w:tc>
          <w:tcPr>
            <w:tcW w:w="298" w:type="dxa"/>
            <w:tcBorders/>
            <w:shd w:fill="CCEEFF" w:val="clear"/>
            <w:vAlign w:val="bottom"/>
          </w:tcPr>
          <w:p>
            <w:pPr>
              <w:pStyle w:val="TableContents"/>
              <w:spacing w:before="0" w:after="283"/>
              <w:rPr/>
            </w:pPr>
            <w:r>
              <w:rPr/>
              <w:t>(2)</w:t>
            </w:r>
          </w:p>
        </w:tc>
      </w:tr>
      <w:tr>
        <w:trPr/>
        <w:tc>
          <w:tcPr>
            <w:tcW w:w="4174" w:type="dxa"/>
            <w:tcBorders/>
            <w:shd w:fill="auto" w:val="clear"/>
            <w:vAlign w:val="center"/>
          </w:tcPr>
          <w:p>
            <w:pPr>
              <w:pStyle w:val="TableContents"/>
              <w:spacing w:before="0" w:after="0"/>
              <w:ind w:left="450" w:right="0" w:hanging="225"/>
              <w:rPr/>
            </w:pPr>
            <w:r>
              <w:rPr/>
              <w:t> </w:t>
            </w:r>
          </w:p>
        </w:tc>
        <w:tc>
          <w:tcPr>
            <w:tcW w:w="273" w:type="dxa"/>
            <w:tcBorders/>
            <w:shd w:fill="auto" w:val="clear"/>
            <w:vAlign w:val="center"/>
          </w:tcPr>
          <w:p>
            <w:pPr>
              <w:pStyle w:val="TableContents"/>
              <w:spacing w:before="0" w:after="283"/>
              <w:rPr/>
            </w:pPr>
            <w:r>
              <w:rPr/>
              <w:t> </w:t>
            </w:r>
          </w:p>
        </w:tc>
        <w:tc>
          <w:tcPr>
            <w:tcW w:w="162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4" w:type="dxa"/>
            <w:tcBorders/>
            <w:shd w:fill="auto" w:val="clear"/>
            <w:vAlign w:val="center"/>
          </w:tcPr>
          <w:p>
            <w:pPr>
              <w:pStyle w:val="TableContents"/>
              <w:spacing w:before="0" w:after="283"/>
              <w:rPr/>
            </w:pPr>
            <w:r>
              <w:rPr/>
              <w:t> </w:t>
            </w:r>
          </w:p>
        </w:tc>
        <w:tc>
          <w:tcPr>
            <w:tcW w:w="273" w:type="dxa"/>
            <w:tcBorders/>
            <w:shd w:fill="auto" w:val="clear"/>
            <w:vAlign w:val="center"/>
          </w:tcPr>
          <w:p>
            <w:pPr>
              <w:pStyle w:val="TableContents"/>
              <w:spacing w:before="0" w:after="283"/>
              <w:rPr/>
            </w:pPr>
            <w:r>
              <w:rPr/>
              <w:t> </w:t>
            </w:r>
          </w:p>
        </w:tc>
        <w:tc>
          <w:tcPr>
            <w:tcW w:w="173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98" w:type="dxa"/>
            <w:tcBorders/>
            <w:shd w:fill="auto" w:val="clear"/>
            <w:vAlign w:val="center"/>
          </w:tcPr>
          <w:p>
            <w:pPr>
              <w:pStyle w:val="TableContents"/>
              <w:spacing w:before="0" w:after="283"/>
              <w:rPr/>
            </w:pPr>
            <w:r>
              <w:rPr/>
              <w:t> </w:t>
            </w:r>
          </w:p>
        </w:tc>
      </w:tr>
    </w:tbl>
    <w:p>
      <w:pPr>
        <w:pStyle w:val="TextBody"/>
        <w:spacing w:before="320" w:after="283"/>
        <w:ind w:left="1700" w:right="0" w:hanging="0"/>
        <w:jc w:val="left"/>
        <w:rPr>
          <w:bdr w:val="single" w:sz="2" w:space="1" w:color="000000"/>
        </w:rPr>
      </w:pPr>
      <w:r>
        <w:rPr>
          <w:bdr w:val="single" w:sz="2" w:space="1" w:color="000000"/>
        </w:rPr>
        <w:t> </w:t>
      </w:r>
    </w:p>
    <w:tbl>
      <w:tblPr>
        <w:tblW w:w="4250" w:type="pct"/>
        <w:jc w:val="right"/>
        <w:tblInd w:w="0" w:type="dxa"/>
        <w:tblCellMar>
          <w:top w:w="0" w:type="dxa"/>
          <w:left w:w="0" w:type="dxa"/>
          <w:bottom w:w="0" w:type="dxa"/>
          <w:right w:w="0" w:type="dxa"/>
        </w:tblCellMar>
      </w:tblPr>
      <w:tblGrid>
        <w:gridCol w:w="5781"/>
        <w:gridCol w:w="1927"/>
        <w:gridCol w:w="966"/>
      </w:tblGrid>
      <w:tr>
        <w:trPr/>
        <w:tc>
          <w:tcPr>
            <w:tcW w:w="5781"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5781" w:type="dxa"/>
            <w:tcBorders/>
            <w:shd w:fill="auto" w:val="clear"/>
          </w:tcPr>
          <w:p>
            <w:pPr>
              <w:pStyle w:val="TableContents"/>
              <w:spacing w:before="0" w:after="283"/>
              <w:jc w:val="left"/>
              <w:rPr/>
            </w:pPr>
            <w:r>
              <w:rPr/>
              <w:t>(1)</w:t>
            </w:r>
          </w:p>
        </w:tc>
        <w:tc>
          <w:tcPr>
            <w:tcW w:w="1927" w:type="dxa"/>
            <w:tcBorders/>
            <w:shd w:fill="auto" w:val="clear"/>
          </w:tcPr>
          <w:p>
            <w:pPr>
              <w:pStyle w:val="TableContents"/>
              <w:spacing w:before="0" w:after="283"/>
              <w:rPr/>
            </w:pPr>
            <w:r>
              <w:rPr/>
              <w:t> </w:t>
            </w:r>
          </w:p>
        </w:tc>
        <w:tc>
          <w:tcPr>
            <w:tcW w:w="966" w:type="dxa"/>
            <w:tcBorders/>
            <w:shd w:fill="auto" w:val="clear"/>
          </w:tcPr>
          <w:p>
            <w:pPr>
              <w:pStyle w:val="TableContents"/>
              <w:spacing w:before="0" w:after="0"/>
              <w:jc w:val="both"/>
              <w:rPr/>
            </w:pPr>
            <w:r>
              <w:rPr/>
              <w:t>The aggregate of multiple systems in the West Texas / New Mexico area.</w:t>
            </w:r>
          </w:p>
        </w:tc>
      </w:tr>
      <w:tr>
        <w:trPr/>
        <w:tc>
          <w:tcPr>
            <w:tcW w:w="5781" w:type="dxa"/>
            <w:tcBorders/>
            <w:shd w:fill="auto" w:val="clear"/>
          </w:tcPr>
          <w:p>
            <w:pPr>
              <w:pStyle w:val="TableContents"/>
              <w:spacing w:before="0" w:after="283"/>
              <w:jc w:val="left"/>
              <w:rPr/>
            </w:pPr>
            <w:r>
              <w:rPr/>
              <w:t>(2)</w:t>
            </w:r>
          </w:p>
        </w:tc>
        <w:tc>
          <w:tcPr>
            <w:tcW w:w="1927" w:type="dxa"/>
            <w:tcBorders/>
            <w:shd w:fill="auto" w:val="clear"/>
          </w:tcPr>
          <w:p>
            <w:pPr>
              <w:pStyle w:val="TableContents"/>
              <w:spacing w:before="0" w:after="283"/>
              <w:rPr/>
            </w:pPr>
            <w:r>
              <w:rPr/>
              <w:t> </w:t>
            </w:r>
          </w:p>
        </w:tc>
        <w:tc>
          <w:tcPr>
            <w:tcW w:w="966" w:type="dxa"/>
            <w:tcBorders/>
            <w:shd w:fill="auto" w:val="clear"/>
          </w:tcPr>
          <w:p>
            <w:pPr>
              <w:pStyle w:val="TableContents"/>
              <w:spacing w:before="0" w:after="0"/>
              <w:jc w:val="both"/>
              <w:rPr/>
            </w:pPr>
            <w:r>
              <w:rPr/>
              <w:t>Mid-point of guidance.</w:t>
            </w:r>
          </w:p>
        </w:tc>
      </w:tr>
    </w:tbl>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Segment profit is forecast using the volume assumptions in the table above, priced at forecasted tariff rates, less estimated field operating costs and G&amp;A expenses. Field operating costs do not include depreciation.</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- 4 -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i/>
              </w:rPr>
            </w:pPr>
            <w:r>
              <w:rPr>
                <w:i/>
              </w:rPr>
              <w:t>b.</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i/>
              </w:rPr>
              <w:t>Facilities</w:t>
            </w:r>
            <w:r>
              <w:rPr/>
              <w:t>. Our facilities segment operations generally consist of fee-based activities associated with providing storage, terminalling and throughput services for crude oil, refined products and LPG, as well as LPG fractionation and isomerization services. We generate revenue through a combination of month-to-month and multi-year leases and processing arrangements. This segment also includes our equity earnings from our 50% investment in PAA/Vulcan Gas Storage, LLC which owns, and operates approximately 25.7 billion cubic feet of underground natural gas storage capacity and is constructing an additional 24 Bcf of underground storage capacity.</w:t>
            </w:r>
          </w:p>
        </w:tc>
      </w:tr>
    </w:tbl>
    <w:tbl>
      <w:tblPr>
        <w:tblW w:w="4250" w:type="pct"/>
        <w:jc w:val="right"/>
        <w:tblInd w:w="0" w:type="dxa"/>
        <w:tblCellMar>
          <w:top w:w="0" w:type="dxa"/>
          <w:left w:w="0" w:type="dxa"/>
          <w:bottom w:w="0" w:type="dxa"/>
          <w:right w:w="0" w:type="dxa"/>
        </w:tblCellMar>
      </w:tblPr>
      <w:tblGrid>
        <w:gridCol w:w="4094"/>
        <w:gridCol w:w="267"/>
        <w:gridCol w:w="168"/>
        <w:gridCol w:w="1482"/>
        <w:gridCol w:w="364"/>
        <w:gridCol w:w="303"/>
        <w:gridCol w:w="178"/>
        <w:gridCol w:w="1579"/>
        <w:gridCol w:w="239"/>
      </w:tblGrid>
      <w:tr>
        <w:trPr/>
        <w:tc>
          <w:tcPr>
            <w:tcW w:w="409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407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Calendar 2007 Guidance</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Three Months</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57" w:type="dxa"/>
            <w:gridSpan w:val="2"/>
            <w:tcBorders/>
            <w:shd w:fill="auto" w:val="clear"/>
            <w:vAlign w:val="bottom"/>
          </w:tcPr>
          <w:p>
            <w:pPr>
              <w:pStyle w:val="TableContents"/>
              <w:spacing w:before="0" w:after="283"/>
              <w:jc w:val="center"/>
              <w:rPr>
                <w:b/>
              </w:rPr>
            </w:pPr>
            <w:r>
              <w:rPr>
                <w:b/>
              </w:rPr>
              <w:t>Twelve Months</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0" w:type="dxa"/>
            <w:gridSpan w:val="2"/>
            <w:tcBorders/>
            <w:shd w:fill="auto" w:val="clear"/>
            <w:vAlign w:val="bottom"/>
          </w:tcPr>
          <w:p>
            <w:pPr>
              <w:pStyle w:val="TableContents"/>
              <w:spacing w:before="0" w:after="283"/>
              <w:jc w:val="center"/>
              <w:rPr>
                <w:b/>
              </w:rPr>
            </w:pPr>
            <w:r>
              <w:rPr>
                <w:b/>
              </w:rPr>
              <w:t>Ending</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57" w:type="dxa"/>
            <w:gridSpan w:val="2"/>
            <w:tcBorders/>
            <w:shd w:fill="auto" w:val="clear"/>
            <w:vAlign w:val="bottom"/>
          </w:tcPr>
          <w:p>
            <w:pPr>
              <w:pStyle w:val="TableContents"/>
              <w:spacing w:before="0" w:after="283"/>
              <w:jc w:val="center"/>
              <w:rPr>
                <w:b/>
              </w:rPr>
            </w:pPr>
            <w:r>
              <w:rPr>
                <w:b/>
              </w:rPr>
              <w:t>Ending</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65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5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Operating Data:</w:t>
            </w:r>
          </w:p>
        </w:tc>
        <w:tc>
          <w:tcPr>
            <w:tcW w:w="4580" w:type="dxa"/>
            <w:gridSpan w:val="8"/>
            <w:tcBorders/>
            <w:shd w:fill="auto" w:val="clear"/>
          </w:tcPr>
          <w:p>
            <w:pPr>
              <w:pStyle w:val="TableContents"/>
              <w:spacing w:before="0" w:after="283"/>
              <w:rPr>
                <w:sz w:val="4"/>
                <w:szCs w:val="4"/>
              </w:rPr>
            </w:pPr>
            <w:r>
              <w:rPr>
                <w:sz w:val="4"/>
                <w:szCs w:val="4"/>
              </w:rPr>
            </w:r>
          </w:p>
        </w:tc>
      </w:tr>
      <w:tr>
        <w:trPr/>
        <w:tc>
          <w:tcPr>
            <w:tcW w:w="4094" w:type="dxa"/>
            <w:tcBorders/>
            <w:shd w:fill="CCEEFF" w:val="clear"/>
            <w:vAlign w:val="bottom"/>
          </w:tcPr>
          <w:p>
            <w:pPr>
              <w:pStyle w:val="TableContents"/>
              <w:spacing w:before="0" w:after="0"/>
              <w:ind w:left="225" w:right="0" w:hanging="225"/>
              <w:rPr/>
            </w:pPr>
            <w:r>
              <w:rPr/>
              <w:t>Crude Oil, Refined Products and LPG Storage (MMBbls/Month)</w:t>
            </w:r>
          </w:p>
        </w:tc>
        <w:tc>
          <w:tcPr>
            <w:tcW w:w="26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33.7</w:t>
            </w:r>
          </w:p>
        </w:tc>
        <w:tc>
          <w:tcPr>
            <w:tcW w:w="36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35.6</w:t>
            </w:r>
          </w:p>
        </w:tc>
        <w:tc>
          <w:tcPr>
            <w:tcW w:w="239" w:type="dxa"/>
            <w:tcBorders/>
            <w:shd w:fill="CCEEFF" w:val="clear"/>
            <w:vAlign w:val="bottom"/>
          </w:tcPr>
          <w:p>
            <w:pPr>
              <w:pStyle w:val="TableContents"/>
              <w:spacing w:before="0" w:after="283"/>
              <w:rPr/>
            </w:pPr>
            <w:r>
              <w:rPr/>
              <w:t> </w:t>
            </w:r>
          </w:p>
        </w:tc>
      </w:tr>
      <w:tr>
        <w:trPr/>
        <w:tc>
          <w:tcPr>
            <w:tcW w:w="409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Natural Gas Storage, net (Bcf/Month)</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12.9</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13.4</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4094" w:type="dxa"/>
            <w:tcBorders/>
            <w:shd w:fill="CCEEFF" w:val="clear"/>
            <w:vAlign w:val="bottom"/>
          </w:tcPr>
          <w:p>
            <w:pPr>
              <w:pStyle w:val="TableContents"/>
              <w:spacing w:before="0" w:after="0"/>
              <w:ind w:left="225" w:right="0" w:hanging="225"/>
              <w:rPr/>
            </w:pPr>
            <w:r>
              <w:rPr/>
              <w:t>LPG Processing (MBbl/d)</w:t>
            </w:r>
          </w:p>
        </w:tc>
        <w:tc>
          <w:tcPr>
            <w:tcW w:w="26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jc w:val="right"/>
              <w:rPr/>
            </w:pPr>
            <w:r>
              <w:rPr/>
              <w:t>17.0</w:t>
            </w:r>
          </w:p>
        </w:tc>
        <w:tc>
          <w:tcPr>
            <w:tcW w:w="36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jc w:val="right"/>
              <w:rPr/>
            </w:pPr>
            <w:r>
              <w:rPr/>
              <w:t>17.0</w:t>
            </w:r>
          </w:p>
        </w:tc>
        <w:tc>
          <w:tcPr>
            <w:tcW w:w="239" w:type="dxa"/>
            <w:tcBorders/>
            <w:shd w:fill="CCEEFF" w:val="clear"/>
            <w:vAlign w:val="bottom"/>
          </w:tcPr>
          <w:p>
            <w:pPr>
              <w:pStyle w:val="TableContents"/>
              <w:spacing w:before="0" w:after="283"/>
              <w:rPr/>
            </w:pPr>
            <w:r>
              <w:rPr/>
              <w:t> </w:t>
            </w:r>
          </w:p>
        </w:tc>
      </w:tr>
      <w:tr>
        <w:trPr/>
        <w:tc>
          <w:tcPr>
            <w:tcW w:w="409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 </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Facilities Activities Total  Average Capacity (MMBbls/Month)</w:t>
            </w:r>
            <w:r>
              <w:rPr>
                <w:position w:val="8"/>
                <w:sz w:val="19"/>
              </w:rPr>
              <w:t>(1)</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36.4</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38.3</w:t>
            </w:r>
          </w:p>
        </w:tc>
        <w:tc>
          <w:tcPr>
            <w:tcW w:w="239" w:type="dxa"/>
            <w:tcBorders/>
            <w:shd w:fill="auto" w:val="clear"/>
            <w:vAlign w:val="bottom"/>
          </w:tcPr>
          <w:p>
            <w:pPr>
              <w:pStyle w:val="TableContents"/>
              <w:spacing w:before="0" w:after="283"/>
              <w:rPr/>
            </w:pPr>
            <w:r>
              <w:rPr/>
              <w:t> </w:t>
            </w:r>
          </w:p>
        </w:tc>
      </w:tr>
      <w:tr>
        <w:trPr/>
        <w:tc>
          <w:tcPr>
            <w:tcW w:w="409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 </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r>
      <w:tr>
        <w:trPr/>
        <w:tc>
          <w:tcPr>
            <w:tcW w:w="4094" w:type="dxa"/>
            <w:tcBorders/>
            <w:shd w:fill="CCEEFF" w:val="clear"/>
            <w:vAlign w:val="bottom"/>
          </w:tcPr>
          <w:p>
            <w:pPr>
              <w:pStyle w:val="TableContents"/>
              <w:spacing w:before="0" w:after="0"/>
              <w:ind w:left="225" w:right="0" w:hanging="225"/>
              <w:rPr/>
            </w:pPr>
            <w:r>
              <w:rPr/>
              <w:t>Average Segment Profit per Barrel ($/Bbl)</w:t>
            </w:r>
          </w:p>
        </w:tc>
        <w:tc>
          <w:tcPr>
            <w:tcW w:w="267"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482"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1579"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r>
      <w:tr>
        <w:trPr/>
        <w:tc>
          <w:tcPr>
            <w:tcW w:w="4094" w:type="dxa"/>
            <w:tcBorders/>
            <w:shd w:fill="auto" w:val="clear"/>
            <w:vAlign w:val="bottom"/>
          </w:tcPr>
          <w:p>
            <w:pPr>
              <w:pStyle w:val="TableContents"/>
              <w:spacing w:before="0" w:after="0"/>
              <w:ind w:left="225" w:right="0" w:hanging="225"/>
              <w:rPr/>
            </w:pPr>
            <w:r>
              <w:rPr/>
              <w:t>Excluding Selected Items Impacting Comparability</w:t>
            </w:r>
          </w:p>
        </w:tc>
        <w:tc>
          <w:tcPr>
            <w:tcW w:w="267"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482" w:type="dxa"/>
            <w:tcBorders/>
            <w:shd w:fill="auto" w:val="clear"/>
            <w:vAlign w:val="bottom"/>
          </w:tcPr>
          <w:p>
            <w:pPr>
              <w:pStyle w:val="TableContents"/>
              <w:spacing w:before="0" w:after="283"/>
              <w:jc w:val="right"/>
              <w:rPr/>
            </w:pPr>
            <w:r>
              <w:rPr/>
              <w:t>$0.22</w:t>
            </w:r>
          </w:p>
        </w:tc>
        <w:tc>
          <w:tcPr>
            <w:tcW w:w="364" w:type="dxa"/>
            <w:tcBorders/>
            <w:shd w:fill="auto" w:val="clear"/>
            <w:vAlign w:val="bottom"/>
          </w:tcPr>
          <w:p>
            <w:pPr>
              <w:pStyle w:val="TableContents"/>
              <w:spacing w:before="0" w:after="283"/>
              <w:rPr/>
            </w:pPr>
            <w:r>
              <w:rPr/>
              <w:t>(2) </w:t>
            </w:r>
          </w:p>
        </w:tc>
        <w:tc>
          <w:tcPr>
            <w:tcW w:w="303"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579" w:type="dxa"/>
            <w:tcBorders/>
            <w:shd w:fill="auto" w:val="clear"/>
            <w:vAlign w:val="bottom"/>
          </w:tcPr>
          <w:p>
            <w:pPr>
              <w:pStyle w:val="TableContents"/>
              <w:spacing w:before="0" w:after="283"/>
              <w:jc w:val="right"/>
              <w:rPr/>
            </w:pPr>
            <w:r>
              <w:rPr/>
              <w:t>$0.25</w:t>
            </w:r>
          </w:p>
        </w:tc>
        <w:tc>
          <w:tcPr>
            <w:tcW w:w="239" w:type="dxa"/>
            <w:tcBorders/>
            <w:shd w:fill="auto" w:val="clear"/>
            <w:vAlign w:val="bottom"/>
          </w:tcPr>
          <w:p>
            <w:pPr>
              <w:pStyle w:val="TableContents"/>
              <w:spacing w:before="0" w:after="283"/>
              <w:rPr/>
            </w:pPr>
            <w:r>
              <w:rPr/>
              <w:t>(2) </w:t>
            </w:r>
          </w:p>
        </w:tc>
      </w:tr>
      <w:tr>
        <w:trPr/>
        <w:tc>
          <w:tcPr>
            <w:tcW w:w="4094" w:type="dxa"/>
            <w:tcBorders/>
            <w:shd w:fill="auto" w:val="clear"/>
            <w:vAlign w:val="center"/>
          </w:tcPr>
          <w:p>
            <w:pPr>
              <w:pStyle w:val="TableContents"/>
              <w:spacing w:before="0" w:after="0"/>
              <w:ind w:left="225" w:right="0" w:hanging="225"/>
              <w:rPr/>
            </w:pPr>
            <w:r>
              <w:rPr/>
              <w:t> </w:t>
            </w:r>
          </w:p>
        </w:tc>
        <w:tc>
          <w:tcPr>
            <w:tcW w:w="267" w:type="dxa"/>
            <w:tcBorders/>
            <w:shd w:fill="auto" w:val="clear"/>
            <w:vAlign w:val="center"/>
          </w:tcPr>
          <w:p>
            <w:pPr>
              <w:pStyle w:val="TableContents"/>
              <w:spacing w:before="0" w:after="283"/>
              <w:rPr/>
            </w:pPr>
            <w:r>
              <w:rPr/>
              <w:t> </w:t>
            </w:r>
          </w:p>
        </w:tc>
        <w:tc>
          <w:tcPr>
            <w:tcW w:w="165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75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r>
    </w:tbl>
    <w:p>
      <w:pPr>
        <w:pStyle w:val="TextBody"/>
        <w:spacing w:before="320" w:after="283"/>
        <w:ind w:left="1700" w:right="0" w:hanging="0"/>
        <w:jc w:val="left"/>
        <w:rPr>
          <w:bdr w:val="single" w:sz="2" w:space="1" w:color="000000"/>
        </w:rPr>
      </w:pPr>
      <w:r>
        <w:rPr>
          <w:bdr w:val="single" w:sz="2" w:space="1" w:color="000000"/>
        </w:rPr>
        <w:t> </w:t>
      </w:r>
    </w:p>
    <w:tbl>
      <w:tblPr>
        <w:tblW w:w="4250" w:type="pct"/>
        <w:jc w:val="right"/>
        <w:tblInd w:w="0" w:type="dxa"/>
        <w:tblCellMar>
          <w:top w:w="0" w:type="dxa"/>
          <w:left w:w="0" w:type="dxa"/>
          <w:bottom w:w="0" w:type="dxa"/>
          <w:right w:w="0" w:type="dxa"/>
        </w:tblCellMar>
      </w:tblPr>
      <w:tblGrid>
        <w:gridCol w:w="5736"/>
        <w:gridCol w:w="1912"/>
        <w:gridCol w:w="1026"/>
      </w:tblGrid>
      <w:tr>
        <w:trPr/>
        <w:tc>
          <w:tcPr>
            <w:tcW w:w="5736"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r>
      <w:tr>
        <w:trPr/>
        <w:tc>
          <w:tcPr>
            <w:tcW w:w="5736" w:type="dxa"/>
            <w:tcBorders/>
            <w:shd w:fill="auto" w:val="clear"/>
          </w:tcPr>
          <w:p>
            <w:pPr>
              <w:pStyle w:val="TableContents"/>
              <w:spacing w:before="0" w:after="283"/>
              <w:jc w:val="left"/>
              <w:rPr/>
            </w:pPr>
            <w:r>
              <w:rPr/>
              <w:t>(1)</w:t>
            </w:r>
          </w:p>
        </w:tc>
        <w:tc>
          <w:tcPr>
            <w:tcW w:w="1912" w:type="dxa"/>
            <w:tcBorders/>
            <w:shd w:fill="auto" w:val="clear"/>
          </w:tcPr>
          <w:p>
            <w:pPr>
              <w:pStyle w:val="TableContents"/>
              <w:spacing w:before="0" w:after="283"/>
              <w:rPr/>
            </w:pPr>
            <w:r>
              <w:rPr/>
              <w:t> </w:t>
            </w:r>
          </w:p>
        </w:tc>
        <w:tc>
          <w:tcPr>
            <w:tcW w:w="1026" w:type="dxa"/>
            <w:tcBorders/>
            <w:shd w:fill="auto" w:val="clear"/>
          </w:tcPr>
          <w:p>
            <w:pPr>
              <w:pStyle w:val="TableContents"/>
              <w:spacing w:before="0" w:after="0"/>
              <w:jc w:val="both"/>
              <w:rPr/>
            </w:pPr>
            <w:r>
              <w:rPr/>
              <w:t>Calculated as the sum of: i) crude oil, refined products and LPG storage capacity; ii) natural gas storage capacity divided by 6 to account for the 6:1 gas to oil ratio; and iii) LPG processing volumes multiplied by the number of days in the month and divided by 1,000 to convert to monthly volumes in millions.</w:t>
            </w:r>
          </w:p>
        </w:tc>
      </w:tr>
      <w:tr>
        <w:trPr/>
        <w:tc>
          <w:tcPr>
            <w:tcW w:w="5736" w:type="dxa"/>
            <w:tcBorders/>
            <w:shd w:fill="auto" w:val="clear"/>
          </w:tcPr>
          <w:p>
            <w:pPr>
              <w:pStyle w:val="TableContents"/>
              <w:spacing w:before="0" w:after="283"/>
              <w:jc w:val="left"/>
              <w:rPr/>
            </w:pPr>
            <w:r>
              <w:rPr/>
              <w:t>(2)</w:t>
            </w:r>
          </w:p>
        </w:tc>
        <w:tc>
          <w:tcPr>
            <w:tcW w:w="1912" w:type="dxa"/>
            <w:tcBorders/>
            <w:shd w:fill="auto" w:val="clear"/>
          </w:tcPr>
          <w:p>
            <w:pPr>
              <w:pStyle w:val="TableContents"/>
              <w:spacing w:before="0" w:after="283"/>
              <w:rPr/>
            </w:pPr>
            <w:r>
              <w:rPr/>
              <w:t> </w:t>
            </w:r>
          </w:p>
        </w:tc>
        <w:tc>
          <w:tcPr>
            <w:tcW w:w="1026" w:type="dxa"/>
            <w:tcBorders/>
            <w:shd w:fill="auto" w:val="clear"/>
          </w:tcPr>
          <w:p>
            <w:pPr>
              <w:pStyle w:val="TableContents"/>
              <w:spacing w:before="0" w:after="0"/>
              <w:jc w:val="both"/>
              <w:rPr/>
            </w:pPr>
            <w:r>
              <w:rPr/>
              <w:t>Mid-point of guidance.</w:t>
            </w:r>
          </w:p>
        </w:tc>
      </w:tr>
    </w:tbl>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Segment profit is forecast using the volume assumptions in the table above, priced at forecasted rates, less estimated field operating costs and G&amp;A expenses. Field operating costs do not include depreciation.</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i/>
              </w:rPr>
              <w:t>Marketing</w:t>
            </w:r>
            <w:r>
              <w:rPr/>
              <w:t>. Our marketing segment operations generally consist of the following merchant activities:</w:t>
            </w:r>
          </w:p>
        </w:tc>
      </w:tr>
    </w:tbl>
    <w:tbl>
      <w:tblPr>
        <w:tblW w:w="5000" w:type="pct"/>
        <w:jc w:val="left"/>
        <w:tblInd w:w="0" w:type="dxa"/>
        <w:tblCellMar>
          <w:top w:w="0" w:type="dxa"/>
          <w:left w:w="0" w:type="dxa"/>
          <w:bottom w:w="0" w:type="dxa"/>
          <w:right w:w="0" w:type="dxa"/>
        </w:tblCellMar>
      </w:tblPr>
      <w:tblGrid>
        <w:gridCol w:w="583"/>
        <w:gridCol w:w="312"/>
        <w:gridCol w:w="266"/>
        <w:gridCol w:w="9044"/>
      </w:tblGrid>
      <w:tr>
        <w:trPr/>
        <w:tc>
          <w:tcPr>
            <w:tcW w:w="583" w:type="dxa"/>
            <w:tcBorders/>
            <w:shd w:fill="auto" w:val="clear"/>
            <w:vAlign w:val="center"/>
          </w:tcPr>
          <w:p>
            <w:pPr>
              <w:pStyle w:val="TableContents"/>
              <w:spacing w:before="0" w:after="283"/>
              <w:rPr/>
            </w:pPr>
            <w:r>
              <w:rPr/>
              <w:t> </w:t>
            </w:r>
          </w:p>
        </w:tc>
        <w:tc>
          <w:tcPr>
            <w:tcW w:w="312" w:type="dxa"/>
            <w:tcBorders/>
            <w:shd w:fill="auto" w:val="clear"/>
          </w:tcPr>
          <w:p>
            <w:pPr>
              <w:pStyle w:val="TableContents"/>
              <w:spacing w:before="0" w:after="283"/>
              <w:rPr>
                <w:sz w:val="4"/>
                <w:szCs w:val="4"/>
              </w:rPr>
            </w:pPr>
            <w:r>
              <w:rPr>
                <w:sz w:val="4"/>
                <w:szCs w:val="4"/>
              </w:rPr>
            </w:r>
          </w:p>
        </w:tc>
        <w:tc>
          <w:tcPr>
            <w:tcW w:w="266" w:type="dxa"/>
            <w:tcBorders/>
            <w:shd w:fill="auto" w:val="clear"/>
          </w:tcPr>
          <w:p>
            <w:pPr>
              <w:pStyle w:val="TableContents"/>
              <w:spacing w:before="0" w:after="283"/>
              <w:rPr>
                <w:sz w:val="4"/>
                <w:szCs w:val="4"/>
              </w:rPr>
            </w:pPr>
            <w:r>
              <w:rPr>
                <w:sz w:val="4"/>
                <w:szCs w:val="4"/>
              </w:rPr>
            </w:r>
          </w:p>
        </w:tc>
        <w:tc>
          <w:tcPr>
            <w:tcW w:w="9044" w:type="dxa"/>
            <w:tcBorders/>
            <w:shd w:fill="auto" w:val="clear"/>
          </w:tcPr>
          <w:p>
            <w:pPr>
              <w:pStyle w:val="TableContents"/>
              <w:spacing w:before="0" w:after="283"/>
              <w:rPr>
                <w:sz w:val="4"/>
                <w:szCs w:val="4"/>
              </w:rPr>
            </w:pPr>
            <w:r>
              <w:rPr>
                <w:sz w:val="4"/>
                <w:szCs w:val="4"/>
              </w:rPr>
            </w:r>
          </w:p>
        </w:tc>
      </w:tr>
      <w:tr>
        <w:trPr/>
        <w:tc>
          <w:tcPr>
            <w:tcW w:w="583" w:type="dxa"/>
            <w:tcBorders/>
            <w:shd w:fill="auto" w:val="clear"/>
          </w:tcPr>
          <w:p>
            <w:pPr>
              <w:pStyle w:val="TableContents"/>
              <w:spacing w:before="0" w:after="283"/>
              <w:rPr/>
            </w:pPr>
            <w:r>
              <w:rPr/>
              <w:t> </w:t>
            </w:r>
          </w:p>
        </w:tc>
        <w:tc>
          <w:tcPr>
            <w:tcW w:w="312" w:type="dxa"/>
            <w:tcBorders/>
            <w:shd w:fill="auto" w:val="clear"/>
          </w:tcPr>
          <w:p>
            <w:pPr>
              <w:pStyle w:val="TableContents"/>
              <w:spacing w:before="0" w:after="283"/>
              <w:rPr>
                <w:sz w:val="4"/>
                <w:szCs w:val="4"/>
              </w:rPr>
            </w:pPr>
            <w:r>
              <w:rPr>
                <w:sz w:val="4"/>
                <w:szCs w:val="4"/>
              </w:rPr>
            </w:r>
          </w:p>
        </w:tc>
        <w:tc>
          <w:tcPr>
            <w:tcW w:w="266" w:type="dxa"/>
            <w:tcBorders/>
            <w:shd w:fill="auto" w:val="clear"/>
          </w:tcPr>
          <w:p>
            <w:pPr>
              <w:pStyle w:val="TableContents"/>
              <w:spacing w:before="0" w:after="283"/>
              <w:rPr/>
            </w:pPr>
            <w:r>
              <w:rPr/>
              <w:t> </w:t>
            </w:r>
          </w:p>
        </w:tc>
        <w:tc>
          <w:tcPr>
            <w:tcW w:w="9044" w:type="dxa"/>
            <w:tcBorders/>
            <w:shd w:fill="auto" w:val="clear"/>
          </w:tcPr>
          <w:p>
            <w:pPr>
              <w:pStyle w:val="TableContents"/>
              <w:spacing w:before="0" w:after="0"/>
              <w:jc w:val="both"/>
              <w:rPr/>
            </w:pPr>
            <w:r>
              <w:rPr/>
              <w:t>the purchase of U.S. and Canadian crude oil at the wellhead and the bulk purchase of crude oil at pipeline and terminal facilities, as well as of foreign cargoes at their load port and various other locations in transit;</w:t>
            </w:r>
          </w:p>
        </w:tc>
      </w:tr>
      <w:tr>
        <w:trPr/>
        <w:tc>
          <w:tcPr>
            <w:tcW w:w="583" w:type="dxa"/>
            <w:tcBorders/>
            <w:shd w:fill="auto" w:val="clear"/>
            <w:vAlign w:val="center"/>
          </w:tcPr>
          <w:p>
            <w:pPr>
              <w:pStyle w:val="TableContents"/>
              <w:spacing w:before="0" w:after="283"/>
              <w:rPr/>
            </w:pPr>
            <w:r>
              <w:rPr/>
              <w:t> </w:t>
            </w:r>
          </w:p>
        </w:tc>
        <w:tc>
          <w:tcPr>
            <w:tcW w:w="9622" w:type="dxa"/>
            <w:gridSpan w:val="3"/>
            <w:tcBorders/>
            <w:shd w:fill="auto" w:val="clear"/>
          </w:tcPr>
          <w:p>
            <w:pPr>
              <w:pStyle w:val="TableContents"/>
              <w:spacing w:before="0" w:after="283"/>
              <w:rPr>
                <w:sz w:val="4"/>
                <w:szCs w:val="4"/>
              </w:rPr>
            </w:pPr>
            <w:r>
              <w:rPr>
                <w:sz w:val="4"/>
                <w:szCs w:val="4"/>
              </w:rPr>
            </w:r>
          </w:p>
        </w:tc>
      </w:tr>
      <w:tr>
        <w:trPr/>
        <w:tc>
          <w:tcPr>
            <w:tcW w:w="583" w:type="dxa"/>
            <w:tcBorders/>
            <w:shd w:fill="auto" w:val="clear"/>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266" w:type="dxa"/>
            <w:tcBorders/>
            <w:shd w:fill="auto" w:val="clear"/>
          </w:tcPr>
          <w:p>
            <w:pPr>
              <w:pStyle w:val="TableContents"/>
              <w:spacing w:before="0" w:after="283"/>
              <w:rPr/>
            </w:pPr>
            <w:r>
              <w:rPr/>
              <w:t> </w:t>
            </w:r>
          </w:p>
        </w:tc>
        <w:tc>
          <w:tcPr>
            <w:tcW w:w="9044" w:type="dxa"/>
            <w:tcBorders/>
            <w:shd w:fill="auto" w:val="clear"/>
          </w:tcPr>
          <w:p>
            <w:pPr>
              <w:pStyle w:val="TableContents"/>
              <w:spacing w:before="0" w:after="0"/>
              <w:jc w:val="both"/>
              <w:rPr/>
            </w:pPr>
            <w:r>
              <w:rPr/>
              <w:t>storage of inventory during contango market conditions;</w:t>
            </w:r>
          </w:p>
        </w:tc>
      </w:tr>
      <w:tr>
        <w:trPr/>
        <w:tc>
          <w:tcPr>
            <w:tcW w:w="583" w:type="dxa"/>
            <w:tcBorders/>
            <w:shd w:fill="auto" w:val="clear"/>
            <w:vAlign w:val="center"/>
          </w:tcPr>
          <w:p>
            <w:pPr>
              <w:pStyle w:val="TableContents"/>
              <w:spacing w:before="0" w:after="283"/>
              <w:rPr/>
            </w:pPr>
            <w:r>
              <w:rPr/>
              <w:t> </w:t>
            </w:r>
          </w:p>
        </w:tc>
        <w:tc>
          <w:tcPr>
            <w:tcW w:w="9622" w:type="dxa"/>
            <w:gridSpan w:val="3"/>
            <w:tcBorders/>
            <w:shd w:fill="auto" w:val="clear"/>
          </w:tcPr>
          <w:p>
            <w:pPr>
              <w:pStyle w:val="TableContents"/>
              <w:spacing w:before="0" w:after="283"/>
              <w:rPr>
                <w:sz w:val="4"/>
                <w:szCs w:val="4"/>
              </w:rPr>
            </w:pPr>
            <w:r>
              <w:rPr>
                <w:sz w:val="4"/>
                <w:szCs w:val="4"/>
              </w:rPr>
            </w:r>
          </w:p>
        </w:tc>
      </w:tr>
      <w:tr>
        <w:trPr/>
        <w:tc>
          <w:tcPr>
            <w:tcW w:w="583" w:type="dxa"/>
            <w:tcBorders/>
            <w:shd w:fill="auto" w:val="clear"/>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266" w:type="dxa"/>
            <w:tcBorders/>
            <w:shd w:fill="auto" w:val="clear"/>
          </w:tcPr>
          <w:p>
            <w:pPr>
              <w:pStyle w:val="TableContents"/>
              <w:spacing w:before="0" w:after="283"/>
              <w:rPr/>
            </w:pPr>
            <w:r>
              <w:rPr/>
              <w:t> </w:t>
            </w:r>
          </w:p>
        </w:tc>
        <w:tc>
          <w:tcPr>
            <w:tcW w:w="9044" w:type="dxa"/>
            <w:tcBorders/>
            <w:shd w:fill="auto" w:val="clear"/>
          </w:tcPr>
          <w:p>
            <w:pPr>
              <w:pStyle w:val="TableContents"/>
              <w:spacing w:before="0" w:after="0"/>
              <w:jc w:val="both"/>
              <w:rPr/>
            </w:pPr>
            <w:r>
              <w:rPr/>
              <w:t>the purchase of refined products and LPG from producers, refiners and other marketers;</w:t>
            </w:r>
          </w:p>
        </w:tc>
      </w:tr>
      <w:tr>
        <w:trPr/>
        <w:tc>
          <w:tcPr>
            <w:tcW w:w="583" w:type="dxa"/>
            <w:tcBorders/>
            <w:shd w:fill="auto" w:val="clear"/>
            <w:vAlign w:val="center"/>
          </w:tcPr>
          <w:p>
            <w:pPr>
              <w:pStyle w:val="TableContents"/>
              <w:spacing w:before="0" w:after="283"/>
              <w:rPr/>
            </w:pPr>
            <w:r>
              <w:rPr/>
              <w:t> </w:t>
            </w:r>
          </w:p>
        </w:tc>
        <w:tc>
          <w:tcPr>
            <w:tcW w:w="9622" w:type="dxa"/>
            <w:gridSpan w:val="3"/>
            <w:tcBorders/>
            <w:shd w:fill="auto" w:val="clear"/>
          </w:tcPr>
          <w:p>
            <w:pPr>
              <w:pStyle w:val="TableContents"/>
              <w:spacing w:before="0" w:after="283"/>
              <w:rPr>
                <w:sz w:val="4"/>
                <w:szCs w:val="4"/>
              </w:rPr>
            </w:pPr>
            <w:r>
              <w:rPr>
                <w:sz w:val="4"/>
                <w:szCs w:val="4"/>
              </w:rPr>
            </w:r>
          </w:p>
        </w:tc>
      </w:tr>
      <w:tr>
        <w:trPr/>
        <w:tc>
          <w:tcPr>
            <w:tcW w:w="583" w:type="dxa"/>
            <w:tcBorders/>
            <w:shd w:fill="auto" w:val="clear"/>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266" w:type="dxa"/>
            <w:tcBorders/>
            <w:shd w:fill="auto" w:val="clear"/>
          </w:tcPr>
          <w:p>
            <w:pPr>
              <w:pStyle w:val="TableContents"/>
              <w:spacing w:before="0" w:after="283"/>
              <w:rPr/>
            </w:pPr>
            <w:r>
              <w:rPr/>
              <w:t> </w:t>
            </w:r>
          </w:p>
        </w:tc>
        <w:tc>
          <w:tcPr>
            <w:tcW w:w="9044" w:type="dxa"/>
            <w:tcBorders/>
            <w:shd w:fill="auto" w:val="clear"/>
          </w:tcPr>
          <w:p>
            <w:pPr>
              <w:pStyle w:val="TableContents"/>
              <w:spacing w:before="0" w:after="0"/>
              <w:jc w:val="both"/>
              <w:rPr/>
            </w:pPr>
            <w:r>
              <w:rPr/>
              <w:t>the resale or exchange of crude oil, refined products and LPG at various points along the distribution chain to refiners or other resellers to maximize profits; and</w:t>
            </w:r>
          </w:p>
        </w:tc>
      </w:tr>
      <w:tr>
        <w:trPr/>
        <w:tc>
          <w:tcPr>
            <w:tcW w:w="583" w:type="dxa"/>
            <w:tcBorders/>
            <w:shd w:fill="auto" w:val="clear"/>
            <w:vAlign w:val="center"/>
          </w:tcPr>
          <w:p>
            <w:pPr>
              <w:pStyle w:val="TableContents"/>
              <w:spacing w:before="0" w:after="283"/>
              <w:rPr/>
            </w:pPr>
            <w:r>
              <w:rPr/>
              <w:t> </w:t>
            </w:r>
          </w:p>
        </w:tc>
        <w:tc>
          <w:tcPr>
            <w:tcW w:w="9622" w:type="dxa"/>
            <w:gridSpan w:val="3"/>
            <w:tcBorders/>
            <w:shd w:fill="auto" w:val="clear"/>
          </w:tcPr>
          <w:p>
            <w:pPr>
              <w:pStyle w:val="TableContents"/>
              <w:spacing w:before="0" w:after="283"/>
              <w:rPr>
                <w:sz w:val="4"/>
                <w:szCs w:val="4"/>
              </w:rPr>
            </w:pPr>
            <w:r>
              <w:rPr>
                <w:sz w:val="4"/>
                <w:szCs w:val="4"/>
              </w:rPr>
            </w:r>
          </w:p>
        </w:tc>
      </w:tr>
      <w:tr>
        <w:trPr/>
        <w:tc>
          <w:tcPr>
            <w:tcW w:w="583" w:type="dxa"/>
            <w:tcBorders/>
            <w:shd w:fill="auto" w:val="clear"/>
          </w:tcPr>
          <w:p>
            <w:pPr>
              <w:pStyle w:val="TableContents"/>
              <w:spacing w:before="0" w:after="283"/>
              <w:rPr/>
            </w:pPr>
            <w:r>
              <w:rPr/>
              <w:t> </w:t>
            </w:r>
          </w:p>
        </w:tc>
        <w:tc>
          <w:tcPr>
            <w:tcW w:w="312" w:type="dxa"/>
            <w:tcBorders/>
            <w:shd w:fill="auto" w:val="clear"/>
          </w:tcPr>
          <w:p>
            <w:pPr>
              <w:pStyle w:val="TableContents"/>
              <w:spacing w:before="0" w:after="283"/>
              <w:jc w:val="left"/>
              <w:rPr/>
            </w:pPr>
            <w:r>
              <w:rPr/>
              <w:t> </w:t>
            </w:r>
          </w:p>
        </w:tc>
        <w:tc>
          <w:tcPr>
            <w:tcW w:w="266" w:type="dxa"/>
            <w:tcBorders/>
            <w:shd w:fill="auto" w:val="clear"/>
          </w:tcPr>
          <w:p>
            <w:pPr>
              <w:pStyle w:val="TableContents"/>
              <w:spacing w:before="0" w:after="283"/>
              <w:rPr/>
            </w:pPr>
            <w:r>
              <w:rPr/>
              <w:t> </w:t>
            </w:r>
          </w:p>
        </w:tc>
        <w:tc>
          <w:tcPr>
            <w:tcW w:w="9044" w:type="dxa"/>
            <w:tcBorders/>
            <w:shd w:fill="auto" w:val="clear"/>
          </w:tcPr>
          <w:p>
            <w:pPr>
              <w:pStyle w:val="TableContents"/>
              <w:spacing w:before="0" w:after="0"/>
              <w:jc w:val="both"/>
              <w:rPr/>
            </w:pPr>
            <w:r>
              <w:rPr/>
              <w:t>arranging for the transportation of crude oil, refined products and LPG on trucks, barges, railcars, pipelines and ocean-going vessels to our terminals and third party terminals.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- 5 -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4"/>
        <w:gridCol w:w="102"/>
        <w:gridCol w:w="9391"/>
      </w:tblGrid>
      <w:tr>
        <w:trPr/>
        <w:tc>
          <w:tcPr>
            <w:tcW w:w="408"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pPr>
            <w:r>
              <w:rPr/>
              <w:t>The level of profit in the marketing segment is influenced by overall market structure and the degree of volatility in the crude oil market as well as variable operating expenses. Forecasted operating results for the three-month period ending March 31, 2007 reflect an expected continuation of the current contango market and favorable market conditions (relative to our asset base and business model) generally consistent with the conditions experienced in the fourth quarter of 2006, and a moderately strong market structure for the remaining three quarters of 2007. Unexpected changes in market structure or volatility (or lack thereof) could cause actual results to differ materially from forecasted results.</w:t>
            </w:r>
          </w:p>
        </w:tc>
      </w:tr>
    </w:tbl>
    <w:tbl>
      <w:tblPr>
        <w:tblW w:w="4250" w:type="pct"/>
        <w:jc w:val="right"/>
        <w:tblInd w:w="0" w:type="dxa"/>
        <w:tblCellMar>
          <w:top w:w="0" w:type="dxa"/>
          <w:left w:w="0" w:type="dxa"/>
          <w:bottom w:w="0" w:type="dxa"/>
          <w:right w:w="0" w:type="dxa"/>
        </w:tblCellMar>
      </w:tblPr>
      <w:tblGrid>
        <w:gridCol w:w="3871"/>
        <w:gridCol w:w="250"/>
        <w:gridCol w:w="367"/>
        <w:gridCol w:w="1308"/>
        <w:gridCol w:w="491"/>
        <w:gridCol w:w="288"/>
        <w:gridCol w:w="392"/>
        <w:gridCol w:w="1394"/>
        <w:gridCol w:w="313"/>
      </w:tblGrid>
      <w:tr>
        <w:trPr/>
        <w:tc>
          <w:tcPr>
            <w:tcW w:w="38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394"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424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Calendar 2007 Guidance</w:t>
            </w:r>
          </w:p>
        </w:tc>
        <w:tc>
          <w:tcPr>
            <w:tcW w:w="313" w:type="dxa"/>
            <w:tcBorders/>
            <w:shd w:fill="auto"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75" w:type="dxa"/>
            <w:gridSpan w:val="2"/>
            <w:tcBorders/>
            <w:shd w:fill="auto" w:val="clear"/>
            <w:vAlign w:val="bottom"/>
          </w:tcPr>
          <w:p>
            <w:pPr>
              <w:pStyle w:val="TableContents"/>
              <w:spacing w:before="0" w:after="283"/>
              <w:jc w:val="center"/>
              <w:rPr>
                <w:b/>
              </w:rPr>
            </w:pPr>
            <w:r>
              <w:rPr>
                <w:b/>
              </w:rPr>
              <w:t>Three Months</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6" w:type="dxa"/>
            <w:gridSpan w:val="2"/>
            <w:tcBorders/>
            <w:shd w:fill="auto" w:val="clear"/>
            <w:vAlign w:val="bottom"/>
          </w:tcPr>
          <w:p>
            <w:pPr>
              <w:pStyle w:val="TableContents"/>
              <w:spacing w:before="0" w:after="283"/>
              <w:jc w:val="center"/>
              <w:rPr>
                <w:b/>
              </w:rPr>
            </w:pPr>
            <w:r>
              <w:rPr>
                <w:b/>
              </w:rPr>
              <w:t>Twelve Months</w:t>
            </w:r>
          </w:p>
        </w:tc>
        <w:tc>
          <w:tcPr>
            <w:tcW w:w="313" w:type="dxa"/>
            <w:tcBorders/>
            <w:shd w:fill="auto"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75" w:type="dxa"/>
            <w:gridSpan w:val="2"/>
            <w:tcBorders/>
            <w:shd w:fill="auto" w:val="clear"/>
            <w:vAlign w:val="bottom"/>
          </w:tcPr>
          <w:p>
            <w:pPr>
              <w:pStyle w:val="TableContents"/>
              <w:spacing w:before="0" w:after="283"/>
              <w:jc w:val="center"/>
              <w:rPr>
                <w:b/>
              </w:rPr>
            </w:pPr>
            <w:r>
              <w:rPr>
                <w:b/>
              </w:rPr>
              <w:t>Ending</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6" w:type="dxa"/>
            <w:gridSpan w:val="2"/>
            <w:tcBorders/>
            <w:shd w:fill="auto" w:val="clear"/>
            <w:vAlign w:val="bottom"/>
          </w:tcPr>
          <w:p>
            <w:pPr>
              <w:pStyle w:val="TableContents"/>
              <w:spacing w:before="0" w:after="283"/>
              <w:jc w:val="center"/>
              <w:rPr>
                <w:b/>
              </w:rPr>
            </w:pPr>
            <w:r>
              <w:rPr>
                <w:b/>
              </w:rPr>
              <w:t>Ending</w:t>
            </w:r>
          </w:p>
        </w:tc>
        <w:tc>
          <w:tcPr>
            <w:tcW w:w="313" w:type="dxa"/>
            <w:tcBorders/>
            <w:shd w:fill="auto"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c>
          <w:tcPr>
            <w:tcW w:w="167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March 31</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78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December 31</w:t>
            </w:r>
          </w:p>
        </w:tc>
        <w:tc>
          <w:tcPr>
            <w:tcW w:w="313" w:type="dxa"/>
            <w:tcBorders/>
            <w:shd w:fill="auto" w:val="clear"/>
            <w:vAlign w:val="bottom"/>
          </w:tcPr>
          <w:p>
            <w:pPr>
              <w:pStyle w:val="TableContents"/>
              <w:spacing w:before="0" w:after="283"/>
              <w:rPr/>
            </w:pPr>
            <w:r>
              <w:rPr/>
              <w:t> </w:t>
            </w:r>
          </w:p>
        </w:tc>
      </w:tr>
      <w:tr>
        <w:trPr/>
        <w:tc>
          <w:tcPr>
            <w:tcW w:w="3871" w:type="dxa"/>
            <w:tcBorders/>
            <w:shd w:fill="CCEEFF" w:val="clear"/>
            <w:vAlign w:val="bottom"/>
          </w:tcPr>
          <w:p>
            <w:pPr>
              <w:pStyle w:val="TableContents"/>
              <w:spacing w:before="0" w:after="0"/>
              <w:ind w:left="225" w:right="0" w:hanging="225"/>
              <w:rPr/>
            </w:pPr>
            <w:r>
              <w:rPr/>
              <w:t>Average Daily Volumes (MBbls/d)</w:t>
            </w:r>
          </w:p>
        </w:tc>
        <w:tc>
          <w:tcPr>
            <w:tcW w:w="25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rPr/>
            </w:pPr>
            <w:r>
              <w:rPr/>
              <w:t> </w:t>
            </w:r>
          </w:p>
        </w:tc>
        <w:tc>
          <w:tcPr>
            <w:tcW w:w="313" w:type="dxa"/>
            <w:tcBorders/>
            <w:shd w:fill="CCEEFF"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0"/>
              <w:ind w:left="225" w:right="0" w:hanging="225"/>
              <w:rPr/>
            </w:pPr>
            <w:r>
              <w:rPr/>
              <w:t>Crude Oil Lease Gathering</w:t>
            </w:r>
          </w:p>
        </w:tc>
        <w:tc>
          <w:tcPr>
            <w:tcW w:w="25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pPr>
            <w:r>
              <w:rPr/>
              <w:t>670</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394" w:type="dxa"/>
            <w:tcBorders/>
            <w:shd w:fill="auto" w:val="clear"/>
            <w:vAlign w:val="bottom"/>
          </w:tcPr>
          <w:p>
            <w:pPr>
              <w:pStyle w:val="TableContents"/>
              <w:spacing w:before="0" w:after="283"/>
              <w:jc w:val="right"/>
              <w:rPr/>
            </w:pPr>
            <w:r>
              <w:rPr/>
              <w:t>670</w:t>
            </w:r>
          </w:p>
        </w:tc>
        <w:tc>
          <w:tcPr>
            <w:tcW w:w="313" w:type="dxa"/>
            <w:tcBorders/>
            <w:shd w:fill="auto" w:val="clear"/>
            <w:vAlign w:val="bottom"/>
          </w:tcPr>
          <w:p>
            <w:pPr>
              <w:pStyle w:val="TableContents"/>
              <w:spacing w:before="0" w:after="283"/>
              <w:rPr/>
            </w:pPr>
            <w:r>
              <w:rPr/>
              <w:t> </w:t>
            </w:r>
          </w:p>
        </w:tc>
      </w:tr>
      <w:tr>
        <w:trPr/>
        <w:tc>
          <w:tcPr>
            <w:tcW w:w="3871" w:type="dxa"/>
            <w:tcBorders/>
            <w:shd w:fill="CCEEFF" w:val="clear"/>
            <w:vAlign w:val="bottom"/>
          </w:tcPr>
          <w:p>
            <w:pPr>
              <w:pStyle w:val="TableContents"/>
              <w:spacing w:before="0" w:after="0"/>
              <w:ind w:left="225" w:right="0" w:hanging="225"/>
              <w:rPr/>
            </w:pPr>
            <w:r>
              <w:rPr/>
              <w:t>LPG Sales</w:t>
            </w:r>
          </w:p>
        </w:tc>
        <w:tc>
          <w:tcPr>
            <w:tcW w:w="25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pPr>
            <w:r>
              <w:rPr/>
              <w:t>125</w:t>
            </w:r>
          </w:p>
        </w:tc>
        <w:tc>
          <w:tcPr>
            <w:tcW w:w="49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pPr>
            <w:r>
              <w:rPr/>
              <w:t>110</w:t>
            </w:r>
          </w:p>
        </w:tc>
        <w:tc>
          <w:tcPr>
            <w:tcW w:w="313" w:type="dxa"/>
            <w:tcBorders/>
            <w:shd w:fill="CCEEFF" w:val="clear"/>
            <w:vAlign w:val="bottom"/>
          </w:tcPr>
          <w:p>
            <w:pPr>
              <w:pStyle w:val="TableContents"/>
              <w:spacing w:before="0" w:after="283"/>
              <w:rPr/>
            </w:pPr>
            <w:r>
              <w:rPr/>
              <w:t> </w:t>
            </w:r>
          </w:p>
        </w:tc>
      </w:tr>
      <w:tr>
        <w:trPr/>
        <w:tc>
          <w:tcPr>
            <w:tcW w:w="3871" w:type="dxa"/>
            <w:tcBorders/>
            <w:shd w:fill="auto" w:val="clear"/>
            <w:vAlign w:val="bottom"/>
          </w:tcPr>
          <w:p>
            <w:pPr>
              <w:pStyle w:val="TableContents"/>
              <w:spacing w:before="0" w:after="0"/>
              <w:ind w:left="225" w:right="0" w:hanging="225"/>
              <w:rPr/>
            </w:pPr>
            <w:r>
              <w:rPr/>
              <w:t>Waterborne foreign crude imported</w:t>
            </w:r>
          </w:p>
        </w:tc>
        <w:tc>
          <w:tcPr>
            <w:tcW w:w="25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jc w:val="right"/>
              <w:rPr/>
            </w:pPr>
            <w:r>
              <w:rPr/>
              <w:t>70</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394" w:type="dxa"/>
            <w:tcBorders/>
            <w:shd w:fill="auto" w:val="clear"/>
            <w:vAlign w:val="bottom"/>
          </w:tcPr>
          <w:p>
            <w:pPr>
              <w:pStyle w:val="TableContents"/>
              <w:spacing w:before="0" w:after="283"/>
              <w:jc w:val="right"/>
              <w:rPr/>
            </w:pPr>
            <w:r>
              <w:rPr/>
              <w:t>90</w:t>
            </w:r>
          </w:p>
        </w:tc>
        <w:tc>
          <w:tcPr>
            <w:tcW w:w="313" w:type="dxa"/>
            <w:tcBorders/>
            <w:shd w:fill="auto" w:val="clear"/>
            <w:vAlign w:val="bottom"/>
          </w:tcPr>
          <w:p>
            <w:pPr>
              <w:pStyle w:val="TableContents"/>
              <w:spacing w:before="0" w:after="283"/>
              <w:rPr/>
            </w:pPr>
            <w:r>
              <w:rPr/>
              <w:t> </w:t>
            </w:r>
          </w:p>
        </w:tc>
      </w:tr>
      <w:tr>
        <w:trPr/>
        <w:tc>
          <w:tcPr>
            <w:tcW w:w="3871"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6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9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78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3" w:type="dxa"/>
            <w:tcBorders/>
            <w:shd w:fill="auto" w:val="clear"/>
            <w:vAlign w:val="center"/>
          </w:tcPr>
          <w:p>
            <w:pPr>
              <w:pStyle w:val="TableContents"/>
              <w:spacing w:before="0" w:after="283"/>
              <w:rPr/>
            </w:pPr>
            <w:r>
              <w:rPr/>
              <w:t> </w:t>
            </w:r>
          </w:p>
        </w:tc>
      </w:tr>
      <w:tr>
        <w:trPr/>
        <w:tc>
          <w:tcPr>
            <w:tcW w:w="3871" w:type="dxa"/>
            <w:tcBorders/>
            <w:shd w:fill="CCEEFF" w:val="clear"/>
            <w:vAlign w:val="bottom"/>
          </w:tcPr>
          <w:p>
            <w:pPr>
              <w:pStyle w:val="TableContents"/>
              <w:spacing w:before="0" w:after="0"/>
              <w:ind w:left="225" w:right="0" w:hanging="225"/>
              <w:rPr/>
            </w:pPr>
            <w:r>
              <w:rPr/>
              <w:t> </w:t>
            </w:r>
          </w:p>
        </w:tc>
        <w:tc>
          <w:tcPr>
            <w:tcW w:w="25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308" w:type="dxa"/>
            <w:tcBorders/>
            <w:shd w:fill="CCEEFF" w:val="clear"/>
            <w:vAlign w:val="bottom"/>
          </w:tcPr>
          <w:p>
            <w:pPr>
              <w:pStyle w:val="TableContents"/>
              <w:spacing w:before="0" w:after="283"/>
              <w:jc w:val="right"/>
              <w:rPr/>
            </w:pPr>
            <w:r>
              <w:rPr/>
              <w:t>865</w:t>
            </w:r>
          </w:p>
        </w:tc>
        <w:tc>
          <w:tcPr>
            <w:tcW w:w="491"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394" w:type="dxa"/>
            <w:tcBorders/>
            <w:shd w:fill="CCEEFF" w:val="clear"/>
            <w:vAlign w:val="bottom"/>
          </w:tcPr>
          <w:p>
            <w:pPr>
              <w:pStyle w:val="TableContents"/>
              <w:spacing w:before="0" w:after="283"/>
              <w:jc w:val="right"/>
              <w:rPr/>
            </w:pPr>
            <w:r>
              <w:rPr/>
              <w:t>870</w:t>
            </w:r>
          </w:p>
        </w:tc>
        <w:tc>
          <w:tcPr>
            <w:tcW w:w="313" w:type="dxa"/>
            <w:tcBorders/>
            <w:shd w:fill="CCEEFF" w:val="clear"/>
            <w:vAlign w:val="bottom"/>
          </w:tcPr>
          <w:p>
            <w:pPr>
              <w:pStyle w:val="TableContents"/>
              <w:spacing w:before="0" w:after="283"/>
              <w:rPr/>
            </w:pPr>
            <w:r>
              <w:rPr/>
              <w:t> </w:t>
            </w:r>
          </w:p>
        </w:tc>
      </w:tr>
      <w:tr>
        <w:trPr/>
        <w:tc>
          <w:tcPr>
            <w:tcW w:w="3871"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6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49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7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3" w:type="dxa"/>
            <w:tcBorders/>
            <w:shd w:fill="auto" w:val="clear"/>
            <w:vAlign w:val="center"/>
          </w:tcPr>
          <w:p>
            <w:pPr>
              <w:pStyle w:val="TableContents"/>
              <w:spacing w:before="0" w:after="283"/>
              <w:rPr/>
            </w:pPr>
            <w:r>
              <w:rPr/>
              <w:t> </w:t>
            </w:r>
          </w:p>
        </w:tc>
      </w:tr>
      <w:tr>
        <w:trPr/>
        <w:tc>
          <w:tcPr>
            <w:tcW w:w="3871" w:type="dxa"/>
            <w:tcBorders/>
            <w:shd w:fill="auto" w:val="clear"/>
            <w:vAlign w:val="bottom"/>
          </w:tcPr>
          <w:p>
            <w:pPr>
              <w:pStyle w:val="TableContents"/>
              <w:spacing w:before="0" w:after="0"/>
              <w:ind w:left="225" w:right="0" w:hanging="225"/>
              <w:rPr/>
            </w:pPr>
            <w:r>
              <w:rPr/>
              <w:t>Average Segment Profit per Barrel ($/Bbl)</w:t>
            </w:r>
          </w:p>
        </w:tc>
        <w:tc>
          <w:tcPr>
            <w:tcW w:w="25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308"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394"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r>
      <w:tr>
        <w:trPr/>
        <w:tc>
          <w:tcPr>
            <w:tcW w:w="3871" w:type="dxa"/>
            <w:tcBorders/>
            <w:shd w:fill="CCEEFF" w:val="clear"/>
            <w:vAlign w:val="bottom"/>
          </w:tcPr>
          <w:p>
            <w:pPr>
              <w:pStyle w:val="TableContents"/>
              <w:spacing w:before="0" w:after="0"/>
              <w:ind w:left="225" w:right="0" w:hanging="225"/>
              <w:rPr/>
            </w:pPr>
            <w:r>
              <w:rPr/>
              <w:t>Excluding Selected Items Impacting Comparability</w:t>
            </w:r>
          </w:p>
        </w:tc>
        <w:tc>
          <w:tcPr>
            <w:tcW w:w="25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jc w:val="left"/>
              <w:rPr/>
            </w:pPr>
            <w:r>
              <w:rPr/>
              <w:t>$</w:t>
            </w:r>
          </w:p>
        </w:tc>
        <w:tc>
          <w:tcPr>
            <w:tcW w:w="1308" w:type="dxa"/>
            <w:tcBorders/>
            <w:shd w:fill="CCEEFF" w:val="clear"/>
            <w:vAlign w:val="bottom"/>
          </w:tcPr>
          <w:p>
            <w:pPr>
              <w:pStyle w:val="TableContents"/>
              <w:spacing w:before="0" w:after="283"/>
              <w:jc w:val="right"/>
              <w:rPr/>
            </w:pPr>
            <w:r>
              <w:rPr/>
              <w:t xml:space="preserve">1.00 </w:t>
            </w:r>
          </w:p>
        </w:tc>
        <w:tc>
          <w:tcPr>
            <w:tcW w:w="491" w:type="dxa"/>
            <w:tcBorders/>
            <w:shd w:fill="CCEEFF" w:val="clear"/>
            <w:vAlign w:val="bottom"/>
          </w:tcPr>
          <w:p>
            <w:pPr>
              <w:pStyle w:val="TableContents"/>
              <w:spacing w:before="0" w:after="283"/>
              <w:rPr/>
            </w:pPr>
            <w:r>
              <w:rPr/>
              <w:t>(1)</w:t>
            </w:r>
          </w:p>
        </w:tc>
        <w:tc>
          <w:tcPr>
            <w:tcW w:w="288"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jc w:val="left"/>
              <w:rPr/>
            </w:pPr>
            <w:r>
              <w:rPr/>
              <w:t>$</w:t>
            </w:r>
          </w:p>
        </w:tc>
        <w:tc>
          <w:tcPr>
            <w:tcW w:w="1394" w:type="dxa"/>
            <w:tcBorders/>
            <w:shd w:fill="CCEEFF" w:val="clear"/>
            <w:vAlign w:val="bottom"/>
          </w:tcPr>
          <w:p>
            <w:pPr>
              <w:pStyle w:val="TableContents"/>
              <w:spacing w:before="0" w:after="283"/>
              <w:jc w:val="right"/>
              <w:rPr/>
            </w:pPr>
            <w:r>
              <w:rPr/>
              <w:t xml:space="preserve">0.75 </w:t>
            </w:r>
          </w:p>
        </w:tc>
        <w:tc>
          <w:tcPr>
            <w:tcW w:w="313" w:type="dxa"/>
            <w:tcBorders/>
            <w:shd w:fill="CCEEFF" w:val="clear"/>
            <w:vAlign w:val="bottom"/>
          </w:tcPr>
          <w:p>
            <w:pPr>
              <w:pStyle w:val="TableContents"/>
              <w:spacing w:before="0" w:after="283"/>
              <w:rPr/>
            </w:pPr>
            <w:r>
              <w:rPr/>
              <w:t>(1)</w:t>
            </w:r>
          </w:p>
        </w:tc>
      </w:tr>
      <w:tr>
        <w:trPr/>
        <w:tc>
          <w:tcPr>
            <w:tcW w:w="3871" w:type="dxa"/>
            <w:tcBorders/>
            <w:shd w:fill="auto" w:val="clear"/>
            <w:vAlign w:val="center"/>
          </w:tcPr>
          <w:p>
            <w:pPr>
              <w:pStyle w:val="TableContents"/>
              <w:spacing w:before="0" w:after="0"/>
              <w:ind w:left="225" w:right="0" w:hanging="225"/>
              <w:rPr/>
            </w:pPr>
            <w:r>
              <w:rPr/>
              <w:t> </w:t>
            </w:r>
          </w:p>
        </w:tc>
        <w:tc>
          <w:tcPr>
            <w:tcW w:w="250" w:type="dxa"/>
            <w:tcBorders/>
            <w:shd w:fill="auto" w:val="clear"/>
            <w:vAlign w:val="center"/>
          </w:tcPr>
          <w:p>
            <w:pPr>
              <w:pStyle w:val="TableContents"/>
              <w:spacing w:before="0" w:after="283"/>
              <w:rPr/>
            </w:pPr>
            <w:r>
              <w:rPr/>
              <w:t> </w:t>
            </w:r>
          </w:p>
        </w:tc>
        <w:tc>
          <w:tcPr>
            <w:tcW w:w="16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491" w:type="dxa"/>
            <w:tcBorders/>
            <w:shd w:fill="auto" w:val="clear"/>
            <w:vAlign w:val="center"/>
          </w:tcPr>
          <w:p>
            <w:pPr>
              <w:pStyle w:val="TableContents"/>
              <w:spacing w:before="0" w:after="283"/>
              <w:rPr/>
            </w:pPr>
            <w:r>
              <w:rPr/>
              <w:t> </w:t>
            </w:r>
          </w:p>
        </w:tc>
        <w:tc>
          <w:tcPr>
            <w:tcW w:w="288" w:type="dxa"/>
            <w:tcBorders/>
            <w:shd w:fill="auto" w:val="clear"/>
            <w:vAlign w:val="center"/>
          </w:tcPr>
          <w:p>
            <w:pPr>
              <w:pStyle w:val="TableContents"/>
              <w:spacing w:before="0" w:after="283"/>
              <w:rPr/>
            </w:pPr>
            <w:r>
              <w:rPr/>
              <w:t> </w:t>
            </w:r>
          </w:p>
        </w:tc>
        <w:tc>
          <w:tcPr>
            <w:tcW w:w="178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3" w:type="dxa"/>
            <w:tcBorders/>
            <w:shd w:fill="auto" w:val="clear"/>
            <w:vAlign w:val="center"/>
          </w:tcPr>
          <w:p>
            <w:pPr>
              <w:pStyle w:val="TableContents"/>
              <w:spacing w:before="0" w:after="283"/>
              <w:rPr/>
            </w:pPr>
            <w:r>
              <w:rPr/>
              <w:t> </w:t>
            </w:r>
          </w:p>
        </w:tc>
      </w:tr>
    </w:tbl>
    <w:p>
      <w:pPr>
        <w:pStyle w:val="TextBody"/>
        <w:spacing w:before="320" w:after="283"/>
        <w:ind w:left="1700" w:right="0" w:hanging="0"/>
        <w:jc w:val="left"/>
        <w:rPr>
          <w:bdr w:val="single" w:sz="2" w:space="1" w:color="000000"/>
        </w:rPr>
      </w:pPr>
      <w:r>
        <w:rPr>
          <w:bdr w:val="single" w:sz="2" w:space="1" w:color="000000"/>
        </w:rPr>
        <w:t> </w:t>
      </w:r>
    </w:p>
    <w:tbl>
      <w:tblPr>
        <w:tblW w:w="4250" w:type="pct"/>
        <w:jc w:val="right"/>
        <w:tblInd w:w="0" w:type="dxa"/>
        <w:tblCellMar>
          <w:top w:w="0" w:type="dxa"/>
          <w:left w:w="0" w:type="dxa"/>
          <w:bottom w:w="0" w:type="dxa"/>
          <w:right w:w="0" w:type="dxa"/>
        </w:tblCellMar>
      </w:tblPr>
      <w:tblGrid>
        <w:gridCol w:w="5781"/>
        <w:gridCol w:w="1927"/>
        <w:gridCol w:w="966"/>
      </w:tblGrid>
      <w:tr>
        <w:trPr/>
        <w:tc>
          <w:tcPr>
            <w:tcW w:w="5781"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r>
      <w:tr>
        <w:trPr/>
        <w:tc>
          <w:tcPr>
            <w:tcW w:w="5781" w:type="dxa"/>
            <w:tcBorders/>
            <w:shd w:fill="auto" w:val="clear"/>
          </w:tcPr>
          <w:p>
            <w:pPr>
              <w:pStyle w:val="TableContents"/>
              <w:spacing w:before="0" w:after="283"/>
              <w:jc w:val="left"/>
              <w:rPr/>
            </w:pPr>
            <w:r>
              <w:rPr/>
              <w:t>(1)</w:t>
            </w:r>
          </w:p>
        </w:tc>
        <w:tc>
          <w:tcPr>
            <w:tcW w:w="1927" w:type="dxa"/>
            <w:tcBorders/>
            <w:shd w:fill="auto" w:val="clear"/>
          </w:tcPr>
          <w:p>
            <w:pPr>
              <w:pStyle w:val="TableContents"/>
              <w:spacing w:before="0" w:after="283"/>
              <w:rPr/>
            </w:pPr>
            <w:r>
              <w:rPr/>
              <w:t> </w:t>
            </w:r>
          </w:p>
        </w:tc>
        <w:tc>
          <w:tcPr>
            <w:tcW w:w="966" w:type="dxa"/>
            <w:tcBorders/>
            <w:shd w:fill="auto" w:val="clear"/>
          </w:tcPr>
          <w:p>
            <w:pPr>
              <w:pStyle w:val="TableContents"/>
              <w:spacing w:before="0" w:after="0"/>
              <w:jc w:val="both"/>
              <w:rPr/>
            </w:pPr>
            <w:r>
              <w:rPr/>
              <w:t>Mid-point of guidance.</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pPr>
            <w:r>
              <w:rPr/>
              <w:t>Segment profit is forecast using the volume assumptions stated above and estimates of unit margins, field operating costs, G&amp;A expenses and carrying costs for contango inventory based on current and anticipated market conditions. Field operating costs do not include depreciation. Realized unit margins for any given lease-gathered barrel could vary significantly based on a variety of factors including location, quality and contract structure.</w:t>
            </w:r>
          </w:p>
        </w:tc>
      </w:tr>
    </w:tbl>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i/>
              </w:rPr>
              <w:t xml:space="preserve">Depreciation and Amortization. </w:t>
            </w:r>
            <w:r>
              <w:rPr/>
              <w:t>Depreciation and amortization are forecast based on our existing depreciable assets, forecasted capital expenditures, and projected in-service dates. Depreciation is computed using the straight-line method over estimated useful lives, which range from 3-years (for office furniture and equipment) to 40-years (for certain pipelines, crude oil terminals and facilities).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4.</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i/>
              </w:rPr>
              <w:t>Statement of Financial Accounting Standards No. 133 Accounting for Derivative Instruments and Hedging Activities, as amended (SFAS 133)</w:t>
            </w:r>
            <w:r>
              <w:rPr/>
              <w:t>. The guidance presented above does not include assumptions or projections with respect to potential gains or losses related to derivatives accounted for under SFAS 133, as there is no accurate way to forecast these potential gains or losses. The potential gains or losses related to these derivatives (primarily mark-to-market adjustments) could cause actual net income to differ materially from our projections.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i/>
              </w:rPr>
              <w:t>Capital Expenditures and Acquisitions</w:t>
            </w:r>
            <w:r>
              <w:rPr/>
              <w:t>. Although acquisitions constitute a key element of our growth strategy, the forecasted results and associated estimates do not include any assumptions or forecasts for any acquisition that may be made after the date hereof. Capital expenditures for expansion projects are forecasted to be approximately $500 million during calendar 2007. Following are some of the more notable projects and projected expenditures for the year: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- 6 -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4500" w:type="pct"/>
        <w:jc w:val="right"/>
        <w:tblInd w:w="0" w:type="dxa"/>
        <w:tblCellMar>
          <w:top w:w="0" w:type="dxa"/>
          <w:left w:w="0" w:type="dxa"/>
          <w:bottom w:w="0" w:type="dxa"/>
          <w:right w:w="0" w:type="dxa"/>
        </w:tblCellMar>
      </w:tblPr>
      <w:tblGrid>
        <w:gridCol w:w="6828"/>
        <w:gridCol w:w="395"/>
        <w:gridCol w:w="415"/>
        <w:gridCol w:w="1423"/>
        <w:gridCol w:w="123"/>
      </w:tblGrid>
      <w:tr>
        <w:trPr/>
        <w:tc>
          <w:tcPr>
            <w:tcW w:w="682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38" w:type="dxa"/>
            <w:gridSpan w:val="2"/>
            <w:tcBorders/>
            <w:shd w:fill="auto" w:val="clear"/>
            <w:vAlign w:val="bottom"/>
          </w:tcPr>
          <w:p>
            <w:pPr>
              <w:pStyle w:val="TableContents"/>
              <w:spacing w:before="0" w:after="283"/>
              <w:jc w:val="center"/>
              <w:rPr>
                <w:b/>
                <w:u w:val="single"/>
              </w:rPr>
            </w:pPr>
            <w:r>
              <w:rPr>
                <w:b/>
                <w:u w:val="single"/>
              </w:rPr>
              <w:t>Calendar 2007</w:t>
            </w:r>
          </w:p>
        </w:tc>
        <w:tc>
          <w:tcPr>
            <w:tcW w:w="123" w:type="dxa"/>
            <w:tcBorders/>
            <w:shd w:fill="auto"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1838" w:type="dxa"/>
            <w:gridSpan w:val="2"/>
            <w:tcBorders/>
            <w:shd w:fill="auto" w:val="clear"/>
            <w:vAlign w:val="bottom"/>
          </w:tcPr>
          <w:p>
            <w:pPr>
              <w:pStyle w:val="TableContents"/>
              <w:spacing w:before="0" w:after="283"/>
              <w:jc w:val="center"/>
              <w:rPr>
                <w:b/>
              </w:rPr>
            </w:pPr>
            <w:r>
              <w:rPr>
                <w:b/>
              </w:rPr>
              <w:t>(in millions)</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t>Expansion Capital</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St. James, Louisiana storage facility</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jc w:val="left"/>
              <w:rPr/>
            </w:pPr>
            <w:r>
              <w:rPr/>
              <w:t>$</w:t>
            </w:r>
          </w:p>
        </w:tc>
        <w:tc>
          <w:tcPr>
            <w:tcW w:w="1423" w:type="dxa"/>
            <w:tcBorders/>
            <w:shd w:fill="auto" w:val="clear"/>
            <w:vAlign w:val="bottom"/>
          </w:tcPr>
          <w:p>
            <w:pPr>
              <w:pStyle w:val="TableContents"/>
              <w:spacing w:before="0" w:after="283"/>
              <w:jc w:val="right"/>
              <w:rPr/>
            </w:pPr>
            <w:r>
              <w:rPr/>
              <w:t>75</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Salt Lake City Expansion</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jc w:val="left"/>
              <w:rPr/>
            </w:pPr>
            <w:r>
              <w:rPr/>
              <w:t> </w:t>
            </w:r>
          </w:p>
        </w:tc>
        <w:tc>
          <w:tcPr>
            <w:tcW w:w="1423" w:type="dxa"/>
            <w:tcBorders/>
            <w:shd w:fill="CCEEFF" w:val="clear"/>
            <w:vAlign w:val="bottom"/>
          </w:tcPr>
          <w:p>
            <w:pPr>
              <w:pStyle w:val="TableContents"/>
              <w:spacing w:before="0" w:after="283"/>
              <w:jc w:val="right"/>
              <w:rPr/>
            </w:pPr>
            <w:r>
              <w:rPr/>
              <w:t>55</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Patoka Tankage</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40</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Cheyenne Pipeline</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34</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Martinez Terminal</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27</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Cushing Tankage  Phase VI</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27</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Paulsboro Expansion</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20</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West Hynes Tanks</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15</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Kerrobert Tankage</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14</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Fort Laramie Tank Expansion</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12</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High Prairie Rail Terminal</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11</w:t>
            </w:r>
          </w:p>
        </w:tc>
        <w:tc>
          <w:tcPr>
            <w:tcW w:w="123" w:type="dxa"/>
            <w:tcBorders/>
            <w:shd w:fill="auto" w:val="clear"/>
            <w:vAlign w:val="bottom"/>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b/>
              </w:rPr>
              <w:t></w:t>
            </w:r>
            <w:r>
              <w:rPr/>
              <w:t>  Pier 400</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10</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b/>
              </w:rPr>
              <w:t></w:t>
            </w:r>
            <w:r>
              <w:rPr/>
              <w:t>  Other Projects</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160</w:t>
            </w:r>
          </w:p>
        </w:tc>
        <w:tc>
          <w:tcPr>
            <w:tcW w:w="123" w:type="dxa"/>
            <w:tcBorders/>
            <w:shd w:fill="auto" w:val="clear"/>
            <w:vAlign w:val="bottom"/>
          </w:tcPr>
          <w:p>
            <w:pPr>
              <w:pStyle w:val="TableContents"/>
              <w:spacing w:before="0" w:after="283"/>
              <w:rPr/>
            </w:pPr>
            <w:r>
              <w:rPr/>
              <w:t> </w:t>
            </w:r>
          </w:p>
        </w:tc>
      </w:tr>
      <w:tr>
        <w:trPr/>
        <w:tc>
          <w:tcPr>
            <w:tcW w:w="6828"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8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t> </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1423" w:type="dxa"/>
            <w:tcBorders/>
            <w:shd w:fill="CCEEFF" w:val="clear"/>
            <w:vAlign w:val="bottom"/>
          </w:tcPr>
          <w:p>
            <w:pPr>
              <w:pStyle w:val="TableContents"/>
              <w:spacing w:before="0" w:after="283"/>
              <w:jc w:val="right"/>
              <w:rPr/>
            </w:pPr>
            <w:r>
              <w:rPr/>
              <w:t>500</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bottom"/>
          </w:tcPr>
          <w:p>
            <w:pPr>
              <w:pStyle w:val="TableContents"/>
              <w:spacing w:before="0" w:after="0"/>
              <w:ind w:left="225" w:right="0" w:hanging="225"/>
              <w:rPr/>
            </w:pPr>
            <w:r>
              <w:rPr/>
              <w:t>Maintenance Capital</w:t>
            </w:r>
          </w:p>
        </w:tc>
        <w:tc>
          <w:tcPr>
            <w:tcW w:w="395"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423" w:type="dxa"/>
            <w:tcBorders/>
            <w:shd w:fill="auto" w:val="clear"/>
            <w:vAlign w:val="bottom"/>
          </w:tcPr>
          <w:p>
            <w:pPr>
              <w:pStyle w:val="TableContents"/>
              <w:spacing w:before="0" w:after="283"/>
              <w:jc w:val="right"/>
              <w:rPr/>
            </w:pPr>
            <w:r>
              <w:rPr/>
              <w:t>45</w:t>
            </w:r>
          </w:p>
        </w:tc>
        <w:tc>
          <w:tcPr>
            <w:tcW w:w="123" w:type="dxa"/>
            <w:tcBorders/>
            <w:shd w:fill="auto" w:val="clear"/>
            <w:vAlign w:val="bottom"/>
          </w:tcPr>
          <w:p>
            <w:pPr>
              <w:pStyle w:val="TableContents"/>
              <w:spacing w:before="0" w:after="283"/>
              <w:rPr/>
            </w:pPr>
            <w:r>
              <w:rPr/>
              <w:t> </w:t>
            </w:r>
          </w:p>
        </w:tc>
      </w:tr>
      <w:tr>
        <w:trPr/>
        <w:tc>
          <w:tcPr>
            <w:tcW w:w="6828"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8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828" w:type="dxa"/>
            <w:tcBorders/>
            <w:shd w:fill="CCEEFF" w:val="clear"/>
            <w:vAlign w:val="bottom"/>
          </w:tcPr>
          <w:p>
            <w:pPr>
              <w:pStyle w:val="TableContents"/>
              <w:spacing w:before="0" w:after="0"/>
              <w:ind w:left="225" w:right="0" w:hanging="225"/>
              <w:rPr/>
            </w:pPr>
            <w:r>
              <w:rPr/>
              <w:t>Total Projected Capital Expenditures (excluding acquisitions)</w:t>
            </w:r>
          </w:p>
        </w:tc>
        <w:tc>
          <w:tcPr>
            <w:tcW w:w="395"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jc w:val="left"/>
              <w:rPr/>
            </w:pPr>
            <w:r>
              <w:rPr/>
              <w:t>$</w:t>
            </w:r>
          </w:p>
        </w:tc>
        <w:tc>
          <w:tcPr>
            <w:tcW w:w="1423" w:type="dxa"/>
            <w:tcBorders/>
            <w:shd w:fill="CCEEFF" w:val="clear"/>
            <w:vAlign w:val="bottom"/>
          </w:tcPr>
          <w:p>
            <w:pPr>
              <w:pStyle w:val="TableContents"/>
              <w:spacing w:before="0" w:after="283"/>
              <w:jc w:val="right"/>
              <w:rPr/>
            </w:pPr>
            <w:r>
              <w:rPr/>
              <w:t>545</w:t>
            </w:r>
          </w:p>
        </w:tc>
        <w:tc>
          <w:tcPr>
            <w:tcW w:w="123" w:type="dxa"/>
            <w:tcBorders/>
            <w:shd w:fill="CCEEFF" w:val="clear"/>
            <w:vAlign w:val="bottom"/>
          </w:tcPr>
          <w:p>
            <w:pPr>
              <w:pStyle w:val="TableContents"/>
              <w:spacing w:before="0" w:after="283"/>
              <w:rPr/>
            </w:pPr>
            <w:r>
              <w:rPr/>
              <w:t> </w:t>
            </w:r>
          </w:p>
        </w:tc>
      </w:tr>
      <w:tr>
        <w:trPr/>
        <w:tc>
          <w:tcPr>
            <w:tcW w:w="6828" w:type="dxa"/>
            <w:tcBorders/>
            <w:shd w:fill="auto" w:val="clear"/>
            <w:vAlign w:val="center"/>
          </w:tcPr>
          <w:p>
            <w:pPr>
              <w:pStyle w:val="TableContents"/>
              <w:spacing w:before="0" w:after="0"/>
              <w:ind w:left="225" w:right="0" w:hanging="225"/>
              <w:rPr/>
            </w:pPr>
            <w:r>
              <w:rPr/>
              <w:t> </w:t>
            </w:r>
          </w:p>
        </w:tc>
        <w:tc>
          <w:tcPr>
            <w:tcW w:w="395" w:type="dxa"/>
            <w:tcBorders/>
            <w:shd w:fill="auto" w:val="clear"/>
            <w:vAlign w:val="center"/>
          </w:tcPr>
          <w:p>
            <w:pPr>
              <w:pStyle w:val="TableContents"/>
              <w:spacing w:before="0" w:after="283"/>
              <w:rPr/>
            </w:pPr>
            <w:r>
              <w:rPr/>
              <w:t> </w:t>
            </w:r>
          </w:p>
        </w:tc>
        <w:tc>
          <w:tcPr>
            <w:tcW w:w="18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6.</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i/>
              </w:rPr>
              <w:t>Capital Structure</w:t>
            </w:r>
            <w:r>
              <w:rPr/>
              <w:t>. This guidance is based on our capital structure as of December 31, 2006. The Partnerships policy is to finance acquisitions and major growth capital projects with at least 50% equity or cash flow in excess of distributions. As a result of our 2006 equity financing activities in combination with our projected 2007 cash flow in excess of distributions, we have substantially pre-funded the required equity financing associated with our 2007 expansion capital program.</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7.</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i/>
              </w:rPr>
              <w:t>Interest Expense</w:t>
            </w:r>
            <w:r>
              <w:rPr/>
              <w:t>. Debt balances are projected based on estimated cash flows, current distribution rates, forecasted capital expenditures for maintenance and expansion projects, expected timing of collections and payments, and forecasted levels of inventory and other working capital sources and uses.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 </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both"/>
              <w:rPr/>
            </w:pPr>
            <w:r>
              <w:rPr/>
              <w:t>Annual 2007 interest expense is expected to be between $164 million and $168 million, assuming an average long-term debt balance of approximately $2.8 billion during the period. Included in the effective cost of debt are projected interest payments, as well as commitment fees, amortization of long-term debt discounts or premiums, deferred amounts associated with terminated interest-rate hedges and interest on short-term debt for non-contango inventory (primarily hedged LPG inventory and New York Mercantile Exchange and IntercontinentalExchange margin deposits). Interest expense does not include interest on borrowings for contango inventory. We treat those costs as carrying costs of crude oil and include it as part of the purchase price of crude oil.</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- 7 -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8.</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i/>
              </w:rPr>
              <w:t xml:space="preserve">Net Income per Unit. </w:t>
            </w:r>
            <w:r>
              <w:rPr/>
              <w:t>Basic net income per limited partner unit is calculated by dividing net income allocated to limited partners by the basic weighted average units outstanding during the period.</w:t>
            </w:r>
          </w:p>
        </w:tc>
      </w:tr>
    </w:tbl>
    <w:tbl>
      <w:tblPr>
        <w:tblW w:w="4500" w:type="pct"/>
        <w:jc w:val="right"/>
        <w:tblInd w:w="0" w:type="dxa"/>
        <w:tblCellMar>
          <w:top w:w="0" w:type="dxa"/>
          <w:left w:w="0" w:type="dxa"/>
          <w:bottom w:w="0" w:type="dxa"/>
          <w:right w:w="0" w:type="dxa"/>
        </w:tblCellMar>
      </w:tblPr>
      <w:tblGrid>
        <w:gridCol w:w="2741"/>
        <w:gridCol w:w="259"/>
        <w:gridCol w:w="207"/>
        <w:gridCol w:w="960"/>
        <w:gridCol w:w="154"/>
        <w:gridCol w:w="280"/>
        <w:gridCol w:w="207"/>
        <w:gridCol w:w="962"/>
        <w:gridCol w:w="144"/>
        <w:gridCol w:w="275"/>
        <w:gridCol w:w="216"/>
        <w:gridCol w:w="993"/>
        <w:gridCol w:w="159"/>
        <w:gridCol w:w="283"/>
        <w:gridCol w:w="216"/>
        <w:gridCol w:w="998"/>
        <w:gridCol w:w="130"/>
      </w:tblGrid>
      <w:tr>
        <w:trPr/>
        <w:tc>
          <w:tcPr>
            <w:tcW w:w="27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6054"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 (in millions, except per unit data)</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770" w:type="dxa"/>
            <w:gridSpan w:val="6"/>
            <w:tcBorders/>
            <w:shd w:fill="auto" w:val="clear"/>
            <w:vAlign w:val="bottom"/>
          </w:tcPr>
          <w:p>
            <w:pPr>
              <w:pStyle w:val="TableContents"/>
              <w:spacing w:before="0" w:after="283"/>
              <w:jc w:val="center"/>
              <w:rPr>
                <w:b/>
              </w:rPr>
            </w:pPr>
            <w:r>
              <w:rPr>
                <w:b/>
              </w:rPr>
              <w:t>Three Months Ending</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865" w:type="dxa"/>
            <w:gridSpan w:val="6"/>
            <w:tcBorders/>
            <w:shd w:fill="auto" w:val="clear"/>
            <w:vAlign w:val="bottom"/>
          </w:tcPr>
          <w:p>
            <w:pPr>
              <w:pStyle w:val="TableContents"/>
              <w:spacing w:before="0" w:after="283"/>
              <w:jc w:val="center"/>
              <w:rPr>
                <w:b/>
              </w:rPr>
            </w:pPr>
            <w:r>
              <w:rPr>
                <w:b/>
              </w:rPr>
              <w:t>Twelve Months Ending</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277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86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16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2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1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30" w:type="dxa"/>
            <w:tcBorders/>
            <w:shd w:fill="auto" w:val="clear"/>
            <w:vAlign w:val="bottom"/>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225" w:right="0" w:hanging="225"/>
              <w:rPr/>
            </w:pPr>
            <w:r>
              <w:rPr/>
              <w:t>Numerator for basic and diluted earnings per limited partner unit:</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0"/>
              <w:ind w:left="225" w:right="0" w:hanging="225"/>
              <w:rPr/>
            </w:pPr>
            <w:r>
              <w:rPr/>
              <w:t>Net Income</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78.4</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62" w:type="dxa"/>
            <w:tcBorders/>
            <w:shd w:fill="auto" w:val="clear"/>
            <w:vAlign w:val="bottom"/>
          </w:tcPr>
          <w:p>
            <w:pPr>
              <w:pStyle w:val="TableContents"/>
              <w:spacing w:before="0" w:after="283"/>
              <w:jc w:val="right"/>
              <w:rPr/>
            </w:pPr>
            <w:r>
              <w:rPr/>
              <w:t>92.3</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93" w:type="dxa"/>
            <w:tcBorders/>
            <w:shd w:fill="auto" w:val="clear"/>
            <w:vAlign w:val="bottom"/>
          </w:tcPr>
          <w:p>
            <w:pPr>
              <w:pStyle w:val="TableContents"/>
              <w:spacing w:before="0" w:after="283"/>
              <w:jc w:val="right"/>
              <w:rPr/>
            </w:pPr>
            <w:r>
              <w:rPr/>
              <w:t>295.0</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98" w:type="dxa"/>
            <w:tcBorders/>
            <w:shd w:fill="auto" w:val="clear"/>
            <w:vAlign w:val="bottom"/>
          </w:tcPr>
          <w:p>
            <w:pPr>
              <w:pStyle w:val="TableContents"/>
              <w:spacing w:before="0" w:after="283"/>
              <w:jc w:val="right"/>
              <w:rPr/>
            </w:pPr>
            <w:r>
              <w:rPr/>
              <w:t>341.4</w:t>
            </w:r>
          </w:p>
        </w:tc>
        <w:tc>
          <w:tcPr>
            <w:tcW w:w="130" w:type="dxa"/>
            <w:tcBorders/>
            <w:shd w:fill="auto" w:val="clear"/>
            <w:vAlign w:val="bottom"/>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450" w:right="0" w:hanging="225"/>
              <w:rPr/>
            </w:pPr>
            <w:r>
              <w:rPr/>
              <w:t>General partners incentive distribution</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60" w:type="dxa"/>
            <w:tcBorders/>
            <w:shd w:fill="CCEEFF" w:val="clear"/>
            <w:vAlign w:val="bottom"/>
          </w:tcPr>
          <w:p>
            <w:pPr>
              <w:pStyle w:val="TableContents"/>
              <w:spacing w:before="0" w:after="283"/>
              <w:jc w:val="right"/>
              <w:rPr/>
            </w:pPr>
            <w:r>
              <w:rPr/>
              <w:t>(20.3</w:t>
            </w:r>
          </w:p>
        </w:tc>
        <w:tc>
          <w:tcPr>
            <w:tcW w:w="154" w:type="dxa"/>
            <w:tcBorders/>
            <w:shd w:fill="CCEEFF" w:val="clear"/>
            <w:vAlign w:val="bottom"/>
          </w:tcPr>
          <w:p>
            <w:pPr>
              <w:pStyle w:val="TableContents"/>
              <w:spacing w:before="0" w:after="283"/>
              <w:rPr/>
            </w:pPr>
            <w:r>
              <w:rPr/>
              <w:t>)</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 </w:t>
            </w:r>
          </w:p>
        </w:tc>
        <w:tc>
          <w:tcPr>
            <w:tcW w:w="962" w:type="dxa"/>
            <w:tcBorders/>
            <w:shd w:fill="CCEEFF" w:val="clear"/>
            <w:vAlign w:val="bottom"/>
          </w:tcPr>
          <w:p>
            <w:pPr>
              <w:pStyle w:val="TableContents"/>
              <w:spacing w:before="0" w:after="283"/>
              <w:jc w:val="right"/>
              <w:rPr/>
            </w:pPr>
            <w:r>
              <w:rPr/>
              <w:t>(20.3</w:t>
            </w:r>
          </w:p>
        </w:tc>
        <w:tc>
          <w:tcPr>
            <w:tcW w:w="144" w:type="dxa"/>
            <w:tcBorders/>
            <w:shd w:fill="CCEEFF" w:val="clear"/>
            <w:vAlign w:val="bottom"/>
          </w:tcPr>
          <w:p>
            <w:pPr>
              <w:pStyle w:val="TableContents"/>
              <w:spacing w:before="0" w:after="283"/>
              <w:rPr/>
            </w:pPr>
            <w:r>
              <w:rPr/>
              <w:t>)</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(81.5</w:t>
            </w:r>
          </w:p>
        </w:tc>
        <w:tc>
          <w:tcPr>
            <w:tcW w:w="159" w:type="dxa"/>
            <w:tcBorders/>
            <w:shd w:fill="CCEEFF" w:val="clear"/>
            <w:vAlign w:val="bottom"/>
          </w:tcPr>
          <w:p>
            <w:pPr>
              <w:pStyle w:val="TableContents"/>
              <w:spacing w:before="0" w:after="283"/>
              <w:rPr/>
            </w:pPr>
            <w:r>
              <w:rPr/>
              <w:t>)</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 </w:t>
            </w:r>
          </w:p>
        </w:tc>
        <w:tc>
          <w:tcPr>
            <w:tcW w:w="998" w:type="dxa"/>
            <w:tcBorders/>
            <w:shd w:fill="CCEEFF" w:val="clear"/>
            <w:vAlign w:val="bottom"/>
          </w:tcPr>
          <w:p>
            <w:pPr>
              <w:pStyle w:val="TableContents"/>
              <w:spacing w:before="0" w:after="283"/>
              <w:jc w:val="right"/>
              <w:rPr/>
            </w:pPr>
            <w:r>
              <w:rPr/>
              <w:t>(81.5</w:t>
            </w:r>
          </w:p>
        </w:tc>
        <w:tc>
          <w:tcPr>
            <w:tcW w:w="130" w:type="dxa"/>
            <w:tcBorders/>
            <w:shd w:fill="CCEEFF" w:val="clear"/>
            <w:vAlign w:val="bottom"/>
          </w:tcPr>
          <w:p>
            <w:pPr>
              <w:pStyle w:val="TableContents"/>
              <w:spacing w:before="0" w:after="283"/>
              <w:rPr/>
            </w:pPr>
            <w:r>
              <w:rPr/>
              <w:t>)</w:t>
            </w:r>
          </w:p>
        </w:tc>
      </w:tr>
      <w:tr>
        <w:trPr/>
        <w:tc>
          <w:tcPr>
            <w:tcW w:w="2741" w:type="dxa"/>
            <w:tcBorders/>
            <w:shd w:fill="auto" w:val="clear"/>
            <w:vAlign w:val="bottom"/>
          </w:tcPr>
          <w:p>
            <w:pPr>
              <w:pStyle w:val="TableContents"/>
              <w:spacing w:before="0" w:after="0"/>
              <w:ind w:left="450" w:right="0" w:hanging="225"/>
              <w:rPr/>
            </w:pPr>
            <w:r>
              <w:rPr/>
              <w:t>General partners incentive distribution reduction</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5.0</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5.0</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20.0</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20.0</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225" w:right="0" w:hanging="225"/>
              <w:rPr/>
            </w:pPr>
            <w:r>
              <w:rPr/>
              <w:t> </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63.1</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77.0</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233.5</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279.9</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0"/>
              <w:ind w:left="450" w:right="0" w:hanging="225"/>
              <w:rPr/>
            </w:pPr>
            <w:r>
              <w:rPr/>
              <w:t>General partner 2% ownership</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960" w:type="dxa"/>
            <w:tcBorders/>
            <w:shd w:fill="auto" w:val="clear"/>
            <w:vAlign w:val="bottom"/>
          </w:tcPr>
          <w:p>
            <w:pPr>
              <w:pStyle w:val="TableContents"/>
              <w:spacing w:before="0" w:after="283"/>
              <w:jc w:val="right"/>
              <w:rPr/>
            </w:pPr>
            <w:r>
              <w:rPr/>
              <w:t>(1.3</w:t>
            </w:r>
          </w:p>
        </w:tc>
        <w:tc>
          <w:tcPr>
            <w:tcW w:w="154" w:type="dxa"/>
            <w:tcBorders/>
            <w:shd w:fill="auto" w:val="clear"/>
            <w:vAlign w:val="bottom"/>
          </w:tcPr>
          <w:p>
            <w:pPr>
              <w:pStyle w:val="TableContents"/>
              <w:spacing w:before="0" w:after="283"/>
              <w:rPr/>
            </w:pPr>
            <w:r>
              <w:rPr/>
              <w:t>)</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c>
          <w:tcPr>
            <w:tcW w:w="962" w:type="dxa"/>
            <w:tcBorders/>
            <w:shd w:fill="auto" w:val="clear"/>
            <w:vAlign w:val="bottom"/>
          </w:tcPr>
          <w:p>
            <w:pPr>
              <w:pStyle w:val="TableContents"/>
              <w:spacing w:before="0" w:after="283"/>
              <w:jc w:val="right"/>
              <w:rPr/>
            </w:pPr>
            <w:r>
              <w:rPr/>
              <w:t>1.5</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993" w:type="dxa"/>
            <w:tcBorders/>
            <w:shd w:fill="auto" w:val="clear"/>
            <w:vAlign w:val="bottom"/>
          </w:tcPr>
          <w:p>
            <w:pPr>
              <w:pStyle w:val="TableContents"/>
              <w:spacing w:before="0" w:after="283"/>
              <w:jc w:val="right"/>
              <w:rPr/>
            </w:pPr>
            <w:r>
              <w:rPr/>
              <w:t>(4.7</w:t>
            </w:r>
          </w:p>
        </w:tc>
        <w:tc>
          <w:tcPr>
            <w:tcW w:w="159" w:type="dxa"/>
            <w:tcBorders/>
            <w:shd w:fill="auto" w:val="clear"/>
            <w:vAlign w:val="bottom"/>
          </w:tcPr>
          <w:p>
            <w:pPr>
              <w:pStyle w:val="TableContents"/>
              <w:spacing w:before="0" w:after="283"/>
              <w:rPr/>
            </w:pPr>
            <w:r>
              <w:rPr/>
              <w:t>)</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 </w:t>
            </w:r>
          </w:p>
        </w:tc>
        <w:tc>
          <w:tcPr>
            <w:tcW w:w="998" w:type="dxa"/>
            <w:tcBorders/>
            <w:shd w:fill="auto" w:val="clear"/>
            <w:vAlign w:val="bottom"/>
          </w:tcPr>
          <w:p>
            <w:pPr>
              <w:pStyle w:val="TableContents"/>
              <w:spacing w:before="0" w:after="283"/>
              <w:jc w:val="right"/>
              <w:rPr/>
            </w:pPr>
            <w:r>
              <w:rPr/>
              <w:t>(5.6</w:t>
            </w:r>
          </w:p>
        </w:tc>
        <w:tc>
          <w:tcPr>
            <w:tcW w:w="130" w:type="dxa"/>
            <w:tcBorders/>
            <w:shd w:fill="auto" w:val="clear"/>
            <w:vAlign w:val="bottom"/>
          </w:tcPr>
          <w:p>
            <w:pPr>
              <w:pStyle w:val="TableContents"/>
              <w:spacing w:before="0" w:after="283"/>
              <w:rPr/>
            </w:pPr>
            <w:r>
              <w:rPr/>
              <w:t>)</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225" w:right="0" w:hanging="225"/>
              <w:rPr/>
            </w:pPr>
            <w:r>
              <w:rPr/>
              <w:t>Net Income available for limited partners</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60" w:type="dxa"/>
            <w:tcBorders/>
            <w:shd w:fill="CCEEFF" w:val="clear"/>
            <w:vAlign w:val="bottom"/>
          </w:tcPr>
          <w:p>
            <w:pPr>
              <w:pStyle w:val="TableContents"/>
              <w:spacing w:before="0" w:after="283"/>
              <w:jc w:val="right"/>
              <w:rPr/>
            </w:pPr>
            <w:r>
              <w:rPr/>
              <w:t>61.8</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62" w:type="dxa"/>
            <w:tcBorders/>
            <w:shd w:fill="CCEEFF" w:val="clear"/>
            <w:vAlign w:val="bottom"/>
          </w:tcPr>
          <w:p>
            <w:pPr>
              <w:pStyle w:val="TableContents"/>
              <w:spacing w:before="0" w:after="283"/>
              <w:jc w:val="right"/>
              <w:rPr/>
            </w:pPr>
            <w:r>
              <w:rPr/>
              <w:t>75.4</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228.9</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98" w:type="dxa"/>
            <w:tcBorders/>
            <w:shd w:fill="CCEEFF" w:val="clear"/>
            <w:vAlign w:val="bottom"/>
          </w:tcPr>
          <w:p>
            <w:pPr>
              <w:pStyle w:val="TableContents"/>
              <w:spacing w:before="0" w:after="283"/>
              <w:jc w:val="right"/>
              <w:rPr/>
            </w:pPr>
            <w:r>
              <w:rPr/>
              <w:t>274.3</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auto" w:val="clear"/>
            <w:vAlign w:val="bottom"/>
          </w:tcPr>
          <w:p>
            <w:pPr>
              <w:pStyle w:val="TableContents"/>
              <w:spacing w:before="0" w:after="0"/>
              <w:ind w:left="225" w:right="0" w:hanging="225"/>
              <w:rPr/>
            </w:pPr>
            <w:r>
              <w:rPr/>
              <w:t>Denominator:</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450" w:right="0" w:hanging="225"/>
              <w:rPr/>
            </w:pPr>
            <w:r>
              <w:rPr/>
              <w:t>Denominator for basic earnings per limited partner unit-weighted average number of limited partner units</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109.4</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109.4</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109.6</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109.6</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bottom"/>
          </w:tcPr>
          <w:p>
            <w:pPr>
              <w:pStyle w:val="TableContents"/>
              <w:spacing w:before="0" w:after="0"/>
              <w:ind w:left="450" w:right="0" w:hanging="225"/>
              <w:rPr/>
            </w:pPr>
            <w:r>
              <w:rPr/>
              <w:t>Effect of dilutive securities:</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450" w:right="0" w:hanging="225"/>
              <w:rPr/>
            </w:pPr>
            <w:r>
              <w:rPr/>
              <w:t>Weighted average LTIP units</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pPr>
            <w:r>
              <w:rPr/>
              <w:t>1.3</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962" w:type="dxa"/>
            <w:tcBorders/>
            <w:shd w:fill="CCEEFF" w:val="clear"/>
            <w:vAlign w:val="bottom"/>
          </w:tcPr>
          <w:p>
            <w:pPr>
              <w:pStyle w:val="TableContents"/>
              <w:spacing w:before="0" w:after="283"/>
              <w:jc w:val="right"/>
              <w:rPr/>
            </w:pPr>
            <w:r>
              <w:rPr/>
              <w:t>1.3</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1.0</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1.0</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auto" w:val="clear"/>
            <w:vAlign w:val="bottom"/>
          </w:tcPr>
          <w:p>
            <w:pPr>
              <w:pStyle w:val="TableContents"/>
              <w:spacing w:before="0" w:after="0"/>
              <w:ind w:left="450" w:right="0" w:hanging="225"/>
              <w:rPr/>
            </w:pPr>
            <w:r>
              <w:rPr/>
              <w:t>Denominator for diluted earnings per limited partner unit-weighted average number of limited partner units</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pPr>
            <w:r>
              <w:rPr/>
              <w:t>110.7</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62" w:type="dxa"/>
            <w:tcBorders/>
            <w:shd w:fill="auto" w:val="clear"/>
            <w:vAlign w:val="bottom"/>
          </w:tcPr>
          <w:p>
            <w:pPr>
              <w:pStyle w:val="TableContents"/>
              <w:spacing w:before="0" w:after="283"/>
              <w:jc w:val="right"/>
              <w:rPr/>
            </w:pPr>
            <w:r>
              <w:rPr/>
              <w:t>110.7</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110.6</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110.6</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CCEEFF" w:val="clear"/>
            <w:vAlign w:val="bottom"/>
          </w:tcPr>
          <w:p>
            <w:pPr>
              <w:pStyle w:val="TableContents"/>
              <w:spacing w:before="0" w:after="0"/>
              <w:ind w:left="225" w:right="0" w:hanging="225"/>
              <w:rPr/>
            </w:pPr>
            <w:r>
              <w:rPr/>
              <w:t>Basic net income per limited partner unit</w:t>
            </w:r>
          </w:p>
        </w:tc>
        <w:tc>
          <w:tcPr>
            <w:tcW w:w="259"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60" w:type="dxa"/>
            <w:tcBorders/>
            <w:shd w:fill="CCEEFF" w:val="clear"/>
            <w:vAlign w:val="bottom"/>
          </w:tcPr>
          <w:p>
            <w:pPr>
              <w:pStyle w:val="TableContents"/>
              <w:spacing w:before="0" w:after="283"/>
              <w:jc w:val="right"/>
              <w:rPr/>
            </w:pPr>
            <w:r>
              <w:rPr/>
              <w:t>0.56</w:t>
            </w:r>
          </w:p>
        </w:tc>
        <w:tc>
          <w:tcPr>
            <w:tcW w:w="154"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jc w:val="left"/>
              <w:rPr/>
            </w:pPr>
            <w:r>
              <w:rPr/>
              <w:t>$</w:t>
            </w:r>
          </w:p>
        </w:tc>
        <w:tc>
          <w:tcPr>
            <w:tcW w:w="962" w:type="dxa"/>
            <w:tcBorders/>
            <w:shd w:fill="CCEEFF" w:val="clear"/>
            <w:vAlign w:val="bottom"/>
          </w:tcPr>
          <w:p>
            <w:pPr>
              <w:pStyle w:val="TableContents"/>
              <w:spacing w:before="0" w:after="283"/>
              <w:jc w:val="right"/>
              <w:rPr/>
            </w:pPr>
            <w:r>
              <w:rPr/>
              <w:t>0.69</w:t>
            </w:r>
          </w:p>
        </w:tc>
        <w:tc>
          <w:tcPr>
            <w:tcW w:w="144"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2.09</w:t>
            </w:r>
          </w:p>
        </w:tc>
        <w:tc>
          <w:tcPr>
            <w:tcW w:w="159"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jc w:val="left"/>
              <w:rPr/>
            </w:pPr>
            <w:r>
              <w:rPr/>
              <w:t>$</w:t>
            </w:r>
          </w:p>
        </w:tc>
        <w:tc>
          <w:tcPr>
            <w:tcW w:w="998" w:type="dxa"/>
            <w:tcBorders/>
            <w:shd w:fill="CCEEFF" w:val="clear"/>
            <w:vAlign w:val="bottom"/>
          </w:tcPr>
          <w:p>
            <w:pPr>
              <w:pStyle w:val="TableContents"/>
              <w:spacing w:before="0" w:after="283"/>
              <w:jc w:val="right"/>
              <w:rPr/>
            </w:pPr>
            <w:r>
              <w:rPr/>
              <w:t>2.50</w:t>
            </w:r>
          </w:p>
        </w:tc>
        <w:tc>
          <w:tcPr>
            <w:tcW w:w="130" w:type="dxa"/>
            <w:tcBorders/>
            <w:shd w:fill="CCEEFF"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741" w:type="dxa"/>
            <w:tcBorders/>
            <w:shd w:fill="auto" w:val="clear"/>
            <w:vAlign w:val="bottom"/>
          </w:tcPr>
          <w:p>
            <w:pPr>
              <w:pStyle w:val="TableContents"/>
              <w:spacing w:before="0" w:after="0"/>
              <w:ind w:left="225" w:right="0" w:hanging="225"/>
              <w:rPr/>
            </w:pPr>
            <w:r>
              <w:rPr/>
              <w:t>Diluted net income per limited partner unit</w:t>
            </w:r>
          </w:p>
        </w:tc>
        <w:tc>
          <w:tcPr>
            <w:tcW w:w="2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60" w:type="dxa"/>
            <w:tcBorders/>
            <w:shd w:fill="auto" w:val="clear"/>
            <w:vAlign w:val="bottom"/>
          </w:tcPr>
          <w:p>
            <w:pPr>
              <w:pStyle w:val="TableContents"/>
              <w:spacing w:before="0" w:after="283"/>
              <w:jc w:val="right"/>
              <w:rPr/>
            </w:pPr>
            <w:r>
              <w:rPr/>
              <w:t>0.56</w:t>
            </w:r>
          </w:p>
        </w:tc>
        <w:tc>
          <w:tcPr>
            <w:tcW w:w="154"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w:t>
            </w:r>
          </w:p>
        </w:tc>
        <w:tc>
          <w:tcPr>
            <w:tcW w:w="962" w:type="dxa"/>
            <w:tcBorders/>
            <w:shd w:fill="auto" w:val="clear"/>
            <w:vAlign w:val="bottom"/>
          </w:tcPr>
          <w:p>
            <w:pPr>
              <w:pStyle w:val="TableContents"/>
              <w:spacing w:before="0" w:after="283"/>
              <w:jc w:val="right"/>
              <w:rPr/>
            </w:pPr>
            <w:r>
              <w:rPr/>
              <w:t>0.68</w:t>
            </w:r>
          </w:p>
        </w:tc>
        <w:tc>
          <w:tcPr>
            <w:tcW w:w="14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93" w:type="dxa"/>
            <w:tcBorders/>
            <w:shd w:fill="auto" w:val="clear"/>
            <w:vAlign w:val="bottom"/>
          </w:tcPr>
          <w:p>
            <w:pPr>
              <w:pStyle w:val="TableContents"/>
              <w:spacing w:before="0" w:after="283"/>
              <w:jc w:val="right"/>
              <w:rPr/>
            </w:pPr>
            <w:r>
              <w:rPr/>
              <w:t>2.07</w:t>
            </w:r>
          </w:p>
        </w:tc>
        <w:tc>
          <w:tcPr>
            <w:tcW w:w="159"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jc w:val="left"/>
              <w:rPr/>
            </w:pPr>
            <w:r>
              <w:rPr/>
              <w:t>$</w:t>
            </w:r>
          </w:p>
        </w:tc>
        <w:tc>
          <w:tcPr>
            <w:tcW w:w="998" w:type="dxa"/>
            <w:tcBorders/>
            <w:shd w:fill="auto" w:val="clear"/>
            <w:vAlign w:val="bottom"/>
          </w:tcPr>
          <w:p>
            <w:pPr>
              <w:pStyle w:val="TableContents"/>
              <w:spacing w:before="0" w:after="283"/>
              <w:jc w:val="right"/>
              <w:rPr/>
            </w:pPr>
            <w:r>
              <w:rPr/>
              <w:t>2.48</w:t>
            </w:r>
          </w:p>
        </w:tc>
        <w:tc>
          <w:tcPr>
            <w:tcW w:w="130" w:type="dxa"/>
            <w:tcBorders/>
            <w:shd w:fill="auto" w:val="clear"/>
            <w:vAlign w:val="bottom"/>
          </w:tcPr>
          <w:p>
            <w:pPr>
              <w:pStyle w:val="TableContents"/>
              <w:spacing w:before="0" w:after="283"/>
              <w:rPr/>
            </w:pPr>
            <w:r>
              <w:rPr/>
              <w:t> </w:t>
            </w:r>
          </w:p>
        </w:tc>
      </w:tr>
      <w:tr>
        <w:trPr/>
        <w:tc>
          <w:tcPr>
            <w:tcW w:w="2741" w:type="dxa"/>
            <w:tcBorders/>
            <w:shd w:fill="auto" w:val="clear"/>
            <w:vAlign w:val="center"/>
          </w:tcPr>
          <w:p>
            <w:pPr>
              <w:pStyle w:val="TableContents"/>
              <w:spacing w:before="0" w:after="0"/>
              <w:ind w:left="225" w:right="0" w:hanging="225"/>
              <w:rPr/>
            </w:pPr>
            <w:r>
              <w:rPr/>
              <w:t> </w:t>
            </w:r>
          </w:p>
        </w:tc>
        <w:tc>
          <w:tcPr>
            <w:tcW w:w="259" w:type="dxa"/>
            <w:tcBorders/>
            <w:shd w:fill="auto" w:val="clear"/>
            <w:vAlign w:val="center"/>
          </w:tcPr>
          <w:p>
            <w:pPr>
              <w:pStyle w:val="TableContents"/>
              <w:spacing w:before="0" w:after="283"/>
              <w:rPr/>
            </w:pPr>
            <w:r>
              <w:rPr/>
              <w:t> </w:t>
            </w:r>
          </w:p>
        </w:tc>
        <w:tc>
          <w:tcPr>
            <w:tcW w:w="11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4" w:type="dxa"/>
            <w:tcBorders/>
            <w:shd w:fill="auto" w:val="clear"/>
            <w:vAlign w:val="center"/>
          </w:tcPr>
          <w:p>
            <w:pPr>
              <w:pStyle w:val="TableContents"/>
              <w:spacing w:before="0" w:after="283"/>
              <w:rPr/>
            </w:pPr>
            <w:r>
              <w:rPr/>
              <w:t> </w:t>
            </w:r>
          </w:p>
        </w:tc>
        <w:tc>
          <w:tcPr>
            <w:tcW w:w="280" w:type="dxa"/>
            <w:tcBorders/>
            <w:shd w:fill="auto" w:val="clear"/>
            <w:vAlign w:val="center"/>
          </w:tcPr>
          <w:p>
            <w:pPr>
              <w:pStyle w:val="TableContents"/>
              <w:spacing w:before="0" w:after="283"/>
              <w:rPr/>
            </w:pPr>
            <w:r>
              <w:rPr/>
              <w:t> </w:t>
            </w:r>
          </w:p>
        </w:tc>
        <w:tc>
          <w:tcPr>
            <w:tcW w:w="11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4"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c>
          <w:tcPr>
            <w:tcW w:w="12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9"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2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328"/>
        <w:gridCol w:w="105"/>
        <w:gridCol w:w="9772"/>
      </w:tblGrid>
      <w:tr>
        <w:trPr/>
        <w:tc>
          <w:tcPr>
            <w:tcW w:w="328"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t>Net income allocated to limited partners is impacted by the income allocated to the general partner and the amount of the incentive distribution paid to the general partner. The amount of income allocated to our limited partnership interests is 98% of the total partnership income after deducting the amount of the general partners incentive distribution. Based on our current annualized distribution rate of $3.20 per unit, our general partners distribution is forecast to be approximately $87.1 million annually, of which $81.5 million is attributed to the incentive distribution rights. However, in conjunction with the Pacific acquisition, the general partner agreed to reduce the amounts due it as incentive distributions. The reduction will be effective for five years, as follows: (i) $5 million per quarter for the first four quarters, (ii) $3.75 million per quarter for the next eight quarters, (iii) $2.5 million per quarter for the next four quarters, and (iv) $1.25 million per quarter for the final four quarters. The total reduction in incentive distributions will be $65 million. As such, total incentive distributions to the general partner in 2007 will be reduced by $20.0 million. The relative amount of the incentive distribution varies directionally with the number of units outstanding and the level of the distribution on the units. Each $0.05 per unit annual increase in the distribution over $3.20 per unit decreases net income available for limited partners by approximately $5.4 million ($0.05 per unit) on an annualized basis.</w:t>
            </w:r>
          </w:p>
        </w:tc>
      </w:tr>
      <w:tr>
        <w:trPr/>
        <w:tc>
          <w:tcPr>
            <w:tcW w:w="328" w:type="dxa"/>
            <w:tcBorders/>
            <w:shd w:fill="auto" w:val="clear"/>
            <w:vAlign w:val="center"/>
          </w:tcPr>
          <w:p>
            <w:pPr>
              <w:pStyle w:val="TableContents"/>
              <w:spacing w:before="0" w:after="283"/>
              <w:rPr/>
            </w:pPr>
            <w:r>
              <w:rPr/>
              <w:t> </w:t>
            </w:r>
          </w:p>
        </w:tc>
        <w:tc>
          <w:tcPr>
            <w:tcW w:w="9877" w:type="dxa"/>
            <w:gridSpan w:val="2"/>
            <w:tcBorders/>
            <w:shd w:fill="auto" w:val="clear"/>
          </w:tcPr>
          <w:p>
            <w:pPr>
              <w:pStyle w:val="TableContents"/>
              <w:spacing w:before="0" w:after="283"/>
              <w:rPr>
                <w:sz w:val="4"/>
                <w:szCs w:val="4"/>
              </w:rPr>
            </w:pPr>
            <w:r>
              <w:rPr>
                <w:sz w:val="4"/>
                <w:szCs w:val="4"/>
              </w:rPr>
            </w:r>
          </w:p>
        </w:tc>
      </w:tr>
      <w:tr>
        <w:trPr/>
        <w:tc>
          <w:tcPr>
            <w:tcW w:w="328" w:type="dxa"/>
            <w:tcBorders/>
            <w:shd w:fill="auto" w:val="clear"/>
          </w:tcPr>
          <w:p>
            <w:pPr>
              <w:pStyle w:val="TableContents"/>
              <w:spacing w:before="0" w:after="283"/>
              <w:jc w:val="left"/>
              <w:rPr/>
            </w:pPr>
            <w:r>
              <w:rPr/>
              <w:t>9.</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i/>
              </w:rPr>
              <w:t>Long-term Incentive Plans</w:t>
            </w:r>
            <w:r>
              <w:rPr/>
              <w:t>. The majority of grants outstanding under our Long-Term Incentive Plans contain vesting criteria that are based on a combination of performance benchmarks and service period. The grants will vest in various percentages, typically on the later to occur of specified earliest vesting dates and the dates on which minimum distribution levels are reached. Among the various grants, vesting dates range from May 2007 to May 2012 and minimum annualized distribution levels range from $2.60 to $4.00. For some awards, a percentage of any remaining units will vest on a date certain in 2011 or 2012.</w:t>
            </w:r>
          </w:p>
        </w:tc>
      </w:tr>
      <w:tr>
        <w:trPr/>
        <w:tc>
          <w:tcPr>
            <w:tcW w:w="328" w:type="dxa"/>
            <w:tcBorders/>
            <w:shd w:fill="auto" w:val="clear"/>
            <w:vAlign w:val="center"/>
          </w:tcPr>
          <w:p>
            <w:pPr>
              <w:pStyle w:val="TableContents"/>
              <w:spacing w:before="0" w:after="283"/>
              <w:rPr/>
            </w:pPr>
            <w:r>
              <w:rPr/>
              <w:t> </w:t>
            </w:r>
          </w:p>
        </w:tc>
        <w:tc>
          <w:tcPr>
            <w:tcW w:w="9877" w:type="dxa"/>
            <w:gridSpan w:val="2"/>
            <w:tcBorders/>
            <w:shd w:fill="auto" w:val="clear"/>
          </w:tcPr>
          <w:p>
            <w:pPr>
              <w:pStyle w:val="TableContents"/>
              <w:spacing w:before="0" w:after="283"/>
              <w:rPr>
                <w:sz w:val="4"/>
                <w:szCs w:val="4"/>
              </w:rPr>
            </w:pPr>
            <w:r>
              <w:rPr>
                <w:sz w:val="4"/>
                <w:szCs w:val="4"/>
              </w:rPr>
            </w:r>
          </w:p>
        </w:tc>
      </w:tr>
      <w:tr>
        <w:trPr/>
        <w:tc>
          <w:tcPr>
            <w:tcW w:w="328"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t>We have reached the annualized distribution level of $3.20 and, accordingly, for grants that vest at annualized distribution levels of $3.20 or less, guidance includes an accrual over the corresponding service period at an assumed market price of $53.80 per unit as well as the fair value associated with awards that will vest on a date certain. For 2007, the guidance includes approximately $35.3 million of expense associated with these grants. The next annualized distribution threshold that would affect the vesting accrual is $3.50 and at this time, it has not been deemed probable. If achievement of the $3.50 performance threshold is deemed probable at any point during 2007, then the total LTIP charge for 2007 would increase by approximately $7.7 million, all other factors remaining constant.</w:t>
            </w:r>
          </w:p>
        </w:tc>
      </w:tr>
      <w:tr>
        <w:trPr/>
        <w:tc>
          <w:tcPr>
            <w:tcW w:w="328" w:type="dxa"/>
            <w:tcBorders/>
            <w:shd w:fill="auto" w:val="clear"/>
            <w:vAlign w:val="center"/>
          </w:tcPr>
          <w:p>
            <w:pPr>
              <w:pStyle w:val="TableContents"/>
              <w:spacing w:before="0" w:after="283"/>
              <w:rPr/>
            </w:pPr>
            <w:r>
              <w:rPr/>
              <w:t> </w:t>
            </w:r>
          </w:p>
        </w:tc>
        <w:tc>
          <w:tcPr>
            <w:tcW w:w="9877" w:type="dxa"/>
            <w:gridSpan w:val="2"/>
            <w:tcBorders/>
            <w:shd w:fill="auto" w:val="clear"/>
          </w:tcPr>
          <w:p>
            <w:pPr>
              <w:pStyle w:val="TableContents"/>
              <w:spacing w:before="0" w:after="283"/>
              <w:rPr>
                <w:sz w:val="4"/>
                <w:szCs w:val="4"/>
              </w:rPr>
            </w:pPr>
            <w:r>
              <w:rPr>
                <w:sz w:val="4"/>
                <w:szCs w:val="4"/>
              </w:rPr>
            </w:r>
          </w:p>
        </w:tc>
      </w:tr>
      <w:tr>
        <w:trPr/>
        <w:tc>
          <w:tcPr>
            <w:tcW w:w="328"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t>In May 2007, we anticipate that approximately 0.7 million units will vest totaling $37.8 million using the assumed $53.80 unit price above.</w:t>
            </w:r>
          </w:p>
        </w:tc>
      </w:tr>
      <w:tr>
        <w:trPr/>
        <w:tc>
          <w:tcPr>
            <w:tcW w:w="328" w:type="dxa"/>
            <w:tcBorders/>
            <w:shd w:fill="auto" w:val="clear"/>
            <w:vAlign w:val="center"/>
          </w:tcPr>
          <w:p>
            <w:pPr>
              <w:pStyle w:val="TableContents"/>
              <w:spacing w:before="0" w:after="283"/>
              <w:rPr/>
            </w:pPr>
            <w:r>
              <w:rPr/>
              <w:t> </w:t>
            </w:r>
          </w:p>
        </w:tc>
        <w:tc>
          <w:tcPr>
            <w:tcW w:w="9877" w:type="dxa"/>
            <w:gridSpan w:val="2"/>
            <w:tcBorders/>
            <w:shd w:fill="auto" w:val="clear"/>
          </w:tcPr>
          <w:p>
            <w:pPr>
              <w:pStyle w:val="TableContents"/>
              <w:spacing w:before="0" w:after="283"/>
              <w:rPr>
                <w:sz w:val="4"/>
                <w:szCs w:val="4"/>
              </w:rPr>
            </w:pPr>
            <w:r>
              <w:rPr>
                <w:sz w:val="4"/>
                <w:szCs w:val="4"/>
              </w:rPr>
            </w:r>
          </w:p>
        </w:tc>
      </w:tr>
      <w:tr>
        <w:trPr/>
        <w:tc>
          <w:tcPr>
            <w:tcW w:w="328" w:type="dxa"/>
            <w:tcBorders/>
            <w:shd w:fill="auto" w:val="clear"/>
          </w:tcPr>
          <w:p>
            <w:pPr>
              <w:pStyle w:val="TableContents"/>
              <w:spacing w:before="0" w:after="283"/>
              <w:jc w:val="left"/>
              <w:rPr/>
            </w:pPr>
            <w:r>
              <w:rPr/>
              <w:t> </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t>The actual amount of LTIP expense amortization in any given year will be directly influenced by our unit price at the end of each reporting period and the amount of amortization in the early years as well as new unit grants. Therefore, actual net income could differ materially from our projections.</w:t>
            </w:r>
          </w:p>
        </w:tc>
      </w:tr>
      <w:tr>
        <w:trPr/>
        <w:tc>
          <w:tcPr>
            <w:tcW w:w="328" w:type="dxa"/>
            <w:tcBorders/>
            <w:shd w:fill="auto" w:val="clear"/>
            <w:vAlign w:val="center"/>
          </w:tcPr>
          <w:p>
            <w:pPr>
              <w:pStyle w:val="TableContents"/>
              <w:spacing w:before="0" w:after="283"/>
              <w:rPr/>
            </w:pPr>
            <w:r>
              <w:rPr/>
              <w:t> </w:t>
            </w:r>
          </w:p>
        </w:tc>
        <w:tc>
          <w:tcPr>
            <w:tcW w:w="9877" w:type="dxa"/>
            <w:gridSpan w:val="2"/>
            <w:tcBorders/>
            <w:shd w:fill="auto" w:val="clear"/>
          </w:tcPr>
          <w:p>
            <w:pPr>
              <w:pStyle w:val="TableContents"/>
              <w:spacing w:before="0" w:after="283"/>
              <w:rPr>
                <w:sz w:val="4"/>
                <w:szCs w:val="4"/>
              </w:rPr>
            </w:pPr>
            <w:r>
              <w:rPr>
                <w:sz w:val="4"/>
                <w:szCs w:val="4"/>
              </w:rPr>
            </w:r>
          </w:p>
        </w:tc>
      </w:tr>
      <w:tr>
        <w:trPr/>
        <w:tc>
          <w:tcPr>
            <w:tcW w:w="328" w:type="dxa"/>
            <w:tcBorders/>
            <w:shd w:fill="auto" w:val="clear"/>
          </w:tcPr>
          <w:p>
            <w:pPr>
              <w:pStyle w:val="TableContents"/>
              <w:spacing w:before="0" w:after="283"/>
              <w:jc w:val="left"/>
              <w:rPr/>
            </w:pPr>
            <w:r>
              <w:rPr/>
              <w:t>10.</w:t>
            </w:r>
          </w:p>
        </w:tc>
        <w:tc>
          <w:tcPr>
            <w:tcW w:w="105" w:type="dxa"/>
            <w:tcBorders/>
            <w:shd w:fill="auto" w:val="clear"/>
          </w:tcPr>
          <w:p>
            <w:pPr>
              <w:pStyle w:val="TableContents"/>
              <w:spacing w:before="0" w:after="283"/>
              <w:rPr/>
            </w:pPr>
            <w:r>
              <w:rPr/>
              <w:t> </w:t>
            </w:r>
          </w:p>
        </w:tc>
        <w:tc>
          <w:tcPr>
            <w:tcW w:w="9772" w:type="dxa"/>
            <w:tcBorders/>
            <w:shd w:fill="auto" w:val="clear"/>
          </w:tcPr>
          <w:p>
            <w:pPr>
              <w:pStyle w:val="TableContents"/>
              <w:spacing w:before="0" w:after="0"/>
              <w:jc w:val="both"/>
              <w:rPr/>
            </w:pPr>
            <w:r>
              <w:rPr>
                <w:i/>
              </w:rPr>
              <w:t xml:space="preserve">Reconciliation of EBITDA and EBIT to Net Income. </w:t>
            </w:r>
            <w:r>
              <w:rPr/>
              <w:t>The following table reconciles the 2007 guidance ranges for EBITDA and EBIT to net income.</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- 8 -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right"/>
        <w:tblInd w:w="0" w:type="dxa"/>
        <w:tblCellMar>
          <w:top w:w="0" w:type="dxa"/>
          <w:left w:w="0" w:type="dxa"/>
          <w:bottom w:w="0" w:type="dxa"/>
          <w:right w:w="0" w:type="dxa"/>
        </w:tblCellMar>
      </w:tblPr>
      <w:tblGrid>
        <w:gridCol w:w="3370"/>
        <w:gridCol w:w="322"/>
        <w:gridCol w:w="214"/>
        <w:gridCol w:w="1024"/>
        <w:gridCol w:w="123"/>
        <w:gridCol w:w="344"/>
        <w:gridCol w:w="214"/>
        <w:gridCol w:w="1026"/>
        <w:gridCol w:w="100"/>
        <w:gridCol w:w="322"/>
        <w:gridCol w:w="222"/>
        <w:gridCol w:w="1058"/>
        <w:gridCol w:w="126"/>
        <w:gridCol w:w="346"/>
        <w:gridCol w:w="222"/>
        <w:gridCol w:w="1060"/>
        <w:gridCol w:w="112"/>
      </w:tblGrid>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401"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Guidance</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945" w:type="dxa"/>
            <w:gridSpan w:val="6"/>
            <w:tcBorders/>
            <w:shd w:fill="auto" w:val="clear"/>
            <w:vAlign w:val="bottom"/>
          </w:tcPr>
          <w:p>
            <w:pPr>
              <w:pStyle w:val="TableContents"/>
              <w:spacing w:before="0" w:after="283"/>
              <w:jc w:val="center"/>
              <w:rPr>
                <w:b/>
              </w:rPr>
            </w:pPr>
            <w:r>
              <w:rPr>
                <w:b/>
              </w:rPr>
              <w:t>Three Months Ending</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3034" w:type="dxa"/>
            <w:gridSpan w:val="6"/>
            <w:tcBorders/>
            <w:shd w:fill="auto" w:val="clear"/>
            <w:vAlign w:val="bottom"/>
          </w:tcPr>
          <w:p>
            <w:pPr>
              <w:pStyle w:val="TableContents"/>
              <w:spacing w:before="0" w:after="283"/>
              <w:jc w:val="center"/>
              <w:rPr>
                <w:b/>
              </w:rPr>
            </w:pPr>
            <w:r>
              <w:rPr>
                <w:b/>
              </w:rPr>
              <w:t>Twelve Months Ending</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94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March 31, 2007</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3034"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December 31, 2007</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3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24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Low</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128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High</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6401" w:type="dxa"/>
            <w:gridSpan w:val="14"/>
            <w:tcBorders/>
            <w:shd w:fill="auto" w:val="clear"/>
            <w:vAlign w:val="bottom"/>
          </w:tcPr>
          <w:p>
            <w:pPr>
              <w:pStyle w:val="TableContents"/>
              <w:spacing w:before="0" w:after="283"/>
              <w:jc w:val="center"/>
              <w:rPr>
                <w:b/>
              </w:rPr>
            </w:pPr>
            <w:r>
              <w:rPr>
                <w:b/>
              </w:rPr>
              <w:t>(in millions)</w:t>
            </w:r>
          </w:p>
        </w:tc>
        <w:tc>
          <w:tcPr>
            <w:tcW w:w="112" w:type="dxa"/>
            <w:tcBorders/>
            <w:shd w:fill="auto" w:val="clear"/>
            <w:vAlign w:val="bottom"/>
          </w:tcPr>
          <w:p>
            <w:pPr>
              <w:pStyle w:val="TableContents"/>
              <w:spacing w:before="0" w:after="283"/>
              <w:rPr/>
            </w:pPr>
            <w:r>
              <w:rPr/>
              <w:t> </w:t>
            </w:r>
          </w:p>
        </w:tc>
      </w:tr>
      <w:tr>
        <w:trPr/>
        <w:tc>
          <w:tcPr>
            <w:tcW w:w="3370" w:type="dxa"/>
            <w:tcBorders/>
            <w:shd w:fill="CCEEFF" w:val="clear"/>
            <w:vAlign w:val="bottom"/>
          </w:tcPr>
          <w:p>
            <w:pPr>
              <w:pStyle w:val="TableContents"/>
              <w:spacing w:before="0" w:after="0"/>
              <w:ind w:left="225" w:right="0" w:hanging="225"/>
              <w:rPr>
                <w:b/>
              </w:rPr>
            </w:pPr>
            <w:r>
              <w:rPr>
                <w:b/>
              </w:rPr>
              <w:t>Reconciliation to Net Income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rPr/>
            </w:pPr>
            <w:r>
              <w:rPr/>
              <w:t> </w:t>
            </w:r>
          </w:p>
        </w:tc>
        <w:tc>
          <w:tcPr>
            <w:tcW w:w="112" w:type="dxa"/>
            <w:tcBorders/>
            <w:shd w:fill="CCEEFF"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0"/>
              <w:ind w:left="450" w:right="0" w:hanging="225"/>
              <w:rPr/>
            </w:pPr>
            <w:r>
              <w:rPr/>
              <w:t>EBITDA</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024" w:type="dxa"/>
            <w:tcBorders/>
            <w:shd w:fill="auto" w:val="clear"/>
            <w:vAlign w:val="bottom"/>
          </w:tcPr>
          <w:p>
            <w:pPr>
              <w:pStyle w:val="TableContents"/>
              <w:spacing w:before="0" w:after="283"/>
              <w:jc w:val="right"/>
              <w:rPr/>
            </w:pPr>
            <w:r>
              <w:rPr/>
              <w:t>162.0</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026" w:type="dxa"/>
            <w:tcBorders/>
            <w:shd w:fill="auto" w:val="clear"/>
            <w:vAlign w:val="bottom"/>
          </w:tcPr>
          <w:p>
            <w:pPr>
              <w:pStyle w:val="TableContents"/>
              <w:spacing w:before="0" w:after="283"/>
              <w:jc w:val="right"/>
              <w:rPr/>
            </w:pPr>
            <w:r>
              <w:rPr/>
              <w:t>174.0</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634.7</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jc w:val="left"/>
              <w:rPr/>
            </w:pPr>
            <w:r>
              <w:rPr/>
              <w:t>$</w:t>
            </w:r>
          </w:p>
        </w:tc>
        <w:tc>
          <w:tcPr>
            <w:tcW w:w="1060" w:type="dxa"/>
            <w:tcBorders/>
            <w:shd w:fill="auto" w:val="clear"/>
            <w:vAlign w:val="bottom"/>
          </w:tcPr>
          <w:p>
            <w:pPr>
              <w:pStyle w:val="TableContents"/>
              <w:spacing w:before="0" w:after="283"/>
              <w:jc w:val="right"/>
              <w:rPr/>
            </w:pPr>
            <w:r>
              <w:rPr/>
              <w:t>674.7</w:t>
            </w:r>
          </w:p>
        </w:tc>
        <w:tc>
          <w:tcPr>
            <w:tcW w:w="112" w:type="dxa"/>
            <w:tcBorders/>
            <w:shd w:fill="auto" w:val="clear"/>
            <w:vAlign w:val="bottom"/>
          </w:tcPr>
          <w:p>
            <w:pPr>
              <w:pStyle w:val="TableContents"/>
              <w:spacing w:before="0" w:after="283"/>
              <w:rPr/>
            </w:pPr>
            <w:r>
              <w:rPr/>
              <w:t> </w:t>
            </w:r>
          </w:p>
        </w:tc>
      </w:tr>
      <w:tr>
        <w:trPr/>
        <w:tc>
          <w:tcPr>
            <w:tcW w:w="3370" w:type="dxa"/>
            <w:tcBorders/>
            <w:shd w:fill="CCEEFF" w:val="clear"/>
            <w:vAlign w:val="bottom"/>
          </w:tcPr>
          <w:p>
            <w:pPr>
              <w:pStyle w:val="TableContents"/>
              <w:spacing w:before="0" w:after="0"/>
              <w:ind w:left="450" w:right="0" w:hanging="225"/>
              <w:rPr/>
            </w:pPr>
            <w:r>
              <w:rPr/>
              <w:t>Depreciation and amortization</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41.5</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41.0</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170.0</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168.0</w:t>
            </w:r>
          </w:p>
        </w:tc>
        <w:tc>
          <w:tcPr>
            <w:tcW w:w="112" w:type="dxa"/>
            <w:tcBorders/>
            <w:shd w:fill="CCEEFF" w:val="clear"/>
            <w:vAlign w:val="bottom"/>
          </w:tcPr>
          <w:p>
            <w:pPr>
              <w:pStyle w:val="TableContents"/>
              <w:spacing w:before="0" w:after="283"/>
              <w:rPr/>
            </w:pPr>
            <w:r>
              <w:rPr/>
              <w:t> </w:t>
            </w:r>
          </w:p>
        </w:tc>
      </w:tr>
      <w:tr>
        <w:trPr/>
        <w:tc>
          <w:tcPr>
            <w:tcW w:w="3370"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r>
        <w:trPr/>
        <w:tc>
          <w:tcPr>
            <w:tcW w:w="3370" w:type="dxa"/>
            <w:tcBorders/>
            <w:shd w:fill="auto" w:val="clear"/>
            <w:vAlign w:val="bottom"/>
          </w:tcPr>
          <w:p>
            <w:pPr>
              <w:pStyle w:val="TableContents"/>
              <w:spacing w:before="0" w:after="0"/>
              <w:ind w:left="450" w:right="0" w:hanging="225"/>
              <w:rPr/>
            </w:pPr>
            <w:r>
              <w:rPr/>
              <w:t>EBIT</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120.5</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133.0</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464.7</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506.7</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0"/>
              <w:ind w:left="225" w:right="0" w:hanging="225"/>
              <w:rPr/>
            </w:pPr>
            <w:r>
              <w:rPr/>
              <w:t> </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rPr/>
            </w:pPr>
            <w:r>
              <w:rPr/>
              <w:t> </w:t>
            </w:r>
          </w:p>
        </w:tc>
      </w:tr>
      <w:tr>
        <w:trPr/>
        <w:tc>
          <w:tcPr>
            <w:tcW w:w="3370" w:type="dxa"/>
            <w:tcBorders/>
            <w:shd w:fill="CCEEFF" w:val="clear"/>
            <w:vAlign w:val="bottom"/>
          </w:tcPr>
          <w:p>
            <w:pPr>
              <w:pStyle w:val="TableContents"/>
              <w:spacing w:before="0" w:after="0"/>
              <w:ind w:left="450" w:right="0" w:hanging="225"/>
              <w:rPr/>
            </w:pPr>
            <w:r>
              <w:rPr/>
              <w:t>Interest expense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41.5</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26" w:type="dxa"/>
            <w:tcBorders/>
            <w:shd w:fill="CCEEFF" w:val="clear"/>
            <w:vAlign w:val="bottom"/>
          </w:tcPr>
          <w:p>
            <w:pPr>
              <w:pStyle w:val="TableContents"/>
              <w:spacing w:before="0" w:after="283"/>
              <w:jc w:val="right"/>
              <w:rPr/>
            </w:pPr>
            <w:r>
              <w:rPr/>
              <w:t>40.5</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168.0</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164.0</w:t>
            </w:r>
          </w:p>
        </w:tc>
        <w:tc>
          <w:tcPr>
            <w:tcW w:w="112" w:type="dxa"/>
            <w:tcBorders/>
            <w:shd w:fill="CCEEFF" w:val="clear"/>
            <w:vAlign w:val="bottom"/>
          </w:tcPr>
          <w:p>
            <w:pPr>
              <w:pStyle w:val="TableContents"/>
              <w:spacing w:before="0" w:after="283"/>
              <w:rPr/>
            </w:pPr>
            <w:r>
              <w:rPr/>
              <w:t> </w:t>
            </w:r>
          </w:p>
        </w:tc>
      </w:tr>
      <w:tr>
        <w:trPr/>
        <w:tc>
          <w:tcPr>
            <w:tcW w:w="3370" w:type="dxa"/>
            <w:tcBorders/>
            <w:shd w:fill="auto" w:val="clear"/>
            <w:vAlign w:val="bottom"/>
          </w:tcPr>
          <w:p>
            <w:pPr>
              <w:pStyle w:val="TableContents"/>
              <w:spacing w:before="0" w:after="0"/>
              <w:ind w:left="450" w:right="0" w:hanging="225"/>
              <w:rPr/>
            </w:pPr>
            <w:r>
              <w:rPr/>
              <w:t>Income tax expense</w:t>
            </w:r>
          </w:p>
        </w:tc>
        <w:tc>
          <w:tcPr>
            <w:tcW w:w="322"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0.6</w:t>
            </w:r>
          </w:p>
        </w:tc>
        <w:tc>
          <w:tcPr>
            <w:tcW w:w="123"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0.2</w:t>
            </w:r>
          </w:p>
        </w:tc>
        <w:tc>
          <w:tcPr>
            <w:tcW w:w="100"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1.7</w:t>
            </w:r>
          </w:p>
        </w:tc>
        <w:tc>
          <w:tcPr>
            <w:tcW w:w="126"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1.3</w:t>
            </w:r>
          </w:p>
        </w:tc>
        <w:tc>
          <w:tcPr>
            <w:tcW w:w="112" w:type="dxa"/>
            <w:tcBorders/>
            <w:shd w:fill="auto" w:val="clear"/>
            <w:vAlign w:val="bottom"/>
          </w:tcPr>
          <w:p>
            <w:pPr>
              <w:pStyle w:val="TableContents"/>
              <w:spacing w:before="0" w:after="283"/>
              <w:rPr/>
            </w:pPr>
            <w:r>
              <w:rPr/>
              <w:t> </w:t>
            </w:r>
          </w:p>
        </w:tc>
      </w:tr>
      <w:tr>
        <w:trPr/>
        <w:tc>
          <w:tcPr>
            <w:tcW w:w="3370"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2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28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r>
        <w:trPr/>
        <w:tc>
          <w:tcPr>
            <w:tcW w:w="3370" w:type="dxa"/>
            <w:tcBorders/>
            <w:shd w:fill="CCEEFF" w:val="clear"/>
            <w:vAlign w:val="bottom"/>
          </w:tcPr>
          <w:p>
            <w:pPr>
              <w:pStyle w:val="TableContents"/>
              <w:spacing w:before="0" w:after="0"/>
              <w:ind w:left="450" w:right="0" w:hanging="225"/>
              <w:rPr/>
            </w:pPr>
            <w:r>
              <w:rPr/>
              <w:t>Net Income</w:t>
            </w:r>
          </w:p>
        </w:tc>
        <w:tc>
          <w:tcPr>
            <w:tcW w:w="322"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024" w:type="dxa"/>
            <w:tcBorders/>
            <w:shd w:fill="CCEEFF" w:val="clear"/>
            <w:vAlign w:val="bottom"/>
          </w:tcPr>
          <w:p>
            <w:pPr>
              <w:pStyle w:val="TableContents"/>
              <w:spacing w:before="0" w:after="283"/>
              <w:jc w:val="right"/>
              <w:rPr/>
            </w:pPr>
            <w:r>
              <w:rPr/>
              <w:t>78.4</w:t>
            </w:r>
          </w:p>
        </w:tc>
        <w:tc>
          <w:tcPr>
            <w:tcW w:w="123"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026" w:type="dxa"/>
            <w:tcBorders/>
            <w:shd w:fill="CCEEFF" w:val="clear"/>
            <w:vAlign w:val="bottom"/>
          </w:tcPr>
          <w:p>
            <w:pPr>
              <w:pStyle w:val="TableContents"/>
              <w:spacing w:before="0" w:after="283"/>
              <w:jc w:val="right"/>
              <w:rPr/>
            </w:pPr>
            <w:r>
              <w:rPr/>
              <w:t>92.3</w:t>
            </w:r>
          </w:p>
        </w:tc>
        <w:tc>
          <w:tcPr>
            <w:tcW w:w="100"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295.0</w:t>
            </w:r>
          </w:p>
        </w:tc>
        <w:tc>
          <w:tcPr>
            <w:tcW w:w="126" w:type="dxa"/>
            <w:tcBorders/>
            <w:shd w:fill="CCEEFF" w:val="clear"/>
            <w:vAlign w:val="bottom"/>
          </w:tcPr>
          <w:p>
            <w:pPr>
              <w:pStyle w:val="TableContents"/>
              <w:spacing w:before="0" w:after="283"/>
              <w:rPr/>
            </w:pPr>
            <w:r>
              <w:rPr/>
              <w:t> </w:t>
            </w:r>
          </w:p>
        </w:tc>
        <w:tc>
          <w:tcPr>
            <w:tcW w:w="34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jc w:val="left"/>
              <w:rPr/>
            </w:pPr>
            <w:r>
              <w:rPr/>
              <w:t>$</w:t>
            </w:r>
          </w:p>
        </w:tc>
        <w:tc>
          <w:tcPr>
            <w:tcW w:w="1060" w:type="dxa"/>
            <w:tcBorders/>
            <w:shd w:fill="CCEEFF" w:val="clear"/>
            <w:vAlign w:val="bottom"/>
          </w:tcPr>
          <w:p>
            <w:pPr>
              <w:pStyle w:val="TableContents"/>
              <w:spacing w:before="0" w:after="283"/>
              <w:jc w:val="right"/>
              <w:rPr/>
            </w:pPr>
            <w:r>
              <w:rPr/>
              <w:t>341.4</w:t>
            </w:r>
          </w:p>
        </w:tc>
        <w:tc>
          <w:tcPr>
            <w:tcW w:w="112" w:type="dxa"/>
            <w:tcBorders/>
            <w:shd w:fill="CCEEFF" w:val="clear"/>
            <w:vAlign w:val="bottom"/>
          </w:tcPr>
          <w:p>
            <w:pPr>
              <w:pStyle w:val="TableContents"/>
              <w:spacing w:before="0" w:after="283"/>
              <w:rPr/>
            </w:pPr>
            <w:r>
              <w:rPr/>
              <w:t> </w:t>
            </w:r>
          </w:p>
        </w:tc>
      </w:tr>
      <w:tr>
        <w:trPr/>
        <w:tc>
          <w:tcPr>
            <w:tcW w:w="3370" w:type="dxa"/>
            <w:tcBorders/>
            <w:shd w:fill="auto" w:val="clear"/>
            <w:vAlign w:val="center"/>
          </w:tcPr>
          <w:p>
            <w:pPr>
              <w:pStyle w:val="TableContents"/>
              <w:spacing w:before="0" w:after="0"/>
              <w:ind w:left="225" w:right="0" w:hanging="225"/>
              <w:rPr/>
            </w:pPr>
            <w:r>
              <w:rPr/>
              <w:t> </w:t>
            </w:r>
          </w:p>
        </w:tc>
        <w:tc>
          <w:tcPr>
            <w:tcW w:w="322" w:type="dxa"/>
            <w:tcBorders/>
            <w:shd w:fill="auto" w:val="clear"/>
            <w:vAlign w:val="center"/>
          </w:tcPr>
          <w:p>
            <w:pPr>
              <w:pStyle w:val="TableContents"/>
              <w:spacing w:before="0" w:after="283"/>
              <w:rPr/>
            </w:pPr>
            <w:r>
              <w:rPr/>
              <w:t> </w:t>
            </w:r>
          </w:p>
        </w:tc>
        <w:tc>
          <w:tcPr>
            <w:tcW w:w="12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c>
          <w:tcPr>
            <w:tcW w:w="344" w:type="dxa"/>
            <w:tcBorders/>
            <w:shd w:fill="auto" w:val="clear"/>
            <w:vAlign w:val="center"/>
          </w:tcPr>
          <w:p>
            <w:pPr>
              <w:pStyle w:val="TableContents"/>
              <w:spacing w:before="0" w:after="283"/>
              <w:rPr/>
            </w:pPr>
            <w:r>
              <w:rPr/>
              <w:t> </w:t>
            </w:r>
          </w:p>
        </w:tc>
        <w:tc>
          <w:tcPr>
            <w:tcW w:w="12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0" w:type="dxa"/>
            <w:tcBorders/>
            <w:shd w:fill="auto" w:val="clear"/>
            <w:vAlign w:val="center"/>
          </w:tcPr>
          <w:p>
            <w:pPr>
              <w:pStyle w:val="TableContents"/>
              <w:spacing w:before="0" w:after="283"/>
              <w:rPr/>
            </w:pPr>
            <w:r>
              <w:rPr/>
              <w:t> </w:t>
            </w:r>
          </w:p>
        </w:tc>
        <w:tc>
          <w:tcPr>
            <w:tcW w:w="322"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c>
          <w:tcPr>
            <w:tcW w:w="346" w:type="dxa"/>
            <w:tcBorders/>
            <w:shd w:fill="auto" w:val="clear"/>
            <w:vAlign w:val="center"/>
          </w:tcPr>
          <w:p>
            <w:pPr>
              <w:pStyle w:val="TableContents"/>
              <w:spacing w:before="0" w:after="283"/>
              <w:rPr/>
            </w:pPr>
            <w:r>
              <w:rPr/>
              <w:t> </w:t>
            </w:r>
          </w:p>
        </w:tc>
        <w:tc>
          <w:tcPr>
            <w:tcW w:w="128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2" w:type="dxa"/>
            <w:tcBorders/>
            <w:shd w:fill="auto" w:val="clear"/>
            <w:vAlign w:val="center"/>
          </w:tcPr>
          <w:p>
            <w:pPr>
              <w:pStyle w:val="TableContents"/>
              <w:spacing w:before="0" w:after="283"/>
              <w:rPr/>
            </w:pPr>
            <w:r>
              <w:rPr/>
              <w:t> </w:t>
            </w:r>
          </w:p>
        </w:tc>
      </w:tr>
    </w:tbl>
    <w:p>
      <w:pPr>
        <w:pStyle w:val="TextBody"/>
        <w:spacing w:before="240" w:after="283"/>
        <w:jc w:val="both"/>
        <w:rPr>
          <w:rFonts w:ascii="Times New Roman;Times;serif" w:hAnsi="Times New Roman;Times;serif"/>
          <w:sz w:val="17"/>
        </w:rPr>
      </w:pPr>
      <w:r>
        <w:rPr>
          <w:rFonts w:ascii="Times New Roman;Times;serif" w:hAnsi="Times New Roman;Times;serif"/>
          <w:b/>
          <w:sz w:val="17"/>
        </w:rPr>
        <w:t>Forward-Looking Statements and Associated Risks</w:t>
      </w:r>
      <w:r>
        <w:rPr>
          <w:rFonts w:ascii="Times New Roman;Times;serif" w:hAnsi="Times New Roman;Times;serif"/>
          <w:sz w:val="17"/>
        </w:rPr>
        <w:t xml:space="preserve"> </w:t>
      </w:r>
    </w:p>
    <w:p>
      <w:pPr>
        <w:pStyle w:val="TextBody"/>
        <w:spacing w:before="120" w:after="283"/>
        <w:jc w:val="both"/>
        <w:rPr/>
      </w:pPr>
      <w:r>
        <w:rPr/>
        <w:t>     </w:t>
      </w:r>
      <w:r>
        <w:rPr>
          <w:rFonts w:ascii="Times New Roman;Times;serif" w:hAnsi="Times New Roman;Times;serif"/>
          <w:sz w:val="17"/>
        </w:rPr>
        <w:t xml:space="preserve">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jc w:val="center"/>
        <w:rPr>
          <w:rFonts w:ascii="Times New Roman;Times;serif" w:hAnsi="Times New Roman;Times;serif"/>
          <w:sz w:val="17"/>
        </w:rPr>
      </w:pPr>
      <w:r>
        <w:rPr>
          <w:rFonts w:ascii="Times New Roman;Times;serif" w:hAnsi="Times New Roman;Times;serif"/>
          <w:sz w:val="17"/>
        </w:rPr>
        <w:t xml:space="preserve">- 9 -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our failure to successfully integrate the business operations of Pacific or our failure to successfully integrate any future acquisitions;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failure to realize the anticipated cost savings, synergies and other benefits of the merger with Pacific;</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success of our risk management activities;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environmental liabilities or events that are not covered by an indemnity, insurance or existing reserves;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maintenance of our credit rating and ability to receive open credit from our suppliers and trade counterparties;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abrupt or severe declines or interruptions in outer continental shelf production located offshore California and transported on our pipeline systems;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failure to implement or capitalize on planned internal growth projects;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availability of adequate third party production volumes for transportation and marketing in the areas in which we operate and other factors that could cause declines in volumes shipped on our pipelines by us and third party shippers;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fluctuations in refinery capacity in areas supplied by our main lines and other factors affecting demand for various grades of crude oil, refined products and natural gas and resulting changes in pricing conditions or transmission throughput requirements;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availability of, and our ability to consummate, acquisition or combination opportunities;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our access to capital to fund additional acquisitions and our ability to obtain debt or equity financing on satisfactory terms;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successful integration and future performance of acquired assets or businesses and the risks associated with operating in lines of business that are distinct and separate from our historical operations;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unanticipated changes in crude oil market structure and volatility (or lack thereof);</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impact of current and future laws, rulings and governmental regulations;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effects of competition;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continued creditworthiness of, and performance by, our counterparties;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interruptions in service and fluctuations in tariffs or volumes on third party pipelines;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increased costs or lack of availability of insurance:</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fluctuations in the debt and equity markets, including the price of our units at the time of vesting under our Long-Term Incentive Plans;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the currency exchange rate of the Canadian dollar;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shortages or cost increases of power supplies, materials or labor;</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weather interference with business operations or project construction;</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risks related to the development and operation of natural gas storage facilities;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general economic, market or business conditions; and</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both"/>
              <w:rPr/>
            </w:pPr>
            <w:r>
              <w:rPr/>
              <w:t>other factors and uncertainties inherent in the transportation, storage, terminalling and marketing of crude oil, refined products and liquefied petroleum gas and other natural gas related petroleum products.</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- 10 -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120" w:after="283"/>
        <w:jc w:val="both"/>
        <w:rPr/>
      </w:pPr>
      <w:r>
        <w:rPr/>
        <w:t>     </w:t>
      </w:r>
      <w:r>
        <w:rPr>
          <w:rFonts w:ascii="Times New Roman;Times;serif" w:hAnsi="Times New Roman;Times;serif"/>
          <w:sz w:val="17"/>
        </w:rPr>
        <w:t xml:space="preserve">We undertake no obligation to publicly update or revise any forward-looking statements. Further information on risks and uncertainties is available in our filings with the Securities and Exchange Commission, which information is incorporated by reference herein. </w:t>
      </w:r>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both"/>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369"/>
        <w:gridCol w:w="353"/>
        <w:gridCol w:w="305"/>
        <w:gridCol w:w="353"/>
        <w:gridCol w:w="5825"/>
      </w:tblGrid>
      <w:tr>
        <w:trPr/>
        <w:tc>
          <w:tcPr>
            <w:tcW w:w="3369"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vAlign w:val="bottom"/>
          </w:tcPr>
          <w:p>
            <w:pPr>
              <w:pStyle w:val="TableContents"/>
              <w:spacing w:before="0" w:after="283"/>
              <w:rPr/>
            </w:pPr>
            <w:r>
              <w:rPr/>
              <w:t> </w:t>
            </w:r>
          </w:p>
        </w:tc>
      </w:tr>
      <w:tr>
        <w:trPr/>
        <w:tc>
          <w:tcPr>
            <w:tcW w:w="3369" w:type="dxa"/>
            <w:tcBorders/>
            <w:shd w:fill="auto" w:val="clear"/>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6483" w:type="dxa"/>
            <w:gridSpan w:val="3"/>
            <w:tcBorders/>
            <w:shd w:fill="auto" w:val="clear"/>
          </w:tcPr>
          <w:p>
            <w:pPr>
              <w:pStyle w:val="TableContents"/>
              <w:spacing w:before="0" w:after="283"/>
              <w:jc w:val="left"/>
              <w:rPr/>
            </w:pPr>
            <w:r>
              <w:rPr/>
              <w:t>PLAINS ALL AMERICAN PIPELINE, L.P.</w:t>
            </w:r>
          </w:p>
        </w:tc>
      </w:tr>
      <w:tr>
        <w:trPr/>
        <w:tc>
          <w:tcPr>
            <w:tcW w:w="3369" w:type="dxa"/>
            <w:tcBorders/>
            <w:shd w:fill="auto" w:val="clear"/>
          </w:tcPr>
          <w:p>
            <w:pPr>
              <w:pStyle w:val="TableContents"/>
              <w:spacing w:before="0" w:after="0"/>
              <w:ind w:left="0" w:right="0" w:hanging="0"/>
              <w:rPr/>
            </w:pPr>
            <w:r>
              <w:rPr/>
              <w:t>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 </w:t>
            </w:r>
          </w:p>
        </w:tc>
      </w:tr>
      <w:tr>
        <w:trPr/>
        <w:tc>
          <w:tcPr>
            <w:tcW w:w="3369" w:type="dxa"/>
            <w:tcBorders/>
            <w:shd w:fill="auto" w:val="clear"/>
          </w:tcPr>
          <w:p>
            <w:pPr>
              <w:pStyle w:val="TableContents"/>
              <w:spacing w:before="0" w:after="0"/>
              <w:ind w:left="0" w:right="0" w:hanging="0"/>
              <w:rPr/>
            </w:pPr>
            <w:r>
              <w:rPr/>
              <w:t xml:space="preserve">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PLAINS AAP, L. P., its general partner</w:t>
            </w:r>
          </w:p>
        </w:tc>
      </w:tr>
      <w:tr>
        <w:trPr/>
        <w:tc>
          <w:tcPr>
            <w:tcW w:w="3369" w:type="dxa"/>
            <w:tcBorders/>
            <w:shd w:fill="auto" w:val="clear"/>
          </w:tcPr>
          <w:p>
            <w:pPr>
              <w:pStyle w:val="TableContents"/>
              <w:spacing w:before="0" w:after="0"/>
              <w:ind w:left="0" w:right="0" w:hanging="0"/>
              <w:rPr/>
            </w:pPr>
            <w:r>
              <w:rPr/>
              <w:t>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 </w:t>
            </w:r>
          </w:p>
        </w:tc>
      </w:tr>
      <w:tr>
        <w:trPr/>
        <w:tc>
          <w:tcPr>
            <w:tcW w:w="3369" w:type="dxa"/>
            <w:tcBorders/>
            <w:shd w:fill="auto" w:val="clear"/>
          </w:tcPr>
          <w:p>
            <w:pPr>
              <w:pStyle w:val="TableContents"/>
              <w:spacing w:before="0" w:after="0"/>
              <w:ind w:left="0" w:right="0" w:hanging="0"/>
              <w:rPr/>
            </w:pPr>
            <w:r>
              <w:rPr/>
              <w:t xml:space="preserve">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PLAINS ALL AMERICAN GP LLC, its general partner</w:t>
            </w:r>
          </w:p>
        </w:tc>
      </w:tr>
      <w:tr>
        <w:trPr/>
        <w:tc>
          <w:tcPr>
            <w:tcW w:w="3369" w:type="dxa"/>
            <w:tcBorders/>
            <w:shd w:fill="auto" w:val="clear"/>
          </w:tcPr>
          <w:p>
            <w:pPr>
              <w:pStyle w:val="TableContents"/>
              <w:spacing w:before="0" w:after="0"/>
              <w:ind w:left="0" w:right="0" w:hanging="0"/>
              <w:rPr/>
            </w:pPr>
            <w:r>
              <w:rPr/>
              <w:t>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 </w:t>
            </w:r>
          </w:p>
        </w:tc>
      </w:tr>
      <w:tr>
        <w:trPr/>
        <w:tc>
          <w:tcPr>
            <w:tcW w:w="3369" w:type="dxa"/>
            <w:tcBorders/>
            <w:shd w:fill="auto" w:val="clear"/>
          </w:tcPr>
          <w:p>
            <w:pPr>
              <w:pStyle w:val="TableContents"/>
              <w:spacing w:before="0" w:after="0"/>
              <w:ind w:left="0" w:right="0" w:hanging="0"/>
              <w:rPr/>
            </w:pPr>
            <w:r>
              <w:rPr/>
              <w:t xml:space="preserve">Date: February 22, 2007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/s/ PHIL KRAMER</w:t>
            </w:r>
          </w:p>
        </w:tc>
      </w:tr>
      <w:tr>
        <w:trPr/>
        <w:tc>
          <w:tcPr>
            <w:tcW w:w="3369" w:type="dxa"/>
            <w:tcBorders/>
            <w:shd w:fill="auto" w:val="clear"/>
          </w:tcPr>
          <w:p>
            <w:pPr>
              <w:pStyle w:val="TableContents"/>
              <w:spacing w:before="0" w:after="0"/>
              <w:ind w:left="0" w:right="0" w:hanging="0"/>
              <w:rPr/>
            </w:pPr>
            <w:r>
              <w:rPr/>
              <w:t xml:space="preserve">  </w:t>
            </w:r>
          </w:p>
        </w:tc>
        <w:tc>
          <w:tcPr>
            <w:tcW w:w="353"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5825" w:type="dxa"/>
            <w:tcBorders>
              <w:top w:val="single" w:sz="2" w:space="0" w:color="000000"/>
            </w:tcBorders>
            <w:shd w:fill="auto" w:val="clear"/>
            <w:tcMar>
              <w:top w:w="28" w:type="dxa"/>
            </w:tcMar>
          </w:tcPr>
          <w:p>
            <w:pPr>
              <w:pStyle w:val="TableContents"/>
              <w:spacing w:before="0" w:after="283"/>
              <w:jc w:val="left"/>
              <w:rPr/>
            </w:pPr>
            <w:r>
              <w:rPr/>
              <w:t> </w:t>
            </w:r>
          </w:p>
        </w:tc>
      </w:tr>
      <w:tr>
        <w:trPr/>
        <w:tc>
          <w:tcPr>
            <w:tcW w:w="3369" w:type="dxa"/>
            <w:tcBorders/>
            <w:shd w:fill="auto" w:val="clear"/>
          </w:tcPr>
          <w:p>
            <w:pPr>
              <w:pStyle w:val="TableContents"/>
              <w:spacing w:before="0" w:after="0"/>
              <w:ind w:left="0" w:right="0" w:hanging="0"/>
              <w:rPr/>
            </w:pPr>
            <w:r>
              <w:rPr/>
              <w:t xml:space="preserve">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Name: Phil Kramer</w:t>
            </w:r>
          </w:p>
        </w:tc>
      </w:tr>
      <w:tr>
        <w:trPr/>
        <w:tc>
          <w:tcPr>
            <w:tcW w:w="3369" w:type="dxa"/>
            <w:tcBorders/>
            <w:shd w:fill="auto" w:val="clear"/>
          </w:tcPr>
          <w:p>
            <w:pPr>
              <w:pStyle w:val="TableContents"/>
              <w:spacing w:before="0" w:after="0"/>
              <w:ind w:left="0" w:right="0" w:hanging="0"/>
              <w:rPr/>
            </w:pPr>
            <w:r>
              <w:rPr/>
              <w:t xml:space="preserve">  </w:t>
            </w:r>
          </w:p>
        </w:tc>
        <w:tc>
          <w:tcPr>
            <w:tcW w:w="353"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353" w:type="dxa"/>
            <w:tcBorders/>
            <w:shd w:fill="auto" w:val="clear"/>
            <w:vAlign w:val="bottom"/>
          </w:tcPr>
          <w:p>
            <w:pPr>
              <w:pStyle w:val="TableContents"/>
              <w:spacing w:before="0" w:after="283"/>
              <w:rPr/>
            </w:pPr>
            <w:r>
              <w:rPr/>
              <w:t> </w:t>
            </w:r>
          </w:p>
        </w:tc>
        <w:tc>
          <w:tcPr>
            <w:tcW w:w="5825" w:type="dxa"/>
            <w:tcBorders/>
            <w:shd w:fill="auto" w:val="clear"/>
          </w:tcPr>
          <w:p>
            <w:pPr>
              <w:pStyle w:val="TableContents"/>
              <w:spacing w:before="0" w:after="283"/>
              <w:jc w:val="left"/>
              <w:rPr/>
            </w:pPr>
            <w:r>
              <w:rPr/>
              <w:t xml:space="preserve">Title: </w:t>
            </w:r>
            <w:r>
              <w:rPr>
                <w:i/>
              </w:rPr>
              <w:t>Executive Vice President and Chief Financial Officer</w:t>
            </w:r>
          </w:p>
        </w:tc>
      </w:tr>
    </w:tbl>
    <w:p>
      <w:pPr>
        <w:pStyle w:val="TextBody"/>
        <w:jc w:val="center"/>
        <w:rPr>
          <w:rFonts w:ascii="Times New Roman;Times;serif" w:hAnsi="Times New Roman;Times;serif"/>
          <w:sz w:val="17"/>
        </w:rPr>
      </w:pPr>
      <w:r>
        <w:rPr>
          <w:rFonts w:ascii="Times New Roman;Times;serif" w:hAnsi="Times New Roman;Times;serif"/>
          <w:sz w:val="17"/>
        </w:rPr>
        <w:t xml:space="preserve">- 11 -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215"/>
        <w:gridCol w:w="478"/>
        <w:gridCol w:w="8512"/>
      </w:tblGrid>
      <w:tr>
        <w:trPr/>
        <w:tc>
          <w:tcPr>
            <w:tcW w:w="1215"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rPr/>
            </w:pPr>
            <w:r>
              <w:rPr/>
              <w:t> </w:t>
            </w:r>
          </w:p>
        </w:tc>
        <w:tc>
          <w:tcPr>
            <w:tcW w:w="8512" w:type="dxa"/>
            <w:tcBorders/>
            <w:shd w:fill="auto" w:val="clear"/>
            <w:vAlign w:val="bottom"/>
          </w:tcPr>
          <w:p>
            <w:pPr>
              <w:pStyle w:val="TableContents"/>
              <w:spacing w:before="0" w:after="283"/>
              <w:rPr/>
            </w:pPr>
            <w:r>
              <w:rPr/>
              <w:t> </w:t>
            </w:r>
          </w:p>
        </w:tc>
      </w:tr>
      <w:tr>
        <w:trPr/>
        <w:tc>
          <w:tcPr>
            <w:tcW w:w="1215" w:type="dxa"/>
            <w:tcBorders>
              <w:bottom w:val="single" w:sz="2" w:space="0" w:color="000000"/>
            </w:tcBorders>
            <w:shd w:fill="auto" w:val="clear"/>
            <w:tcMar>
              <w:bottom w:w="28" w:type="dxa"/>
            </w:tcMar>
            <w:vAlign w:val="bottom"/>
          </w:tcPr>
          <w:p>
            <w:pPr>
              <w:pStyle w:val="TableContents"/>
              <w:spacing w:before="0" w:after="283"/>
              <w:jc w:val="center"/>
              <w:rPr>
                <w:b/>
              </w:rPr>
            </w:pPr>
            <w:r>
              <w:rPr>
                <w:b/>
              </w:rPr>
              <w:t>Exhibit No.</w:t>
            </w:r>
          </w:p>
        </w:tc>
        <w:tc>
          <w:tcPr>
            <w:tcW w:w="478" w:type="dxa"/>
            <w:tcBorders/>
            <w:shd w:fill="auto" w:val="clear"/>
            <w:vAlign w:val="bottom"/>
          </w:tcPr>
          <w:p>
            <w:pPr>
              <w:pStyle w:val="TableContents"/>
              <w:spacing w:before="0" w:after="283"/>
              <w:rPr/>
            </w:pPr>
            <w:r>
              <w:rPr/>
              <w:t> </w:t>
            </w:r>
          </w:p>
        </w:tc>
        <w:tc>
          <w:tcPr>
            <w:tcW w:w="8512"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1215" w:type="dxa"/>
            <w:tcBorders/>
            <w:shd w:fill="auto" w:val="clear"/>
          </w:tcPr>
          <w:p>
            <w:pPr>
              <w:pStyle w:val="TableContents"/>
              <w:spacing w:before="0" w:after="0"/>
              <w:ind w:left="0" w:right="0" w:hanging="0"/>
              <w:jc w:val="center"/>
              <w:rPr/>
            </w:pPr>
            <w:r>
              <w:rPr/>
              <w:t> </w:t>
            </w:r>
          </w:p>
        </w:tc>
        <w:tc>
          <w:tcPr>
            <w:tcW w:w="478" w:type="dxa"/>
            <w:tcBorders/>
            <w:shd w:fill="auto" w:val="clear"/>
            <w:vAlign w:val="bottom"/>
          </w:tcPr>
          <w:p>
            <w:pPr>
              <w:pStyle w:val="TableContents"/>
              <w:spacing w:before="0" w:after="283"/>
              <w:rPr/>
            </w:pPr>
            <w:r>
              <w:rPr/>
              <w:t> </w:t>
            </w:r>
          </w:p>
        </w:tc>
        <w:tc>
          <w:tcPr>
            <w:tcW w:w="8512" w:type="dxa"/>
            <w:tcBorders/>
            <w:shd w:fill="auto" w:val="clear"/>
          </w:tcPr>
          <w:p>
            <w:pPr>
              <w:pStyle w:val="TableContents"/>
              <w:spacing w:before="0" w:after="283"/>
              <w:jc w:val="left"/>
              <w:rPr/>
            </w:pPr>
            <w:r>
              <w:rPr/>
              <w:t> </w:t>
            </w:r>
          </w:p>
        </w:tc>
      </w:tr>
      <w:tr>
        <w:trPr/>
        <w:tc>
          <w:tcPr>
            <w:tcW w:w="1215" w:type="dxa"/>
            <w:tcBorders/>
            <w:shd w:fill="auto" w:val="clear"/>
          </w:tcPr>
          <w:p>
            <w:pPr>
              <w:pStyle w:val="TableContents"/>
              <w:spacing w:before="0" w:after="0"/>
              <w:ind w:left="0" w:right="0" w:hanging="0"/>
              <w:jc w:val="center"/>
              <w:rPr/>
            </w:pPr>
            <w:r>
              <w:rPr/>
              <w:t xml:space="preserve">99.1 </w:t>
            </w:r>
          </w:p>
        </w:tc>
        <w:tc>
          <w:tcPr>
            <w:tcW w:w="478" w:type="dxa"/>
            <w:tcBorders/>
            <w:shd w:fill="auto" w:val="clear"/>
            <w:vAlign w:val="bottom"/>
          </w:tcPr>
          <w:p>
            <w:pPr>
              <w:pStyle w:val="TableContents"/>
              <w:spacing w:before="0" w:after="283"/>
              <w:rPr/>
            </w:pPr>
            <w:r>
              <w:rPr/>
              <w:t> </w:t>
            </w:r>
          </w:p>
        </w:tc>
        <w:tc>
          <w:tcPr>
            <w:tcW w:w="8512" w:type="dxa"/>
            <w:tcBorders/>
            <w:shd w:fill="auto" w:val="clear"/>
          </w:tcPr>
          <w:p>
            <w:pPr>
              <w:pStyle w:val="TableContents"/>
              <w:spacing w:before="0" w:after="283"/>
              <w:jc w:val="left"/>
              <w:rPr/>
            </w:pPr>
            <w:r>
              <w:rPr/>
              <w:t>Press release dated February 22, 2007</w:t>
            </w:r>
          </w:p>
        </w:tc>
      </w:tr>
    </w:tbl>
    <w:p>
      <w:pPr>
        <w:pStyle w:val="TextBody"/>
        <w:jc w:val="center"/>
        <w:rPr/>
      </w:pPr>
      <w:r>
        <w:rPr/>
        <w:t xml:space="preserve">  </w:t>
      </w:r>
      <w:r>
        <w:br w:type="page"/>
      </w:r>
    </w:p>
    <w:p>
      <w:pPr>
        <w:pStyle w:val="Heading5"/>
        <w:jc w:val="left"/>
        <w:rPr/>
      </w:pPr>
      <w:bookmarkStart w:id="6" w:name="h43746exv99w1.htm"/>
      <w:bookmarkStart w:id="7" w:name="ksh43746exv99w1"/>
      <w:bookmarkEnd w:id="6"/>
      <w:bookmarkEnd w:id="7"/>
      <w:r>
        <w:rPr/>
        <w:t> </w:t>
      </w:r>
    </w:p>
    <w:p>
      <w:pPr>
        <w:pStyle w:val="TextBody"/>
        <w:spacing w:before="240" w:after="283"/>
        <w:rPr/>
      </w:pPr>
      <w:r>
        <w:rPr/>
        <w:t> </w:t>
      </w:r>
    </w:p>
    <w:p>
      <w:pPr>
        <w:pStyle w:val="TextBody"/>
        <w:spacing w:before="0" w:after="0"/>
        <w:jc w:val="right"/>
        <w:rPr>
          <w:rFonts w:ascii="Arial;Helvetica" w:hAnsi="Arial;Helvetica"/>
          <w:color w:val="000000"/>
          <w:sz w:val="17"/>
          <w:highlight w:val="white"/>
        </w:rPr>
      </w:pPr>
      <w:r>
        <w:rPr>
          <w:rFonts w:ascii="Times New Roman;Times" w:hAnsi="Times New Roman;Times"/>
          <w:b/>
          <w:color w:val="000000"/>
          <w:sz w:val="17"/>
          <w:highlight w:val="white"/>
        </w:rPr>
        <w:t>Exhibit 99.1</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center"/>
        <w:rPr>
          <w:color w:val="000000"/>
          <w:highlight w:val="white"/>
        </w:rPr>
      </w:pPr>
      <w:r>
        <w:rPr>
          <w:color w:val="000000"/>
          <w:highlight w:val="white"/>
        </w:rPr>
        <w:drawing>
          <wp:inline distT="0" distB="0" distL="0" distR="0">
            <wp:extent cx="56578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57850" cy="819150"/>
                    </a:xfrm>
                    <a:prstGeom prst="rect">
                      <a:avLst/>
                    </a:prstGeom>
                  </pic:spPr>
                </pic:pic>
              </a:graphicData>
            </a:graphic>
          </wp:inline>
        </w:drawing>
      </w:r>
      <w:r>
        <w:rPr>
          <w:color w:val="000000"/>
          <w:highlight w:val="white"/>
        </w:rPr>
        <w:t xml:space="preserve"> </w:t>
      </w:r>
    </w:p>
    <w:p>
      <w:pPr>
        <w:pStyle w:val="TextBody"/>
        <w:spacing w:before="120" w:after="283"/>
        <w:rPr/>
      </w:pPr>
      <w:r>
        <w:rPr/>
        <w:t>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1326"/>
        <w:gridCol w:w="407"/>
        <w:gridCol w:w="4083"/>
        <w:gridCol w:w="305"/>
        <w:gridCol w:w="4084"/>
      </w:tblGrid>
      <w:tr>
        <w:trPr/>
        <w:tc>
          <w:tcPr>
            <w:tcW w:w="1326" w:type="dxa"/>
            <w:tcBorders/>
            <w:shd w:fill="FFFFFF" w:val="clear"/>
            <w:vAlign w:val="bottom"/>
          </w:tcPr>
          <w:p>
            <w:pPr>
              <w:pStyle w:val="TableContents"/>
              <w:spacing w:before="0" w:after="283"/>
              <w:rPr/>
            </w:pPr>
            <w:r>
              <w:rPr/>
              <w:t> </w:t>
            </w:r>
          </w:p>
        </w:tc>
        <w:tc>
          <w:tcPr>
            <w:tcW w:w="407" w:type="dxa"/>
            <w:tcBorders/>
            <w:shd w:fill="FFFFFF" w:val="clear"/>
            <w:vAlign w:val="bottom"/>
          </w:tcPr>
          <w:p>
            <w:pPr>
              <w:pStyle w:val="TableContents"/>
              <w:spacing w:before="0" w:after="283"/>
              <w:rPr/>
            </w:pPr>
            <w:r>
              <w:rPr/>
              <w:t> </w:t>
            </w:r>
          </w:p>
        </w:tc>
        <w:tc>
          <w:tcPr>
            <w:tcW w:w="4083" w:type="dxa"/>
            <w:tcBorders/>
            <w:shd w:fill="FFFFFF" w:val="clear"/>
            <w:vAlign w:val="bottom"/>
          </w:tcPr>
          <w:p>
            <w:pPr>
              <w:pStyle w:val="TableContents"/>
              <w:spacing w:before="0" w:after="283"/>
              <w:rPr/>
            </w:pPr>
            <w:r>
              <w:rPr/>
              <w:t> </w:t>
            </w:r>
          </w:p>
        </w:tc>
        <w:tc>
          <w:tcPr>
            <w:tcW w:w="305" w:type="dxa"/>
            <w:tcBorders/>
            <w:shd w:fill="FFFFFF" w:val="clear"/>
            <w:vAlign w:val="bottom"/>
          </w:tcPr>
          <w:p>
            <w:pPr>
              <w:pStyle w:val="TableContents"/>
              <w:spacing w:before="0" w:after="283"/>
              <w:rPr/>
            </w:pPr>
            <w:r>
              <w:rPr/>
              <w:t> </w:t>
            </w:r>
          </w:p>
        </w:tc>
        <w:tc>
          <w:tcPr>
            <w:tcW w:w="4084" w:type="dxa"/>
            <w:tcBorders/>
            <w:shd w:fill="FFFFFF" w:val="clear"/>
            <w:vAlign w:val="bottom"/>
          </w:tcPr>
          <w:p>
            <w:pPr>
              <w:pStyle w:val="TableContents"/>
              <w:spacing w:before="0" w:after="283"/>
              <w:rPr/>
            </w:pPr>
            <w:r>
              <w:rPr/>
              <w:t> </w:t>
            </w:r>
          </w:p>
        </w:tc>
      </w:tr>
      <w:tr>
        <w:trPr/>
        <w:tc>
          <w:tcPr>
            <w:tcW w:w="1326" w:type="dxa"/>
            <w:tcBorders/>
            <w:shd w:fill="FFFFFF" w:val="clear"/>
          </w:tcPr>
          <w:p>
            <w:pPr>
              <w:pStyle w:val="TableContents"/>
              <w:spacing w:before="0" w:after="0"/>
              <w:ind w:left="220" w:right="0" w:hanging="220"/>
              <w:jc w:val="left"/>
              <w:rPr/>
            </w:pPr>
            <w:r>
              <w:rPr>
                <w:b/>
                <w:sz w:val="18"/>
                <w:u w:val="single"/>
              </w:rPr>
              <w:t>Contacts</w:t>
            </w:r>
            <w:r>
              <w:rPr>
                <w:b/>
                <w:sz w:val="18"/>
              </w:rPr>
              <w:t>:</w:t>
            </w:r>
            <w:r>
              <w:rPr/>
              <w:t xml:space="preserve"> </w:t>
            </w:r>
          </w:p>
        </w:tc>
        <w:tc>
          <w:tcPr>
            <w:tcW w:w="407" w:type="dxa"/>
            <w:tcBorders/>
            <w:shd w:fill="FFFFFF" w:val="clear"/>
            <w:vAlign w:val="bottom"/>
          </w:tcPr>
          <w:p>
            <w:pPr>
              <w:pStyle w:val="TableContents"/>
              <w:spacing w:before="0" w:after="283"/>
              <w:rPr/>
            </w:pPr>
            <w:r>
              <w:rPr/>
              <w:t xml:space="preserve">  </w:t>
            </w:r>
          </w:p>
        </w:tc>
        <w:tc>
          <w:tcPr>
            <w:tcW w:w="4083" w:type="dxa"/>
            <w:tcBorders/>
            <w:shd w:fill="FFFFFF" w:val="clear"/>
          </w:tcPr>
          <w:p>
            <w:pPr>
              <w:pStyle w:val="TableContents"/>
              <w:spacing w:before="0" w:after="283"/>
              <w:jc w:val="right"/>
              <w:rPr/>
            </w:pPr>
            <w:r>
              <w:rPr>
                <w:b/>
                <w:sz w:val="18"/>
              </w:rPr>
              <w:t>Phil D. Kramer</w:t>
              <w:br/>
              <w:t>Executive Vice President and CFO</w:t>
              <w:br/>
              <w:t>713/646-4560  800/564-3036</w:t>
            </w:r>
            <w:r>
              <w:rPr/>
              <w:t xml:space="preserve"> </w:t>
            </w:r>
          </w:p>
        </w:tc>
        <w:tc>
          <w:tcPr>
            <w:tcW w:w="305" w:type="dxa"/>
            <w:tcBorders/>
            <w:shd w:fill="FFFFFF" w:val="clear"/>
            <w:vAlign w:val="bottom"/>
          </w:tcPr>
          <w:p>
            <w:pPr>
              <w:pStyle w:val="TableContents"/>
              <w:spacing w:before="0" w:after="283"/>
              <w:rPr/>
            </w:pPr>
            <w:r>
              <w:rPr/>
              <w:t xml:space="preserve">  </w:t>
            </w:r>
          </w:p>
        </w:tc>
        <w:tc>
          <w:tcPr>
            <w:tcW w:w="4084" w:type="dxa"/>
            <w:tcBorders/>
            <w:shd w:fill="FFFFFF" w:val="clear"/>
          </w:tcPr>
          <w:p>
            <w:pPr>
              <w:pStyle w:val="TableContents"/>
              <w:spacing w:before="0" w:after="283"/>
              <w:jc w:val="right"/>
              <w:rPr>
                <w:b/>
                <w:sz w:val="18"/>
              </w:rPr>
            </w:pPr>
            <w:r>
              <w:rPr>
                <w:b/>
                <w:sz w:val="18"/>
              </w:rPr>
              <w:t>Roy I. Lamoreaux</w:t>
              <w:br/>
              <w:t>Manager, Investor Relations</w:t>
              <w:br/>
              <w:t xml:space="preserve">713/646-4222  800/564-3036 </w:t>
            </w:r>
          </w:p>
        </w:tc>
      </w:tr>
    </w:tbl>
    <w:p>
      <w:pPr>
        <w:pStyle w:val="TextBody"/>
        <w:spacing w:before="240" w:after="283"/>
        <w:rPr/>
      </w:pPr>
      <w:r>
        <w:rPr/>
        <w:t> </w:t>
      </w:r>
    </w:p>
    <w:p>
      <w:pPr>
        <w:pStyle w:val="TextBody"/>
        <w:spacing w:before="0" w:after="0"/>
        <w:jc w:val="left"/>
        <w:rPr>
          <w:rFonts w:ascii="Arial;Helvetica" w:hAnsi="Arial;Helvetica"/>
          <w:color w:val="000000"/>
          <w:sz w:val="18"/>
          <w:highlight w:val="white"/>
        </w:rPr>
      </w:pPr>
      <w:r>
        <w:rPr>
          <w:rFonts w:ascii="Times New Roman;Times" w:hAnsi="Times New Roman;Times"/>
          <w:b/>
          <w:color w:val="000000"/>
          <w:sz w:val="18"/>
          <w:highlight w:val="white"/>
          <w:u w:val="single"/>
        </w:rPr>
        <w:t>FOR IMMEDIATE RELEASE</w:t>
      </w:r>
      <w:r>
        <w:rPr>
          <w:rFonts w:ascii="Arial;Helvetica" w:hAnsi="Arial;Helvetica"/>
          <w:color w:val="000000"/>
          <w:sz w:val="18"/>
          <w:highlight w:val="white"/>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23"/>
          <w:highlight w:val="white"/>
        </w:rPr>
        <w:t>Plains All American Pipeline, L.P.</w:t>
        <w:br/>
        <w:t>Reports Strong 2006 Results</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(Houston  February 22, 2007) Plains All American Pipeline, L.P. (NYSE: PAA) today reported net income of $46.0 million, or $0.36 per diluted limited partner unit, for the fourth quarter 2006 and net income of $285.1 million, or $2.88 per diluted limited partner unit, for the full year 2006. Net income for the fourth quarter 2005 was $53.7 million, or $0.64 per diluted limited partner unit, and net income for the full year 2005 was $217.8 million or $2.72 per diluted unit. Comparisons with prior year periods were impacted by selected items impacting comparability in each period. (See table entitled Selected items impacting comparability below.)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reported earnings before interest, taxes, depreciation and amortization (EBITDA) of $111.5 million for the fourth quarter of 2006, which represents an increase of 18% compared with EBITDA of $94.1 million for the fourth quarter of 2005. EBITDA for the full year 2006 was $470.2 million, an increase of 30% over 2005 reported EBITDA of $360.7 million. All reported results include the effect of the merger with Pacific Energy Partners, L.P., from the closing date of November 15, 2006. (See the section of this release entitled Non-GAAP Financial Measures and the attached tables for discussion of EBITDA and other non-GAAP financial measures, and reconciliations of such measures to the comparable GAAP measures.)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2006 was a very active, productive and rewarding year for the Partnership, said Greg L. Armstrong, Chairman and CEO of Plains All American. We achieved or exceeded each of our stated goals, executed a record level of internal growth projects and completed the largest acquisition in Partnership history. In addition, we completed the transformation from an entity that in 2001 was primarily dependent on acquisitions for growth, to one that has a high-quality backlog of expansion projects across a diversified and complementary suite of businesses, which we expect to fuel our growth for the next several years, irrespective of future acquisitions.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Armstrong also noted that Plains All American invested nearly $3.4 billion during the year, increased distributions paid to unitholders by 11.5% and, as a result of its disciplined and proactive financing activities, exited 2006 with a strong balance sheet and capital structure and the highest level of liquidity in its history.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Reported results include the impact of various items that affect comparability between reporting periods. Adjusted results exclude selected items impacting comparability, as further described in the table below. Accordingly, the Partnerships fourth quarter 2006 adjusted net income, adjusted net income per diluted limited partner unit and adjusted EBITDA were $80.8 million, $0.72 and $146.3 million, respectively. The Partnerships fourth quarter 2005 adjusted net income, adjusted net income per diluted limited partner unit and adjusted EBITDA were $62.6 million, $0.75 and $103 million, respectively. On a comparable basis, fourth quarter 2006 adjusted net income and adjusted EBITDA increased 29% and 42%, respectively, over the corresponding metrics for the fourth quarter 2005, while adjusted net income per diluted limited partner unit decreased approximately 4% between the periods.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2</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adjusted net income, adjusted net income per diluted limited partner unit and adjusted EBITDA for the full year 2006 were $325.9 million, $3.50 and $511 million, respectively. These same metrics for 2005 were $264.9 million, $3.47 and $407.8 million, respectively. On a comparative basis, 2006 adjusted net income, adjusted net income per diluted limited partner unit and adjusted EBITDA increased 23%, 1% and 25%, respectively, over 2005. Armstrong also noted that the Partnership met or exceeded the guidance that it provided via Form 8-K on November 2, 2006 for adjusted net income, adjusted net income per diluted unit and adjusted EBITDA.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following table summarizes selected items that the Partnership believes impact comparability of financial results between reporting periods: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5019"/>
        <w:gridCol w:w="178"/>
        <w:gridCol w:w="201"/>
        <w:gridCol w:w="587"/>
        <w:gridCol w:w="171"/>
        <w:gridCol w:w="388"/>
        <w:gridCol w:w="201"/>
        <w:gridCol w:w="587"/>
        <w:gridCol w:w="171"/>
        <w:gridCol w:w="388"/>
        <w:gridCol w:w="201"/>
        <w:gridCol w:w="586"/>
        <w:gridCol w:w="171"/>
        <w:gridCol w:w="388"/>
        <w:gridCol w:w="201"/>
        <w:gridCol w:w="587"/>
        <w:gridCol w:w="180"/>
      </w:tblGrid>
      <w:tr>
        <w:trPr/>
        <w:tc>
          <w:tcPr>
            <w:tcW w:w="5019"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587"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3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587"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3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586" w:type="dxa"/>
            <w:tcBorders/>
            <w:shd w:fill="FFFFFF" w:val="clear"/>
            <w:vAlign w:val="bottom"/>
          </w:tcPr>
          <w:p>
            <w:pPr>
              <w:pStyle w:val="TableContents"/>
              <w:spacing w:before="0" w:after="283"/>
              <w:jc w:val="right"/>
              <w:rPr/>
            </w:pPr>
            <w:r>
              <w:rPr/>
              <w:t> </w:t>
            </w:r>
          </w:p>
        </w:tc>
        <w:tc>
          <w:tcPr>
            <w:tcW w:w="171" w:type="dxa"/>
            <w:tcBorders/>
            <w:shd w:fill="FFFFFF" w:val="clear"/>
            <w:vAlign w:val="bottom"/>
          </w:tcPr>
          <w:p>
            <w:pPr>
              <w:pStyle w:val="TableContents"/>
              <w:spacing w:before="0" w:after="283"/>
              <w:jc w:val="left"/>
              <w:rPr/>
            </w:pPr>
            <w:r>
              <w:rPr/>
              <w:t> </w:t>
            </w:r>
          </w:p>
        </w:tc>
        <w:tc>
          <w:tcPr>
            <w:tcW w:w="388" w:type="dxa"/>
            <w:tcBorders/>
            <w:shd w:fill="FFFFFF" w:val="clear"/>
            <w:vAlign w:val="bottom"/>
          </w:tcPr>
          <w:p>
            <w:pPr>
              <w:pStyle w:val="TableContents"/>
              <w:spacing w:before="0" w:after="283"/>
              <w:rPr/>
            </w:pPr>
            <w:r>
              <w:rPr/>
              <w:t> </w:t>
            </w:r>
          </w:p>
        </w:tc>
        <w:tc>
          <w:tcPr>
            <w:tcW w:w="201" w:type="dxa"/>
            <w:tcBorders/>
            <w:shd w:fill="FFFFFF" w:val="clear"/>
            <w:vAlign w:val="bottom"/>
          </w:tcPr>
          <w:p>
            <w:pPr>
              <w:pStyle w:val="TableContents"/>
              <w:spacing w:before="0" w:after="283"/>
              <w:jc w:val="right"/>
              <w:rPr/>
            </w:pPr>
            <w:r>
              <w:rPr/>
              <w:t> </w:t>
            </w:r>
          </w:p>
        </w:tc>
        <w:tc>
          <w:tcPr>
            <w:tcW w:w="587" w:type="dxa"/>
            <w:tcBorders/>
            <w:shd w:fill="FFFFFF" w:val="clear"/>
            <w:vAlign w:val="bottom"/>
          </w:tcPr>
          <w:p>
            <w:pPr>
              <w:pStyle w:val="TableContents"/>
              <w:spacing w:before="0" w:after="283"/>
              <w:jc w:val="right"/>
              <w:rPr/>
            </w:pPr>
            <w:r>
              <w:rPr/>
              <w:t> </w:t>
            </w:r>
          </w:p>
        </w:tc>
        <w:tc>
          <w:tcPr>
            <w:tcW w:w="180" w:type="dxa"/>
            <w:tcBorders/>
            <w:shd w:fill="FFFFFF" w:val="clear"/>
            <w:vAlign w:val="bottom"/>
          </w:tcPr>
          <w:p>
            <w:pPr>
              <w:pStyle w:val="TableContents"/>
              <w:spacing w:before="0" w:after="283"/>
              <w:jc w:val="left"/>
              <w:rPr/>
            </w:pPr>
            <w:r>
              <w:rPr/>
              <w:t> </w:t>
            </w:r>
          </w:p>
        </w:tc>
      </w:tr>
      <w:tr>
        <w:trPr/>
        <w:tc>
          <w:tcPr>
            <w:tcW w:w="5019"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135" w:type="dxa"/>
            <w:gridSpan w:val="6"/>
            <w:tcBorders/>
            <w:shd w:fill="FFFFFF" w:val="clear"/>
            <w:vAlign w:val="bottom"/>
          </w:tcPr>
          <w:p>
            <w:pPr>
              <w:pStyle w:val="TableContents"/>
              <w:spacing w:before="0" w:after="283"/>
              <w:jc w:val="center"/>
              <w:rPr/>
            </w:pPr>
            <w:r>
              <w:rPr>
                <w:b/>
              </w:rPr>
              <w:t>Three Months Ended</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388" w:type="dxa"/>
            <w:tcBorders/>
            <w:shd w:fill="FFFFFF" w:val="clear"/>
            <w:vAlign w:val="bottom"/>
          </w:tcPr>
          <w:p>
            <w:pPr>
              <w:pStyle w:val="TableContents"/>
              <w:spacing w:before="0" w:after="283"/>
              <w:jc w:val="center"/>
              <w:rPr/>
            </w:pPr>
            <w:r>
              <w:rPr/>
              <w:t xml:space="preserve">  </w:t>
            </w:r>
          </w:p>
        </w:tc>
        <w:tc>
          <w:tcPr>
            <w:tcW w:w="2134" w:type="dxa"/>
            <w:gridSpan w:val="6"/>
            <w:tcBorders/>
            <w:shd w:fill="FFFFFF" w:val="clear"/>
            <w:vAlign w:val="bottom"/>
          </w:tcPr>
          <w:p>
            <w:pPr>
              <w:pStyle w:val="TableContents"/>
              <w:spacing w:before="0" w:after="283"/>
              <w:jc w:val="center"/>
              <w:rPr/>
            </w:pPr>
            <w:r>
              <w:rPr>
                <w:b/>
              </w:rPr>
              <w:t>Twelve Months Ended</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019"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213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388" w:type="dxa"/>
            <w:tcBorders/>
            <w:shd w:fill="FFFFFF" w:val="clear"/>
            <w:vAlign w:val="bottom"/>
          </w:tcPr>
          <w:p>
            <w:pPr>
              <w:pStyle w:val="TableContents"/>
              <w:spacing w:before="0" w:after="283"/>
              <w:jc w:val="center"/>
              <w:rPr/>
            </w:pPr>
            <w:r>
              <w:rPr/>
              <w:t xml:space="preserve">  </w:t>
            </w:r>
          </w:p>
        </w:tc>
        <w:tc>
          <w:tcPr>
            <w:tcW w:w="2134"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019"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7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388" w:type="dxa"/>
            <w:tcBorders/>
            <w:shd w:fill="FFFFFF" w:val="clear"/>
            <w:vAlign w:val="bottom"/>
          </w:tcPr>
          <w:p>
            <w:pPr>
              <w:pStyle w:val="TableContents"/>
              <w:spacing w:before="0" w:after="283"/>
              <w:jc w:val="center"/>
              <w:rPr/>
            </w:pPr>
            <w:r>
              <w:rPr/>
              <w:t xml:space="preserve">  </w:t>
            </w:r>
          </w:p>
        </w:tc>
        <w:tc>
          <w:tcPr>
            <w:tcW w:w="7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388" w:type="dxa"/>
            <w:tcBorders/>
            <w:shd w:fill="FFFFFF" w:val="clear"/>
            <w:vAlign w:val="bottom"/>
          </w:tcPr>
          <w:p>
            <w:pPr>
              <w:pStyle w:val="TableContents"/>
              <w:spacing w:before="0" w:after="283"/>
              <w:jc w:val="center"/>
              <w:rPr/>
            </w:pPr>
            <w:r>
              <w:rPr/>
              <w:t xml:space="preserve">  </w:t>
            </w:r>
          </w:p>
        </w:tc>
        <w:tc>
          <w:tcPr>
            <w:tcW w:w="7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1" w:type="dxa"/>
            <w:tcBorders/>
            <w:shd w:fill="FFFFFF" w:val="clear"/>
            <w:vAlign w:val="bottom"/>
          </w:tcPr>
          <w:p>
            <w:pPr>
              <w:pStyle w:val="TableContents"/>
              <w:spacing w:before="0" w:after="283"/>
              <w:jc w:val="center"/>
              <w:rPr/>
            </w:pPr>
            <w:r>
              <w:rPr/>
              <w:t xml:space="preserve">  </w:t>
            </w:r>
          </w:p>
        </w:tc>
        <w:tc>
          <w:tcPr>
            <w:tcW w:w="388" w:type="dxa"/>
            <w:tcBorders/>
            <w:shd w:fill="FFFFFF" w:val="clear"/>
            <w:vAlign w:val="bottom"/>
          </w:tcPr>
          <w:p>
            <w:pPr>
              <w:pStyle w:val="TableContents"/>
              <w:spacing w:before="0" w:after="283"/>
              <w:jc w:val="center"/>
              <w:rPr/>
            </w:pPr>
            <w:r>
              <w:rPr/>
              <w:t xml:space="preserve">  </w:t>
            </w:r>
          </w:p>
        </w:tc>
        <w:tc>
          <w:tcPr>
            <w:tcW w:w="7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019" w:type="dxa"/>
            <w:tcBorders/>
            <w:shd w:fill="FFFFFF" w:val="clear"/>
            <w:vAlign w:val="bottom"/>
          </w:tcPr>
          <w:p>
            <w:pPr>
              <w:pStyle w:val="TableContents"/>
              <w:spacing w:before="0" w:after="283"/>
              <w:jc w:val="center"/>
              <w:rPr/>
            </w:pPr>
            <w:r>
              <w:rPr/>
              <w:t xml:space="preserve">  </w:t>
            </w:r>
          </w:p>
        </w:tc>
        <w:tc>
          <w:tcPr>
            <w:tcW w:w="178" w:type="dxa"/>
            <w:tcBorders/>
            <w:shd w:fill="FFFFFF" w:val="clear"/>
            <w:vAlign w:val="bottom"/>
          </w:tcPr>
          <w:p>
            <w:pPr>
              <w:pStyle w:val="TableContents"/>
              <w:spacing w:before="0" w:after="283"/>
              <w:jc w:val="center"/>
              <w:rPr/>
            </w:pPr>
            <w:r>
              <w:rPr/>
              <w:t xml:space="preserve">  </w:t>
            </w:r>
          </w:p>
        </w:tc>
        <w:tc>
          <w:tcPr>
            <w:tcW w:w="4828" w:type="dxa"/>
            <w:gridSpan w:val="14"/>
            <w:tcBorders/>
            <w:shd w:fill="FFFFFF" w:val="clear"/>
            <w:vAlign w:val="bottom"/>
          </w:tcPr>
          <w:p>
            <w:pPr>
              <w:pStyle w:val="TableContents"/>
              <w:spacing w:before="0" w:after="283"/>
              <w:jc w:val="center"/>
              <w:rPr/>
            </w:pPr>
            <w:r>
              <w:rPr>
                <w:b/>
              </w:rPr>
              <w:t>(In millions, except for per unit data)</w:t>
            </w:r>
            <w:r>
              <w:rPr/>
              <w:t xml:space="preserve"> </w:t>
            </w:r>
          </w:p>
        </w:tc>
        <w:tc>
          <w:tcPr>
            <w:tcW w:w="180" w:type="dxa"/>
            <w:tcBorders/>
            <w:shd w:fill="FFFFFF" w:val="clear"/>
            <w:vAlign w:val="bottom"/>
          </w:tcPr>
          <w:p>
            <w:pPr>
              <w:pStyle w:val="TableContents"/>
              <w:spacing w:before="0" w:after="283"/>
              <w:jc w:val="center"/>
              <w:rPr/>
            </w:pPr>
            <w:r>
              <w:rPr/>
              <w:t xml:space="preserve">  </w:t>
            </w:r>
          </w:p>
        </w:tc>
      </w:tr>
      <w:tr>
        <w:trPr/>
        <w:tc>
          <w:tcPr>
            <w:tcW w:w="5019" w:type="dxa"/>
            <w:tcBorders/>
            <w:shd w:fill="FFFFFF" w:val="clear"/>
            <w:vAlign w:val="center"/>
          </w:tcPr>
          <w:p>
            <w:pPr>
              <w:pStyle w:val="TableContents"/>
              <w:spacing w:before="0" w:after="283"/>
              <w:rPr/>
            </w:pPr>
            <w:r>
              <w:rPr/>
              <w:t xml:space="preserve">  </w:t>
            </w:r>
          </w:p>
        </w:tc>
        <w:tc>
          <w:tcPr>
            <w:tcW w:w="5186" w:type="dxa"/>
            <w:gridSpan w:val="16"/>
            <w:tcBorders/>
            <w:shd w:fill="FFFFFF" w:val="clear"/>
          </w:tcPr>
          <w:p>
            <w:pPr>
              <w:pStyle w:val="TableContents"/>
              <w:spacing w:before="0" w:after="283"/>
              <w:rPr>
                <w:sz w:val="4"/>
                <w:szCs w:val="4"/>
              </w:rPr>
            </w:pPr>
            <w:r>
              <w:rPr>
                <w:sz w:val="4"/>
                <w:szCs w:val="4"/>
              </w:rPr>
            </w:r>
          </w:p>
        </w:tc>
      </w:tr>
      <w:tr>
        <w:trPr/>
        <w:tc>
          <w:tcPr>
            <w:tcW w:w="5019" w:type="dxa"/>
            <w:tcBorders/>
            <w:shd w:fill="CCEEFF" w:val="clear"/>
            <w:vAlign w:val="bottom"/>
          </w:tcPr>
          <w:p>
            <w:pPr>
              <w:pStyle w:val="TableContents"/>
              <w:spacing w:before="0" w:after="0"/>
              <w:ind w:left="180" w:right="0" w:hanging="180"/>
              <w:jc w:val="left"/>
              <w:rPr/>
            </w:pPr>
            <w:r>
              <w:rPr>
                <w:b/>
                <w:sz w:val="15"/>
              </w:rPr>
              <w:t>Selected items impacting comparability</w:t>
            </w:r>
            <w:r>
              <w:rPr/>
              <w:t xml:space="preserve">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6"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0"/>
              <w:ind w:left="180" w:right="0" w:hanging="180"/>
              <w:jc w:val="left"/>
              <w:rPr>
                <w:sz w:val="15"/>
              </w:rPr>
            </w:pPr>
            <w:r>
              <w:rPr>
                <w:sz w:val="15"/>
              </w:rPr>
              <w:t xml:space="preserve">Long-Term Incentive Plan (LTIP) charge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(15.6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(9.3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6" w:type="dxa"/>
            <w:tcBorders/>
            <w:shd w:fill="FFFFFF" w:val="clear"/>
            <w:vAlign w:val="bottom"/>
          </w:tcPr>
          <w:p>
            <w:pPr>
              <w:pStyle w:val="TableContents"/>
              <w:spacing w:before="0" w:after="283"/>
              <w:jc w:val="right"/>
              <w:rPr/>
            </w:pPr>
            <w:r>
              <w:rPr/>
              <w:t xml:space="preserve">(42.7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(26.1 </w:t>
            </w:r>
          </w:p>
        </w:tc>
        <w:tc>
          <w:tcPr>
            <w:tcW w:w="180" w:type="dxa"/>
            <w:tcBorders/>
            <w:shd w:fill="FFFFFF" w:val="clear"/>
            <w:vAlign w:val="bottom"/>
          </w:tcPr>
          <w:p>
            <w:pPr>
              <w:pStyle w:val="TableContents"/>
              <w:spacing w:before="0" w:after="283"/>
              <w:jc w:val="left"/>
              <w:rPr/>
            </w:pPr>
            <w:r>
              <w:rPr/>
              <w:t xml:space="preserve">) </w:t>
            </w:r>
          </w:p>
        </w:tc>
      </w:tr>
      <w:tr>
        <w:trPr/>
        <w:tc>
          <w:tcPr>
            <w:tcW w:w="5019" w:type="dxa"/>
            <w:tcBorders/>
            <w:shd w:fill="CCEEFF" w:val="clear"/>
            <w:vAlign w:val="bottom"/>
          </w:tcPr>
          <w:p>
            <w:pPr>
              <w:pStyle w:val="TableContents"/>
              <w:spacing w:before="0" w:after="0"/>
              <w:ind w:left="180" w:right="0" w:hanging="180"/>
              <w:jc w:val="left"/>
              <w:rPr>
                <w:sz w:val="15"/>
              </w:rPr>
            </w:pPr>
            <w:r>
              <w:rPr>
                <w:sz w:val="15"/>
              </w:rPr>
              <w:t xml:space="preserve">Cumulative effect of change in accounting principle  LTIP(1)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6" w:type="dxa"/>
            <w:tcBorders/>
            <w:shd w:fill="CCEEFF" w:val="clear"/>
            <w:vAlign w:val="bottom"/>
          </w:tcPr>
          <w:p>
            <w:pPr>
              <w:pStyle w:val="TableContents"/>
              <w:spacing w:before="0" w:after="283"/>
              <w:jc w:val="right"/>
              <w:rPr/>
            </w:pPr>
            <w:r>
              <w:rPr/>
              <w:t xml:space="preserve">6.3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 </w:t>
            </w:r>
          </w:p>
        </w:tc>
        <w:tc>
          <w:tcPr>
            <w:tcW w:w="180" w:type="dxa"/>
            <w:tcBorders/>
            <w:shd w:fill="CCEE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0"/>
              <w:ind w:left="180" w:right="0" w:hanging="180"/>
              <w:jc w:val="left"/>
              <w:rPr>
                <w:sz w:val="15"/>
              </w:rPr>
            </w:pPr>
            <w:r>
              <w:rPr>
                <w:sz w:val="15"/>
              </w:rPr>
              <w:t xml:space="preserve">Loss on foreign currency revaluation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(0.7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6" w:type="dxa"/>
            <w:tcBorders/>
            <w:shd w:fill="FFFFFF" w:val="clear"/>
            <w:vAlign w:val="bottom"/>
          </w:tcPr>
          <w:p>
            <w:pPr>
              <w:pStyle w:val="TableContents"/>
              <w:spacing w:before="0" w:after="283"/>
              <w:jc w:val="right"/>
              <w:rPr/>
            </w:pPr>
            <w:r>
              <w:rPr/>
              <w:t xml:space="preserve">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(2.1 </w:t>
            </w:r>
          </w:p>
        </w:tc>
        <w:tc>
          <w:tcPr>
            <w:tcW w:w="180" w:type="dxa"/>
            <w:tcBorders/>
            <w:shd w:fill="FFFFFF" w:val="clear"/>
            <w:vAlign w:val="bottom"/>
          </w:tcPr>
          <w:p>
            <w:pPr>
              <w:pStyle w:val="TableContents"/>
              <w:spacing w:before="0" w:after="283"/>
              <w:jc w:val="left"/>
              <w:rPr/>
            </w:pPr>
            <w:r>
              <w:rPr/>
              <w:t xml:space="preserve">) </w:t>
            </w:r>
          </w:p>
        </w:tc>
      </w:tr>
      <w:tr>
        <w:trPr/>
        <w:tc>
          <w:tcPr>
            <w:tcW w:w="5019" w:type="dxa"/>
            <w:tcBorders/>
            <w:shd w:fill="CCEEFF" w:val="clear"/>
            <w:vAlign w:val="bottom"/>
          </w:tcPr>
          <w:p>
            <w:pPr>
              <w:pStyle w:val="TableContents"/>
              <w:spacing w:before="0" w:after="0"/>
              <w:ind w:left="180" w:right="0" w:hanging="180"/>
              <w:jc w:val="left"/>
              <w:rPr>
                <w:sz w:val="15"/>
              </w:rPr>
            </w:pPr>
            <w:r>
              <w:rPr>
                <w:sz w:val="15"/>
              </w:rPr>
              <w:t xml:space="preserve">SFAS 133 mark-to-market adjustment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(19.2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1.1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6" w:type="dxa"/>
            <w:tcBorders/>
            <w:shd w:fill="CCEEFF" w:val="clear"/>
            <w:vAlign w:val="bottom"/>
          </w:tcPr>
          <w:p>
            <w:pPr>
              <w:pStyle w:val="TableContents"/>
              <w:spacing w:before="0" w:after="283"/>
              <w:jc w:val="right"/>
              <w:rPr/>
            </w:pPr>
            <w:r>
              <w:rPr/>
              <w:t xml:space="preserve">(4.4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(18.9 </w:t>
            </w:r>
          </w:p>
        </w:tc>
        <w:tc>
          <w:tcPr>
            <w:tcW w:w="180" w:type="dxa"/>
            <w:tcBorders/>
            <w:shd w:fill="CCEE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019" w:type="dxa"/>
            <w:tcBorders/>
            <w:shd w:fill="FFFFFF" w:val="clear"/>
            <w:vAlign w:val="bottom"/>
          </w:tcPr>
          <w:p>
            <w:pPr>
              <w:pStyle w:val="TableContents"/>
              <w:spacing w:before="0" w:after="0"/>
              <w:ind w:left="180" w:right="0" w:hanging="180"/>
              <w:jc w:val="left"/>
              <w:rPr>
                <w:sz w:val="15"/>
              </w:rPr>
            </w:pPr>
            <w:r>
              <w:rPr>
                <w:sz w:val="15"/>
              </w:rPr>
              <w:t xml:space="preserve">Selected items impacting comparability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(34.8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(8.9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6" w:type="dxa"/>
            <w:tcBorders/>
            <w:shd w:fill="FFFFFF" w:val="clear"/>
            <w:vAlign w:val="bottom"/>
          </w:tcPr>
          <w:p>
            <w:pPr>
              <w:pStyle w:val="TableContents"/>
              <w:spacing w:before="0" w:after="283"/>
              <w:jc w:val="right"/>
              <w:rPr/>
            </w:pPr>
            <w:r>
              <w:rPr/>
              <w:t xml:space="preserve">(40.8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(47.1 </w:t>
            </w:r>
          </w:p>
        </w:tc>
        <w:tc>
          <w:tcPr>
            <w:tcW w:w="180" w:type="dxa"/>
            <w:tcBorders/>
            <w:shd w:fill="FFFFFF" w:val="clear"/>
            <w:vAlign w:val="bottom"/>
          </w:tcPr>
          <w:p>
            <w:pPr>
              <w:pStyle w:val="TableContents"/>
              <w:spacing w:before="0" w:after="283"/>
              <w:jc w:val="left"/>
              <w:rPr/>
            </w:pPr>
            <w:r>
              <w:rPr/>
              <w:t xml:space="preserve">) </w:t>
            </w:r>
          </w:p>
        </w:tc>
      </w:tr>
      <w:tr>
        <w:trPr/>
        <w:tc>
          <w:tcPr>
            <w:tcW w:w="5019" w:type="dxa"/>
            <w:tcBorders/>
            <w:shd w:fill="CCEEFF" w:val="clear"/>
            <w:vAlign w:val="bottom"/>
          </w:tcPr>
          <w:p>
            <w:pPr>
              <w:pStyle w:val="TableContents"/>
              <w:spacing w:before="0" w:after="0"/>
              <w:ind w:left="180" w:right="0" w:hanging="180"/>
              <w:jc w:val="left"/>
              <w:rPr>
                <w:sz w:val="15"/>
              </w:rPr>
            </w:pPr>
            <w:r>
              <w:rPr>
                <w:sz w:val="15"/>
              </w:rPr>
              <w:t xml:space="preserve">GP 2% portion of selected items impacting comparability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0.7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0.2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6" w:type="dxa"/>
            <w:tcBorders/>
            <w:shd w:fill="CCEEFF" w:val="clear"/>
            <w:vAlign w:val="bottom"/>
          </w:tcPr>
          <w:p>
            <w:pPr>
              <w:pStyle w:val="TableContents"/>
              <w:spacing w:before="0" w:after="283"/>
              <w:jc w:val="right"/>
              <w:rPr/>
            </w:pPr>
            <w:r>
              <w:rPr/>
              <w:t xml:space="preserve">0.8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1.0 </w:t>
            </w:r>
          </w:p>
        </w:tc>
        <w:tc>
          <w:tcPr>
            <w:tcW w:w="180" w:type="dxa"/>
            <w:tcBorders/>
            <w:shd w:fill="CCEE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019" w:type="dxa"/>
            <w:tcBorders/>
            <w:shd w:fill="FFFFFF" w:val="clear"/>
            <w:vAlign w:val="bottom"/>
          </w:tcPr>
          <w:p>
            <w:pPr>
              <w:pStyle w:val="TableContents"/>
              <w:spacing w:before="0" w:after="0"/>
              <w:ind w:left="180" w:right="0" w:hanging="180"/>
              <w:jc w:val="left"/>
              <w:rPr>
                <w:sz w:val="15"/>
              </w:rPr>
            </w:pPr>
            <w:r>
              <w:rPr>
                <w:sz w:val="15"/>
              </w:rPr>
              <w:t xml:space="preserve">LP 98% portion of selected items impacting comparability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(34.1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(8.7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6" w:type="dxa"/>
            <w:tcBorders/>
            <w:shd w:fill="FFFFFF" w:val="clear"/>
            <w:vAlign w:val="bottom"/>
          </w:tcPr>
          <w:p>
            <w:pPr>
              <w:pStyle w:val="TableContents"/>
              <w:spacing w:before="0" w:after="283"/>
              <w:jc w:val="right"/>
              <w:rPr/>
            </w:pPr>
            <w:r>
              <w:rPr/>
              <w:t xml:space="preserve">(40.0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(46.1 </w:t>
            </w:r>
          </w:p>
        </w:tc>
        <w:tc>
          <w:tcPr>
            <w:tcW w:w="180" w:type="dxa"/>
            <w:tcBorders/>
            <w:shd w:fill="FFFF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283"/>
              <w:rPr/>
            </w:pPr>
            <w:r>
              <w:rPr/>
              <w:t xml:space="preserve">  </w:t>
            </w:r>
          </w:p>
        </w:tc>
        <w:tc>
          <w:tcPr>
            <w:tcW w:w="17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1" w:type="dxa"/>
            <w:tcBorders/>
            <w:shd w:fill="FFFFFF" w:val="clear"/>
            <w:vAlign w:val="bottom"/>
          </w:tcPr>
          <w:p>
            <w:pPr>
              <w:pStyle w:val="TableContents"/>
              <w:spacing w:before="0" w:after="283"/>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0" w:type="dxa"/>
            <w:tcBorders/>
            <w:shd w:fill="FFFFFF" w:val="clear"/>
            <w:vAlign w:val="bottom"/>
          </w:tcPr>
          <w:p>
            <w:pPr>
              <w:pStyle w:val="TableContents"/>
              <w:spacing w:before="0" w:after="283"/>
              <w:rPr/>
            </w:pPr>
            <w:r>
              <w:rPr/>
              <w:t xml:space="preserve">  </w:t>
            </w:r>
          </w:p>
        </w:tc>
      </w:tr>
      <w:tr>
        <w:trPr/>
        <w:tc>
          <w:tcPr>
            <w:tcW w:w="5019" w:type="dxa"/>
            <w:tcBorders/>
            <w:shd w:fill="CCEEFF" w:val="clear"/>
            <w:vAlign w:val="bottom"/>
          </w:tcPr>
          <w:p>
            <w:pPr>
              <w:pStyle w:val="TableContents"/>
              <w:spacing w:before="0" w:after="0"/>
              <w:ind w:left="180" w:right="0" w:hanging="180"/>
              <w:jc w:val="left"/>
              <w:rPr>
                <w:sz w:val="15"/>
              </w:rPr>
            </w:pPr>
            <w:r>
              <w:rPr>
                <w:sz w:val="15"/>
              </w:rPr>
              <w:t xml:space="preserve">Impact to basic net income per limited partner unit(2) </w:t>
            </w:r>
          </w:p>
        </w:tc>
        <w:tc>
          <w:tcPr>
            <w:tcW w:w="17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(0.37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(0.12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6" w:type="dxa"/>
            <w:tcBorders/>
            <w:shd w:fill="CCEEFF" w:val="clear"/>
            <w:vAlign w:val="bottom"/>
          </w:tcPr>
          <w:p>
            <w:pPr>
              <w:pStyle w:val="TableContents"/>
              <w:spacing w:before="0" w:after="283"/>
              <w:jc w:val="right"/>
              <w:rPr/>
            </w:pPr>
            <w:r>
              <w:rPr/>
              <w:t xml:space="preserve">(0.63 </w:t>
            </w:r>
          </w:p>
        </w:tc>
        <w:tc>
          <w:tcPr>
            <w:tcW w:w="171" w:type="dxa"/>
            <w:tcBorders/>
            <w:shd w:fill="CCEEFF" w:val="clear"/>
            <w:vAlign w:val="bottom"/>
          </w:tcPr>
          <w:p>
            <w:pPr>
              <w:pStyle w:val="TableContents"/>
              <w:spacing w:before="0" w:after="283"/>
              <w:jc w:val="left"/>
              <w:rPr/>
            </w:pPr>
            <w:r>
              <w:rPr/>
              <w:t xml:space="preserve">) </w:t>
            </w:r>
          </w:p>
        </w:tc>
        <w:tc>
          <w:tcPr>
            <w:tcW w:w="388" w:type="dxa"/>
            <w:tcBorders/>
            <w:shd w:fill="CCEEFF" w:val="clear"/>
            <w:vAlign w:val="bottom"/>
          </w:tcPr>
          <w:p>
            <w:pPr>
              <w:pStyle w:val="TableContents"/>
              <w:spacing w:before="0" w:after="283"/>
              <w:rPr/>
            </w:pPr>
            <w:r>
              <w:rPr/>
              <w:t xml:space="preserve">  </w:t>
            </w:r>
          </w:p>
        </w:tc>
        <w:tc>
          <w:tcPr>
            <w:tcW w:w="201" w:type="dxa"/>
            <w:tcBorders/>
            <w:shd w:fill="CCEEFF" w:val="clear"/>
            <w:vAlign w:val="bottom"/>
          </w:tcPr>
          <w:p>
            <w:pPr>
              <w:pStyle w:val="TableContents"/>
              <w:spacing w:before="0" w:after="283"/>
              <w:jc w:val="left"/>
              <w:rPr/>
            </w:pPr>
            <w:r>
              <w:rPr/>
              <w:t xml:space="preserve">$ </w:t>
            </w:r>
          </w:p>
        </w:tc>
        <w:tc>
          <w:tcPr>
            <w:tcW w:w="587" w:type="dxa"/>
            <w:tcBorders/>
            <w:shd w:fill="CCEEFF" w:val="clear"/>
            <w:vAlign w:val="bottom"/>
          </w:tcPr>
          <w:p>
            <w:pPr>
              <w:pStyle w:val="TableContents"/>
              <w:spacing w:before="0" w:after="283"/>
              <w:jc w:val="right"/>
              <w:rPr/>
            </w:pPr>
            <w:r>
              <w:rPr/>
              <w:t xml:space="preserve">(0.76 </w:t>
            </w:r>
          </w:p>
        </w:tc>
        <w:tc>
          <w:tcPr>
            <w:tcW w:w="180" w:type="dxa"/>
            <w:tcBorders/>
            <w:shd w:fill="CCEEFF" w:val="clear"/>
            <w:vAlign w:val="bottom"/>
          </w:tcPr>
          <w:p>
            <w:pPr>
              <w:pStyle w:val="TableContents"/>
              <w:spacing w:before="0" w:after="283"/>
              <w:jc w:val="left"/>
              <w:rPr/>
            </w:pPr>
            <w:r>
              <w:rPr/>
              <w:t xml:space="preserve">) </w:t>
            </w:r>
          </w:p>
        </w:tc>
      </w:tr>
      <w:tr>
        <w:trPr/>
        <w:tc>
          <w:tcPr>
            <w:tcW w:w="5019" w:type="dxa"/>
            <w:tcBorders/>
            <w:shd w:fill="FFFFFF" w:val="clear"/>
            <w:vAlign w:val="bottom"/>
          </w:tcPr>
          <w:p>
            <w:pPr>
              <w:pStyle w:val="TableContents"/>
              <w:spacing w:before="0" w:after="0"/>
              <w:ind w:left="180" w:right="0" w:hanging="180"/>
              <w:jc w:val="left"/>
              <w:rPr>
                <w:sz w:val="15"/>
              </w:rPr>
            </w:pPr>
            <w:r>
              <w:rPr>
                <w:sz w:val="15"/>
              </w:rPr>
              <w:t xml:space="preserve">Impact to diluted net income per limited partner unit(2) </w:t>
            </w:r>
          </w:p>
        </w:tc>
        <w:tc>
          <w:tcPr>
            <w:tcW w:w="17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(0.36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(0.11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6" w:type="dxa"/>
            <w:tcBorders/>
            <w:shd w:fill="FFFFFF" w:val="clear"/>
            <w:vAlign w:val="bottom"/>
          </w:tcPr>
          <w:p>
            <w:pPr>
              <w:pStyle w:val="TableContents"/>
              <w:spacing w:before="0" w:after="283"/>
              <w:jc w:val="right"/>
              <w:rPr/>
            </w:pPr>
            <w:r>
              <w:rPr/>
              <w:t xml:space="preserve">(0.62 </w:t>
            </w:r>
          </w:p>
        </w:tc>
        <w:tc>
          <w:tcPr>
            <w:tcW w:w="171" w:type="dxa"/>
            <w:tcBorders/>
            <w:shd w:fill="FFFFFF" w:val="clear"/>
            <w:vAlign w:val="bottom"/>
          </w:tcPr>
          <w:p>
            <w:pPr>
              <w:pStyle w:val="TableContents"/>
              <w:spacing w:before="0" w:after="283"/>
              <w:jc w:val="left"/>
              <w:rPr/>
            </w:pPr>
            <w:r>
              <w:rPr/>
              <w:t xml:space="preserve">) </w:t>
            </w:r>
          </w:p>
        </w:tc>
        <w:tc>
          <w:tcPr>
            <w:tcW w:w="388" w:type="dxa"/>
            <w:tcBorders/>
            <w:shd w:fill="FFFFFF" w:val="clear"/>
            <w:vAlign w:val="bottom"/>
          </w:tcPr>
          <w:p>
            <w:pPr>
              <w:pStyle w:val="TableContents"/>
              <w:spacing w:before="0" w:after="283"/>
              <w:rPr/>
            </w:pPr>
            <w:r>
              <w:rPr/>
              <w:t xml:space="preserve">  </w:t>
            </w:r>
          </w:p>
        </w:tc>
        <w:tc>
          <w:tcPr>
            <w:tcW w:w="201" w:type="dxa"/>
            <w:tcBorders/>
            <w:shd w:fill="FFFFFF" w:val="clear"/>
            <w:vAlign w:val="bottom"/>
          </w:tcPr>
          <w:p>
            <w:pPr>
              <w:pStyle w:val="TableContents"/>
              <w:spacing w:before="0" w:after="283"/>
              <w:jc w:val="left"/>
              <w:rPr/>
            </w:pPr>
            <w:r>
              <w:rPr/>
              <w:t xml:space="preserve">$ </w:t>
            </w:r>
          </w:p>
        </w:tc>
        <w:tc>
          <w:tcPr>
            <w:tcW w:w="587" w:type="dxa"/>
            <w:tcBorders/>
            <w:shd w:fill="FFFFFF" w:val="clear"/>
            <w:vAlign w:val="bottom"/>
          </w:tcPr>
          <w:p>
            <w:pPr>
              <w:pStyle w:val="TableContents"/>
              <w:spacing w:before="0" w:after="283"/>
              <w:jc w:val="right"/>
              <w:rPr/>
            </w:pPr>
            <w:r>
              <w:rPr/>
              <w:t xml:space="preserve">(0.75 </w:t>
            </w:r>
          </w:p>
        </w:tc>
        <w:tc>
          <w:tcPr>
            <w:tcW w:w="180" w:type="dxa"/>
            <w:tcBorders/>
            <w:shd w:fill="FFFF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5"/>
        <w:gridCol w:w="101"/>
        <w:gridCol w:w="9699"/>
      </w:tblGrid>
      <w:tr>
        <w:trPr/>
        <w:tc>
          <w:tcPr>
            <w:tcW w:w="4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jc w:val="right"/>
              <w:rPr>
                <w:sz w:val="13"/>
              </w:rPr>
            </w:pPr>
            <w:r>
              <w:rPr>
                <w:sz w:val="13"/>
              </w:rPr>
              <w:t>(1)</w:t>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bottom"/>
          </w:tcPr>
          <w:p>
            <w:pPr>
              <w:pStyle w:val="TableContents"/>
              <w:spacing w:before="0" w:after="283"/>
              <w:rPr>
                <w:sz w:val="13"/>
              </w:rPr>
            </w:pPr>
            <w:r>
              <w:rPr>
                <w:sz w:val="13"/>
              </w:rPr>
              <w:t xml:space="preserve">During the first quarter of 2006, we adopted SFAS No. 123(R)(revised) Share Based Payment, which requires that the cost resulting from all share-based payment trasactions be recognized in the financial statements at fair value. The cumulative effect adjustment represents a decrease to our LTIP life-to-date accrued expense and related liability, and therefore resulted in a non-cash gain of $6.3 million in the first quarter of 2006. </w:t>
            </w:r>
          </w:p>
        </w:tc>
      </w:tr>
      <w:tr>
        <w:trPr/>
        <w:tc>
          <w:tcPr>
            <w:tcW w:w="405" w:type="dxa"/>
            <w:tcBorders/>
            <w:shd w:fill="FFFFFF" w:val="clear"/>
            <w:vAlign w:val="center"/>
          </w:tcPr>
          <w:p>
            <w:pPr>
              <w:pStyle w:val="TableContents"/>
              <w:spacing w:before="0" w:after="283"/>
              <w:rPr/>
            </w:pPr>
            <w:r>
              <w:rPr/>
              <w:t> </w:t>
            </w:r>
          </w:p>
        </w:tc>
        <w:tc>
          <w:tcPr>
            <w:tcW w:w="9800" w:type="dxa"/>
            <w:gridSpan w:val="2"/>
            <w:tcBorders/>
            <w:shd w:fill="FFFFFF"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jc w:val="right"/>
              <w:rPr>
                <w:sz w:val="13"/>
              </w:rPr>
            </w:pPr>
            <w:r>
              <w:rPr>
                <w:sz w:val="13"/>
              </w:rPr>
              <w:t>(2)</w:t>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bottom"/>
          </w:tcPr>
          <w:p>
            <w:pPr>
              <w:pStyle w:val="TableContents"/>
              <w:spacing w:before="0" w:after="283"/>
              <w:rPr>
                <w:sz w:val="13"/>
              </w:rPr>
            </w:pPr>
            <w:r>
              <w:rPr>
                <w:sz w:val="13"/>
              </w:rPr>
              <w:t xml:space="preserve">In periods when the Partnerships net income exceeds the cash distribution paid during such periods the application of </w:t>
            </w:r>
            <w:r>
              <w:rPr>
                <w:i/>
                <w:sz w:val="13"/>
              </w:rPr>
              <w:t xml:space="preserve">Emerging Issues Task Force Issue No. 03-06: Participating Securities and the Two  Class Method under FASB Statement No. 128 (EITF 03-06) </w:t>
            </w:r>
            <w:r>
              <w:rPr>
                <w:sz w:val="13"/>
              </w:rPr>
              <w:t xml:space="preserve">does not impact the partnerships aggregate net income or EBITDA, but does reduce the Partnerships net income per limited partner unit. The application of EITF 03-06 negatively impacted basic and diluted earnings per limited partner unit by approximately $0.13 and $0.10 for the years ended December 31, 2006 and 2005, respectively.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3</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Effective with the fourth quarter of 2006, the Partnership began reporting its segment results in three segments, which include Transportation, Facilities and Marketing. Information for prior annual and quarterly periods has been conformed to the three segment presentation. The following tables present certain selected financial information by segment for the fourth quarter and full year reporting periods: </w:t>
      </w:r>
    </w:p>
    <w:p>
      <w:pPr>
        <w:pStyle w:val="TextBody"/>
        <w:spacing w:before="120" w:after="283"/>
        <w:rPr/>
      </w:pPr>
      <w:r>
        <w:rPr/>
        <w:t> </w:t>
      </w:r>
    </w:p>
    <w:tbl>
      <w:tblPr>
        <w:tblW w:w="10340" w:type="dxa"/>
        <w:jc w:val="center"/>
        <w:tblInd w:w="0" w:type="dxa"/>
        <w:shd w:fill="FFFFFF" w:val="clear"/>
        <w:tblCellMar>
          <w:top w:w="0" w:type="dxa"/>
          <w:left w:w="0" w:type="dxa"/>
          <w:bottom w:w="0" w:type="dxa"/>
          <w:right w:w="0" w:type="dxa"/>
        </w:tblCellMar>
      </w:tblPr>
      <w:tblGrid>
        <w:gridCol w:w="1250"/>
        <w:gridCol w:w="60"/>
        <w:gridCol w:w="400"/>
        <w:gridCol w:w="1240"/>
        <w:gridCol w:w="155"/>
        <w:gridCol w:w="60"/>
        <w:gridCol w:w="249"/>
        <w:gridCol w:w="716"/>
        <w:gridCol w:w="155"/>
        <w:gridCol w:w="60"/>
        <w:gridCol w:w="215"/>
        <w:gridCol w:w="945"/>
        <w:gridCol w:w="155"/>
        <w:gridCol w:w="60"/>
        <w:gridCol w:w="400"/>
        <w:gridCol w:w="1240"/>
        <w:gridCol w:w="155"/>
        <w:gridCol w:w="60"/>
        <w:gridCol w:w="275"/>
        <w:gridCol w:w="690"/>
        <w:gridCol w:w="155"/>
        <w:gridCol w:w="60"/>
        <w:gridCol w:w="266"/>
        <w:gridCol w:w="1164"/>
        <w:gridCol w:w="155"/>
      </w:tblGrid>
      <w:tr>
        <w:trPr/>
        <w:tc>
          <w:tcPr>
            <w:tcW w:w="12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400" w:type="dxa"/>
            <w:tcBorders/>
            <w:shd w:fill="FFFFFF" w:val="clear"/>
            <w:vAlign w:val="bottom"/>
          </w:tcPr>
          <w:p>
            <w:pPr>
              <w:pStyle w:val="TableContents"/>
              <w:spacing w:before="0" w:after="283"/>
              <w:jc w:val="right"/>
              <w:rPr/>
            </w:pPr>
            <w:r>
              <w:rPr/>
              <w:t> </w:t>
            </w:r>
          </w:p>
        </w:tc>
        <w:tc>
          <w:tcPr>
            <w:tcW w:w="1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49" w:type="dxa"/>
            <w:tcBorders/>
            <w:shd w:fill="FFFFFF" w:val="clear"/>
            <w:vAlign w:val="bottom"/>
          </w:tcPr>
          <w:p>
            <w:pPr>
              <w:pStyle w:val="TableContents"/>
              <w:spacing w:before="0" w:after="283"/>
              <w:jc w:val="right"/>
              <w:rPr/>
            </w:pPr>
            <w:r>
              <w:rPr/>
              <w:t> </w:t>
            </w:r>
          </w:p>
        </w:tc>
        <w:tc>
          <w:tcPr>
            <w:tcW w:w="71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15" w:type="dxa"/>
            <w:tcBorders/>
            <w:shd w:fill="FFFFFF" w:val="clear"/>
            <w:vAlign w:val="bottom"/>
          </w:tcPr>
          <w:p>
            <w:pPr>
              <w:pStyle w:val="TableContents"/>
              <w:spacing w:before="0" w:after="283"/>
              <w:jc w:val="right"/>
              <w:rPr/>
            </w:pPr>
            <w:r>
              <w:rPr/>
              <w:t> </w:t>
            </w:r>
          </w:p>
        </w:tc>
        <w:tc>
          <w:tcPr>
            <w:tcW w:w="94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400" w:type="dxa"/>
            <w:tcBorders/>
            <w:shd w:fill="FFFFFF" w:val="clear"/>
            <w:vAlign w:val="bottom"/>
          </w:tcPr>
          <w:p>
            <w:pPr>
              <w:pStyle w:val="TableContents"/>
              <w:spacing w:before="0" w:after="283"/>
              <w:jc w:val="right"/>
              <w:rPr/>
            </w:pPr>
            <w:r>
              <w:rPr/>
              <w:t> </w:t>
            </w:r>
          </w:p>
        </w:tc>
        <w:tc>
          <w:tcPr>
            <w:tcW w:w="124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75" w:type="dxa"/>
            <w:tcBorders/>
            <w:shd w:fill="FFFFFF" w:val="clear"/>
            <w:vAlign w:val="bottom"/>
          </w:tcPr>
          <w:p>
            <w:pPr>
              <w:pStyle w:val="TableContents"/>
              <w:spacing w:before="0" w:after="283"/>
              <w:jc w:val="right"/>
              <w:rPr/>
            </w:pPr>
            <w:r>
              <w:rPr/>
              <w:t> </w:t>
            </w:r>
          </w:p>
        </w:tc>
        <w:tc>
          <w:tcPr>
            <w:tcW w:w="690"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jc w:val="right"/>
              <w:rPr/>
            </w:pPr>
            <w:r>
              <w:rPr/>
              <w:t> </w:t>
            </w:r>
          </w:p>
        </w:tc>
        <w:tc>
          <w:tcPr>
            <w:tcW w:w="116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195" w:type="dxa"/>
            <w:gridSpan w:val="10"/>
            <w:tcBorders/>
            <w:shd w:fill="FFFFFF" w:val="clear"/>
            <w:vAlign w:val="bottom"/>
          </w:tcPr>
          <w:p>
            <w:pPr>
              <w:pStyle w:val="TableContents"/>
              <w:spacing w:before="0" w:after="283"/>
              <w:jc w:val="center"/>
              <w:rPr>
                <w:b/>
              </w:rPr>
            </w:pPr>
            <w:r>
              <w:rPr>
                <w:b/>
              </w:rPr>
              <w:t>Three Months Ended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shd w:fill="FFFFFF" w:val="clear"/>
            <w:vAlign w:val="bottom"/>
          </w:tcPr>
          <w:p>
            <w:pPr>
              <w:pStyle w:val="TableContents"/>
              <w:spacing w:before="0" w:after="283"/>
              <w:jc w:val="center"/>
              <w:rPr>
                <w:b/>
              </w:rPr>
            </w:pPr>
            <w:r>
              <w:rPr>
                <w:b/>
              </w:rPr>
              <w:t>Three Months Ended</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19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6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6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6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Marketing(5)</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195"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center"/>
          </w:tcPr>
          <w:p>
            <w:pPr>
              <w:pStyle w:val="TableContents"/>
              <w:spacing w:before="0" w:after="283"/>
              <w:rPr/>
            </w:pPr>
            <w:r>
              <w:rPr/>
              <w:t xml:space="preserve">  </w:t>
            </w:r>
          </w:p>
        </w:tc>
        <w:tc>
          <w:tcPr>
            <w:tcW w:w="9090" w:type="dxa"/>
            <w:gridSpan w:val="24"/>
            <w:tcBorders/>
            <w:shd w:fill="FFFFFF" w:val="clear"/>
          </w:tcPr>
          <w:p>
            <w:pPr>
              <w:pStyle w:val="TableContents"/>
              <w:spacing w:before="0" w:after="283"/>
              <w:rPr>
                <w:sz w:val="4"/>
                <w:szCs w:val="4"/>
              </w:rPr>
            </w:pPr>
            <w:r>
              <w:rPr>
                <w:sz w:val="4"/>
                <w:szCs w:val="4"/>
              </w:rPr>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Revenues(1)(2)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150.3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33.1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4,272.7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116.0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11.4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8,641.9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Purchases and related costs(1)(2)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(16.6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(4,178.1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(19.7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(8,554.2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Field operating costs (excluding LTIP charge)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(58.9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(15.8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(36.6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(44.2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(5.1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(24.2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LTIP charge  operations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(1.6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(1.0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Segment G&amp;A expenses (excluding LTIP charge)(3)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(12.7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(3.7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(11.4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(7.9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(2.3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(9.9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LTIP charge  general and administrative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(6.0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(2.2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(5.7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(4.5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(1.0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(2.8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Equity earnings in unconsolidated entities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0.8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3.7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0.3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1.0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Segment profit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55.3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15.1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40.8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39.0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4.0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50.8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SFAS 133 mark-to-market impact(4)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15" w:type="dxa"/>
            <w:tcBorders/>
            <w:shd w:fill="CCEEFF" w:val="clear"/>
            <w:vAlign w:val="bottom"/>
          </w:tcPr>
          <w:p>
            <w:pPr>
              <w:pStyle w:val="TableContents"/>
              <w:spacing w:before="0" w:after="283"/>
              <w:jc w:val="left"/>
              <w:rPr/>
            </w:pPr>
            <w:r>
              <w:rPr/>
              <w:t xml:space="preserve">$ </w:t>
            </w:r>
          </w:p>
        </w:tc>
        <w:tc>
          <w:tcPr>
            <w:tcW w:w="945" w:type="dxa"/>
            <w:tcBorders/>
            <w:shd w:fill="CCEEFF" w:val="clear"/>
            <w:vAlign w:val="bottom"/>
          </w:tcPr>
          <w:p>
            <w:pPr>
              <w:pStyle w:val="TableContents"/>
              <w:spacing w:before="0" w:after="283"/>
              <w:jc w:val="right"/>
              <w:rPr/>
            </w:pPr>
            <w:r>
              <w:rPr/>
              <w:t xml:space="preserve">(19.2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400" w:type="dxa"/>
            <w:tcBorders/>
            <w:shd w:fill="CCEEFF" w:val="clear"/>
            <w:vAlign w:val="bottom"/>
          </w:tcPr>
          <w:p>
            <w:pPr>
              <w:pStyle w:val="TableContents"/>
              <w:spacing w:before="0" w:after="283"/>
              <w:jc w:val="left"/>
              <w:rPr/>
            </w:pPr>
            <w:r>
              <w:rPr/>
              <w:t xml:space="preserve">$ </w:t>
            </w:r>
          </w:p>
        </w:tc>
        <w:tc>
          <w:tcPr>
            <w:tcW w:w="1240"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75" w:type="dxa"/>
            <w:tcBorders/>
            <w:shd w:fill="CCEEFF" w:val="clear"/>
            <w:vAlign w:val="bottom"/>
          </w:tcPr>
          <w:p>
            <w:pPr>
              <w:pStyle w:val="TableContents"/>
              <w:spacing w:before="0" w:after="283"/>
              <w:jc w:val="left"/>
              <w:rPr/>
            </w:pPr>
            <w:r>
              <w:rPr/>
              <w:t xml:space="preserve">$ </w:t>
            </w:r>
          </w:p>
        </w:tc>
        <w:tc>
          <w:tcPr>
            <w:tcW w:w="690"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1164" w:type="dxa"/>
            <w:tcBorders/>
            <w:shd w:fill="CCEEFF" w:val="clear"/>
            <w:vAlign w:val="bottom"/>
          </w:tcPr>
          <w:p>
            <w:pPr>
              <w:pStyle w:val="TableContents"/>
              <w:spacing w:before="0" w:after="283"/>
              <w:jc w:val="right"/>
              <w:rPr/>
            </w:pPr>
            <w:r>
              <w:rPr/>
              <w:t xml:space="preserve">1.1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Maintenance capital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8.4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1.6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jc w:val="left"/>
              <w:rPr/>
            </w:pPr>
            <w:r>
              <w:rPr/>
              <w:t xml:space="preserve">$ </w:t>
            </w:r>
          </w:p>
        </w:tc>
        <w:tc>
          <w:tcPr>
            <w:tcW w:w="945" w:type="dxa"/>
            <w:tcBorders/>
            <w:shd w:fill="FFFFFF" w:val="clear"/>
            <w:vAlign w:val="bottom"/>
          </w:tcPr>
          <w:p>
            <w:pPr>
              <w:pStyle w:val="TableContents"/>
              <w:spacing w:before="0" w:after="283"/>
              <w:jc w:val="right"/>
              <w:rPr/>
            </w:pPr>
            <w:r>
              <w:rPr/>
              <w:t xml:space="preserve">1.0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shd w:fill="FFFFFF" w:val="clear"/>
            <w:vAlign w:val="bottom"/>
          </w:tcPr>
          <w:p>
            <w:pPr>
              <w:pStyle w:val="TableContents"/>
              <w:spacing w:before="0" w:after="283"/>
              <w:jc w:val="left"/>
              <w:rPr/>
            </w:pPr>
            <w:r>
              <w:rPr/>
              <w:t xml:space="preserve">$ </w:t>
            </w:r>
          </w:p>
        </w:tc>
        <w:tc>
          <w:tcPr>
            <w:tcW w:w="1240" w:type="dxa"/>
            <w:tcBorders/>
            <w:shd w:fill="FFFFFF" w:val="clear"/>
            <w:vAlign w:val="bottom"/>
          </w:tcPr>
          <w:p>
            <w:pPr>
              <w:pStyle w:val="TableContents"/>
              <w:spacing w:before="0" w:after="283"/>
              <w:jc w:val="right"/>
              <w:rPr/>
            </w:pPr>
            <w:r>
              <w:rPr/>
              <w:t xml:space="preserve">0.3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shd w:fill="FFFFFF" w:val="clear"/>
            <w:vAlign w:val="bottom"/>
          </w:tcPr>
          <w:p>
            <w:pPr>
              <w:pStyle w:val="TableContents"/>
              <w:spacing w:before="0" w:after="283"/>
              <w:jc w:val="left"/>
              <w:rPr/>
            </w:pPr>
            <w:r>
              <w:rPr/>
              <w:t xml:space="preserve">$ </w:t>
            </w:r>
          </w:p>
        </w:tc>
        <w:tc>
          <w:tcPr>
            <w:tcW w:w="690" w:type="dxa"/>
            <w:tcBorders/>
            <w:shd w:fill="FFFFFF" w:val="clear"/>
            <w:vAlign w:val="bottom"/>
          </w:tcPr>
          <w:p>
            <w:pPr>
              <w:pStyle w:val="TableContents"/>
              <w:spacing w:before="0" w:after="283"/>
              <w:jc w:val="right"/>
              <w:rPr/>
            </w:pPr>
            <w:r>
              <w:rPr/>
              <w:t xml:space="preserve">0.4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shd w:fill="FFFFFF" w:val="clear"/>
            <w:vAlign w:val="bottom"/>
          </w:tcPr>
          <w:p>
            <w:pPr>
              <w:pStyle w:val="TableContents"/>
              <w:spacing w:before="0" w:after="283"/>
              <w:jc w:val="left"/>
              <w:rPr/>
            </w:pPr>
            <w:r>
              <w:rPr/>
              <w:t xml:space="preserve">$ </w:t>
            </w:r>
          </w:p>
        </w:tc>
        <w:tc>
          <w:tcPr>
            <w:tcW w:w="1164" w:type="dxa"/>
            <w:tcBorders/>
            <w:shd w:fill="FFFFFF" w:val="clear"/>
            <w:vAlign w:val="bottom"/>
          </w:tcPr>
          <w:p>
            <w:pPr>
              <w:pStyle w:val="TableContents"/>
              <w:spacing w:before="0" w:after="283"/>
              <w:jc w:val="right"/>
              <w:rPr/>
            </w:pPr>
            <w:r>
              <w:rPr/>
              <w:t xml:space="preserve">1.1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4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4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10375" w:type="dxa"/>
        <w:jc w:val="center"/>
        <w:tblInd w:w="0" w:type="dxa"/>
        <w:shd w:fill="FFFFFF" w:val="clear"/>
        <w:tblCellMar>
          <w:top w:w="0" w:type="dxa"/>
          <w:left w:w="0" w:type="dxa"/>
          <w:bottom w:w="0" w:type="dxa"/>
          <w:right w:w="0" w:type="dxa"/>
        </w:tblCellMar>
      </w:tblPr>
      <w:tblGrid>
        <w:gridCol w:w="1250"/>
        <w:gridCol w:w="60"/>
        <w:gridCol w:w="366"/>
        <w:gridCol w:w="1274"/>
        <w:gridCol w:w="155"/>
        <w:gridCol w:w="60"/>
        <w:gridCol w:w="249"/>
        <w:gridCol w:w="716"/>
        <w:gridCol w:w="155"/>
        <w:gridCol w:w="60"/>
        <w:gridCol w:w="200"/>
        <w:gridCol w:w="995"/>
        <w:gridCol w:w="155"/>
        <w:gridCol w:w="60"/>
        <w:gridCol w:w="366"/>
        <w:gridCol w:w="1274"/>
        <w:gridCol w:w="155"/>
        <w:gridCol w:w="60"/>
        <w:gridCol w:w="249"/>
        <w:gridCol w:w="716"/>
        <w:gridCol w:w="155"/>
        <w:gridCol w:w="60"/>
        <w:gridCol w:w="239"/>
        <w:gridCol w:w="1191"/>
        <w:gridCol w:w="155"/>
      </w:tblGrid>
      <w:tr>
        <w:trPr/>
        <w:tc>
          <w:tcPr>
            <w:tcW w:w="1250"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rPr/>
            </w:pPr>
            <w:r>
              <w:rPr/>
              <w:t> </w:t>
            </w:r>
          </w:p>
        </w:tc>
        <w:tc>
          <w:tcPr>
            <w:tcW w:w="366" w:type="dxa"/>
            <w:tcBorders/>
            <w:shd w:fill="FFFFFF" w:val="clear"/>
            <w:vAlign w:val="bottom"/>
          </w:tcPr>
          <w:p>
            <w:pPr>
              <w:pStyle w:val="TableContents"/>
              <w:spacing w:before="0" w:after="283"/>
              <w:jc w:val="right"/>
              <w:rPr/>
            </w:pPr>
            <w:r>
              <w:rPr/>
              <w:t> </w:t>
            </w:r>
          </w:p>
        </w:tc>
        <w:tc>
          <w:tcPr>
            <w:tcW w:w="127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49" w:type="dxa"/>
            <w:tcBorders/>
            <w:shd w:fill="FFFFFF" w:val="clear"/>
            <w:vAlign w:val="bottom"/>
          </w:tcPr>
          <w:p>
            <w:pPr>
              <w:pStyle w:val="TableContents"/>
              <w:spacing w:before="0" w:after="283"/>
              <w:jc w:val="right"/>
              <w:rPr/>
            </w:pPr>
            <w:r>
              <w:rPr/>
              <w:t> </w:t>
            </w:r>
          </w:p>
        </w:tc>
        <w:tc>
          <w:tcPr>
            <w:tcW w:w="71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95"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366" w:type="dxa"/>
            <w:tcBorders/>
            <w:shd w:fill="FFFFFF" w:val="clear"/>
            <w:vAlign w:val="bottom"/>
          </w:tcPr>
          <w:p>
            <w:pPr>
              <w:pStyle w:val="TableContents"/>
              <w:spacing w:before="0" w:after="283"/>
              <w:jc w:val="right"/>
              <w:rPr/>
            </w:pPr>
            <w:r>
              <w:rPr/>
              <w:t> </w:t>
            </w:r>
          </w:p>
        </w:tc>
        <w:tc>
          <w:tcPr>
            <w:tcW w:w="1274"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49" w:type="dxa"/>
            <w:tcBorders/>
            <w:shd w:fill="FFFFFF" w:val="clear"/>
            <w:vAlign w:val="bottom"/>
          </w:tcPr>
          <w:p>
            <w:pPr>
              <w:pStyle w:val="TableContents"/>
              <w:spacing w:before="0" w:after="283"/>
              <w:jc w:val="right"/>
              <w:rPr/>
            </w:pPr>
            <w:r>
              <w:rPr/>
              <w:t> </w:t>
            </w:r>
          </w:p>
        </w:tc>
        <w:tc>
          <w:tcPr>
            <w:tcW w:w="716"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jc w:val="right"/>
              <w:rPr/>
            </w:pPr>
            <w:r>
              <w:rPr/>
              <w:t> </w:t>
            </w:r>
          </w:p>
        </w:tc>
        <w:tc>
          <w:tcPr>
            <w:tcW w:w="1191" w:type="dxa"/>
            <w:tcBorders/>
            <w:shd w:fill="FFFFFF" w:val="clear"/>
            <w:vAlign w:val="bottom"/>
          </w:tcPr>
          <w:p>
            <w:pPr>
              <w:pStyle w:val="TableContents"/>
              <w:spacing w:before="0" w:after="283"/>
              <w:jc w:val="right"/>
              <w:rPr/>
            </w:pPr>
            <w:r>
              <w:rPr/>
              <w:t> </w:t>
            </w:r>
          </w:p>
        </w:tc>
        <w:tc>
          <w:tcPr>
            <w:tcW w:w="155" w:type="dxa"/>
            <w:tcBorders/>
            <w:shd w:fill="FFFFFF" w:val="clear"/>
            <w:vAlign w:val="bottom"/>
          </w:tcPr>
          <w:p>
            <w:pPr>
              <w:pStyle w:val="TableContents"/>
              <w:spacing w:before="0" w:after="283"/>
              <w:jc w:val="left"/>
              <w:rPr/>
            </w:pPr>
            <w:r>
              <w:rPr/>
              <w:t>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230" w:type="dxa"/>
            <w:gridSpan w:val="10"/>
            <w:tcBorders/>
            <w:shd w:fill="FFFFFF" w:val="clear"/>
            <w:vAlign w:val="bottom"/>
          </w:tcPr>
          <w:p>
            <w:pPr>
              <w:pStyle w:val="TableContents"/>
              <w:spacing w:before="0" w:after="283"/>
              <w:jc w:val="center"/>
              <w:rPr>
                <w:b/>
              </w:rPr>
            </w:pPr>
            <w:r>
              <w:rPr>
                <w:b/>
              </w:rPr>
              <w:t>Twelve Months Ended</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shd w:fill="FFFFFF" w:val="clear"/>
            <w:vAlign w:val="bottom"/>
          </w:tcPr>
          <w:p>
            <w:pPr>
              <w:pStyle w:val="TableContents"/>
              <w:spacing w:before="0" w:after="283"/>
              <w:jc w:val="center"/>
              <w:rPr>
                <w:b/>
              </w:rPr>
            </w:pPr>
            <w:r>
              <w:rPr>
                <w:b/>
              </w:rPr>
              <w:t>Twelve Months Ended</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230"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6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19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64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96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14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Marketing(5)</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230"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c>
          <w:tcPr>
            <w:tcW w:w="60" w:type="dxa"/>
            <w:tcBorders/>
            <w:shd w:fill="FFFFFF" w:val="clear"/>
            <w:vAlign w:val="bottom"/>
          </w:tcPr>
          <w:p>
            <w:pPr>
              <w:pStyle w:val="TableContents"/>
              <w:spacing w:before="0" w:after="283"/>
              <w:jc w:val="center"/>
              <w:rPr/>
            </w:pPr>
            <w:r>
              <w:rPr/>
              <w:t xml:space="preserve">  </w:t>
            </w:r>
          </w:p>
        </w:tc>
        <w:tc>
          <w:tcPr>
            <w:tcW w:w="4465" w:type="dxa"/>
            <w:gridSpan w:val="10"/>
            <w:tcBorders/>
            <w:shd w:fill="FFFFFF" w:val="clear"/>
            <w:vAlign w:val="bottom"/>
          </w:tcPr>
          <w:p>
            <w:pPr>
              <w:pStyle w:val="TableContents"/>
              <w:spacing w:before="0" w:after="283"/>
              <w:jc w:val="center"/>
              <w:rPr/>
            </w:pPr>
            <w:r>
              <w:rPr>
                <w:b/>
              </w:rPr>
              <w:t>(In millions)</w:t>
            </w:r>
            <w:r>
              <w:rPr/>
              <w:t xml:space="preserve"> </w:t>
            </w:r>
          </w:p>
        </w:tc>
        <w:tc>
          <w:tcPr>
            <w:tcW w:w="155" w:type="dxa"/>
            <w:tcBorders/>
            <w:shd w:fill="FFFFFF" w:val="clear"/>
            <w:vAlign w:val="bottom"/>
          </w:tcPr>
          <w:p>
            <w:pPr>
              <w:pStyle w:val="TableContents"/>
              <w:spacing w:before="0" w:after="283"/>
              <w:jc w:val="center"/>
              <w:rPr/>
            </w:pPr>
            <w:r>
              <w:rPr/>
              <w:t xml:space="preserve">  </w:t>
            </w:r>
          </w:p>
        </w:tc>
      </w:tr>
      <w:tr>
        <w:trPr/>
        <w:tc>
          <w:tcPr>
            <w:tcW w:w="1250" w:type="dxa"/>
            <w:tcBorders/>
            <w:shd w:fill="FFFFFF" w:val="clear"/>
            <w:vAlign w:val="center"/>
          </w:tcPr>
          <w:p>
            <w:pPr>
              <w:pStyle w:val="TableContents"/>
              <w:spacing w:before="0" w:after="283"/>
              <w:rPr/>
            </w:pPr>
            <w:r>
              <w:rPr/>
              <w:t xml:space="preserve">  </w:t>
            </w:r>
          </w:p>
        </w:tc>
        <w:tc>
          <w:tcPr>
            <w:tcW w:w="9125" w:type="dxa"/>
            <w:gridSpan w:val="24"/>
            <w:tcBorders/>
            <w:shd w:fill="FFFFFF" w:val="clear"/>
          </w:tcPr>
          <w:p>
            <w:pPr>
              <w:pStyle w:val="TableContents"/>
              <w:spacing w:before="0" w:after="283"/>
              <w:rPr>
                <w:sz w:val="4"/>
                <w:szCs w:val="4"/>
              </w:rPr>
            </w:pPr>
            <w:r>
              <w:rPr>
                <w:sz w:val="4"/>
                <w:szCs w:val="4"/>
              </w:rPr>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Revenues(1)(2)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534.0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87.7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95" w:type="dxa"/>
            <w:tcBorders/>
            <w:shd w:fill="CCEEFF" w:val="clear"/>
            <w:vAlign w:val="bottom"/>
          </w:tcPr>
          <w:p>
            <w:pPr>
              <w:pStyle w:val="TableContents"/>
              <w:spacing w:before="0" w:after="283"/>
              <w:jc w:val="right"/>
              <w:rPr/>
            </w:pPr>
            <w:r>
              <w:rPr/>
              <w:t xml:space="preserve">22,060.8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435.2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41.9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1191" w:type="dxa"/>
            <w:tcBorders/>
            <w:shd w:fill="CCEEFF" w:val="clear"/>
            <w:vAlign w:val="bottom"/>
          </w:tcPr>
          <w:p>
            <w:pPr>
              <w:pStyle w:val="TableContents"/>
              <w:spacing w:before="0" w:after="283"/>
              <w:jc w:val="right"/>
              <w:rPr/>
            </w:pPr>
            <w:r>
              <w:rPr/>
              <w:t xml:space="preserve">30,893.0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Purchases and related costs(1)(2)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(71.3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95" w:type="dxa"/>
            <w:tcBorders/>
            <w:shd w:fill="FFFFFF" w:val="clear"/>
            <w:vAlign w:val="bottom"/>
          </w:tcPr>
          <w:p>
            <w:pPr>
              <w:pStyle w:val="TableContents"/>
              <w:spacing w:before="0" w:after="283"/>
              <w:jc w:val="right"/>
              <w:rPr/>
            </w:pPr>
            <w:r>
              <w:rPr/>
              <w:t xml:space="preserve">(21,640.6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(50.2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1191" w:type="dxa"/>
            <w:tcBorders/>
            <w:shd w:fill="FFFFFF" w:val="clear"/>
            <w:vAlign w:val="bottom"/>
          </w:tcPr>
          <w:p>
            <w:pPr>
              <w:pStyle w:val="TableContents"/>
              <w:spacing w:before="0" w:after="283"/>
              <w:jc w:val="right"/>
              <w:rPr/>
            </w:pPr>
            <w:r>
              <w:rPr/>
              <w:t xml:space="preserve">(30,578.4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Field operating costs (excluding LTIP charge)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(200.7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(39.6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95" w:type="dxa"/>
            <w:tcBorders/>
            <w:shd w:fill="CCEEFF" w:val="clear"/>
            <w:vAlign w:val="bottom"/>
          </w:tcPr>
          <w:p>
            <w:pPr>
              <w:pStyle w:val="TableContents"/>
              <w:spacing w:before="0" w:after="283"/>
              <w:jc w:val="right"/>
              <w:rPr/>
            </w:pPr>
            <w:r>
              <w:rPr/>
              <w:t xml:space="preserve">(136.6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(164.5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(17.8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1191" w:type="dxa"/>
            <w:tcBorders/>
            <w:shd w:fill="CCEEFF" w:val="clear"/>
            <w:vAlign w:val="bottom"/>
          </w:tcPr>
          <w:p>
            <w:pPr>
              <w:pStyle w:val="TableContents"/>
              <w:spacing w:before="0" w:after="283"/>
              <w:jc w:val="right"/>
              <w:rPr/>
            </w:pPr>
            <w:r>
              <w:rPr/>
              <w:t xml:space="preserve">(94.4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LTIP charge  operations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(4.5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95" w:type="dxa"/>
            <w:tcBorders/>
            <w:shd w:fill="FFFFFF" w:val="clear"/>
            <w:vAlign w:val="bottom"/>
          </w:tcPr>
          <w:p>
            <w:pPr>
              <w:pStyle w:val="TableContents"/>
              <w:spacing w:before="0" w:after="283"/>
              <w:jc w:val="right"/>
              <w:rPr/>
            </w:pPr>
            <w:r>
              <w:rPr/>
              <w:t xml:space="preserve">(0.1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(1.0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1191" w:type="dxa"/>
            <w:tcBorders/>
            <w:shd w:fill="FFFFFF" w:val="clear"/>
            <w:vAlign w:val="bottom"/>
          </w:tcPr>
          <w:p>
            <w:pPr>
              <w:pStyle w:val="TableContents"/>
              <w:spacing w:before="0" w:after="283"/>
              <w:jc w:val="right"/>
              <w:rPr/>
            </w:pPr>
            <w:r>
              <w:rPr/>
              <w:t xml:space="preserve">(2.3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Segment G&amp;A expenses (excluding LTIP charge)(3)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(42.9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(13.5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95" w:type="dxa"/>
            <w:tcBorders/>
            <w:shd w:fill="CCEEFF" w:val="clear"/>
            <w:vAlign w:val="bottom"/>
          </w:tcPr>
          <w:p>
            <w:pPr>
              <w:pStyle w:val="TableContents"/>
              <w:spacing w:before="0" w:after="283"/>
              <w:jc w:val="right"/>
              <w:rPr/>
            </w:pPr>
            <w:r>
              <w:rPr/>
              <w:t xml:space="preserve">(39.5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(40.2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(7.7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1191" w:type="dxa"/>
            <w:tcBorders/>
            <w:shd w:fill="CCEEFF" w:val="clear"/>
            <w:vAlign w:val="bottom"/>
          </w:tcPr>
          <w:p>
            <w:pPr>
              <w:pStyle w:val="TableContents"/>
              <w:spacing w:before="0" w:after="283"/>
              <w:jc w:val="right"/>
              <w:rPr/>
            </w:pPr>
            <w:r>
              <w:rPr/>
              <w:t xml:space="preserve">(32.5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LTIP charge  general and administrative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(16.3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(5.7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95" w:type="dxa"/>
            <w:tcBorders/>
            <w:shd w:fill="FFFFFF" w:val="clear"/>
            <w:vAlign w:val="bottom"/>
          </w:tcPr>
          <w:p>
            <w:pPr>
              <w:pStyle w:val="TableContents"/>
              <w:spacing w:before="0" w:after="283"/>
              <w:jc w:val="right"/>
              <w:rPr/>
            </w:pPr>
            <w:r>
              <w:rPr/>
              <w:t xml:space="preserve">(16.0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(10.6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(2.2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1191" w:type="dxa"/>
            <w:tcBorders/>
            <w:shd w:fill="FFFFFF" w:val="clear"/>
            <w:vAlign w:val="bottom"/>
          </w:tcPr>
          <w:p>
            <w:pPr>
              <w:pStyle w:val="TableContents"/>
              <w:spacing w:before="0" w:after="283"/>
              <w:jc w:val="right"/>
              <w:rPr/>
            </w:pPr>
            <w:r>
              <w:rPr/>
              <w:t xml:space="preserve">(10.0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Equity earnings in unconsolidated entities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1.9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5.8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95"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0.8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1.0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1191"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19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Segment profit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200.2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34.6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95" w:type="dxa"/>
            <w:tcBorders/>
            <w:shd w:fill="FFFFFF" w:val="clear"/>
            <w:vAlign w:val="bottom"/>
          </w:tcPr>
          <w:p>
            <w:pPr>
              <w:pStyle w:val="TableContents"/>
              <w:spacing w:before="0" w:after="283"/>
              <w:jc w:val="right"/>
              <w:rPr/>
            </w:pPr>
            <w:r>
              <w:rPr/>
              <w:t xml:space="preserve">228.0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169.5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15.2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1191" w:type="dxa"/>
            <w:tcBorders/>
            <w:shd w:fill="FFFFFF" w:val="clear"/>
            <w:vAlign w:val="bottom"/>
          </w:tcPr>
          <w:p>
            <w:pPr>
              <w:pStyle w:val="TableContents"/>
              <w:spacing w:before="0" w:after="283"/>
              <w:jc w:val="right"/>
              <w:rPr/>
            </w:pPr>
            <w:r>
              <w:rPr/>
              <w:t xml:space="preserve">175.4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CCEEFF" w:val="clear"/>
            <w:vAlign w:val="bottom"/>
          </w:tcPr>
          <w:p>
            <w:pPr>
              <w:pStyle w:val="TableContents"/>
              <w:spacing w:before="0" w:after="0"/>
              <w:ind w:left="180" w:right="0" w:hanging="180"/>
              <w:jc w:val="left"/>
              <w:rPr>
                <w:sz w:val="15"/>
              </w:rPr>
            </w:pPr>
            <w:r>
              <w:rPr>
                <w:sz w:val="15"/>
              </w:rPr>
              <w:t xml:space="preserve">SFAS 133 mark-to-market impact(4)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95" w:type="dxa"/>
            <w:tcBorders/>
            <w:shd w:fill="CCEEFF" w:val="clear"/>
            <w:vAlign w:val="bottom"/>
          </w:tcPr>
          <w:p>
            <w:pPr>
              <w:pStyle w:val="TableContents"/>
              <w:spacing w:before="0" w:after="283"/>
              <w:jc w:val="right"/>
              <w:rPr/>
            </w:pPr>
            <w:r>
              <w:rPr/>
              <w:t xml:space="preserve">(4.4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366" w:type="dxa"/>
            <w:tcBorders/>
            <w:shd w:fill="CCEEFF" w:val="clear"/>
            <w:vAlign w:val="bottom"/>
          </w:tcPr>
          <w:p>
            <w:pPr>
              <w:pStyle w:val="TableContents"/>
              <w:spacing w:before="0" w:after="283"/>
              <w:jc w:val="left"/>
              <w:rPr/>
            </w:pPr>
            <w:r>
              <w:rPr/>
              <w:t xml:space="preserve">$ </w:t>
            </w:r>
          </w:p>
        </w:tc>
        <w:tc>
          <w:tcPr>
            <w:tcW w:w="1274"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49" w:type="dxa"/>
            <w:tcBorders/>
            <w:shd w:fill="CCEEFF" w:val="clear"/>
            <w:vAlign w:val="bottom"/>
          </w:tcPr>
          <w:p>
            <w:pPr>
              <w:pStyle w:val="TableContents"/>
              <w:spacing w:before="0" w:after="283"/>
              <w:jc w:val="left"/>
              <w:rPr/>
            </w:pPr>
            <w:r>
              <w:rPr/>
              <w:t xml:space="preserve">$ </w:t>
            </w:r>
          </w:p>
        </w:tc>
        <w:tc>
          <w:tcPr>
            <w:tcW w:w="716" w:type="dxa"/>
            <w:tcBorders/>
            <w:shd w:fill="CCEEFF" w:val="clear"/>
            <w:vAlign w:val="bottom"/>
          </w:tcPr>
          <w:p>
            <w:pPr>
              <w:pStyle w:val="TableContents"/>
              <w:spacing w:before="0" w:after="283"/>
              <w:jc w:val="right"/>
              <w:rPr/>
            </w:pPr>
            <w:r>
              <w:rPr/>
              <w:t xml:space="preserve"> </w:t>
            </w:r>
          </w:p>
        </w:tc>
        <w:tc>
          <w:tcPr>
            <w:tcW w:w="155" w:type="dxa"/>
            <w:tcBorders/>
            <w:shd w:fill="CCEEFF" w:val="clear"/>
            <w:vAlign w:val="bottom"/>
          </w:tcPr>
          <w:p>
            <w:pPr>
              <w:pStyle w:val="TableContents"/>
              <w:spacing w:before="0" w:after="283"/>
              <w:jc w:val="left"/>
              <w:rPr/>
            </w:pPr>
            <w:r>
              <w:rPr/>
              <w:t xml:space="preserve">  </w:t>
            </w:r>
          </w:p>
        </w:tc>
        <w:tc>
          <w:tcPr>
            <w:tcW w:w="60"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1191" w:type="dxa"/>
            <w:tcBorders/>
            <w:shd w:fill="CCEEFF" w:val="clear"/>
            <w:vAlign w:val="bottom"/>
          </w:tcPr>
          <w:p>
            <w:pPr>
              <w:pStyle w:val="TableContents"/>
              <w:spacing w:before="0" w:after="283"/>
              <w:jc w:val="right"/>
              <w:rPr/>
            </w:pPr>
            <w:r>
              <w:rPr/>
              <w:t xml:space="preserve">(18.9 </w:t>
            </w:r>
          </w:p>
        </w:tc>
        <w:tc>
          <w:tcPr>
            <w:tcW w:w="155" w:type="dxa"/>
            <w:tcBorders/>
            <w:shd w:fill="CCEE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r>
        <w:trPr/>
        <w:tc>
          <w:tcPr>
            <w:tcW w:w="1250" w:type="dxa"/>
            <w:tcBorders/>
            <w:shd w:fill="FFFFFF" w:val="clear"/>
            <w:vAlign w:val="bottom"/>
          </w:tcPr>
          <w:p>
            <w:pPr>
              <w:pStyle w:val="TableContents"/>
              <w:spacing w:before="0" w:after="0"/>
              <w:ind w:left="180" w:right="0" w:hanging="180"/>
              <w:jc w:val="left"/>
              <w:rPr>
                <w:sz w:val="15"/>
              </w:rPr>
            </w:pPr>
            <w:r>
              <w:rPr>
                <w:sz w:val="15"/>
              </w:rPr>
              <w:t xml:space="preserve">Maintenance capital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20.0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4.9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95" w:type="dxa"/>
            <w:tcBorders/>
            <w:shd w:fill="FFFFFF" w:val="clear"/>
            <w:vAlign w:val="bottom"/>
          </w:tcPr>
          <w:p>
            <w:pPr>
              <w:pStyle w:val="TableContents"/>
              <w:spacing w:before="0" w:after="283"/>
              <w:jc w:val="right"/>
              <w:rPr/>
            </w:pPr>
            <w:r>
              <w:rPr/>
              <w:t xml:space="preserve">3.3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shd w:fill="FFFFFF" w:val="clear"/>
            <w:vAlign w:val="bottom"/>
          </w:tcPr>
          <w:p>
            <w:pPr>
              <w:pStyle w:val="TableContents"/>
              <w:spacing w:before="0" w:after="283"/>
              <w:jc w:val="left"/>
              <w:rPr/>
            </w:pPr>
            <w:r>
              <w:rPr/>
              <w:t xml:space="preserve">$ </w:t>
            </w:r>
          </w:p>
        </w:tc>
        <w:tc>
          <w:tcPr>
            <w:tcW w:w="1274" w:type="dxa"/>
            <w:tcBorders/>
            <w:shd w:fill="FFFFFF" w:val="clear"/>
            <w:vAlign w:val="bottom"/>
          </w:tcPr>
          <w:p>
            <w:pPr>
              <w:pStyle w:val="TableContents"/>
              <w:spacing w:before="0" w:after="283"/>
              <w:jc w:val="right"/>
              <w:rPr/>
            </w:pPr>
            <w:r>
              <w:rPr/>
              <w:t xml:space="preserve">8.5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jc w:val="left"/>
              <w:rPr/>
            </w:pPr>
            <w:r>
              <w:rPr/>
              <w:t xml:space="preserve">$ </w:t>
            </w:r>
          </w:p>
        </w:tc>
        <w:tc>
          <w:tcPr>
            <w:tcW w:w="716" w:type="dxa"/>
            <w:tcBorders/>
            <w:shd w:fill="FFFFFF" w:val="clear"/>
            <w:vAlign w:val="bottom"/>
          </w:tcPr>
          <w:p>
            <w:pPr>
              <w:pStyle w:val="TableContents"/>
              <w:spacing w:before="0" w:after="283"/>
              <w:jc w:val="right"/>
              <w:rPr/>
            </w:pPr>
            <w:r>
              <w:rPr/>
              <w:t xml:space="preserve">1.1 </w:t>
            </w:r>
          </w:p>
        </w:tc>
        <w:tc>
          <w:tcPr>
            <w:tcW w:w="155" w:type="dxa"/>
            <w:tcBorders/>
            <w:shd w:fill="FFFFFF" w:val="clear"/>
            <w:vAlign w:val="bottom"/>
          </w:tcPr>
          <w:p>
            <w:pPr>
              <w:pStyle w:val="TableContents"/>
              <w:spacing w:before="0" w:after="283"/>
              <w:jc w:val="left"/>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1191" w:type="dxa"/>
            <w:tcBorders/>
            <w:shd w:fill="FFFFFF" w:val="clear"/>
            <w:vAlign w:val="bottom"/>
          </w:tcPr>
          <w:p>
            <w:pPr>
              <w:pStyle w:val="TableContents"/>
              <w:spacing w:before="0" w:after="283"/>
              <w:jc w:val="right"/>
              <w:rPr/>
            </w:pPr>
            <w:r>
              <w:rPr/>
              <w:t xml:space="preserve">4.4 </w:t>
            </w:r>
          </w:p>
        </w:tc>
        <w:tc>
          <w:tcPr>
            <w:tcW w:w="155" w:type="dxa"/>
            <w:tcBorders/>
            <w:shd w:fill="FFFFFF" w:val="clear"/>
            <w:vAlign w:val="bottom"/>
          </w:tcPr>
          <w:p>
            <w:pPr>
              <w:pStyle w:val="TableContents"/>
              <w:spacing w:before="0" w:after="283"/>
              <w:jc w:val="left"/>
              <w:rPr/>
            </w:pPr>
            <w:r>
              <w:rPr/>
              <w:t xml:space="preserve">  </w:t>
            </w:r>
          </w:p>
        </w:tc>
      </w:tr>
      <w:tr>
        <w:trPr/>
        <w:tc>
          <w:tcPr>
            <w:tcW w:w="1250"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3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7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4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c>
          <w:tcPr>
            <w:tcW w:w="60" w:type="dxa"/>
            <w:tcBorders/>
            <w:shd w:fill="FFFFFF" w:val="clear"/>
            <w:vAlign w:val="bottom"/>
          </w:tcPr>
          <w:p>
            <w:pPr>
              <w:pStyle w:val="TableContents"/>
              <w:spacing w:before="0" w:after="283"/>
              <w:rPr/>
            </w:pPr>
            <w:r>
              <w:rPr/>
              <w:t xml:space="preserve">  </w:t>
            </w:r>
          </w:p>
        </w:tc>
        <w:tc>
          <w:tcPr>
            <w:tcW w:w="2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19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5"/>
        <w:gridCol w:w="101"/>
        <w:gridCol w:w="9699"/>
      </w:tblGrid>
      <w:tr>
        <w:trPr/>
        <w:tc>
          <w:tcPr>
            <w:tcW w:w="405" w:type="dxa"/>
            <w:tcBorders/>
            <w:shd w:fill="FFFFFF" w:val="clear"/>
            <w:vAlign w:val="center"/>
          </w:tcPr>
          <w:p>
            <w:pPr>
              <w:pStyle w:val="TableContents"/>
              <w:spacing w:before="0" w:after="283"/>
              <w:rPr>
                <w:sz w:val="4"/>
                <w:szCs w:val="4"/>
              </w:rPr>
            </w:pPr>
            <w:r>
              <w:rPr>
                <w:sz w:val="4"/>
                <w:szCs w:val="4"/>
              </w:rPr>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cente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jc w:val="right"/>
              <w:rPr>
                <w:sz w:val="13"/>
              </w:rPr>
            </w:pPr>
            <w:r>
              <w:rPr>
                <w:sz w:val="13"/>
              </w:rPr>
              <w:t>(1)</w:t>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bottom"/>
          </w:tcPr>
          <w:p>
            <w:pPr>
              <w:pStyle w:val="TableContents"/>
              <w:spacing w:before="0" w:after="283"/>
              <w:rPr>
                <w:sz w:val="13"/>
              </w:rPr>
            </w:pPr>
            <w:r>
              <w:rPr>
                <w:sz w:val="13"/>
              </w:rPr>
              <w:t xml:space="preserve">Includes intersegment amounts. </w:t>
            </w:r>
          </w:p>
        </w:tc>
      </w:tr>
      <w:tr>
        <w:trPr/>
        <w:tc>
          <w:tcPr>
            <w:tcW w:w="405" w:type="dxa"/>
            <w:tcBorders/>
            <w:shd w:fill="FFFFFF" w:val="clear"/>
            <w:vAlign w:val="center"/>
          </w:tcPr>
          <w:p>
            <w:pPr>
              <w:pStyle w:val="TableContents"/>
              <w:spacing w:before="0" w:after="283"/>
              <w:rPr/>
            </w:pPr>
            <w:r>
              <w:rPr/>
              <w:t> </w:t>
            </w:r>
          </w:p>
        </w:tc>
        <w:tc>
          <w:tcPr>
            <w:tcW w:w="9800" w:type="dxa"/>
            <w:gridSpan w:val="2"/>
            <w:tcBorders/>
            <w:shd w:fill="FFFFFF" w:val="clear"/>
          </w:tcPr>
          <w:p>
            <w:pPr>
              <w:pStyle w:val="TableContents"/>
              <w:spacing w:before="0" w:after="283"/>
              <w:rPr>
                <w:sz w:val="4"/>
                <w:szCs w:val="4"/>
              </w:rPr>
            </w:pPr>
            <w:r>
              <w:rPr>
                <w:sz w:val="4"/>
                <w:szCs w:val="4"/>
              </w:rPr>
            </w:r>
          </w:p>
        </w:tc>
      </w:tr>
      <w:tr>
        <w:trPr/>
        <w:tc>
          <w:tcPr>
            <w:tcW w:w="405" w:type="dxa"/>
            <w:tcBorders/>
            <w:shd w:fill="FFFFFF" w:val="clear"/>
          </w:tcPr>
          <w:p>
            <w:pPr>
              <w:pStyle w:val="TableContents"/>
              <w:spacing w:before="0" w:after="283"/>
              <w:jc w:val="right"/>
              <w:rPr>
                <w:sz w:val="13"/>
              </w:rPr>
            </w:pPr>
            <w:r>
              <w:rPr>
                <w:sz w:val="13"/>
              </w:rPr>
              <w:t>(2)</w:t>
            </w:r>
          </w:p>
        </w:tc>
        <w:tc>
          <w:tcPr>
            <w:tcW w:w="101" w:type="dxa"/>
            <w:tcBorders/>
            <w:shd w:fill="FFFFFF" w:val="clear"/>
            <w:vAlign w:val="center"/>
          </w:tcPr>
          <w:p>
            <w:pPr>
              <w:pStyle w:val="TableContents"/>
              <w:spacing w:before="0" w:after="283"/>
              <w:rPr>
                <w:sz w:val="4"/>
                <w:szCs w:val="4"/>
              </w:rPr>
            </w:pPr>
            <w:r>
              <w:rPr>
                <w:sz w:val="4"/>
                <w:szCs w:val="4"/>
              </w:rPr>
            </w:r>
          </w:p>
        </w:tc>
        <w:tc>
          <w:tcPr>
            <w:tcW w:w="9699" w:type="dxa"/>
            <w:tcBorders/>
            <w:shd w:fill="FFFFFF" w:val="clear"/>
            <w:vAlign w:val="bottom"/>
          </w:tcPr>
          <w:p>
            <w:pPr>
              <w:pStyle w:val="TableContents"/>
              <w:spacing w:before="0" w:after="283"/>
              <w:rPr>
                <w:sz w:val="13"/>
              </w:rPr>
            </w:pPr>
            <w:r>
              <w:rPr>
                <w:sz w:val="13"/>
              </w:rPr>
              <w:t xml:space="preserve">We have adopted EITF 04-13, effective April 1, 2006, which impacts the comparability of our revenues. Revenues for the three months ended December 31, 2005 include buy/sell transactions of $4.5 billion and the twelve months ended December 31, 2006 and 2005 include buy/sell transactions of $4.8 billion and $16.3 billion, respectively. All such amounts are included in the Marketing segment.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4</w:t>
      </w:r>
      <w:r>
        <w:rPr>
          <w:rFonts w:ascii="Times New Roman;Times" w:hAnsi="Times New Roman;Times"/>
          <w:color w:val="000000"/>
          <w:sz w:val="17"/>
          <w:highlight w:val="white"/>
        </w:rPr>
        <w:t xml:space="preserve">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7"/>
        <w:gridCol w:w="100"/>
        <w:gridCol w:w="9698"/>
      </w:tblGrid>
      <w:tr>
        <w:trPr/>
        <w:tc>
          <w:tcPr>
            <w:tcW w:w="407" w:type="dxa"/>
            <w:tcBorders/>
            <w:shd w:fill="FFFFFF" w:val="clear"/>
            <w:vAlign w:val="center"/>
          </w:tcPr>
          <w:p>
            <w:pPr>
              <w:pStyle w:val="TableContents"/>
              <w:spacing w:before="0" w:after="283"/>
              <w:rPr>
                <w:sz w:val="4"/>
                <w:szCs w:val="4"/>
              </w:rPr>
            </w:pPr>
            <w:r>
              <w:rPr>
                <w:sz w:val="4"/>
                <w:szCs w:val="4"/>
              </w:rPr>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cente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(3)</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Segment general and administrative (G&amp;A) expenses reflect direct costs attributable to each segment and an allocation of other expenses to the segments based on managements assessment of the business activities for that period. The proportional allocations by segment require judgement by management and may be adjusted in the future based on the business activities that exist during each period.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(4)</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Amounts related to SFAS 133 are included in revenues and impact segment profit. The SFAS 133 mark-to-market adjustment is primarily based upon crude oil prices (and to a lesser extent, other product prices) at the end of the period and is related to the non-effective portion of our cash flow hedges, as well as certain derivative contracts that do not qualify under SFAS 133 as cash flow hedges. The net gain or loss related to these derivative instruments is principally offset by physical positions in future periods. </w:t>
            </w:r>
          </w:p>
        </w:tc>
      </w:tr>
      <w:tr>
        <w:trPr/>
        <w:tc>
          <w:tcPr>
            <w:tcW w:w="407" w:type="dxa"/>
            <w:tcBorders/>
            <w:shd w:fill="FFFFFF" w:val="clear"/>
            <w:vAlign w:val="center"/>
          </w:tcPr>
          <w:p>
            <w:pPr>
              <w:pStyle w:val="TableContents"/>
              <w:spacing w:before="0" w:after="283"/>
              <w:rPr/>
            </w:pPr>
            <w:r>
              <w:rPr/>
              <w:t> </w:t>
            </w:r>
          </w:p>
        </w:tc>
        <w:tc>
          <w:tcPr>
            <w:tcW w:w="9798" w:type="dxa"/>
            <w:gridSpan w:val="2"/>
            <w:tcBorders/>
            <w:shd w:fill="FFFFFF" w:val="clear"/>
          </w:tcPr>
          <w:p>
            <w:pPr>
              <w:pStyle w:val="TableContents"/>
              <w:spacing w:before="0" w:after="283"/>
              <w:rPr>
                <w:sz w:val="4"/>
                <w:szCs w:val="4"/>
              </w:rPr>
            </w:pPr>
            <w:r>
              <w:rPr>
                <w:sz w:val="4"/>
                <w:szCs w:val="4"/>
              </w:rPr>
            </w:r>
          </w:p>
        </w:tc>
      </w:tr>
      <w:tr>
        <w:trPr/>
        <w:tc>
          <w:tcPr>
            <w:tcW w:w="407" w:type="dxa"/>
            <w:tcBorders/>
            <w:shd w:fill="FFFFFF" w:val="clear"/>
          </w:tcPr>
          <w:p>
            <w:pPr>
              <w:pStyle w:val="TableContents"/>
              <w:spacing w:before="0" w:after="283"/>
              <w:jc w:val="right"/>
              <w:rPr>
                <w:sz w:val="13"/>
              </w:rPr>
            </w:pPr>
            <w:r>
              <w:rPr>
                <w:sz w:val="13"/>
              </w:rPr>
              <w:t>(5)</w:t>
            </w:r>
          </w:p>
        </w:tc>
        <w:tc>
          <w:tcPr>
            <w:tcW w:w="100" w:type="dxa"/>
            <w:tcBorders/>
            <w:shd w:fill="FFFFFF" w:val="clear"/>
            <w:vAlign w:val="center"/>
          </w:tcPr>
          <w:p>
            <w:pPr>
              <w:pStyle w:val="TableContents"/>
              <w:spacing w:before="0" w:after="283"/>
              <w:rPr>
                <w:sz w:val="4"/>
                <w:szCs w:val="4"/>
              </w:rPr>
            </w:pPr>
            <w:r>
              <w:rPr>
                <w:sz w:val="4"/>
                <w:szCs w:val="4"/>
              </w:rPr>
            </w:r>
          </w:p>
        </w:tc>
        <w:tc>
          <w:tcPr>
            <w:tcW w:w="9698" w:type="dxa"/>
            <w:tcBorders/>
            <w:shd w:fill="FFFFFF" w:val="clear"/>
            <w:vAlign w:val="bottom"/>
          </w:tcPr>
          <w:p>
            <w:pPr>
              <w:pStyle w:val="TableContents"/>
              <w:spacing w:before="0" w:after="283"/>
              <w:rPr>
                <w:sz w:val="13"/>
              </w:rPr>
            </w:pPr>
            <w:r>
              <w:rPr>
                <w:sz w:val="13"/>
              </w:rPr>
              <w:t xml:space="preserve">Losses on foreign currency revaluation are included in the Marketing segment.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Excluding selected items impacting comparability, segment profit from Transportation operations in the fourth quarter of 2006 was $62.9 million representing a 41% increase over fourth quarter 2005 results of $44.5 million. For the full 2006 year, adjusted segment profit for Transportation operations was $221.0 million which is a 22% increase as compared with full year 2005 results of $181.1. Transportation volumes for the fourth quarter of 2006 were approximately 2.5 million barrels per day versus 1.8 million barrels per day in the 2005 quarter.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Fourth quarter and full year 2006 Facilities operations adjusted segment profit of $17.3 million and $40.4 million represent respective increases of 246% and 132% over comparable 2005 metrics.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Marketing operations adjusted segment profit of $65.8 million and $248.5 million for the fourth quarter and full year 2006 represent increases of 24% and 19%, respectively, over corresponding metrics for 2005.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Partnerships basic weighted average units outstanding for the fourth quarter 2006 totaled 93.2 million (94.3 million diluted) as compared to 73.7 million (75.3 million diluted) in last years fourth quarter. At December 31, 2006, the Partnership had approximately 109.4 million units outstanding, long-term debt of approximately $2.6 billion and a long-term debt-to-total capitalization ratio of 47%.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On February 14, 2007, the Partnership paid a cash distribution of $0.80 per unit ($3.20 per unit on an annualized basis) on its outstanding limited partner units. The distribution represents an increase of approximately 16.4% over the distribution paid in February 2006 and approximately 6.7% over the distribution paid in November 2006. This represents the 11th consecutive increase in quarterly distributions for the Partnership and the 18th increase in the last twenty-four quarters.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furnish a current report on Form 8-K, which will include material in this press release and financial and operational guidance for the first quarter and full year 2007. A copy of the Form 8-K will be available on the Partnerships website at www.paalp.com.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Non-GAAP Financial Measures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this release, the Partnerships EBITDA disclosure is not presented in accordance with generally accepted accounting principles and is not intended to be used in lieu of GAAP presentations of net income or cash flows from operating activities. EBITDA is presented because we believe it provides additional information with respect to both the performance of our fundamental business activities as well as our ability to meet our future debt service, capital expenditures and working capital requirements. We also believe that debt holders commonly use EBITDA to analyze Partnership performance. In addition, we present selected items that impact the comparability of our operating results as additional information that may be helpful to your understanding of our financial results. We consider an understanding of these selected items impacting comparability to be material to our evaluation of our operating results and prospects. 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in managements discussion and analysis of operating results in our Annual Report on Form 10-K.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5</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A reconciliation of EBITDA to net income and cash flows from operating activities for the periods presented is included in the tables attached to this release. In addition, the Partnership maintains on its website (www.paalp.com) a reconciliation of all non-GAAP financial information, such as EBITDA, that it reconciles to the most comparable GAAP measures. To access the information, investors should click on the Investor Relations link on the Partnerships home page and then the Non-GAAP Reconciliation link on the Investor Relations page.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Conference Call</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Partnership will host a conference call on Friday, February 23, 2007 to discuss the following items: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1. The Partnerships fourth quarter and 2006 performance;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2. The status of the Pacific integration, major expansion projects and recent acquisition activity;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3. Capitalization and liquidity;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4. Financial and operating guidance for the first quarter and full year 2007; and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5. The Partnerships outlook for the future.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The call will begin at 10:00 AM (Central). To participate in the call, please dial 877-709-8150, or, for international callers, 201-689-8354, at approximately 9:55 AM (Central). No password or reservation number is required.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Webcast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access the Internet webcast, please go to the Partnerships website at </w:t>
      </w:r>
      <w:r>
        <w:rPr>
          <w:rFonts w:ascii="Times New Roman;Times" w:hAnsi="Times New Roman;Times"/>
          <w:color w:val="000000"/>
          <w:sz w:val="17"/>
          <w:highlight w:val="white"/>
          <w:u w:val="single"/>
        </w:rPr>
        <w:t>www.paalp.com</w:t>
      </w:r>
      <w:r>
        <w:rPr>
          <w:rFonts w:ascii="Times New Roman;Times" w:hAnsi="Times New Roman;Times"/>
          <w:color w:val="000000"/>
          <w:sz w:val="17"/>
          <w:highlight w:val="white"/>
        </w:rPr>
        <w:t xml:space="preserve">, choose Investor Relations, and then choose Conference Calls. Following the live webcast, the call will be archived for a period of sixty (60) days on the Partnerships website.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Telephonic Replay Instructions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To listen to a telephonic replay of the conference call, please dial 877-660-6853, or, for international callers, 201-612-7415, and enter account # 232 and replay # 228179. The replay will be available beginning Friday, February 23, 2007, at approximately 1:00 PM (Central) and continue until 10:59 PM (Central) Wednesday, February 28, 2007.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50% ownership in PAA/Vulcan Gas Storage LLC, the partnership also develops and operates natural gas storage facilities. The Partnership is headquartered in Houston, Texas, and its common units are traded on the New York Stock Exchange under the symbol PAA.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Forward Looking Statements</w:t>
      </w:r>
      <w:r>
        <w:rPr>
          <w:rFonts w:ascii="Arial;Helvetica" w:hAnsi="Arial;Helvetica"/>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our failure to successfully integrate the business operations of Pacific Energy or our failure to successfully integrate any future acquisitions; the failure to realize the anticipated cost savings, synergies and other benefits of the merger with Pacific Energy;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failure to implement or capitalize on planned internal growth projects; the availability of adequate third party production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6</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volumes for transportation and marketing in the areas in which we operate and other factors that could cause declines in volumes shipped on our pipelines by us and third party shippers; fluctuations in refinery capacity in areas supplied by our main lines and other factors affecting demand for various grades of crude oil, refined products and natural gas and resulting changes in pricing conditions or transmission throughput requirements; the availability of, and our ability to consummate, acquisition or combination opportunities; our access to capital to fund additional acquisitions and our ability to obtain debt or equity financing on satisfactory terms; successful integration and future performance of acquired assets or businesses and the risks associated with operating in lines of business that are distinct and separate from our historical operations; unanticipated changes in crude oil market structure and volatility (or lack thereof); the impact of current and future laws, rulings and governmental regulations; the effects of competition; continued creditworthiness of, and performance by, our counterparties; interruptions in service and fluctuations in tariffs or volumes on third party pipelines; increased costs or lack of availability of insurance: fluctuations in the debt and equity markets, including the price of our units at the time of vesting under our Long-Term Incentive Plans; the currency exchange rate of the Canadian dollar; shortages or cost increases of power supplies, materials or labor; weather interference with business operations or project construction; risks related to the development and operation of natural gas storage facilities; general economic, market or business conditions; and other factors and uncertainties inherent in the transportation, storage, terminalling and marketing of crude oil, refined products and liquefied petroleum gas and other natural gas related petroleum products discussed in the Partnerships filings with the Securities and Exchange Commission. </w:t>
      </w:r>
    </w:p>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 w:hAnsi="Times New Roman;Times"/>
          <w:color w:val="000000"/>
          <w:sz w:val="17"/>
          <w:highlight w:val="white"/>
        </w:rPr>
      </w:pPr>
      <w:r>
        <w:rPr>
          <w:rFonts w:ascii="Times New Roman;Times" w:hAnsi="Times New Roman;Times"/>
          <w:b/>
          <w:color w:val="000000"/>
          <w:sz w:val="13"/>
          <w:highlight w:val="white"/>
          <w:u w:val="single"/>
        </w:rPr>
        <w:t>Page 7</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CONSOLIDATED STATEMENTS OF OPERATIONS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4550"/>
        <w:gridCol w:w="134"/>
        <w:gridCol w:w="200"/>
        <w:gridCol w:w="844"/>
        <w:gridCol w:w="164"/>
        <w:gridCol w:w="134"/>
        <w:gridCol w:w="200"/>
        <w:gridCol w:w="844"/>
        <w:gridCol w:w="164"/>
        <w:gridCol w:w="134"/>
        <w:gridCol w:w="200"/>
        <w:gridCol w:w="982"/>
        <w:gridCol w:w="164"/>
        <w:gridCol w:w="134"/>
        <w:gridCol w:w="200"/>
        <w:gridCol w:w="982"/>
        <w:gridCol w:w="175"/>
      </w:tblGrid>
      <w:tr>
        <w:trPr/>
        <w:tc>
          <w:tcPr>
            <w:tcW w:w="4550" w:type="dxa"/>
            <w:tcBorders/>
            <w:shd w:fill="FFFFFF" w:val="clear"/>
            <w:vAlign w:val="bottom"/>
          </w:tcPr>
          <w:p>
            <w:pPr>
              <w:pStyle w:val="TableContents"/>
              <w:spacing w:before="0" w:after="283"/>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84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rPr/>
            </w:pPr>
            <w:r>
              <w:rPr/>
              <w:t> </w:t>
            </w:r>
          </w:p>
        </w:tc>
        <w:tc>
          <w:tcPr>
            <w:tcW w:w="200" w:type="dxa"/>
            <w:tcBorders/>
            <w:shd w:fill="FFFFFF" w:val="clear"/>
            <w:vAlign w:val="bottom"/>
          </w:tcPr>
          <w:p>
            <w:pPr>
              <w:pStyle w:val="TableContents"/>
              <w:spacing w:before="0" w:after="283"/>
              <w:jc w:val="right"/>
              <w:rPr/>
            </w:pPr>
            <w:r>
              <w:rPr/>
              <w:t> </w:t>
            </w:r>
          </w:p>
        </w:tc>
        <w:tc>
          <w:tcPr>
            <w:tcW w:w="982" w:type="dxa"/>
            <w:tcBorders/>
            <w:shd w:fill="FFFFFF" w:val="clear"/>
            <w:vAlign w:val="bottom"/>
          </w:tcPr>
          <w:p>
            <w:pPr>
              <w:pStyle w:val="TableContents"/>
              <w:spacing w:before="0" w:after="283"/>
              <w:jc w:val="right"/>
              <w:rPr/>
            </w:pPr>
            <w:r>
              <w:rPr/>
              <w:t> </w:t>
            </w:r>
          </w:p>
        </w:tc>
        <w:tc>
          <w:tcPr>
            <w:tcW w:w="175" w:type="dxa"/>
            <w:tcBorders/>
            <w:shd w:fill="FFFFFF" w:val="clear"/>
            <w:vAlign w:val="bottom"/>
          </w:tcPr>
          <w:p>
            <w:pPr>
              <w:pStyle w:val="TableContents"/>
              <w:spacing w:before="0" w:after="283"/>
              <w:jc w:val="left"/>
              <w:rPr/>
            </w:pPr>
            <w:r>
              <w:rPr/>
              <w:t>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386" w:type="dxa"/>
            <w:gridSpan w:val="6"/>
            <w:tcBorders/>
            <w:shd w:fill="FFFFFF" w:val="clear"/>
            <w:vAlign w:val="bottom"/>
          </w:tcPr>
          <w:p>
            <w:pPr>
              <w:pStyle w:val="TableContents"/>
              <w:spacing w:before="0" w:after="283"/>
              <w:jc w:val="center"/>
              <w:rPr>
                <w:b/>
              </w:rPr>
            </w:pPr>
            <w:r>
              <w:rPr>
                <w:b/>
              </w:rPr>
              <w:t>Three Months Ended</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662" w:type="dxa"/>
            <w:gridSpan w:val="6"/>
            <w:tcBorders/>
            <w:shd w:fill="FFFFFF" w:val="clear"/>
            <w:vAlign w:val="bottom"/>
          </w:tcPr>
          <w:p>
            <w:pPr>
              <w:pStyle w:val="TableContents"/>
              <w:spacing w:before="0" w:after="283"/>
              <w:jc w:val="center"/>
              <w:rPr>
                <w:b/>
              </w:rPr>
            </w:pPr>
            <w:r>
              <w:rPr>
                <w:b/>
              </w:rPr>
              <w:t>Twelve Months Ended</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38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266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04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04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1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4" w:type="dxa"/>
            <w:tcBorders/>
            <w:shd w:fill="FFFFFF" w:val="clear"/>
            <w:vAlign w:val="bottom"/>
          </w:tcPr>
          <w:p>
            <w:pPr>
              <w:pStyle w:val="TableContents"/>
              <w:spacing w:before="0" w:after="283"/>
              <w:jc w:val="center"/>
              <w:rPr/>
            </w:pPr>
            <w:r>
              <w:rPr/>
              <w:t xml:space="preserve">  </w:t>
            </w:r>
          </w:p>
        </w:tc>
        <w:tc>
          <w:tcPr>
            <w:tcW w:w="134" w:type="dxa"/>
            <w:tcBorders/>
            <w:shd w:fill="FFFFFF" w:val="clear"/>
            <w:vAlign w:val="bottom"/>
          </w:tcPr>
          <w:p>
            <w:pPr>
              <w:pStyle w:val="TableContents"/>
              <w:spacing w:before="0" w:after="283"/>
              <w:jc w:val="center"/>
              <w:rPr/>
            </w:pPr>
            <w:r>
              <w:rPr/>
              <w:t xml:space="preserve">  </w:t>
            </w:r>
          </w:p>
        </w:tc>
        <w:tc>
          <w:tcPr>
            <w:tcW w:w="11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5" w:type="dxa"/>
            <w:tcBorders/>
            <w:shd w:fill="FFFFFF" w:val="clear"/>
            <w:vAlign w:val="bottom"/>
          </w:tcPr>
          <w:p>
            <w:pPr>
              <w:pStyle w:val="TableContents"/>
              <w:spacing w:before="0" w:after="283"/>
              <w:jc w:val="center"/>
              <w:rPr/>
            </w:pPr>
            <w:r>
              <w:rPr/>
              <w:t xml:space="preserve">  </w:t>
            </w:r>
          </w:p>
        </w:tc>
      </w:tr>
      <w:tr>
        <w:trPr/>
        <w:tc>
          <w:tcPr>
            <w:tcW w:w="4550" w:type="dxa"/>
            <w:tcBorders/>
            <w:shd w:fill="FFFFFF" w:val="clear"/>
            <w:vAlign w:val="center"/>
          </w:tcPr>
          <w:p>
            <w:pPr>
              <w:pStyle w:val="TableContents"/>
              <w:spacing w:before="0" w:after="283"/>
              <w:rPr/>
            </w:pPr>
            <w:r>
              <w:rPr/>
              <w:t xml:space="preserve">  </w:t>
            </w:r>
          </w:p>
        </w:tc>
        <w:tc>
          <w:tcPr>
            <w:tcW w:w="5655" w:type="dxa"/>
            <w:gridSpan w:val="16"/>
            <w:tcBorders/>
            <w:shd w:fill="FFFFFF" w:val="clear"/>
          </w:tcPr>
          <w:p>
            <w:pPr>
              <w:pStyle w:val="TableContents"/>
              <w:spacing w:before="0" w:after="283"/>
              <w:rPr>
                <w:sz w:val="4"/>
                <w:szCs w:val="4"/>
              </w:rPr>
            </w:pPr>
            <w:r>
              <w:rPr>
                <w:sz w:val="4"/>
                <w:szCs w:val="4"/>
              </w:rPr>
            </w:r>
          </w:p>
        </w:tc>
      </w:tr>
      <w:tr>
        <w:trPr/>
        <w:tc>
          <w:tcPr>
            <w:tcW w:w="4550" w:type="dxa"/>
            <w:tcBorders/>
            <w:shd w:fill="CCEEFF" w:val="clear"/>
            <w:vAlign w:val="bottom"/>
          </w:tcPr>
          <w:p>
            <w:pPr>
              <w:pStyle w:val="TableContents"/>
              <w:spacing w:before="0" w:after="0"/>
              <w:ind w:left="200" w:right="0" w:hanging="200"/>
              <w:jc w:val="left"/>
              <w:rPr/>
            </w:pPr>
            <w:r>
              <w:rPr>
                <w:b/>
                <w:sz w:val="17"/>
              </w:rPr>
              <w:t>REVENUES(1)</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4,391.8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8,713.4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22,444.4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31,176.5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COSTS AND EXPENSES</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Purchases and related costs(1)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4,134.2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8,520.0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21,485.6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30,442.5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Field operating costs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109.3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72.5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369.8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272.5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General and administrative expenses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41.7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28.4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133.9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103.2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33.3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25.4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100.4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83.5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400" w:right="0" w:hanging="200"/>
              <w:jc w:val="left"/>
              <w:rPr>
                <w:sz w:val="17"/>
              </w:rPr>
            </w:pPr>
            <w:r>
              <w:rPr>
                <w:sz w:val="17"/>
              </w:rPr>
              <w:t xml:space="preserve">Total costs and expenses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4,318.5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8,646.3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22,089.7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30,901.7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OPERATING INCOME</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73.3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67.1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354.7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274.8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OTHER INCOME/(EXPENSE)</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4.5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7.7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1.8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Interest expense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(33.1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(15.0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(85.6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(59.4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Income Tax Expense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(0.3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Interest income and other income (expense), net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1.6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0.3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2.3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0.6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46.0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53.7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278.8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217.8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6.3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NET INCOME</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46.0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53.7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285.1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217.8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NET INCOME  LIMITED PARTNERS</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34.2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48.0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246.9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198.8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NET INCOME  GENERAL PARTNER</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11.8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5.7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38.2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19.0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BASIC NET INCOME PER LIMITED PARTNER UNIT</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0.65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2.84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2.77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0.07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0.37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0.65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2.91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2.77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DILUTED NET INCOME PER LIMITED PARTNER UNIT</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Income before cumulative effect of change in accounting principle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0.36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0.64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2.81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2.72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0.07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0.36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0.64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2.88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2.72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CCEEFF" w:val="clear"/>
            <w:vAlign w:val="bottom"/>
          </w:tcPr>
          <w:p>
            <w:pPr>
              <w:pStyle w:val="TableContents"/>
              <w:spacing w:before="0" w:after="0"/>
              <w:ind w:left="200" w:right="0" w:hanging="200"/>
              <w:jc w:val="left"/>
              <w:rPr/>
            </w:pPr>
            <w:r>
              <w:rPr>
                <w:b/>
                <w:sz w:val="17"/>
              </w:rPr>
              <w:t>BASIC WEIGHTED AVERAGE UNITS OUTSTANDING</w:t>
            </w: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93.2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844" w:type="dxa"/>
            <w:tcBorders/>
            <w:shd w:fill="CCEEFF" w:val="clear"/>
            <w:vAlign w:val="bottom"/>
          </w:tcPr>
          <w:p>
            <w:pPr>
              <w:pStyle w:val="TableContents"/>
              <w:spacing w:before="0" w:after="283"/>
              <w:jc w:val="right"/>
              <w:rPr/>
            </w:pPr>
            <w:r>
              <w:rPr/>
              <w:t xml:space="preserve">73.7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81.1 </w:t>
            </w:r>
          </w:p>
        </w:tc>
        <w:tc>
          <w:tcPr>
            <w:tcW w:w="164" w:type="dxa"/>
            <w:tcBorders/>
            <w:shd w:fill="CCEEFF" w:val="clear"/>
            <w:vAlign w:val="bottom"/>
          </w:tcPr>
          <w:p>
            <w:pPr>
              <w:pStyle w:val="TableContents"/>
              <w:spacing w:before="0" w:after="283"/>
              <w:jc w:val="left"/>
              <w:rPr/>
            </w:pPr>
            <w:r>
              <w:rPr/>
              <w:t xml:space="preserve">  </w:t>
            </w:r>
          </w:p>
        </w:tc>
        <w:tc>
          <w:tcPr>
            <w:tcW w:w="134" w:type="dxa"/>
            <w:tcBorders/>
            <w:shd w:fill="CCEEFF" w:val="clear"/>
            <w:vAlign w:val="bottom"/>
          </w:tcPr>
          <w:p>
            <w:pPr>
              <w:pStyle w:val="TableContents"/>
              <w:spacing w:before="0" w:after="283"/>
              <w:rPr/>
            </w:pPr>
            <w:r>
              <w:rPr/>
              <w:t xml:space="preserve">  </w:t>
            </w:r>
          </w:p>
        </w:tc>
        <w:tc>
          <w:tcPr>
            <w:tcW w:w="200" w:type="dxa"/>
            <w:tcBorders/>
            <w:shd w:fill="CCEEFF" w:val="clear"/>
            <w:vAlign w:val="bottom"/>
          </w:tcPr>
          <w:p>
            <w:pPr>
              <w:pStyle w:val="TableContents"/>
              <w:spacing w:before="0" w:after="283"/>
              <w:jc w:val="left"/>
              <w:rPr/>
            </w:pPr>
            <w:r>
              <w:rPr/>
              <w:t xml:space="preserve">  </w:t>
            </w:r>
          </w:p>
        </w:tc>
        <w:tc>
          <w:tcPr>
            <w:tcW w:w="982" w:type="dxa"/>
            <w:tcBorders/>
            <w:shd w:fill="CCEEFF" w:val="clear"/>
            <w:vAlign w:val="bottom"/>
          </w:tcPr>
          <w:p>
            <w:pPr>
              <w:pStyle w:val="TableContents"/>
              <w:spacing w:before="0" w:after="283"/>
              <w:jc w:val="right"/>
              <w:rPr/>
            </w:pPr>
            <w:r>
              <w:rPr/>
              <w:t xml:space="preserve">69.3 </w:t>
            </w:r>
          </w:p>
        </w:tc>
        <w:tc>
          <w:tcPr>
            <w:tcW w:w="175" w:type="dxa"/>
            <w:tcBorders/>
            <w:shd w:fill="CCEE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r>
        <w:trPr/>
        <w:tc>
          <w:tcPr>
            <w:tcW w:w="4550" w:type="dxa"/>
            <w:tcBorders/>
            <w:shd w:fill="FFFFFF" w:val="clear"/>
            <w:vAlign w:val="bottom"/>
          </w:tcPr>
          <w:p>
            <w:pPr>
              <w:pStyle w:val="TableContents"/>
              <w:spacing w:before="0" w:after="0"/>
              <w:ind w:left="200" w:right="0" w:hanging="200"/>
              <w:jc w:val="left"/>
              <w:rPr/>
            </w:pPr>
            <w:r>
              <w:rPr>
                <w:b/>
                <w:sz w:val="17"/>
              </w:rPr>
              <w:t>DILUTED WEIGHTED AVERAGE UNITS OUTSTANDING</w:t>
            </w: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94.3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844" w:type="dxa"/>
            <w:tcBorders/>
            <w:shd w:fill="FFFFFF" w:val="clear"/>
            <w:vAlign w:val="bottom"/>
          </w:tcPr>
          <w:p>
            <w:pPr>
              <w:pStyle w:val="TableContents"/>
              <w:spacing w:before="0" w:after="283"/>
              <w:jc w:val="right"/>
              <w:rPr/>
            </w:pPr>
            <w:r>
              <w:rPr/>
              <w:t xml:space="preserve">75.3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81.9 </w:t>
            </w:r>
          </w:p>
        </w:tc>
        <w:tc>
          <w:tcPr>
            <w:tcW w:w="164" w:type="dxa"/>
            <w:tcBorders/>
            <w:shd w:fill="FFFFFF" w:val="clear"/>
            <w:vAlign w:val="bottom"/>
          </w:tcPr>
          <w:p>
            <w:pPr>
              <w:pStyle w:val="TableContents"/>
              <w:spacing w:before="0" w:after="283"/>
              <w:jc w:val="left"/>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shd w:fill="FFFFFF" w:val="clear"/>
            <w:vAlign w:val="bottom"/>
          </w:tcPr>
          <w:p>
            <w:pPr>
              <w:pStyle w:val="TableContents"/>
              <w:spacing w:before="0" w:after="283"/>
              <w:jc w:val="left"/>
              <w:rPr/>
            </w:pPr>
            <w:r>
              <w:rPr/>
              <w:t xml:space="preserve">  </w:t>
            </w:r>
          </w:p>
        </w:tc>
        <w:tc>
          <w:tcPr>
            <w:tcW w:w="982" w:type="dxa"/>
            <w:tcBorders/>
            <w:shd w:fill="FFFFFF" w:val="clear"/>
            <w:vAlign w:val="bottom"/>
          </w:tcPr>
          <w:p>
            <w:pPr>
              <w:pStyle w:val="TableContents"/>
              <w:spacing w:before="0" w:after="283"/>
              <w:jc w:val="right"/>
              <w:rPr/>
            </w:pPr>
            <w:r>
              <w:rPr/>
              <w:t xml:space="preserve">70.5 </w:t>
            </w:r>
          </w:p>
        </w:tc>
        <w:tc>
          <w:tcPr>
            <w:tcW w:w="175" w:type="dxa"/>
            <w:tcBorders/>
            <w:shd w:fill="FFFFFF" w:val="clear"/>
            <w:vAlign w:val="bottom"/>
          </w:tcPr>
          <w:p>
            <w:pPr>
              <w:pStyle w:val="TableContents"/>
              <w:spacing w:before="0" w:after="283"/>
              <w:jc w:val="left"/>
              <w:rPr/>
            </w:pPr>
            <w:r>
              <w:rPr/>
              <w:t xml:space="preserve">  </w:t>
            </w:r>
          </w:p>
        </w:tc>
      </w:tr>
      <w:tr>
        <w:trPr/>
        <w:tc>
          <w:tcPr>
            <w:tcW w:w="4550"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4" w:type="dxa"/>
            <w:tcBorders/>
            <w:shd w:fill="FFFFFF" w:val="clear"/>
            <w:vAlign w:val="bottom"/>
          </w:tcPr>
          <w:p>
            <w:pPr>
              <w:pStyle w:val="TableContents"/>
              <w:spacing w:before="0" w:after="283"/>
              <w:rPr/>
            </w:pPr>
            <w:r>
              <w:rPr/>
              <w:t xml:space="preserve">  </w:t>
            </w:r>
          </w:p>
        </w:tc>
        <w:tc>
          <w:tcPr>
            <w:tcW w:w="134" w:type="dxa"/>
            <w:tcBorders/>
            <w:shd w:fill="FFFFFF" w:val="clear"/>
            <w:vAlign w:val="bottom"/>
          </w:tcPr>
          <w:p>
            <w:pPr>
              <w:pStyle w:val="TableContents"/>
              <w:spacing w:before="0" w:after="283"/>
              <w:rPr/>
            </w:pPr>
            <w:r>
              <w:rPr/>
              <w:t xml:space="preserve">  </w:t>
            </w:r>
          </w:p>
        </w:tc>
        <w:tc>
          <w:tcPr>
            <w:tcW w:w="20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8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5"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Includes buy/sell transactions of $4.5 billion in the three months ended December 31, 2005 and $4.8 billion and $16.3 billion in the twelve months ended December 31, 2006 and 2005, respectively.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OPERATING DATA(1)</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thousands)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124"/>
        <w:gridCol w:w="140"/>
        <w:gridCol w:w="187"/>
        <w:gridCol w:w="834"/>
        <w:gridCol w:w="187"/>
        <w:gridCol w:w="329"/>
        <w:gridCol w:w="187"/>
        <w:gridCol w:w="838"/>
        <w:gridCol w:w="151"/>
        <w:gridCol w:w="397"/>
        <w:gridCol w:w="195"/>
        <w:gridCol w:w="875"/>
        <w:gridCol w:w="195"/>
        <w:gridCol w:w="334"/>
        <w:gridCol w:w="195"/>
        <w:gridCol w:w="877"/>
        <w:gridCol w:w="160"/>
      </w:tblGrid>
      <w:tr>
        <w:trPr/>
        <w:tc>
          <w:tcPr>
            <w:tcW w:w="4124"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right"/>
              <w:rPr/>
            </w:pPr>
            <w:r>
              <w:rPr/>
              <w:t> </w:t>
            </w:r>
          </w:p>
        </w:tc>
        <w:tc>
          <w:tcPr>
            <w:tcW w:w="834"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c>
          <w:tcPr>
            <w:tcW w:w="329" w:type="dxa"/>
            <w:tcBorders/>
            <w:shd w:fill="FFFFFF" w:val="clear"/>
            <w:vAlign w:val="bottom"/>
          </w:tcPr>
          <w:p>
            <w:pPr>
              <w:pStyle w:val="TableContents"/>
              <w:spacing w:before="0" w:after="283"/>
              <w:rPr/>
            </w:pPr>
            <w:r>
              <w:rPr/>
              <w:t> </w:t>
            </w:r>
          </w:p>
        </w:tc>
        <w:tc>
          <w:tcPr>
            <w:tcW w:w="187" w:type="dxa"/>
            <w:tcBorders/>
            <w:shd w:fill="FFFFFF" w:val="clear"/>
            <w:vAlign w:val="bottom"/>
          </w:tcPr>
          <w:p>
            <w:pPr>
              <w:pStyle w:val="TableContents"/>
              <w:spacing w:before="0" w:after="283"/>
              <w:jc w:val="right"/>
              <w:rPr/>
            </w:pPr>
            <w:r>
              <w:rPr/>
              <w:t> </w:t>
            </w:r>
          </w:p>
        </w:tc>
        <w:tc>
          <w:tcPr>
            <w:tcW w:w="838"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397"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jc w:val="right"/>
              <w:rPr/>
            </w:pPr>
            <w:r>
              <w:rPr/>
              <w:t> </w:t>
            </w:r>
          </w:p>
        </w:tc>
        <w:tc>
          <w:tcPr>
            <w:tcW w:w="875" w:type="dxa"/>
            <w:tcBorders/>
            <w:shd w:fill="FFFFFF" w:val="clear"/>
            <w:vAlign w:val="bottom"/>
          </w:tcPr>
          <w:p>
            <w:pPr>
              <w:pStyle w:val="TableContents"/>
              <w:spacing w:before="0" w:after="283"/>
              <w:jc w:val="right"/>
              <w:rPr/>
            </w:pPr>
            <w:r>
              <w:rPr/>
              <w:t> </w:t>
            </w:r>
          </w:p>
        </w:tc>
        <w:tc>
          <w:tcPr>
            <w:tcW w:w="195"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rPr/>
            </w:pPr>
            <w:r>
              <w:rPr/>
              <w:t> </w:t>
            </w:r>
          </w:p>
        </w:tc>
        <w:tc>
          <w:tcPr>
            <w:tcW w:w="195" w:type="dxa"/>
            <w:tcBorders/>
            <w:shd w:fill="FFFFFF" w:val="clear"/>
            <w:vAlign w:val="bottom"/>
          </w:tcPr>
          <w:p>
            <w:pPr>
              <w:pStyle w:val="TableContents"/>
              <w:spacing w:before="0" w:after="283"/>
              <w:jc w:val="right"/>
              <w:rPr/>
            </w:pPr>
            <w:r>
              <w:rPr/>
              <w:t> </w:t>
            </w:r>
          </w:p>
        </w:tc>
        <w:tc>
          <w:tcPr>
            <w:tcW w:w="877"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r>
      <w:tr>
        <w:trPr/>
        <w:tc>
          <w:tcPr>
            <w:tcW w:w="4124"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562" w:type="dxa"/>
            <w:gridSpan w:val="6"/>
            <w:tcBorders/>
            <w:shd w:fill="FFFFFF" w:val="clear"/>
            <w:vAlign w:val="bottom"/>
          </w:tcPr>
          <w:p>
            <w:pPr>
              <w:pStyle w:val="TableContents"/>
              <w:spacing w:before="0" w:after="283"/>
              <w:jc w:val="center"/>
              <w:rPr>
                <w:b/>
              </w:rPr>
            </w:pPr>
            <w:r>
              <w:rPr>
                <w:b/>
              </w:rPr>
              <w:t>Three Months Ended</w:t>
            </w:r>
          </w:p>
        </w:tc>
        <w:tc>
          <w:tcPr>
            <w:tcW w:w="151" w:type="dxa"/>
            <w:tcBorders/>
            <w:shd w:fill="FFFFFF" w:val="clear"/>
            <w:vAlign w:val="bottom"/>
          </w:tcPr>
          <w:p>
            <w:pPr>
              <w:pStyle w:val="TableContents"/>
              <w:spacing w:before="0" w:after="283"/>
              <w:jc w:val="center"/>
              <w:rPr/>
            </w:pPr>
            <w:r>
              <w:rPr/>
              <w:t xml:space="preserve">  </w:t>
            </w:r>
          </w:p>
        </w:tc>
        <w:tc>
          <w:tcPr>
            <w:tcW w:w="397" w:type="dxa"/>
            <w:tcBorders/>
            <w:shd w:fill="FFFFFF" w:val="clear"/>
            <w:vAlign w:val="bottom"/>
          </w:tcPr>
          <w:p>
            <w:pPr>
              <w:pStyle w:val="TableContents"/>
              <w:spacing w:before="0" w:after="283"/>
              <w:jc w:val="center"/>
              <w:rPr/>
            </w:pPr>
            <w:r>
              <w:rPr/>
              <w:t xml:space="preserve">  </w:t>
            </w:r>
          </w:p>
        </w:tc>
        <w:tc>
          <w:tcPr>
            <w:tcW w:w="2671" w:type="dxa"/>
            <w:gridSpan w:val="6"/>
            <w:tcBorders/>
            <w:shd w:fill="FFFFFF" w:val="clear"/>
            <w:vAlign w:val="bottom"/>
          </w:tcPr>
          <w:p>
            <w:pPr>
              <w:pStyle w:val="TableContents"/>
              <w:spacing w:before="0" w:after="283"/>
              <w:jc w:val="center"/>
              <w:rPr>
                <w:b/>
              </w:rPr>
            </w:pPr>
            <w:r>
              <w:rPr>
                <w:b/>
              </w:rPr>
              <w:t>Twelve Months Ended</w:t>
            </w:r>
          </w:p>
        </w:tc>
        <w:tc>
          <w:tcPr>
            <w:tcW w:w="160" w:type="dxa"/>
            <w:tcBorders/>
            <w:shd w:fill="FFFFFF" w:val="clear"/>
            <w:vAlign w:val="bottom"/>
          </w:tcPr>
          <w:p>
            <w:pPr>
              <w:pStyle w:val="TableContents"/>
              <w:spacing w:before="0" w:after="283"/>
              <w:jc w:val="center"/>
              <w:rPr/>
            </w:pPr>
            <w:r>
              <w:rPr/>
              <w:t xml:space="preserve">  </w:t>
            </w:r>
          </w:p>
        </w:tc>
      </w:tr>
      <w:tr>
        <w:trPr/>
        <w:tc>
          <w:tcPr>
            <w:tcW w:w="4124" w:type="dxa"/>
            <w:tcBorders/>
            <w:shd w:fill="FFFFFF" w:val="clear"/>
            <w:vAlign w:val="bottom"/>
          </w:tcPr>
          <w:p>
            <w:pPr>
              <w:pStyle w:val="TableContents"/>
              <w:spacing w:before="0" w:after="283"/>
              <w:jc w:val="center"/>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256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397" w:type="dxa"/>
            <w:tcBorders/>
            <w:shd w:fill="FFFFFF" w:val="clear"/>
            <w:vAlign w:val="bottom"/>
          </w:tcPr>
          <w:p>
            <w:pPr>
              <w:pStyle w:val="TableContents"/>
              <w:spacing w:before="0" w:after="283"/>
              <w:jc w:val="center"/>
              <w:rPr/>
            </w:pPr>
            <w:r>
              <w:rPr/>
              <w:t xml:space="preserve">  </w:t>
            </w:r>
          </w:p>
        </w:tc>
        <w:tc>
          <w:tcPr>
            <w:tcW w:w="2671"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4124" w:type="dxa"/>
            <w:tcBorders/>
            <w:shd w:fill="FFFFFF" w:val="clear"/>
            <w:vAlign w:val="bottom"/>
          </w:tcPr>
          <w:p>
            <w:pPr>
              <w:pStyle w:val="TableContents"/>
              <w:spacing w:before="0" w:after="283"/>
              <w:jc w:val="left"/>
              <w:rPr/>
            </w:pPr>
            <w:r>
              <w:rPr/>
              <w:t xml:space="preserve">  </w:t>
            </w:r>
          </w:p>
        </w:tc>
        <w:tc>
          <w:tcPr>
            <w:tcW w:w="140" w:type="dxa"/>
            <w:tcBorders/>
            <w:shd w:fill="FFFFFF" w:val="clear"/>
            <w:vAlign w:val="bottom"/>
          </w:tcPr>
          <w:p>
            <w:pPr>
              <w:pStyle w:val="TableContents"/>
              <w:spacing w:before="0" w:after="283"/>
              <w:jc w:val="center"/>
              <w:rPr/>
            </w:pPr>
            <w:r>
              <w:rPr/>
              <w:t xml:space="preserve">  </w:t>
            </w:r>
          </w:p>
        </w:tc>
        <w:tc>
          <w:tcPr>
            <w:tcW w:w="102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87" w:type="dxa"/>
            <w:tcBorders/>
            <w:shd w:fill="FFFFFF" w:val="clear"/>
            <w:vAlign w:val="bottom"/>
          </w:tcPr>
          <w:p>
            <w:pPr>
              <w:pStyle w:val="TableContents"/>
              <w:spacing w:before="0" w:after="283"/>
              <w:jc w:val="center"/>
              <w:rPr/>
            </w:pPr>
            <w:r>
              <w:rPr/>
              <w:t xml:space="preserve">  </w:t>
            </w:r>
          </w:p>
        </w:tc>
        <w:tc>
          <w:tcPr>
            <w:tcW w:w="329" w:type="dxa"/>
            <w:tcBorders/>
            <w:shd w:fill="FFFFFF" w:val="clear"/>
            <w:vAlign w:val="bottom"/>
          </w:tcPr>
          <w:p>
            <w:pPr>
              <w:pStyle w:val="TableContents"/>
              <w:spacing w:before="0" w:after="283"/>
              <w:jc w:val="center"/>
              <w:rPr/>
            </w:pPr>
            <w:r>
              <w:rPr/>
              <w:t xml:space="preserve">  </w:t>
            </w:r>
          </w:p>
        </w:tc>
        <w:tc>
          <w:tcPr>
            <w:tcW w:w="102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1" w:type="dxa"/>
            <w:tcBorders/>
            <w:shd w:fill="FFFFFF" w:val="clear"/>
            <w:vAlign w:val="bottom"/>
          </w:tcPr>
          <w:p>
            <w:pPr>
              <w:pStyle w:val="TableContents"/>
              <w:spacing w:before="0" w:after="283"/>
              <w:jc w:val="center"/>
              <w:rPr/>
            </w:pPr>
            <w:r>
              <w:rPr/>
              <w:t xml:space="preserve">  </w:t>
            </w:r>
          </w:p>
        </w:tc>
        <w:tc>
          <w:tcPr>
            <w:tcW w:w="397" w:type="dxa"/>
            <w:tcBorders/>
            <w:shd w:fill="FFFFFF" w:val="clear"/>
            <w:vAlign w:val="bottom"/>
          </w:tcPr>
          <w:p>
            <w:pPr>
              <w:pStyle w:val="TableContents"/>
              <w:spacing w:before="0" w:after="283"/>
              <w:jc w:val="center"/>
              <w:rPr/>
            </w:pPr>
            <w:r>
              <w:rPr/>
              <w:t xml:space="preserve">  </w:t>
            </w:r>
          </w:p>
        </w:tc>
        <w:tc>
          <w:tcPr>
            <w:tcW w:w="107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5" w:type="dxa"/>
            <w:tcBorders/>
            <w:shd w:fill="FFFFFF" w:val="clear"/>
            <w:vAlign w:val="bottom"/>
          </w:tcPr>
          <w:p>
            <w:pPr>
              <w:pStyle w:val="TableContents"/>
              <w:spacing w:before="0" w:after="283"/>
              <w:jc w:val="center"/>
              <w:rPr/>
            </w:pPr>
            <w:r>
              <w:rPr/>
              <w:t xml:space="preserve">  </w:t>
            </w:r>
          </w:p>
        </w:tc>
        <w:tc>
          <w:tcPr>
            <w:tcW w:w="334" w:type="dxa"/>
            <w:tcBorders/>
            <w:shd w:fill="FFFFFF" w:val="clear"/>
            <w:vAlign w:val="bottom"/>
          </w:tcPr>
          <w:p>
            <w:pPr>
              <w:pStyle w:val="TableContents"/>
              <w:spacing w:before="0" w:after="283"/>
              <w:jc w:val="center"/>
              <w:rPr/>
            </w:pPr>
            <w:r>
              <w:rPr/>
              <w:t xml:space="preserve">  </w:t>
            </w:r>
          </w:p>
        </w:tc>
        <w:tc>
          <w:tcPr>
            <w:tcW w:w="107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0" w:type="dxa"/>
            <w:tcBorders/>
            <w:shd w:fill="FFFFFF" w:val="clear"/>
            <w:vAlign w:val="bottom"/>
          </w:tcPr>
          <w:p>
            <w:pPr>
              <w:pStyle w:val="TableContents"/>
              <w:spacing w:before="0" w:after="283"/>
              <w:jc w:val="center"/>
              <w:rPr/>
            </w:pPr>
            <w:r>
              <w:rPr/>
              <w:t xml:space="preserve">  </w:t>
            </w:r>
          </w:p>
        </w:tc>
      </w:tr>
      <w:tr>
        <w:trPr/>
        <w:tc>
          <w:tcPr>
            <w:tcW w:w="4124" w:type="dxa"/>
            <w:tcBorders/>
            <w:shd w:fill="FFFFFF" w:val="clear"/>
            <w:vAlign w:val="center"/>
          </w:tcPr>
          <w:p>
            <w:pPr>
              <w:pStyle w:val="TableContents"/>
              <w:spacing w:before="0" w:after="283"/>
              <w:rPr/>
            </w:pPr>
            <w:r>
              <w:rPr/>
              <w:t xml:space="preserve">  </w:t>
            </w:r>
          </w:p>
        </w:tc>
        <w:tc>
          <w:tcPr>
            <w:tcW w:w="6081" w:type="dxa"/>
            <w:gridSpan w:val="16"/>
            <w:tcBorders/>
            <w:shd w:fill="FFFFFF" w:val="clear"/>
          </w:tcPr>
          <w:p>
            <w:pPr>
              <w:pStyle w:val="TableContents"/>
              <w:spacing w:before="0" w:after="283"/>
              <w:rPr>
                <w:sz w:val="4"/>
                <w:szCs w:val="4"/>
              </w:rPr>
            </w:pPr>
            <w:r>
              <w:rPr>
                <w:sz w:val="4"/>
                <w:szCs w:val="4"/>
              </w:rPr>
            </w:r>
          </w:p>
        </w:tc>
      </w:tr>
      <w:tr>
        <w:trPr/>
        <w:tc>
          <w:tcPr>
            <w:tcW w:w="4124" w:type="dxa"/>
            <w:tcBorders/>
            <w:shd w:fill="CCEEFF" w:val="clear"/>
            <w:vAlign w:val="bottom"/>
          </w:tcPr>
          <w:p>
            <w:pPr>
              <w:pStyle w:val="TableContents"/>
              <w:spacing w:before="0" w:after="0"/>
              <w:ind w:left="400" w:right="0" w:hanging="200"/>
              <w:jc w:val="left"/>
              <w:rPr/>
            </w:pPr>
            <w:r>
              <w:rPr>
                <w:b/>
                <w:sz w:val="15"/>
              </w:rPr>
              <w:t>Transportation activities (Average Daily Volumes, barrels):</w:t>
            </w:r>
            <w:r>
              <w:rPr/>
              <w:t xml:space="preserve">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7"/>
              </w:rPr>
            </w:pPr>
            <w:r>
              <w:rPr>
                <w:sz w:val="17"/>
              </w:rPr>
              <w:t xml:space="preserve">Tariff activities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800" w:right="0" w:hanging="200"/>
              <w:jc w:val="left"/>
              <w:rPr>
                <w:sz w:val="17"/>
              </w:rPr>
            </w:pPr>
            <w:r>
              <w:rPr>
                <w:sz w:val="17"/>
              </w:rPr>
              <w:t xml:space="preserve">All American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49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50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49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51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800" w:right="0" w:hanging="200"/>
              <w:jc w:val="left"/>
              <w:rPr>
                <w:sz w:val="17"/>
              </w:rPr>
            </w:pPr>
            <w:r>
              <w:rPr>
                <w:sz w:val="17"/>
              </w:rPr>
              <w:t xml:space="preserve">Basin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358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309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332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290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800" w:right="0" w:hanging="200"/>
              <w:jc w:val="left"/>
              <w:rPr>
                <w:sz w:val="17"/>
              </w:rPr>
            </w:pPr>
            <w:r>
              <w:rPr>
                <w:sz w:val="17"/>
              </w:rPr>
              <w:t xml:space="preserve">BOA/CAM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184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89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800" w:right="0" w:hanging="200"/>
              <w:jc w:val="left"/>
              <w:rPr>
                <w:sz w:val="17"/>
              </w:rPr>
            </w:pPr>
            <w:r>
              <w:rPr>
                <w:sz w:val="17"/>
              </w:rPr>
              <w:t xml:space="preserve">Capline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192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97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160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132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800" w:right="0" w:hanging="200"/>
              <w:jc w:val="left"/>
              <w:rPr>
                <w:sz w:val="17"/>
              </w:rPr>
            </w:pPr>
            <w:r>
              <w:rPr>
                <w:sz w:val="17"/>
              </w:rPr>
              <w:t xml:space="preserve">Cushing to Broome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73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78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73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66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800" w:right="0" w:hanging="200"/>
              <w:jc w:val="left"/>
              <w:rPr>
                <w:sz w:val="17"/>
              </w:rPr>
            </w:pPr>
            <w:r>
              <w:rPr>
                <w:sz w:val="17"/>
              </w:rPr>
              <w:t xml:space="preserve">North Dakota/Trenton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92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87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89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77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800" w:right="0" w:hanging="200"/>
              <w:jc w:val="left"/>
              <w:rPr>
                <w:sz w:val="17"/>
              </w:rPr>
            </w:pPr>
            <w:r>
              <w:rPr>
                <w:sz w:val="17"/>
              </w:rPr>
              <w:t xml:space="preserve">West Texas/New Mexico Area Systems(2)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398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446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433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428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800" w:right="0" w:hanging="200"/>
              <w:jc w:val="left"/>
              <w:rPr>
                <w:sz w:val="17"/>
              </w:rPr>
            </w:pPr>
            <w:r>
              <w:rPr>
                <w:sz w:val="17"/>
              </w:rPr>
              <w:t xml:space="preserve">Canada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349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256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272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255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800" w:right="0" w:hanging="200"/>
              <w:jc w:val="left"/>
              <w:rPr>
                <w:sz w:val="17"/>
              </w:rPr>
            </w:pPr>
            <w:r>
              <w:rPr>
                <w:sz w:val="17"/>
              </w:rPr>
              <w:t xml:space="preserve">Other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691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435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521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426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7"/>
              </w:rPr>
            </w:pPr>
            <w:r>
              <w:rPr>
                <w:sz w:val="17"/>
              </w:rPr>
              <w:t xml:space="preserve">Pipeline margin activities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85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90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88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74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CCEEFF" w:val="clear"/>
            <w:vAlign w:val="bottom"/>
          </w:tcPr>
          <w:p>
            <w:pPr>
              <w:pStyle w:val="TableContents"/>
              <w:spacing w:before="0" w:after="0"/>
              <w:ind w:left="600" w:right="0" w:hanging="200"/>
              <w:jc w:val="left"/>
              <w:rPr>
                <w:sz w:val="17"/>
              </w:rPr>
            </w:pPr>
            <w:r>
              <w:rPr>
                <w:sz w:val="17"/>
              </w:rPr>
              <w:t xml:space="preserve">Transportation activities total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2,471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1,848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2,106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1,799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FFFFFF" w:val="clear"/>
            <w:vAlign w:val="bottom"/>
          </w:tcPr>
          <w:p>
            <w:pPr>
              <w:pStyle w:val="TableContents"/>
              <w:spacing w:before="0" w:after="0"/>
              <w:ind w:left="400" w:right="0" w:hanging="200"/>
              <w:jc w:val="left"/>
              <w:rPr/>
            </w:pPr>
            <w:r>
              <w:rPr>
                <w:b/>
                <w:sz w:val="15"/>
              </w:rPr>
              <w:t>Facilities activities:</w:t>
            </w: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600" w:right="0" w:hanging="200"/>
              <w:jc w:val="left"/>
              <w:rPr>
                <w:sz w:val="15"/>
              </w:rPr>
            </w:pPr>
            <w:r>
              <w:rPr>
                <w:sz w:val="15"/>
              </w:rPr>
              <w:t xml:space="preserve">Crude oil, refined products and LPG storage (average monthly capacity in millions of barrels)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26.3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17.5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20.7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16.8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5"/>
              </w:rPr>
            </w:pPr>
            <w:r>
              <w:rPr>
                <w:sz w:val="15"/>
              </w:rPr>
              <w:t xml:space="preserve">Natural gas storage, net to our 50% interest (average monthly capacity in billions of cubic feet)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12.9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12.9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12.9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4.3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CCEEFF" w:val="clear"/>
            <w:vAlign w:val="bottom"/>
          </w:tcPr>
          <w:p>
            <w:pPr>
              <w:pStyle w:val="TableContents"/>
              <w:spacing w:before="0" w:after="0"/>
              <w:ind w:left="600" w:right="0" w:hanging="200"/>
              <w:jc w:val="left"/>
              <w:rPr>
                <w:sz w:val="15"/>
              </w:rPr>
            </w:pPr>
            <w:r>
              <w:rPr>
                <w:sz w:val="15"/>
              </w:rPr>
              <w:t xml:space="preserve">LPG processing (thousands of barrels per day)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14.7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12.2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5"/>
              </w:rPr>
            </w:pPr>
            <w:r>
              <w:rPr>
                <w:sz w:val="15"/>
              </w:rPr>
              <w:t xml:space="preserve">Facilities activities total (average monthly capacity in millions of barrels)(3)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28.9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19.6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23.2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17.5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CCEEFF" w:val="clear"/>
            <w:vAlign w:val="bottom"/>
          </w:tcPr>
          <w:p>
            <w:pPr>
              <w:pStyle w:val="TableContents"/>
              <w:spacing w:before="0" w:after="283"/>
              <w:jc w:val="left"/>
              <w:rPr/>
            </w:pPr>
            <w:r>
              <w:rPr/>
              <w:t xml:space="preserve">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400" w:right="0" w:hanging="200"/>
              <w:jc w:val="left"/>
              <w:rPr/>
            </w:pPr>
            <w:r>
              <w:rPr>
                <w:b/>
                <w:sz w:val="15"/>
              </w:rPr>
              <w:t>Marketing activities (Average Daily Volumes, barrels):</w:t>
            </w: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600" w:right="0" w:hanging="200"/>
              <w:jc w:val="left"/>
              <w:rPr>
                <w:sz w:val="17"/>
              </w:rPr>
            </w:pPr>
            <w:r>
              <w:rPr>
                <w:sz w:val="17"/>
              </w:rPr>
              <w:t xml:space="preserve">Crude oil lease gathering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683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591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650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610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7"/>
              </w:rPr>
            </w:pPr>
            <w:r>
              <w:rPr>
                <w:sz w:val="17"/>
              </w:rPr>
              <w:t xml:space="preserve">LPG sales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103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73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70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56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CCEEFF" w:val="clear"/>
            <w:vAlign w:val="bottom"/>
          </w:tcPr>
          <w:p>
            <w:pPr>
              <w:pStyle w:val="TableContents"/>
              <w:spacing w:before="0" w:after="0"/>
              <w:ind w:left="600" w:right="0" w:hanging="200"/>
              <w:jc w:val="left"/>
              <w:rPr>
                <w:sz w:val="17"/>
              </w:rPr>
            </w:pPr>
            <w:r>
              <w:rPr>
                <w:sz w:val="17"/>
              </w:rPr>
              <w:t xml:space="preserve">Waterborne foreign crude imported </w:t>
            </w:r>
          </w:p>
        </w:tc>
        <w:tc>
          <w:tcPr>
            <w:tcW w:w="140"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4" w:type="dxa"/>
            <w:tcBorders/>
            <w:shd w:fill="CCEEFF" w:val="clear"/>
            <w:vAlign w:val="bottom"/>
          </w:tcPr>
          <w:p>
            <w:pPr>
              <w:pStyle w:val="TableContents"/>
              <w:spacing w:before="0" w:after="283"/>
              <w:jc w:val="right"/>
              <w:rPr/>
            </w:pPr>
            <w:r>
              <w:rPr/>
              <w:t xml:space="preserve">73 </w:t>
            </w:r>
          </w:p>
        </w:tc>
        <w:tc>
          <w:tcPr>
            <w:tcW w:w="187" w:type="dxa"/>
            <w:tcBorders/>
            <w:shd w:fill="CCEEFF" w:val="clear"/>
            <w:vAlign w:val="bottom"/>
          </w:tcPr>
          <w:p>
            <w:pPr>
              <w:pStyle w:val="TableContents"/>
              <w:spacing w:before="0" w:after="283"/>
              <w:jc w:val="left"/>
              <w:rPr/>
            </w:pPr>
            <w:r>
              <w:rPr/>
              <w:t xml:space="preserve">  </w:t>
            </w:r>
          </w:p>
        </w:tc>
        <w:tc>
          <w:tcPr>
            <w:tcW w:w="329" w:type="dxa"/>
            <w:tcBorders/>
            <w:shd w:fill="CCEEFF" w:val="clear"/>
            <w:vAlign w:val="bottom"/>
          </w:tcPr>
          <w:p>
            <w:pPr>
              <w:pStyle w:val="TableContents"/>
              <w:spacing w:before="0" w:after="283"/>
              <w:rPr/>
            </w:pPr>
            <w:r>
              <w:rPr/>
              <w:t xml:space="preserve">  </w:t>
            </w:r>
          </w:p>
        </w:tc>
        <w:tc>
          <w:tcPr>
            <w:tcW w:w="187" w:type="dxa"/>
            <w:tcBorders/>
            <w:shd w:fill="CCEEFF" w:val="clear"/>
            <w:vAlign w:val="bottom"/>
          </w:tcPr>
          <w:p>
            <w:pPr>
              <w:pStyle w:val="TableContents"/>
              <w:spacing w:before="0" w:after="283"/>
              <w:jc w:val="left"/>
              <w:rPr/>
            </w:pPr>
            <w:r>
              <w:rPr/>
              <w:t xml:space="preserve">  </w:t>
            </w:r>
          </w:p>
        </w:tc>
        <w:tc>
          <w:tcPr>
            <w:tcW w:w="838" w:type="dxa"/>
            <w:tcBorders/>
            <w:shd w:fill="CCEEFF" w:val="clear"/>
            <w:vAlign w:val="bottom"/>
          </w:tcPr>
          <w:p>
            <w:pPr>
              <w:pStyle w:val="TableContents"/>
              <w:spacing w:before="0" w:after="283"/>
              <w:jc w:val="right"/>
              <w:rPr/>
            </w:pPr>
            <w:r>
              <w:rPr/>
              <w:t xml:space="preserve">62 </w:t>
            </w:r>
          </w:p>
        </w:tc>
        <w:tc>
          <w:tcPr>
            <w:tcW w:w="151" w:type="dxa"/>
            <w:tcBorders/>
            <w:shd w:fill="CCEEFF" w:val="clear"/>
            <w:vAlign w:val="bottom"/>
          </w:tcPr>
          <w:p>
            <w:pPr>
              <w:pStyle w:val="TableContents"/>
              <w:spacing w:before="0" w:after="283"/>
              <w:jc w:val="left"/>
              <w:rPr/>
            </w:pPr>
            <w:r>
              <w:rPr/>
              <w:t xml:space="preserve">  </w:t>
            </w:r>
          </w:p>
        </w:tc>
        <w:tc>
          <w:tcPr>
            <w:tcW w:w="397"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63 </w:t>
            </w:r>
          </w:p>
        </w:tc>
        <w:tc>
          <w:tcPr>
            <w:tcW w:w="195" w:type="dxa"/>
            <w:tcBorders/>
            <w:shd w:fill="CCEEFF" w:val="clear"/>
            <w:vAlign w:val="bottom"/>
          </w:tcPr>
          <w:p>
            <w:pPr>
              <w:pStyle w:val="TableContents"/>
              <w:spacing w:before="0" w:after="283"/>
              <w:jc w:val="left"/>
              <w:rPr/>
            </w:pPr>
            <w:r>
              <w:rPr/>
              <w:t xml:space="preserve">  </w:t>
            </w:r>
          </w:p>
        </w:tc>
        <w:tc>
          <w:tcPr>
            <w:tcW w:w="334" w:type="dxa"/>
            <w:tcBorders/>
            <w:shd w:fill="CCEEFF" w:val="clear"/>
            <w:vAlign w:val="bottom"/>
          </w:tcPr>
          <w:p>
            <w:pPr>
              <w:pStyle w:val="TableContents"/>
              <w:spacing w:before="0" w:after="283"/>
              <w:rPr/>
            </w:pPr>
            <w:r>
              <w:rPr/>
              <w:t xml:space="preserve">  </w:t>
            </w:r>
          </w:p>
        </w:tc>
        <w:tc>
          <w:tcPr>
            <w:tcW w:w="195" w:type="dxa"/>
            <w:tcBorders/>
            <w:shd w:fill="CCEEFF" w:val="clear"/>
            <w:vAlign w:val="bottom"/>
          </w:tcPr>
          <w:p>
            <w:pPr>
              <w:pStyle w:val="TableContents"/>
              <w:spacing w:before="0" w:after="283"/>
              <w:jc w:val="left"/>
              <w:rPr/>
            </w:pPr>
            <w:r>
              <w:rPr/>
              <w:t xml:space="preserve">  </w:t>
            </w:r>
          </w:p>
        </w:tc>
        <w:tc>
          <w:tcPr>
            <w:tcW w:w="877" w:type="dxa"/>
            <w:tcBorders/>
            <w:shd w:fill="CCEEFF" w:val="clear"/>
            <w:vAlign w:val="bottom"/>
          </w:tcPr>
          <w:p>
            <w:pPr>
              <w:pStyle w:val="TableContents"/>
              <w:spacing w:before="0" w:after="283"/>
              <w:jc w:val="right"/>
              <w:rPr/>
            </w:pPr>
            <w:r>
              <w:rPr/>
              <w:t xml:space="preserve">59 </w:t>
            </w:r>
          </w:p>
        </w:tc>
        <w:tc>
          <w:tcPr>
            <w:tcW w:w="160" w:type="dxa"/>
            <w:tcBorders/>
            <w:shd w:fill="CCEE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r>
        <w:trPr/>
        <w:tc>
          <w:tcPr>
            <w:tcW w:w="4124" w:type="dxa"/>
            <w:tcBorders/>
            <w:shd w:fill="FFFFFF" w:val="clear"/>
            <w:vAlign w:val="bottom"/>
          </w:tcPr>
          <w:p>
            <w:pPr>
              <w:pStyle w:val="TableContents"/>
              <w:spacing w:before="0" w:after="0"/>
              <w:ind w:left="600" w:right="0" w:hanging="200"/>
              <w:jc w:val="left"/>
              <w:rPr>
                <w:sz w:val="17"/>
              </w:rPr>
            </w:pPr>
            <w:r>
              <w:rPr>
                <w:sz w:val="17"/>
              </w:rPr>
              <w:t xml:space="preserve">Marketing activities total </w:t>
            </w:r>
          </w:p>
        </w:tc>
        <w:tc>
          <w:tcPr>
            <w:tcW w:w="140"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4" w:type="dxa"/>
            <w:tcBorders/>
            <w:shd w:fill="FFFFFF" w:val="clear"/>
            <w:vAlign w:val="bottom"/>
          </w:tcPr>
          <w:p>
            <w:pPr>
              <w:pStyle w:val="TableContents"/>
              <w:spacing w:before="0" w:after="283"/>
              <w:jc w:val="right"/>
              <w:rPr/>
            </w:pPr>
            <w:r>
              <w:rPr/>
              <w:t xml:space="preserve">859 </w:t>
            </w:r>
          </w:p>
        </w:tc>
        <w:tc>
          <w:tcPr>
            <w:tcW w:w="187" w:type="dxa"/>
            <w:tcBorders/>
            <w:shd w:fill="FFFFFF" w:val="clear"/>
            <w:vAlign w:val="bottom"/>
          </w:tcPr>
          <w:p>
            <w:pPr>
              <w:pStyle w:val="TableContents"/>
              <w:spacing w:before="0" w:after="283"/>
              <w:jc w:val="left"/>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jc w:val="left"/>
              <w:rPr/>
            </w:pPr>
            <w:r>
              <w:rPr/>
              <w:t xml:space="preserve">  </w:t>
            </w:r>
          </w:p>
        </w:tc>
        <w:tc>
          <w:tcPr>
            <w:tcW w:w="838" w:type="dxa"/>
            <w:tcBorders/>
            <w:shd w:fill="FFFFFF" w:val="clear"/>
            <w:vAlign w:val="bottom"/>
          </w:tcPr>
          <w:p>
            <w:pPr>
              <w:pStyle w:val="TableContents"/>
              <w:spacing w:before="0" w:after="283"/>
              <w:jc w:val="right"/>
              <w:rPr/>
            </w:pPr>
            <w:r>
              <w:rPr/>
              <w:t xml:space="preserve">726 </w:t>
            </w:r>
          </w:p>
        </w:tc>
        <w:tc>
          <w:tcPr>
            <w:tcW w:w="151" w:type="dxa"/>
            <w:tcBorders/>
            <w:shd w:fill="FFFFFF" w:val="clear"/>
            <w:vAlign w:val="bottom"/>
          </w:tcPr>
          <w:p>
            <w:pPr>
              <w:pStyle w:val="TableContents"/>
              <w:spacing w:before="0" w:after="283"/>
              <w:jc w:val="left"/>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783 </w:t>
            </w:r>
          </w:p>
        </w:tc>
        <w:tc>
          <w:tcPr>
            <w:tcW w:w="195" w:type="dxa"/>
            <w:tcBorders/>
            <w:shd w:fill="FFFFFF" w:val="clear"/>
            <w:vAlign w:val="bottom"/>
          </w:tcPr>
          <w:p>
            <w:pPr>
              <w:pStyle w:val="TableContents"/>
              <w:spacing w:before="0" w:after="283"/>
              <w:jc w:val="left"/>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jc w:val="left"/>
              <w:rPr/>
            </w:pPr>
            <w:r>
              <w:rPr/>
              <w:t xml:space="preserve">  </w:t>
            </w:r>
          </w:p>
        </w:tc>
        <w:tc>
          <w:tcPr>
            <w:tcW w:w="877" w:type="dxa"/>
            <w:tcBorders/>
            <w:shd w:fill="FFFFFF" w:val="clear"/>
            <w:vAlign w:val="bottom"/>
          </w:tcPr>
          <w:p>
            <w:pPr>
              <w:pStyle w:val="TableContents"/>
              <w:spacing w:before="0" w:after="283"/>
              <w:jc w:val="right"/>
              <w:rPr/>
            </w:pPr>
            <w:r>
              <w:rPr/>
              <w:t xml:space="preserve">725 </w:t>
            </w:r>
          </w:p>
        </w:tc>
        <w:tc>
          <w:tcPr>
            <w:tcW w:w="160" w:type="dxa"/>
            <w:tcBorders/>
            <w:shd w:fill="FFFFFF" w:val="clear"/>
            <w:vAlign w:val="bottom"/>
          </w:tcPr>
          <w:p>
            <w:pPr>
              <w:pStyle w:val="TableContents"/>
              <w:spacing w:before="0" w:after="283"/>
              <w:jc w:val="left"/>
              <w:rPr/>
            </w:pPr>
            <w:r>
              <w:rPr/>
              <w:t xml:space="preserve">  </w:t>
            </w:r>
          </w:p>
        </w:tc>
      </w:tr>
      <w:tr>
        <w:trPr/>
        <w:tc>
          <w:tcPr>
            <w:tcW w:w="4124" w:type="dxa"/>
            <w:tcBorders/>
            <w:shd w:fill="FFFFFF" w:val="clear"/>
            <w:vAlign w:val="bottom"/>
          </w:tcPr>
          <w:p>
            <w:pPr>
              <w:pStyle w:val="TableContents"/>
              <w:spacing w:before="0" w:after="283"/>
              <w:rPr/>
            </w:pPr>
            <w:r>
              <w:rPr/>
              <w:t xml:space="preserve">  </w:t>
            </w:r>
          </w:p>
        </w:tc>
        <w:tc>
          <w:tcPr>
            <w:tcW w:w="140"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c>
          <w:tcPr>
            <w:tcW w:w="329" w:type="dxa"/>
            <w:tcBorders/>
            <w:shd w:fill="FFFFFF" w:val="clear"/>
            <w:vAlign w:val="bottom"/>
          </w:tcPr>
          <w:p>
            <w:pPr>
              <w:pStyle w:val="TableContents"/>
              <w:spacing w:before="0" w:after="283"/>
              <w:rPr/>
            </w:pPr>
            <w:r>
              <w:rPr/>
              <w:t xml:space="preserve">  </w:t>
            </w:r>
          </w:p>
        </w:tc>
        <w:tc>
          <w:tcPr>
            <w:tcW w:w="18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1" w:type="dxa"/>
            <w:tcBorders/>
            <w:shd w:fill="FFFFFF" w:val="clear"/>
            <w:vAlign w:val="bottom"/>
          </w:tcPr>
          <w:p>
            <w:pPr>
              <w:pStyle w:val="TableContents"/>
              <w:spacing w:before="0" w:after="283"/>
              <w:rPr/>
            </w:pPr>
            <w:r>
              <w:rPr/>
              <w:t xml:space="preserve">  </w:t>
            </w:r>
          </w:p>
        </w:tc>
        <w:tc>
          <w:tcPr>
            <w:tcW w:w="397"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5"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rPr/>
            </w:pPr>
            <w:r>
              <w:rPr/>
              <w:t xml:space="preserve">  </w:t>
            </w:r>
          </w:p>
        </w:tc>
        <w:tc>
          <w:tcPr>
            <w:tcW w:w="19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shd w:fill="FFFFFF" w:val="clear"/>
        <w:tblCellMar>
          <w:top w:w="0" w:type="dxa"/>
          <w:left w:w="0" w:type="dxa"/>
          <w:bottom w:w="0" w:type="dxa"/>
          <w:right w:w="0" w:type="dxa"/>
        </w:tblCellMar>
      </w:tblPr>
      <w:tblGrid>
        <w:gridCol w:w="406"/>
        <w:gridCol w:w="102"/>
        <w:gridCol w:w="9697"/>
      </w:tblGrid>
      <w:tr>
        <w:trPr/>
        <w:tc>
          <w:tcPr>
            <w:tcW w:w="406"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cente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Volumes associated with acquisitions represent total volumes transported for the number of days we actually owned the assets divided by the number of days in the period.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(2)</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The aggregate of multiple systems in the West Texas/New Mexico area. </w:t>
            </w:r>
          </w:p>
        </w:tc>
      </w:tr>
      <w:tr>
        <w:trPr/>
        <w:tc>
          <w:tcPr>
            <w:tcW w:w="406" w:type="dxa"/>
            <w:tcBorders/>
            <w:shd w:fill="FFFFFF" w:val="clear"/>
            <w:vAlign w:val="center"/>
          </w:tcPr>
          <w:p>
            <w:pPr>
              <w:pStyle w:val="TableContents"/>
              <w:spacing w:before="0" w:after="283"/>
              <w:rPr/>
            </w:pPr>
            <w:r>
              <w:rPr/>
              <w:t> </w:t>
            </w:r>
          </w:p>
        </w:tc>
        <w:tc>
          <w:tcPr>
            <w:tcW w:w="9799" w:type="dxa"/>
            <w:gridSpan w:val="2"/>
            <w:tcBorders/>
            <w:shd w:fill="FFFFFF" w:val="clear"/>
          </w:tcPr>
          <w:p>
            <w:pPr>
              <w:pStyle w:val="TableContents"/>
              <w:spacing w:before="0" w:after="283"/>
              <w:rPr>
                <w:sz w:val="4"/>
                <w:szCs w:val="4"/>
              </w:rPr>
            </w:pPr>
            <w:r>
              <w:rPr>
                <w:sz w:val="4"/>
                <w:szCs w:val="4"/>
              </w:rPr>
            </w:r>
          </w:p>
        </w:tc>
      </w:tr>
      <w:tr>
        <w:trPr/>
        <w:tc>
          <w:tcPr>
            <w:tcW w:w="406" w:type="dxa"/>
            <w:tcBorders/>
            <w:shd w:fill="FFFFFF" w:val="clear"/>
          </w:tcPr>
          <w:p>
            <w:pPr>
              <w:pStyle w:val="TableContents"/>
              <w:spacing w:before="0" w:after="283"/>
              <w:jc w:val="right"/>
              <w:rPr>
                <w:sz w:val="13"/>
              </w:rPr>
            </w:pPr>
            <w:r>
              <w:rPr>
                <w:sz w:val="13"/>
              </w:rPr>
              <w:t>(3)</w:t>
            </w:r>
          </w:p>
        </w:tc>
        <w:tc>
          <w:tcPr>
            <w:tcW w:w="102" w:type="dxa"/>
            <w:tcBorders/>
            <w:shd w:fill="FFFFFF" w:val="clear"/>
            <w:vAlign w:val="center"/>
          </w:tcPr>
          <w:p>
            <w:pPr>
              <w:pStyle w:val="TableContents"/>
              <w:spacing w:before="0" w:after="283"/>
              <w:rPr>
                <w:sz w:val="4"/>
                <w:szCs w:val="4"/>
              </w:rPr>
            </w:pPr>
            <w:r>
              <w:rPr>
                <w:sz w:val="4"/>
                <w:szCs w:val="4"/>
              </w:rPr>
            </w:r>
          </w:p>
        </w:tc>
        <w:tc>
          <w:tcPr>
            <w:tcW w:w="9697" w:type="dxa"/>
            <w:tcBorders/>
            <w:shd w:fill="FFFFFF" w:val="clear"/>
            <w:vAlign w:val="bottom"/>
          </w:tcPr>
          <w:p>
            <w:pPr>
              <w:pStyle w:val="TableContents"/>
              <w:spacing w:before="0" w:after="283"/>
              <w:rPr>
                <w:sz w:val="13"/>
              </w:rPr>
            </w:pPr>
            <w:r>
              <w:rPr>
                <w:sz w:val="13"/>
              </w:rPr>
              <w:t xml:space="preserve">Calculated as the sum of: i) crude oil, refined products and LPG storage capacity; ii) natural gas storage capacity divided by 6 to account for the 6:1 gas to oil ratio; and iii) LPG processing volumes multiplied by the number of days in the month and divided by 1,000 to convert to monthly volumes in millions.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PLAINS ALL AMERICAN PIPELINE, L.P. AND SUBSIDIARIES</w:t>
        <w:br/>
        <w:t>FINANCIAL SUMMARY (unaudited)</w:t>
      </w:r>
      <w:r>
        <w:rPr>
          <w:rFonts w:ascii="Times New Roman;Times" w:hAnsi="Times New Roman;Times"/>
          <w:color w:val="000000"/>
          <w:sz w:val="17"/>
          <w:highlight w:val="white"/>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CONDENSED CONSOLIDATED BALANCE SHEET DATA</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6049"/>
        <w:gridCol w:w="181"/>
        <w:gridCol w:w="285"/>
        <w:gridCol w:w="1415"/>
        <w:gridCol w:w="160"/>
        <w:gridCol w:w="249"/>
        <w:gridCol w:w="285"/>
        <w:gridCol w:w="1415"/>
        <w:gridCol w:w="166"/>
      </w:tblGrid>
      <w:tr>
        <w:trPr/>
        <w:tc>
          <w:tcPr>
            <w:tcW w:w="6049"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415"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c>
          <w:tcPr>
            <w:tcW w:w="249"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1415"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6049"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700" w:type="dxa"/>
            <w:gridSpan w:val="2"/>
            <w:tcBorders/>
            <w:shd w:fill="FFFFFF" w:val="clear"/>
            <w:vAlign w:val="bottom"/>
          </w:tcPr>
          <w:p>
            <w:pPr>
              <w:pStyle w:val="TableContents"/>
              <w:spacing w:before="0" w:after="283"/>
              <w:jc w:val="center"/>
              <w:rPr>
                <w:b/>
              </w:rPr>
            </w:pPr>
            <w:r>
              <w:rPr>
                <w:b/>
              </w:rPr>
              <w:t>December 31,</w:t>
            </w:r>
          </w:p>
        </w:tc>
        <w:tc>
          <w:tcPr>
            <w:tcW w:w="160" w:type="dxa"/>
            <w:tcBorders/>
            <w:shd w:fill="FFFFFF" w:val="clear"/>
            <w:vAlign w:val="bottom"/>
          </w:tcPr>
          <w:p>
            <w:pPr>
              <w:pStyle w:val="TableContents"/>
              <w:spacing w:before="0" w:after="283"/>
              <w:jc w:val="center"/>
              <w:rPr/>
            </w:pPr>
            <w:r>
              <w:rPr/>
              <w:t xml:space="preserve">  </w:t>
            </w:r>
          </w:p>
        </w:tc>
        <w:tc>
          <w:tcPr>
            <w:tcW w:w="249" w:type="dxa"/>
            <w:tcBorders/>
            <w:shd w:fill="FFFFFF" w:val="clear"/>
            <w:vAlign w:val="bottom"/>
          </w:tcPr>
          <w:p>
            <w:pPr>
              <w:pStyle w:val="TableContents"/>
              <w:spacing w:before="0" w:after="283"/>
              <w:jc w:val="center"/>
              <w:rPr/>
            </w:pPr>
            <w:r>
              <w:rPr/>
              <w:t xml:space="preserve">  </w:t>
            </w:r>
          </w:p>
        </w:tc>
        <w:tc>
          <w:tcPr>
            <w:tcW w:w="1700" w:type="dxa"/>
            <w:gridSpan w:val="2"/>
            <w:tcBorders/>
            <w:shd w:fill="FFFFFF" w:val="clear"/>
            <w:vAlign w:val="bottom"/>
          </w:tcPr>
          <w:p>
            <w:pPr>
              <w:pStyle w:val="TableContents"/>
              <w:spacing w:before="0" w:after="283"/>
              <w:jc w:val="center"/>
              <w:rPr>
                <w:b/>
              </w:rPr>
            </w:pPr>
            <w:r>
              <w:rPr>
                <w:b/>
              </w:rPr>
              <w:t>December 31,</w:t>
            </w:r>
          </w:p>
        </w:tc>
        <w:tc>
          <w:tcPr>
            <w:tcW w:w="166" w:type="dxa"/>
            <w:tcBorders/>
            <w:shd w:fill="FFFFFF" w:val="clear"/>
            <w:vAlign w:val="bottom"/>
          </w:tcPr>
          <w:p>
            <w:pPr>
              <w:pStyle w:val="TableContents"/>
              <w:spacing w:before="0" w:after="283"/>
              <w:jc w:val="center"/>
              <w:rPr/>
            </w:pPr>
            <w:r>
              <w:rPr/>
              <w:t xml:space="preserve">  </w:t>
            </w:r>
          </w:p>
        </w:tc>
      </w:tr>
      <w:tr>
        <w:trPr/>
        <w:tc>
          <w:tcPr>
            <w:tcW w:w="6049" w:type="dxa"/>
            <w:tcBorders/>
            <w:shd w:fill="FFFFFF" w:val="clear"/>
            <w:vAlign w:val="bottom"/>
          </w:tcPr>
          <w:p>
            <w:pPr>
              <w:pStyle w:val="TableContents"/>
              <w:spacing w:before="0" w:after="283"/>
              <w:jc w:val="center"/>
              <w:rPr/>
            </w:pPr>
            <w:r>
              <w:rPr/>
              <w:t xml:space="preserve">  </w:t>
            </w:r>
          </w:p>
        </w:tc>
        <w:tc>
          <w:tcPr>
            <w:tcW w:w="181" w:type="dxa"/>
            <w:tcBorders/>
            <w:shd w:fill="FFFFFF" w:val="clear"/>
            <w:vAlign w:val="bottom"/>
          </w:tcPr>
          <w:p>
            <w:pPr>
              <w:pStyle w:val="TableContents"/>
              <w:spacing w:before="0" w:after="283"/>
              <w:jc w:val="center"/>
              <w:rPr/>
            </w:pPr>
            <w:r>
              <w:rPr/>
              <w:t xml:space="preserve">  </w:t>
            </w:r>
          </w:p>
        </w:tc>
        <w:tc>
          <w:tcPr>
            <w:tcW w:w="17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60" w:type="dxa"/>
            <w:tcBorders/>
            <w:shd w:fill="FFFFFF" w:val="clear"/>
            <w:vAlign w:val="bottom"/>
          </w:tcPr>
          <w:p>
            <w:pPr>
              <w:pStyle w:val="TableContents"/>
              <w:spacing w:before="0" w:after="283"/>
              <w:jc w:val="center"/>
              <w:rPr/>
            </w:pPr>
            <w:r>
              <w:rPr/>
              <w:t xml:space="preserve">  </w:t>
            </w:r>
          </w:p>
        </w:tc>
        <w:tc>
          <w:tcPr>
            <w:tcW w:w="249" w:type="dxa"/>
            <w:tcBorders/>
            <w:shd w:fill="FFFFFF" w:val="clear"/>
            <w:vAlign w:val="bottom"/>
          </w:tcPr>
          <w:p>
            <w:pPr>
              <w:pStyle w:val="TableContents"/>
              <w:spacing w:before="0" w:after="283"/>
              <w:jc w:val="center"/>
              <w:rPr/>
            </w:pPr>
            <w:r>
              <w:rPr/>
              <w:t xml:space="preserve">  </w:t>
            </w:r>
          </w:p>
        </w:tc>
        <w:tc>
          <w:tcPr>
            <w:tcW w:w="170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6049" w:type="dxa"/>
            <w:tcBorders/>
            <w:shd w:fill="FFFFFF" w:val="clear"/>
            <w:vAlign w:val="center"/>
          </w:tcPr>
          <w:p>
            <w:pPr>
              <w:pStyle w:val="TableContents"/>
              <w:spacing w:before="0" w:after="283"/>
              <w:rPr/>
            </w:pPr>
            <w:r>
              <w:rPr/>
              <w:t xml:space="preserve">  </w:t>
            </w:r>
          </w:p>
        </w:tc>
        <w:tc>
          <w:tcPr>
            <w:tcW w:w="4156" w:type="dxa"/>
            <w:gridSpan w:val="8"/>
            <w:tcBorders/>
            <w:shd w:fill="FFFFFF" w:val="clear"/>
          </w:tcPr>
          <w:p>
            <w:pPr>
              <w:pStyle w:val="TableContents"/>
              <w:spacing w:before="0" w:after="283"/>
              <w:rPr>
                <w:sz w:val="4"/>
                <w:szCs w:val="4"/>
              </w:rPr>
            </w:pPr>
            <w:r>
              <w:rPr>
                <w:sz w:val="4"/>
                <w:szCs w:val="4"/>
              </w:rPr>
            </w:r>
          </w:p>
        </w:tc>
      </w:tr>
      <w:tr>
        <w:trPr/>
        <w:tc>
          <w:tcPr>
            <w:tcW w:w="10205" w:type="dxa"/>
            <w:gridSpan w:val="9"/>
            <w:tcBorders/>
            <w:shd w:fill="CCEEFF" w:val="clear"/>
            <w:vAlign w:val="bottom"/>
          </w:tcPr>
          <w:p>
            <w:pPr>
              <w:pStyle w:val="TableContents"/>
              <w:spacing w:before="0" w:after="0"/>
              <w:ind w:left="200" w:right="0" w:hanging="200"/>
              <w:jc w:val="center"/>
              <w:rPr/>
            </w:pPr>
            <w:r>
              <w:rPr>
                <w:b/>
                <w:sz w:val="17"/>
              </w:rPr>
              <w:t>ASSETS</w:t>
            </w: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Current assets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3,257.6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1,805.2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Property and equipment, net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3,842.0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1,857.2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Pipeline linefill in owned assets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265.5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180.2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Inventory in third party assets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75.7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71.5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Equity investments in unconsolidated entities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183.0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113.5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Goodwill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1,026.2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47.4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Other long-term assets, net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164.9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45.3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Total assets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8,814.9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4,120.3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283"/>
              <w:rPr/>
            </w:pPr>
            <w:r>
              <w:rPr/>
              <w:t xml:space="preserve">  </w:t>
            </w:r>
          </w:p>
        </w:tc>
      </w:tr>
      <w:tr>
        <w:trPr/>
        <w:tc>
          <w:tcPr>
            <w:tcW w:w="10205" w:type="dxa"/>
            <w:gridSpan w:val="9"/>
            <w:tcBorders/>
            <w:shd w:fill="FFFFFF" w:val="clear"/>
            <w:vAlign w:val="bottom"/>
          </w:tcPr>
          <w:p>
            <w:pPr>
              <w:pStyle w:val="TableContents"/>
              <w:spacing w:before="0" w:after="0"/>
              <w:ind w:left="200" w:right="0" w:hanging="200"/>
              <w:jc w:val="center"/>
              <w:rPr/>
            </w:pPr>
            <w:r>
              <w:rPr>
                <w:b/>
                <w:sz w:val="17"/>
              </w:rPr>
              <w:t>LIABILITIES AND PARTNERS CAPITAL</w:t>
            </w: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Current liabilities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3,124.7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1,793.3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Long-term debt under credit facilities and other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3.1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4.7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Senior notes, net of unamortized discount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2,623.2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947.0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Other long-term liabilities and deferred credits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87.1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44.6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Total liabilities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5,838.1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2,789.6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0"/>
              <w:ind w:left="200" w:right="0" w:hanging="200"/>
              <w:jc w:val="left"/>
              <w:rPr>
                <w:sz w:val="17"/>
              </w:rPr>
            </w:pPr>
            <w:r>
              <w:rPr>
                <w:sz w:val="17"/>
              </w:rPr>
              <w:t xml:space="preserve">Partners capital </w:t>
            </w:r>
          </w:p>
        </w:tc>
        <w:tc>
          <w:tcPr>
            <w:tcW w:w="181"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2,976.8 </w:t>
            </w:r>
          </w:p>
        </w:tc>
        <w:tc>
          <w:tcPr>
            <w:tcW w:w="160" w:type="dxa"/>
            <w:tcBorders/>
            <w:shd w:fill="FFFFFF" w:val="clear"/>
            <w:vAlign w:val="bottom"/>
          </w:tcPr>
          <w:p>
            <w:pPr>
              <w:pStyle w:val="TableContents"/>
              <w:spacing w:before="0" w:after="283"/>
              <w:jc w:val="left"/>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1415" w:type="dxa"/>
            <w:tcBorders/>
            <w:shd w:fill="FFFFFF" w:val="clear"/>
            <w:vAlign w:val="bottom"/>
          </w:tcPr>
          <w:p>
            <w:pPr>
              <w:pStyle w:val="TableContents"/>
              <w:spacing w:before="0" w:after="283"/>
              <w:jc w:val="right"/>
              <w:rPr/>
            </w:pPr>
            <w:r>
              <w:rPr/>
              <w:t xml:space="preserve">1,330.7 </w:t>
            </w:r>
          </w:p>
        </w:tc>
        <w:tc>
          <w:tcPr>
            <w:tcW w:w="166" w:type="dxa"/>
            <w:tcBorders/>
            <w:shd w:fill="FFFF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6049" w:type="dxa"/>
            <w:tcBorders/>
            <w:shd w:fill="CCEEFF" w:val="clear"/>
            <w:vAlign w:val="bottom"/>
          </w:tcPr>
          <w:p>
            <w:pPr>
              <w:pStyle w:val="TableContents"/>
              <w:spacing w:before="0" w:after="0"/>
              <w:ind w:left="200" w:right="0" w:hanging="200"/>
              <w:jc w:val="left"/>
              <w:rPr>
                <w:sz w:val="17"/>
              </w:rPr>
            </w:pPr>
            <w:r>
              <w:rPr>
                <w:sz w:val="17"/>
              </w:rPr>
              <w:t xml:space="preserve">Total liabilities and partners capital </w:t>
            </w:r>
          </w:p>
        </w:tc>
        <w:tc>
          <w:tcPr>
            <w:tcW w:w="181"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8,814.9 </w:t>
            </w:r>
          </w:p>
        </w:tc>
        <w:tc>
          <w:tcPr>
            <w:tcW w:w="160" w:type="dxa"/>
            <w:tcBorders/>
            <w:shd w:fill="CCEEFF" w:val="clear"/>
            <w:vAlign w:val="bottom"/>
          </w:tcPr>
          <w:p>
            <w:pPr>
              <w:pStyle w:val="TableContents"/>
              <w:spacing w:before="0" w:after="283"/>
              <w:jc w:val="left"/>
              <w:rPr/>
            </w:pPr>
            <w:r>
              <w:rPr/>
              <w:t xml:space="preserve">  </w:t>
            </w:r>
          </w:p>
        </w:tc>
        <w:tc>
          <w:tcPr>
            <w:tcW w:w="249"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1415" w:type="dxa"/>
            <w:tcBorders/>
            <w:shd w:fill="CCEEFF" w:val="clear"/>
            <w:vAlign w:val="bottom"/>
          </w:tcPr>
          <w:p>
            <w:pPr>
              <w:pStyle w:val="TableContents"/>
              <w:spacing w:before="0" w:after="283"/>
              <w:jc w:val="right"/>
              <w:rPr/>
            </w:pPr>
            <w:r>
              <w:rPr/>
              <w:t xml:space="preserve">4,120.3 </w:t>
            </w:r>
          </w:p>
        </w:tc>
        <w:tc>
          <w:tcPr>
            <w:tcW w:w="166" w:type="dxa"/>
            <w:tcBorders/>
            <w:shd w:fill="CCEEFF" w:val="clear"/>
            <w:vAlign w:val="bottom"/>
          </w:tcPr>
          <w:p>
            <w:pPr>
              <w:pStyle w:val="TableContents"/>
              <w:spacing w:before="0" w:after="283"/>
              <w:jc w:val="left"/>
              <w:rPr/>
            </w:pPr>
            <w:r>
              <w:rPr/>
              <w:t xml:space="preserve">  </w:t>
            </w:r>
          </w:p>
        </w:tc>
      </w:tr>
      <w:tr>
        <w:trPr/>
        <w:tc>
          <w:tcPr>
            <w:tcW w:w="6049" w:type="dxa"/>
            <w:tcBorders/>
            <w:shd w:fill="FFFFFF" w:val="clear"/>
            <w:vAlign w:val="bottom"/>
          </w:tcPr>
          <w:p>
            <w:pPr>
              <w:pStyle w:val="TableContents"/>
              <w:spacing w:before="0" w:after="283"/>
              <w:rPr/>
            </w:pPr>
            <w:r>
              <w:rPr/>
              <w:t xml:space="preserve">  </w:t>
            </w:r>
          </w:p>
        </w:tc>
        <w:tc>
          <w:tcPr>
            <w:tcW w:w="181"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0" w:type="dxa"/>
            <w:tcBorders/>
            <w:shd w:fill="FFFFFF" w:val="clear"/>
            <w:vAlign w:val="bottom"/>
          </w:tcPr>
          <w:p>
            <w:pPr>
              <w:pStyle w:val="TableContents"/>
              <w:spacing w:before="0" w:after="283"/>
              <w:rPr/>
            </w:pPr>
            <w:r>
              <w:rPr/>
              <w:t xml:space="preserve">  </w:t>
            </w:r>
          </w:p>
        </w:tc>
        <w:tc>
          <w:tcPr>
            <w:tcW w:w="249"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COMPUTATION OF BASIC AND DILUTED EARNINGS PER LIMITED PARTNER UNIT</w:t>
      </w:r>
      <w:r>
        <w:rPr>
          <w:rFonts w:ascii="Times New Roman;Times" w:hAnsi="Times New Roman;Times"/>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419"/>
        <w:gridCol w:w="156"/>
        <w:gridCol w:w="253"/>
        <w:gridCol w:w="737"/>
        <w:gridCol w:w="208"/>
        <w:gridCol w:w="277"/>
        <w:gridCol w:w="253"/>
        <w:gridCol w:w="724"/>
        <w:gridCol w:w="176"/>
        <w:gridCol w:w="211"/>
        <w:gridCol w:w="252"/>
        <w:gridCol w:w="778"/>
        <w:gridCol w:w="207"/>
        <w:gridCol w:w="332"/>
        <w:gridCol w:w="252"/>
        <w:gridCol w:w="781"/>
        <w:gridCol w:w="189"/>
      </w:tblGrid>
      <w:tr>
        <w:trPr/>
        <w:tc>
          <w:tcPr>
            <w:tcW w:w="4419"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right"/>
              <w:rPr/>
            </w:pPr>
            <w:r>
              <w:rPr/>
              <w:t> </w:t>
            </w:r>
          </w:p>
        </w:tc>
        <w:tc>
          <w:tcPr>
            <w:tcW w:w="737" w:type="dxa"/>
            <w:tcBorders/>
            <w:shd w:fill="FFFFFF" w:val="clear"/>
            <w:vAlign w:val="bottom"/>
          </w:tcPr>
          <w:p>
            <w:pPr>
              <w:pStyle w:val="TableContents"/>
              <w:spacing w:before="0" w:after="283"/>
              <w:jc w:val="right"/>
              <w:rPr/>
            </w:pPr>
            <w:r>
              <w:rPr/>
              <w:t> </w:t>
            </w:r>
          </w:p>
        </w:tc>
        <w:tc>
          <w:tcPr>
            <w:tcW w:w="208" w:type="dxa"/>
            <w:tcBorders/>
            <w:shd w:fill="FFFFFF" w:val="clear"/>
            <w:vAlign w:val="bottom"/>
          </w:tcPr>
          <w:p>
            <w:pPr>
              <w:pStyle w:val="TableContents"/>
              <w:spacing w:before="0" w:after="283"/>
              <w:jc w:val="left"/>
              <w:rPr/>
            </w:pPr>
            <w:r>
              <w:rPr/>
              <w:t> </w:t>
            </w:r>
          </w:p>
        </w:tc>
        <w:tc>
          <w:tcPr>
            <w:tcW w:w="277" w:type="dxa"/>
            <w:tcBorders/>
            <w:shd w:fill="FFFFFF" w:val="clear"/>
            <w:vAlign w:val="bottom"/>
          </w:tcPr>
          <w:p>
            <w:pPr>
              <w:pStyle w:val="TableContents"/>
              <w:spacing w:before="0" w:after="283"/>
              <w:rPr/>
            </w:pPr>
            <w:r>
              <w:rPr/>
              <w:t> </w:t>
            </w:r>
          </w:p>
        </w:tc>
        <w:tc>
          <w:tcPr>
            <w:tcW w:w="253" w:type="dxa"/>
            <w:tcBorders/>
            <w:shd w:fill="FFFFFF" w:val="clear"/>
            <w:vAlign w:val="bottom"/>
          </w:tcPr>
          <w:p>
            <w:pPr>
              <w:pStyle w:val="TableContents"/>
              <w:spacing w:before="0" w:after="283"/>
              <w:jc w:val="right"/>
              <w:rPr/>
            </w:pPr>
            <w:r>
              <w:rPr/>
              <w:t> </w:t>
            </w:r>
          </w:p>
        </w:tc>
        <w:tc>
          <w:tcPr>
            <w:tcW w:w="724" w:type="dxa"/>
            <w:tcBorders/>
            <w:shd w:fill="FFFFFF" w:val="clear"/>
            <w:vAlign w:val="bottom"/>
          </w:tcPr>
          <w:p>
            <w:pPr>
              <w:pStyle w:val="TableContents"/>
              <w:spacing w:before="0" w:after="283"/>
              <w:jc w:val="right"/>
              <w:rPr/>
            </w:pPr>
            <w:r>
              <w:rPr/>
              <w:t> </w:t>
            </w:r>
          </w:p>
        </w:tc>
        <w:tc>
          <w:tcPr>
            <w:tcW w:w="176" w:type="dxa"/>
            <w:tcBorders/>
            <w:shd w:fill="FFFFFF" w:val="clear"/>
            <w:vAlign w:val="bottom"/>
          </w:tcPr>
          <w:p>
            <w:pPr>
              <w:pStyle w:val="TableContents"/>
              <w:spacing w:before="0" w:after="283"/>
              <w:jc w:val="left"/>
              <w:rPr/>
            </w:pPr>
            <w:r>
              <w:rPr/>
              <w:t> </w:t>
            </w:r>
          </w:p>
        </w:tc>
        <w:tc>
          <w:tcPr>
            <w:tcW w:w="211"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pPr>
            <w:r>
              <w:rPr/>
              <w:t> </w:t>
            </w:r>
          </w:p>
        </w:tc>
        <w:tc>
          <w:tcPr>
            <w:tcW w:w="778"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c>
          <w:tcPr>
            <w:tcW w:w="332" w:type="dxa"/>
            <w:tcBorders/>
            <w:shd w:fill="FFFFFF" w:val="clear"/>
            <w:vAlign w:val="bottom"/>
          </w:tcPr>
          <w:p>
            <w:pPr>
              <w:pStyle w:val="TableContents"/>
              <w:spacing w:before="0" w:after="283"/>
              <w:rPr/>
            </w:pPr>
            <w:r>
              <w:rPr/>
              <w:t> </w:t>
            </w:r>
          </w:p>
        </w:tc>
        <w:tc>
          <w:tcPr>
            <w:tcW w:w="252" w:type="dxa"/>
            <w:tcBorders/>
            <w:shd w:fill="FFFFFF" w:val="clear"/>
            <w:vAlign w:val="bottom"/>
          </w:tcPr>
          <w:p>
            <w:pPr>
              <w:pStyle w:val="TableContents"/>
              <w:spacing w:before="0" w:after="283"/>
              <w:jc w:val="right"/>
              <w:rPr/>
            </w:pPr>
            <w:r>
              <w:rPr/>
              <w:t> </w:t>
            </w:r>
          </w:p>
        </w:tc>
        <w:tc>
          <w:tcPr>
            <w:tcW w:w="781"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r>
      <w:tr>
        <w:trPr/>
        <w:tc>
          <w:tcPr>
            <w:tcW w:w="4419"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2452" w:type="dxa"/>
            <w:gridSpan w:val="6"/>
            <w:tcBorders/>
            <w:shd w:fill="FFFFFF" w:val="clear"/>
            <w:vAlign w:val="bottom"/>
          </w:tcPr>
          <w:p>
            <w:pPr>
              <w:pStyle w:val="TableContents"/>
              <w:spacing w:before="0" w:after="283"/>
              <w:jc w:val="center"/>
              <w:rPr>
                <w:b/>
              </w:rPr>
            </w:pPr>
            <w:r>
              <w:rPr>
                <w:b/>
              </w:rPr>
              <w:t>Three Months Ended</w:t>
            </w:r>
          </w:p>
        </w:tc>
        <w:tc>
          <w:tcPr>
            <w:tcW w:w="176" w:type="dxa"/>
            <w:tcBorders/>
            <w:shd w:fill="FFFFFF" w:val="clear"/>
            <w:vAlign w:val="bottom"/>
          </w:tcPr>
          <w:p>
            <w:pPr>
              <w:pStyle w:val="TableContents"/>
              <w:spacing w:before="0" w:after="283"/>
              <w:jc w:val="center"/>
              <w:rPr/>
            </w:pPr>
            <w:r>
              <w:rPr/>
              <w:t xml:space="preserve">  </w:t>
            </w:r>
          </w:p>
        </w:tc>
        <w:tc>
          <w:tcPr>
            <w:tcW w:w="211" w:type="dxa"/>
            <w:tcBorders/>
            <w:shd w:fill="FFFFFF" w:val="clear"/>
            <w:vAlign w:val="bottom"/>
          </w:tcPr>
          <w:p>
            <w:pPr>
              <w:pStyle w:val="TableContents"/>
              <w:spacing w:before="0" w:after="283"/>
              <w:jc w:val="center"/>
              <w:rPr/>
            </w:pPr>
            <w:r>
              <w:rPr/>
              <w:t xml:space="preserve">  </w:t>
            </w:r>
          </w:p>
        </w:tc>
        <w:tc>
          <w:tcPr>
            <w:tcW w:w="2602" w:type="dxa"/>
            <w:gridSpan w:val="6"/>
            <w:tcBorders/>
            <w:shd w:fill="FFFFFF" w:val="clear"/>
            <w:vAlign w:val="bottom"/>
          </w:tcPr>
          <w:p>
            <w:pPr>
              <w:pStyle w:val="TableContents"/>
              <w:spacing w:before="0" w:after="283"/>
              <w:jc w:val="center"/>
              <w:rPr>
                <w:b/>
              </w:rPr>
            </w:pPr>
            <w:r>
              <w:rPr>
                <w:b/>
              </w:rPr>
              <w:t>Twelve Months Ended</w:t>
            </w:r>
          </w:p>
        </w:tc>
        <w:tc>
          <w:tcPr>
            <w:tcW w:w="189" w:type="dxa"/>
            <w:tcBorders/>
            <w:shd w:fill="FFFFFF" w:val="clear"/>
            <w:vAlign w:val="bottom"/>
          </w:tcPr>
          <w:p>
            <w:pPr>
              <w:pStyle w:val="TableContents"/>
              <w:spacing w:before="0" w:after="283"/>
              <w:jc w:val="center"/>
              <w:rPr/>
            </w:pPr>
            <w:r>
              <w:rPr/>
              <w:t xml:space="preserve">  </w:t>
            </w:r>
          </w:p>
        </w:tc>
      </w:tr>
      <w:tr>
        <w:trPr/>
        <w:tc>
          <w:tcPr>
            <w:tcW w:w="4419"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245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11" w:type="dxa"/>
            <w:tcBorders/>
            <w:shd w:fill="FFFFFF" w:val="clear"/>
            <w:vAlign w:val="bottom"/>
          </w:tcPr>
          <w:p>
            <w:pPr>
              <w:pStyle w:val="TableContents"/>
              <w:spacing w:before="0" w:after="283"/>
              <w:jc w:val="center"/>
              <w:rPr/>
            </w:pPr>
            <w:r>
              <w:rPr/>
              <w:t xml:space="preserve">  </w:t>
            </w:r>
          </w:p>
        </w:tc>
        <w:tc>
          <w:tcPr>
            <w:tcW w:w="2602"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9" w:type="dxa"/>
            <w:tcBorders/>
            <w:shd w:fill="FFFFFF" w:val="clear"/>
            <w:vAlign w:val="bottom"/>
          </w:tcPr>
          <w:p>
            <w:pPr>
              <w:pStyle w:val="TableContents"/>
              <w:spacing w:before="0" w:after="283"/>
              <w:jc w:val="center"/>
              <w:rPr/>
            </w:pPr>
            <w:r>
              <w:rPr/>
              <w:t xml:space="preserve">  </w:t>
            </w:r>
          </w:p>
        </w:tc>
      </w:tr>
      <w:tr>
        <w:trPr/>
        <w:tc>
          <w:tcPr>
            <w:tcW w:w="4419" w:type="dxa"/>
            <w:tcBorders/>
            <w:shd w:fill="FFFFFF" w:val="clear"/>
            <w:vAlign w:val="bottom"/>
          </w:tcPr>
          <w:p>
            <w:pPr>
              <w:pStyle w:val="TableContents"/>
              <w:spacing w:before="0" w:after="283"/>
              <w:jc w:val="center"/>
              <w:rPr/>
            </w:pP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99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8" w:type="dxa"/>
            <w:tcBorders/>
            <w:shd w:fill="FFFFFF" w:val="clear"/>
            <w:vAlign w:val="bottom"/>
          </w:tcPr>
          <w:p>
            <w:pPr>
              <w:pStyle w:val="TableContents"/>
              <w:spacing w:before="0" w:after="283"/>
              <w:jc w:val="center"/>
              <w:rPr/>
            </w:pPr>
            <w:r>
              <w:rPr/>
              <w:t xml:space="preserve">  </w:t>
            </w:r>
          </w:p>
        </w:tc>
        <w:tc>
          <w:tcPr>
            <w:tcW w:w="277" w:type="dxa"/>
            <w:tcBorders/>
            <w:shd w:fill="FFFFFF" w:val="clear"/>
            <w:vAlign w:val="bottom"/>
          </w:tcPr>
          <w:p>
            <w:pPr>
              <w:pStyle w:val="TableContents"/>
              <w:spacing w:before="0" w:after="283"/>
              <w:jc w:val="center"/>
              <w:rPr/>
            </w:pPr>
            <w:r>
              <w:rPr/>
              <w:t xml:space="preserve">  </w:t>
            </w:r>
          </w:p>
        </w:tc>
        <w:tc>
          <w:tcPr>
            <w:tcW w:w="97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6" w:type="dxa"/>
            <w:tcBorders/>
            <w:shd w:fill="FFFFFF" w:val="clear"/>
            <w:vAlign w:val="bottom"/>
          </w:tcPr>
          <w:p>
            <w:pPr>
              <w:pStyle w:val="TableContents"/>
              <w:spacing w:before="0" w:after="283"/>
              <w:jc w:val="center"/>
              <w:rPr/>
            </w:pPr>
            <w:r>
              <w:rPr/>
              <w:t xml:space="preserve">  </w:t>
            </w:r>
          </w:p>
        </w:tc>
        <w:tc>
          <w:tcPr>
            <w:tcW w:w="211" w:type="dxa"/>
            <w:tcBorders/>
            <w:shd w:fill="FFFFFF" w:val="clear"/>
            <w:vAlign w:val="bottom"/>
          </w:tcPr>
          <w:p>
            <w:pPr>
              <w:pStyle w:val="TableContents"/>
              <w:spacing w:before="0" w:after="283"/>
              <w:jc w:val="center"/>
              <w:rPr/>
            </w:pPr>
            <w:r>
              <w:rPr/>
              <w:t xml:space="preserve">  </w:t>
            </w:r>
          </w:p>
        </w:tc>
        <w:tc>
          <w:tcPr>
            <w:tcW w:w="10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7" w:type="dxa"/>
            <w:tcBorders/>
            <w:shd w:fill="FFFFFF" w:val="clear"/>
            <w:vAlign w:val="bottom"/>
          </w:tcPr>
          <w:p>
            <w:pPr>
              <w:pStyle w:val="TableContents"/>
              <w:spacing w:before="0" w:after="283"/>
              <w:jc w:val="center"/>
              <w:rPr/>
            </w:pPr>
            <w:r>
              <w:rPr/>
              <w:t xml:space="preserve">  </w:t>
            </w:r>
          </w:p>
        </w:tc>
        <w:tc>
          <w:tcPr>
            <w:tcW w:w="332" w:type="dxa"/>
            <w:tcBorders/>
            <w:shd w:fill="FFFFFF" w:val="clear"/>
            <w:vAlign w:val="bottom"/>
          </w:tcPr>
          <w:p>
            <w:pPr>
              <w:pStyle w:val="TableContents"/>
              <w:spacing w:before="0" w:after="283"/>
              <w:jc w:val="center"/>
              <w:rPr/>
            </w:pPr>
            <w:r>
              <w:rPr/>
              <w:t xml:space="preserve">  </w:t>
            </w:r>
          </w:p>
        </w:tc>
        <w:tc>
          <w:tcPr>
            <w:tcW w:w="103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9" w:type="dxa"/>
            <w:tcBorders/>
            <w:shd w:fill="FFFFFF" w:val="clear"/>
            <w:vAlign w:val="bottom"/>
          </w:tcPr>
          <w:p>
            <w:pPr>
              <w:pStyle w:val="TableContents"/>
              <w:spacing w:before="0" w:after="283"/>
              <w:jc w:val="center"/>
              <w:rPr/>
            </w:pPr>
            <w:r>
              <w:rPr/>
              <w:t xml:space="preserve">  </w:t>
            </w:r>
          </w:p>
        </w:tc>
      </w:tr>
      <w:tr>
        <w:trPr/>
        <w:tc>
          <w:tcPr>
            <w:tcW w:w="4419" w:type="dxa"/>
            <w:tcBorders/>
            <w:shd w:fill="FFFFFF" w:val="clear"/>
            <w:vAlign w:val="center"/>
          </w:tcPr>
          <w:p>
            <w:pPr>
              <w:pStyle w:val="TableContents"/>
              <w:spacing w:before="0" w:after="283"/>
              <w:rPr/>
            </w:pPr>
            <w:r>
              <w:rPr/>
              <w:t xml:space="preserve">  </w:t>
            </w:r>
          </w:p>
        </w:tc>
        <w:tc>
          <w:tcPr>
            <w:tcW w:w="5786" w:type="dxa"/>
            <w:gridSpan w:val="16"/>
            <w:tcBorders/>
            <w:shd w:fill="FFFFFF" w:val="clear"/>
          </w:tcPr>
          <w:p>
            <w:pPr>
              <w:pStyle w:val="TableContents"/>
              <w:spacing w:before="0" w:after="283"/>
              <w:rPr>
                <w:sz w:val="4"/>
                <w:szCs w:val="4"/>
              </w:rPr>
            </w:pPr>
            <w:r>
              <w:rPr>
                <w:sz w:val="4"/>
                <w:szCs w:val="4"/>
              </w:rPr>
            </w:r>
          </w:p>
        </w:tc>
      </w:tr>
      <w:tr>
        <w:trPr/>
        <w:tc>
          <w:tcPr>
            <w:tcW w:w="4419" w:type="dxa"/>
            <w:tcBorders/>
            <w:shd w:fill="CCEEFF" w:val="clear"/>
            <w:vAlign w:val="bottom"/>
          </w:tcPr>
          <w:p>
            <w:pPr>
              <w:pStyle w:val="TableContents"/>
              <w:spacing w:before="0" w:after="283"/>
              <w:jc w:val="left"/>
              <w:rPr/>
            </w:pPr>
            <w:r>
              <w:rPr/>
              <w:t xml:space="preserve">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Numerator for basic and diluted earnings per limited partner unit: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CCEEFF" w:val="clear"/>
            <w:vAlign w:val="bottom"/>
          </w:tcPr>
          <w:p>
            <w:pPr>
              <w:pStyle w:val="TableContents"/>
              <w:spacing w:before="0" w:after="0"/>
              <w:ind w:left="200" w:right="0" w:hanging="200"/>
              <w:jc w:val="left"/>
              <w:rPr>
                <w:sz w:val="17"/>
              </w:rPr>
            </w:pPr>
            <w:r>
              <w:rPr>
                <w:sz w:val="17"/>
              </w:rPr>
              <w:t xml:space="preserve">Net income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w:t>
            </w:r>
            <w:r>
              <w:rPr/>
              <w:t xml:space="preserve">46.0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w:t>
            </w:r>
            <w:r>
              <w:rPr/>
              <w:t xml:space="preserve">53.7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285.1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217.8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Less: General partners incentive distribution paid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(11.1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(4.7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(33.1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(14.9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400" w:right="0" w:hanging="200"/>
              <w:jc w:val="left"/>
              <w:rPr>
                <w:sz w:val="17"/>
              </w:rPr>
            </w:pPr>
            <w:r>
              <w:rPr>
                <w:sz w:val="17"/>
              </w:rPr>
              <w:t xml:space="preserve">Subtotal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34.9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49.0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252.0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202.9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400" w:right="0" w:hanging="200"/>
              <w:jc w:val="left"/>
              <w:rPr>
                <w:sz w:val="17"/>
              </w:rPr>
            </w:pPr>
            <w:r>
              <w:rPr>
                <w:sz w:val="17"/>
              </w:rPr>
              <w:t xml:space="preserve">General partner 2% ownership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(0.7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(1.0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(5.1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(4.1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400" w:right="0" w:hanging="200"/>
              <w:jc w:val="left"/>
              <w:rPr>
                <w:sz w:val="17"/>
              </w:rPr>
            </w:pPr>
            <w:r>
              <w:rPr>
                <w:sz w:val="17"/>
              </w:rPr>
              <w:t xml:space="preserve">Net income available to limited partners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34.2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48.0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246.9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198.8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400" w:right="0" w:hanging="200"/>
              <w:jc w:val="left"/>
              <w:rPr>
                <w:sz w:val="17"/>
              </w:rPr>
            </w:pPr>
            <w:r>
              <w:rPr>
                <w:sz w:val="17"/>
              </w:rPr>
              <w:t xml:space="preserve">Pro forma additional general partners distribution(1)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(10.8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(7.2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400" w:right="0" w:hanging="200"/>
              <w:jc w:val="left"/>
              <w:rPr>
                <w:sz w:val="17"/>
              </w:rPr>
            </w:pPr>
            <w:r>
              <w:rPr>
                <w:sz w:val="17"/>
              </w:rPr>
              <w:t xml:space="preserve">Net income available for limited partners under EITF 03-06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34.2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48.0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236.1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191.6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400" w:right="0" w:hanging="200"/>
              <w:jc w:val="left"/>
              <w:rPr>
                <w:sz w:val="17"/>
              </w:rPr>
            </w:pPr>
            <w:r>
              <w:rPr>
                <w:sz w:val="17"/>
              </w:rPr>
              <w:t xml:space="preserve">Less: Limited partner 98% portion of cumulative effect of change in accounting principle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(6.2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400" w:right="0" w:hanging="200"/>
              <w:jc w:val="left"/>
              <w:rPr>
                <w:sz w:val="17"/>
              </w:rPr>
            </w:pPr>
            <w:r>
              <w:rPr>
                <w:sz w:val="17"/>
              </w:rPr>
              <w:t xml:space="preserve">Limited partner net income before cumulative effect of change in accounting principle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34.2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48.0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229.9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191.6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Denominator: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CCEEFF" w:val="clear"/>
            <w:vAlign w:val="bottom"/>
          </w:tcPr>
          <w:p>
            <w:pPr>
              <w:pStyle w:val="TableContents"/>
              <w:spacing w:before="0" w:after="0"/>
              <w:ind w:left="400" w:right="0" w:hanging="200"/>
              <w:jc w:val="left"/>
              <w:rPr>
                <w:sz w:val="17"/>
              </w:rPr>
            </w:pPr>
            <w:r>
              <w:rPr>
                <w:sz w:val="17"/>
              </w:rPr>
              <w:t xml:space="preserve">Basic weighted average number of limited partner units outstanding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93.2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73.7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81.1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69.3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400" w:right="0" w:hanging="200"/>
              <w:jc w:val="left"/>
              <w:rPr>
                <w:sz w:val="17"/>
              </w:rPr>
            </w:pPr>
            <w:r>
              <w:rPr>
                <w:sz w:val="17"/>
              </w:rPr>
              <w:t xml:space="preserve">Effect of dilutive securities: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CCEEFF" w:val="clear"/>
            <w:vAlign w:val="bottom"/>
          </w:tcPr>
          <w:p>
            <w:pPr>
              <w:pStyle w:val="TableContents"/>
              <w:spacing w:before="0" w:after="0"/>
              <w:ind w:left="600" w:right="0" w:hanging="200"/>
              <w:jc w:val="left"/>
              <w:rPr>
                <w:sz w:val="17"/>
              </w:rPr>
            </w:pPr>
            <w:r>
              <w:rPr>
                <w:sz w:val="17"/>
              </w:rPr>
              <w:t xml:space="preserve">Weighted average Long-Term Incentive Plan (LTIP) units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1.1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1.6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0.8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1.2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FFFFFF" w:val="clear"/>
            <w:vAlign w:val="bottom"/>
          </w:tcPr>
          <w:p>
            <w:pPr>
              <w:pStyle w:val="TableContents"/>
              <w:spacing w:before="0" w:after="0"/>
              <w:ind w:left="400" w:right="0" w:hanging="200"/>
              <w:jc w:val="left"/>
              <w:rPr>
                <w:sz w:val="17"/>
              </w:rPr>
            </w:pPr>
            <w:r>
              <w:rPr>
                <w:sz w:val="17"/>
              </w:rPr>
              <w:t xml:space="preserve">Diluted weighted average number of limited partner units outstanding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94.3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75.3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81.9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70.5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200" w:right="0" w:hanging="200"/>
              <w:jc w:val="left"/>
              <w:rPr>
                <w:sz w:val="17"/>
              </w:rPr>
            </w:pPr>
            <w:r>
              <w:rPr>
                <w:sz w:val="17"/>
              </w:rPr>
              <w:t xml:space="preserve">Basic net income per limited partner unit before cumulative effect of change in accounting principle(1)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0.37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0.65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2.84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2.77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0.07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CCEEFF" w:val="clear"/>
            <w:vAlign w:val="bottom"/>
          </w:tcPr>
          <w:p>
            <w:pPr>
              <w:pStyle w:val="TableContents"/>
              <w:spacing w:before="0" w:after="0"/>
              <w:ind w:left="200" w:right="0" w:hanging="200"/>
              <w:jc w:val="left"/>
              <w:rPr>
                <w:sz w:val="17"/>
              </w:rPr>
            </w:pPr>
            <w:r>
              <w:rPr>
                <w:sz w:val="17"/>
              </w:rPr>
              <w:t xml:space="preserve">Basic net income per limited partner unit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0.37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0.65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2.91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2.77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before cumulative effect of change in accounting principle(1)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0.36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0.64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2.81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2.72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per limited partner unit </w:t>
            </w:r>
          </w:p>
        </w:tc>
        <w:tc>
          <w:tcPr>
            <w:tcW w:w="156"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37" w:type="dxa"/>
            <w:tcBorders/>
            <w:shd w:fill="CCEEFF" w:val="clear"/>
            <w:vAlign w:val="bottom"/>
          </w:tcPr>
          <w:p>
            <w:pPr>
              <w:pStyle w:val="TableContents"/>
              <w:spacing w:before="0" w:after="283"/>
              <w:jc w:val="right"/>
              <w:rPr/>
            </w:pPr>
            <w:r>
              <w:rPr/>
              <w:t xml:space="preserve"> </w:t>
            </w:r>
          </w:p>
        </w:tc>
        <w:tc>
          <w:tcPr>
            <w:tcW w:w="208" w:type="dxa"/>
            <w:tcBorders/>
            <w:shd w:fill="CCEEFF" w:val="clear"/>
            <w:vAlign w:val="bottom"/>
          </w:tcPr>
          <w:p>
            <w:pPr>
              <w:pStyle w:val="TableContents"/>
              <w:spacing w:before="0" w:after="283"/>
              <w:jc w:val="left"/>
              <w:rPr/>
            </w:pPr>
            <w:r>
              <w:rPr/>
              <w:t xml:space="preserve">  </w:t>
            </w:r>
          </w:p>
        </w:tc>
        <w:tc>
          <w:tcPr>
            <w:tcW w:w="277" w:type="dxa"/>
            <w:tcBorders/>
            <w:shd w:fill="CCEEFF" w:val="clear"/>
            <w:vAlign w:val="bottom"/>
          </w:tcPr>
          <w:p>
            <w:pPr>
              <w:pStyle w:val="TableContents"/>
              <w:spacing w:before="0" w:after="283"/>
              <w:rPr/>
            </w:pPr>
            <w:r>
              <w:rPr/>
              <w:t xml:space="preserve">  </w:t>
            </w:r>
          </w:p>
        </w:tc>
        <w:tc>
          <w:tcPr>
            <w:tcW w:w="253" w:type="dxa"/>
            <w:tcBorders/>
            <w:shd w:fill="CCEEFF" w:val="clear"/>
            <w:vAlign w:val="bottom"/>
          </w:tcPr>
          <w:p>
            <w:pPr>
              <w:pStyle w:val="TableContents"/>
              <w:spacing w:before="0" w:after="283"/>
              <w:jc w:val="left"/>
              <w:rPr/>
            </w:pPr>
            <w:r>
              <w:rPr/>
              <w:t xml:space="preserve">  </w:t>
            </w:r>
          </w:p>
        </w:tc>
        <w:tc>
          <w:tcPr>
            <w:tcW w:w="724" w:type="dxa"/>
            <w:tcBorders/>
            <w:shd w:fill="CCEEFF" w:val="clear"/>
            <w:vAlign w:val="bottom"/>
          </w:tcPr>
          <w:p>
            <w:pPr>
              <w:pStyle w:val="TableContents"/>
              <w:spacing w:before="0" w:after="283"/>
              <w:jc w:val="right"/>
              <w:rPr/>
            </w:pPr>
            <w:r>
              <w:rPr/>
              <w:t xml:space="preserve"> </w:t>
            </w:r>
          </w:p>
        </w:tc>
        <w:tc>
          <w:tcPr>
            <w:tcW w:w="176" w:type="dxa"/>
            <w:tcBorders/>
            <w:shd w:fill="CCEEFF" w:val="clear"/>
            <w:vAlign w:val="bottom"/>
          </w:tcPr>
          <w:p>
            <w:pPr>
              <w:pStyle w:val="TableContents"/>
              <w:spacing w:before="0" w:after="283"/>
              <w:jc w:val="left"/>
              <w:rPr/>
            </w:pPr>
            <w:r>
              <w:rPr/>
              <w:t xml:space="preserve">  </w:t>
            </w:r>
          </w:p>
        </w:tc>
        <w:tc>
          <w:tcPr>
            <w:tcW w:w="211"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78" w:type="dxa"/>
            <w:tcBorders/>
            <w:shd w:fill="CCEEFF" w:val="clear"/>
            <w:vAlign w:val="bottom"/>
          </w:tcPr>
          <w:p>
            <w:pPr>
              <w:pStyle w:val="TableContents"/>
              <w:spacing w:before="0" w:after="283"/>
              <w:jc w:val="right"/>
              <w:rPr/>
            </w:pPr>
            <w:r>
              <w:rPr/>
              <w:t xml:space="preserve">0.07 </w:t>
            </w:r>
          </w:p>
        </w:tc>
        <w:tc>
          <w:tcPr>
            <w:tcW w:w="207" w:type="dxa"/>
            <w:tcBorders/>
            <w:shd w:fill="CCEEFF" w:val="clear"/>
            <w:vAlign w:val="bottom"/>
          </w:tcPr>
          <w:p>
            <w:pPr>
              <w:pStyle w:val="TableContents"/>
              <w:spacing w:before="0" w:after="283"/>
              <w:jc w:val="left"/>
              <w:rPr/>
            </w:pPr>
            <w:r>
              <w:rPr/>
              <w:t xml:space="preserve">  </w:t>
            </w:r>
          </w:p>
        </w:tc>
        <w:tc>
          <w:tcPr>
            <w:tcW w:w="332" w:type="dxa"/>
            <w:tcBorders/>
            <w:shd w:fill="CCEEFF" w:val="clear"/>
            <w:vAlign w:val="bottom"/>
          </w:tcPr>
          <w:p>
            <w:pPr>
              <w:pStyle w:val="TableContents"/>
              <w:spacing w:before="0" w:after="283"/>
              <w:rPr/>
            </w:pPr>
            <w:r>
              <w:rPr/>
              <w:t xml:space="preserve">  </w:t>
            </w:r>
          </w:p>
        </w:tc>
        <w:tc>
          <w:tcPr>
            <w:tcW w:w="252" w:type="dxa"/>
            <w:tcBorders/>
            <w:shd w:fill="CCEEFF" w:val="clear"/>
            <w:vAlign w:val="bottom"/>
          </w:tcPr>
          <w:p>
            <w:pPr>
              <w:pStyle w:val="TableContents"/>
              <w:spacing w:before="0" w:after="283"/>
              <w:jc w:val="left"/>
              <w:rPr/>
            </w:pPr>
            <w:r>
              <w:rPr/>
              <w:t xml:space="preserve">  </w:t>
            </w:r>
          </w:p>
        </w:tc>
        <w:tc>
          <w:tcPr>
            <w:tcW w:w="781" w:type="dxa"/>
            <w:tcBorders/>
            <w:shd w:fill="CCEEFF" w:val="clear"/>
            <w:vAlign w:val="bottom"/>
          </w:tcPr>
          <w:p>
            <w:pPr>
              <w:pStyle w:val="TableContents"/>
              <w:spacing w:before="0" w:after="283"/>
              <w:jc w:val="right"/>
              <w:rPr/>
            </w:pPr>
            <w:r>
              <w:rPr/>
              <w:t xml:space="preserve"> </w:t>
            </w:r>
          </w:p>
        </w:tc>
        <w:tc>
          <w:tcPr>
            <w:tcW w:w="189" w:type="dxa"/>
            <w:tcBorders/>
            <w:shd w:fill="CCEEFF" w:val="clear"/>
            <w:vAlign w:val="bottom"/>
          </w:tcPr>
          <w:p>
            <w:pPr>
              <w:pStyle w:val="TableContents"/>
              <w:spacing w:before="0" w:after="283"/>
              <w:jc w:val="left"/>
              <w:rPr/>
            </w:pPr>
            <w:r>
              <w:rPr/>
              <w:t xml:space="preserve">  </w:t>
            </w:r>
          </w:p>
        </w:tc>
      </w:tr>
      <w:tr>
        <w:trPr/>
        <w:tc>
          <w:tcPr>
            <w:tcW w:w="4419" w:type="dxa"/>
            <w:tcBorders/>
            <w:shd w:fill="FFFFFF" w:val="cle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r>
        <w:trPr/>
        <w:tc>
          <w:tcPr>
            <w:tcW w:w="4419" w:type="dxa"/>
            <w:tcBorders/>
            <w:shd w:fill="FFFFFF" w:val="clear"/>
            <w:vAlign w:val="bottom"/>
          </w:tcPr>
          <w:p>
            <w:pPr>
              <w:pStyle w:val="TableContents"/>
              <w:spacing w:before="0" w:after="0"/>
              <w:ind w:left="200" w:right="0" w:hanging="200"/>
              <w:jc w:val="left"/>
              <w:rPr>
                <w:sz w:val="17"/>
              </w:rPr>
            </w:pPr>
            <w:r>
              <w:rPr>
                <w:sz w:val="17"/>
              </w:rPr>
              <w:t xml:space="preserve">Diluted net income per limited partner unit </w:t>
            </w:r>
          </w:p>
        </w:tc>
        <w:tc>
          <w:tcPr>
            <w:tcW w:w="156"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37" w:type="dxa"/>
            <w:tcBorders/>
            <w:shd w:fill="FFFFFF" w:val="clear"/>
            <w:vAlign w:val="bottom"/>
          </w:tcPr>
          <w:p>
            <w:pPr>
              <w:pStyle w:val="TableContents"/>
              <w:spacing w:before="0" w:after="283"/>
              <w:jc w:val="right"/>
              <w:rPr/>
            </w:pPr>
            <w:r>
              <w:rPr/>
              <w:t xml:space="preserve">0.36 </w:t>
            </w:r>
          </w:p>
        </w:tc>
        <w:tc>
          <w:tcPr>
            <w:tcW w:w="208" w:type="dxa"/>
            <w:tcBorders/>
            <w:shd w:fill="FFFFFF" w:val="clear"/>
            <w:vAlign w:val="bottom"/>
          </w:tcPr>
          <w:p>
            <w:pPr>
              <w:pStyle w:val="TableContents"/>
              <w:spacing w:before="0" w:after="283"/>
              <w:jc w:val="left"/>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shd w:fill="FFFFFF" w:val="clear"/>
            <w:vAlign w:val="bottom"/>
          </w:tcPr>
          <w:p>
            <w:pPr>
              <w:pStyle w:val="TableContents"/>
              <w:spacing w:before="0" w:after="283"/>
              <w:jc w:val="left"/>
              <w:rPr/>
            </w:pPr>
            <w:r>
              <w:rPr/>
              <w:t xml:space="preserve">$ </w:t>
            </w:r>
          </w:p>
        </w:tc>
        <w:tc>
          <w:tcPr>
            <w:tcW w:w="724" w:type="dxa"/>
            <w:tcBorders/>
            <w:shd w:fill="FFFFFF" w:val="clear"/>
            <w:vAlign w:val="bottom"/>
          </w:tcPr>
          <w:p>
            <w:pPr>
              <w:pStyle w:val="TableContents"/>
              <w:spacing w:before="0" w:after="283"/>
              <w:jc w:val="right"/>
              <w:rPr/>
            </w:pPr>
            <w:r>
              <w:rPr/>
              <w:t xml:space="preserve">0.64 </w:t>
            </w:r>
          </w:p>
        </w:tc>
        <w:tc>
          <w:tcPr>
            <w:tcW w:w="176" w:type="dxa"/>
            <w:tcBorders/>
            <w:shd w:fill="FFFFFF" w:val="clear"/>
            <w:vAlign w:val="bottom"/>
          </w:tcPr>
          <w:p>
            <w:pPr>
              <w:pStyle w:val="TableContents"/>
              <w:spacing w:before="0" w:after="283"/>
              <w:jc w:val="left"/>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78" w:type="dxa"/>
            <w:tcBorders/>
            <w:shd w:fill="FFFFFF" w:val="clear"/>
            <w:vAlign w:val="bottom"/>
          </w:tcPr>
          <w:p>
            <w:pPr>
              <w:pStyle w:val="TableContents"/>
              <w:spacing w:before="0" w:after="283"/>
              <w:jc w:val="right"/>
              <w:rPr/>
            </w:pPr>
            <w:r>
              <w:rPr/>
              <w:t xml:space="preserve">2.88 </w:t>
            </w:r>
          </w:p>
        </w:tc>
        <w:tc>
          <w:tcPr>
            <w:tcW w:w="207" w:type="dxa"/>
            <w:tcBorders/>
            <w:shd w:fill="FFFFFF" w:val="clear"/>
            <w:vAlign w:val="bottom"/>
          </w:tcPr>
          <w:p>
            <w:pPr>
              <w:pStyle w:val="TableContents"/>
              <w:spacing w:before="0" w:after="283"/>
              <w:jc w:val="left"/>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shd w:fill="FFFFFF" w:val="clear"/>
            <w:vAlign w:val="bottom"/>
          </w:tcPr>
          <w:p>
            <w:pPr>
              <w:pStyle w:val="TableContents"/>
              <w:spacing w:before="0" w:after="283"/>
              <w:jc w:val="left"/>
              <w:rPr/>
            </w:pPr>
            <w:r>
              <w:rPr/>
              <w:t xml:space="preserve">$ </w:t>
            </w:r>
          </w:p>
        </w:tc>
        <w:tc>
          <w:tcPr>
            <w:tcW w:w="781" w:type="dxa"/>
            <w:tcBorders/>
            <w:shd w:fill="FFFFFF" w:val="clear"/>
            <w:vAlign w:val="bottom"/>
          </w:tcPr>
          <w:p>
            <w:pPr>
              <w:pStyle w:val="TableContents"/>
              <w:spacing w:before="0" w:after="283"/>
              <w:jc w:val="right"/>
              <w:rPr/>
            </w:pPr>
            <w:r>
              <w:rPr/>
              <w:t xml:space="preserve">2.72 </w:t>
            </w:r>
          </w:p>
        </w:tc>
        <w:tc>
          <w:tcPr>
            <w:tcW w:w="189" w:type="dxa"/>
            <w:tcBorders/>
            <w:shd w:fill="FFFFFF" w:val="clear"/>
            <w:vAlign w:val="bottom"/>
          </w:tcPr>
          <w:p>
            <w:pPr>
              <w:pStyle w:val="TableContents"/>
              <w:spacing w:before="0" w:after="283"/>
              <w:jc w:val="left"/>
              <w:rPr/>
            </w:pPr>
            <w:r>
              <w:rPr/>
              <w:t xml:space="preserve">  </w:t>
            </w:r>
          </w:p>
        </w:tc>
      </w:tr>
      <w:tr>
        <w:trPr/>
        <w:tc>
          <w:tcPr>
            <w:tcW w:w="441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3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8" w:type="dxa"/>
            <w:tcBorders/>
            <w:shd w:fill="FFFFFF" w:val="clear"/>
            <w:vAlign w:val="bottom"/>
          </w:tcPr>
          <w:p>
            <w:pPr>
              <w:pStyle w:val="TableContents"/>
              <w:spacing w:before="0" w:after="283"/>
              <w:rPr/>
            </w:pPr>
            <w:r>
              <w:rPr/>
              <w:t xml:space="preserve">  </w:t>
            </w:r>
          </w:p>
        </w:tc>
        <w:tc>
          <w:tcPr>
            <w:tcW w:w="277" w:type="dxa"/>
            <w:tcBorders/>
            <w:shd w:fill="FFFFFF" w:val="clear"/>
            <w:vAlign w:val="bottom"/>
          </w:tcPr>
          <w:p>
            <w:pPr>
              <w:pStyle w:val="TableContents"/>
              <w:spacing w:before="0" w:after="283"/>
              <w:rPr/>
            </w:pPr>
            <w:r>
              <w:rPr/>
              <w:t xml:space="preserve">  </w:t>
            </w:r>
          </w:p>
        </w:tc>
        <w:tc>
          <w:tcPr>
            <w:tcW w:w="2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2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6" w:type="dxa"/>
            <w:tcBorders/>
            <w:shd w:fill="FFFFFF" w:val="clear"/>
            <w:vAlign w:val="bottom"/>
          </w:tcPr>
          <w:p>
            <w:pPr>
              <w:pStyle w:val="TableContents"/>
              <w:spacing w:before="0" w:after="283"/>
              <w:rPr/>
            </w:pPr>
            <w:r>
              <w:rPr/>
              <w:t xml:space="preserve">  </w:t>
            </w:r>
          </w:p>
        </w:tc>
        <w:tc>
          <w:tcPr>
            <w:tcW w:w="211"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7" w:type="dxa"/>
            <w:tcBorders/>
            <w:shd w:fill="FFFFFF" w:val="clear"/>
            <w:vAlign w:val="bottom"/>
          </w:tcPr>
          <w:p>
            <w:pPr>
              <w:pStyle w:val="TableContents"/>
              <w:spacing w:before="0" w:after="283"/>
              <w:rPr/>
            </w:pPr>
            <w:r>
              <w:rPr/>
              <w:t xml:space="preserve">  </w:t>
            </w:r>
          </w:p>
        </w:tc>
        <w:tc>
          <w:tcPr>
            <w:tcW w:w="332" w:type="dxa"/>
            <w:tcBorders/>
            <w:shd w:fill="FFFFFF" w:val="clear"/>
            <w:vAlign w:val="bottom"/>
          </w:tcPr>
          <w:p>
            <w:pPr>
              <w:pStyle w:val="TableContents"/>
              <w:spacing w:before="0" w:after="283"/>
              <w:rPr/>
            </w:pPr>
            <w:r>
              <w:rPr/>
              <w:t xml:space="preserve">  </w:t>
            </w:r>
          </w:p>
        </w:tc>
        <w:tc>
          <w:tcPr>
            <w:tcW w:w="25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8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9" w:type="dxa"/>
            <w:tcBorders/>
            <w:shd w:fill="FFFFFF" w:val="clear"/>
            <w:vAlign w:val="bottom"/>
          </w:tcPr>
          <w:p>
            <w:pPr>
              <w:pStyle w:val="TableContents"/>
              <w:spacing w:before="0" w:after="283"/>
              <w:rPr/>
            </w:pPr>
            <w:r>
              <w:rPr/>
              <w:t xml:space="preserve">  </w:t>
            </w:r>
          </w:p>
        </w:tc>
      </w:tr>
    </w:tbl>
    <w:p>
      <w:pPr>
        <w:pStyle w:val="TextBody"/>
        <w:spacing w:before="60" w:after="283"/>
        <w:rPr/>
      </w:pPr>
      <w:r>
        <w:rPr/>
        <w:t> </w:t>
      </w:r>
    </w:p>
    <w:p>
      <w:pPr>
        <w:pStyle w:val="TextBody"/>
        <w:spacing w:before="120" w:after="283"/>
        <w:rPr/>
      </w:pPr>
      <w:r>
        <w:rPr/>
        <w:t> </w:t>
      </w:r>
    </w:p>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lef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Reflects pro forma full distribution of earnings under EITF 03-06. The application of EITF 03-06 negatively impacted basic and diluted earnings per limited partner unit by approximately $0.13 and $0.10 for the year ended December 31, 2006 and 2005, respectively.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 xml:space="preserve">FINANCIAL SUMMARY </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u w:val="single"/>
        </w:rPr>
        <w:t>FINANCIAL DATA RECONCILIATIONS</w:t>
        <w:br/>
      </w:r>
      <w:r>
        <w:rPr>
          <w:rFonts w:ascii="Times New Roman;Times" w:hAnsi="Times New Roman;Times"/>
          <w:color w:val="000000"/>
          <w:sz w:val="17"/>
          <w:highlight w:val="white"/>
        </w:rPr>
        <w:t xml:space="preserve">(in millions, except per unit data) </w:t>
      </w:r>
    </w:p>
    <w:tbl>
      <w:tblPr>
        <w:tblW w:w="5000" w:type="pct"/>
        <w:jc w:val="center"/>
        <w:tblInd w:w="0" w:type="dxa"/>
        <w:shd w:fill="FFFFFF" w:val="clear"/>
        <w:tblCellMar>
          <w:top w:w="0" w:type="dxa"/>
          <w:left w:w="0" w:type="dxa"/>
          <w:bottom w:w="0" w:type="dxa"/>
          <w:right w:w="0" w:type="dxa"/>
        </w:tblCellMar>
      </w:tblPr>
      <w:tblGrid>
        <w:gridCol w:w="4489"/>
        <w:gridCol w:w="154"/>
        <w:gridCol w:w="232"/>
        <w:gridCol w:w="836"/>
        <w:gridCol w:w="191"/>
        <w:gridCol w:w="215"/>
        <w:gridCol w:w="232"/>
        <w:gridCol w:w="717"/>
        <w:gridCol w:w="174"/>
        <w:gridCol w:w="209"/>
        <w:gridCol w:w="233"/>
        <w:gridCol w:w="845"/>
        <w:gridCol w:w="194"/>
        <w:gridCol w:w="216"/>
        <w:gridCol w:w="234"/>
        <w:gridCol w:w="848"/>
        <w:gridCol w:w="186"/>
      </w:tblGrid>
      <w:tr>
        <w:trPr/>
        <w:tc>
          <w:tcPr>
            <w:tcW w:w="4489" w:type="dxa"/>
            <w:tcBorders/>
            <w:shd w:fill="FFFFFF" w:val="clear"/>
            <w:vAlign w:val="bottom"/>
          </w:tcPr>
          <w:p>
            <w:pPr>
              <w:pStyle w:val="TableContents"/>
              <w:spacing w:before="0" w:after="283"/>
              <w:rPr/>
            </w:pPr>
            <w:r>
              <w:rPr/>
              <w:t> </w:t>
            </w:r>
          </w:p>
        </w:tc>
        <w:tc>
          <w:tcPr>
            <w:tcW w:w="154"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836" w:type="dxa"/>
            <w:tcBorders/>
            <w:shd w:fill="FFFFFF" w:val="clear"/>
            <w:vAlign w:val="bottom"/>
          </w:tcPr>
          <w:p>
            <w:pPr>
              <w:pStyle w:val="TableContents"/>
              <w:spacing w:before="0" w:after="283"/>
              <w:jc w:val="right"/>
              <w:rPr/>
            </w:pPr>
            <w:r>
              <w:rPr/>
              <w:t> </w:t>
            </w:r>
          </w:p>
        </w:tc>
        <w:tc>
          <w:tcPr>
            <w:tcW w:w="191" w:type="dxa"/>
            <w:tcBorders/>
            <w:shd w:fill="FFFFFF" w:val="clear"/>
            <w:vAlign w:val="bottom"/>
          </w:tcPr>
          <w:p>
            <w:pPr>
              <w:pStyle w:val="TableContents"/>
              <w:spacing w:before="0" w:after="283"/>
              <w:jc w:val="left"/>
              <w:rPr/>
            </w:pPr>
            <w:r>
              <w:rPr/>
              <w:t> </w:t>
            </w:r>
          </w:p>
        </w:tc>
        <w:tc>
          <w:tcPr>
            <w:tcW w:w="215" w:type="dxa"/>
            <w:tcBorders/>
            <w:shd w:fill="FFFFFF" w:val="clear"/>
            <w:vAlign w:val="bottom"/>
          </w:tcPr>
          <w:p>
            <w:pPr>
              <w:pStyle w:val="TableContents"/>
              <w:spacing w:before="0" w:after="283"/>
              <w:rPr/>
            </w:pPr>
            <w:r>
              <w:rPr/>
              <w:t> </w:t>
            </w:r>
          </w:p>
        </w:tc>
        <w:tc>
          <w:tcPr>
            <w:tcW w:w="232" w:type="dxa"/>
            <w:tcBorders/>
            <w:shd w:fill="FFFFFF" w:val="clear"/>
            <w:vAlign w:val="bottom"/>
          </w:tcPr>
          <w:p>
            <w:pPr>
              <w:pStyle w:val="TableContents"/>
              <w:spacing w:before="0" w:after="283"/>
              <w:jc w:val="right"/>
              <w:rPr/>
            </w:pPr>
            <w:r>
              <w:rPr/>
              <w:t> </w:t>
            </w:r>
          </w:p>
        </w:tc>
        <w:tc>
          <w:tcPr>
            <w:tcW w:w="717" w:type="dxa"/>
            <w:tcBorders/>
            <w:shd w:fill="FFFFFF" w:val="clear"/>
            <w:vAlign w:val="bottom"/>
          </w:tcPr>
          <w:p>
            <w:pPr>
              <w:pStyle w:val="TableContents"/>
              <w:spacing w:before="0" w:after="283"/>
              <w:jc w:val="right"/>
              <w:rPr/>
            </w:pPr>
            <w:r>
              <w:rPr/>
              <w:t> </w:t>
            </w:r>
          </w:p>
        </w:tc>
        <w:tc>
          <w:tcPr>
            <w:tcW w:w="174" w:type="dxa"/>
            <w:tcBorders/>
            <w:shd w:fill="FFFFFF" w:val="clear"/>
            <w:vAlign w:val="bottom"/>
          </w:tcPr>
          <w:p>
            <w:pPr>
              <w:pStyle w:val="TableContents"/>
              <w:spacing w:before="0" w:after="283"/>
              <w:jc w:val="left"/>
              <w:rPr/>
            </w:pPr>
            <w:r>
              <w:rPr/>
              <w:t> </w:t>
            </w:r>
          </w:p>
        </w:tc>
        <w:tc>
          <w:tcPr>
            <w:tcW w:w="209"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right"/>
              <w:rPr/>
            </w:pPr>
            <w:r>
              <w:rPr/>
              <w:t> </w:t>
            </w:r>
          </w:p>
        </w:tc>
        <w:tc>
          <w:tcPr>
            <w:tcW w:w="845" w:type="dxa"/>
            <w:tcBorders/>
            <w:shd w:fill="FFFFFF" w:val="clear"/>
            <w:vAlign w:val="bottom"/>
          </w:tcPr>
          <w:p>
            <w:pPr>
              <w:pStyle w:val="TableContents"/>
              <w:spacing w:before="0" w:after="283"/>
              <w:jc w:val="right"/>
              <w:rPr/>
            </w:pPr>
            <w:r>
              <w:rPr/>
              <w:t> </w:t>
            </w:r>
          </w:p>
        </w:tc>
        <w:tc>
          <w:tcPr>
            <w:tcW w:w="194"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rPr/>
            </w:pPr>
            <w:r>
              <w:rPr/>
              <w:t> </w:t>
            </w:r>
          </w:p>
        </w:tc>
        <w:tc>
          <w:tcPr>
            <w:tcW w:w="234" w:type="dxa"/>
            <w:tcBorders/>
            <w:shd w:fill="FFFFFF" w:val="clear"/>
            <w:vAlign w:val="bottom"/>
          </w:tcPr>
          <w:p>
            <w:pPr>
              <w:pStyle w:val="TableContents"/>
              <w:spacing w:before="0" w:after="283"/>
              <w:jc w:val="right"/>
              <w:rPr/>
            </w:pPr>
            <w:r>
              <w:rPr/>
              <w:t> </w:t>
            </w:r>
          </w:p>
        </w:tc>
        <w:tc>
          <w:tcPr>
            <w:tcW w:w="848" w:type="dxa"/>
            <w:tcBorders/>
            <w:shd w:fill="FFFFFF" w:val="clear"/>
            <w:vAlign w:val="bottom"/>
          </w:tcPr>
          <w:p>
            <w:pPr>
              <w:pStyle w:val="TableContents"/>
              <w:spacing w:before="0" w:after="283"/>
              <w:jc w:val="right"/>
              <w:rPr/>
            </w:pPr>
            <w:r>
              <w:rPr/>
              <w:t> </w:t>
            </w:r>
          </w:p>
        </w:tc>
        <w:tc>
          <w:tcPr>
            <w:tcW w:w="186" w:type="dxa"/>
            <w:tcBorders/>
            <w:shd w:fill="FFFFFF" w:val="clear"/>
            <w:vAlign w:val="bottom"/>
          </w:tcPr>
          <w:p>
            <w:pPr>
              <w:pStyle w:val="TableContents"/>
              <w:spacing w:before="0" w:after="283"/>
              <w:jc w:val="left"/>
              <w:rPr/>
            </w:pPr>
            <w:r>
              <w:rPr/>
              <w:t> </w:t>
            </w:r>
          </w:p>
        </w:tc>
      </w:tr>
      <w:tr>
        <w:trPr/>
        <w:tc>
          <w:tcPr>
            <w:tcW w:w="4489" w:type="dxa"/>
            <w:tcBorders/>
            <w:shd w:fill="FFFFFF" w:val="clear"/>
            <w:vAlign w:val="bottom"/>
          </w:tcPr>
          <w:p>
            <w:pPr>
              <w:pStyle w:val="TableContents"/>
              <w:spacing w:before="0" w:after="283"/>
              <w:jc w:val="center"/>
              <w:rPr/>
            </w:pPr>
            <w:r>
              <w:rPr/>
              <w:t xml:space="preserve">  </w:t>
            </w:r>
          </w:p>
        </w:tc>
        <w:tc>
          <w:tcPr>
            <w:tcW w:w="154" w:type="dxa"/>
            <w:tcBorders/>
            <w:shd w:fill="FFFFFF" w:val="clear"/>
            <w:vAlign w:val="bottom"/>
          </w:tcPr>
          <w:p>
            <w:pPr>
              <w:pStyle w:val="TableContents"/>
              <w:spacing w:before="0" w:after="283"/>
              <w:jc w:val="center"/>
              <w:rPr/>
            </w:pPr>
            <w:r>
              <w:rPr/>
              <w:t xml:space="preserve">  </w:t>
            </w:r>
          </w:p>
        </w:tc>
        <w:tc>
          <w:tcPr>
            <w:tcW w:w="2423" w:type="dxa"/>
            <w:gridSpan w:val="6"/>
            <w:tcBorders/>
            <w:shd w:fill="FFFFFF" w:val="clear"/>
            <w:vAlign w:val="bottom"/>
          </w:tcPr>
          <w:p>
            <w:pPr>
              <w:pStyle w:val="TableContents"/>
              <w:spacing w:before="0" w:after="283"/>
              <w:jc w:val="center"/>
              <w:rPr>
                <w:b/>
              </w:rPr>
            </w:pPr>
            <w:r>
              <w:rPr>
                <w:b/>
              </w:rPr>
              <w:t>Three Months Ended</w:t>
            </w:r>
          </w:p>
        </w:tc>
        <w:tc>
          <w:tcPr>
            <w:tcW w:w="174"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2570" w:type="dxa"/>
            <w:gridSpan w:val="6"/>
            <w:tcBorders/>
            <w:shd w:fill="FFFFFF" w:val="clear"/>
            <w:vAlign w:val="bottom"/>
          </w:tcPr>
          <w:p>
            <w:pPr>
              <w:pStyle w:val="TableContents"/>
              <w:spacing w:before="0" w:after="283"/>
              <w:jc w:val="center"/>
              <w:rPr>
                <w:b/>
              </w:rPr>
            </w:pPr>
            <w:r>
              <w:rPr>
                <w:b/>
              </w:rPr>
              <w:t>Twelve Months Ended</w:t>
            </w:r>
          </w:p>
        </w:tc>
        <w:tc>
          <w:tcPr>
            <w:tcW w:w="186" w:type="dxa"/>
            <w:tcBorders/>
            <w:shd w:fill="FFFFFF" w:val="clear"/>
            <w:vAlign w:val="bottom"/>
          </w:tcPr>
          <w:p>
            <w:pPr>
              <w:pStyle w:val="TableContents"/>
              <w:spacing w:before="0" w:after="283"/>
              <w:jc w:val="center"/>
              <w:rPr/>
            </w:pPr>
            <w:r>
              <w:rPr/>
              <w:t xml:space="preserve">  </w:t>
            </w:r>
          </w:p>
        </w:tc>
      </w:tr>
      <w:tr>
        <w:trPr/>
        <w:tc>
          <w:tcPr>
            <w:tcW w:w="4489" w:type="dxa"/>
            <w:tcBorders/>
            <w:shd w:fill="FFFFFF" w:val="clear"/>
            <w:vAlign w:val="bottom"/>
          </w:tcPr>
          <w:p>
            <w:pPr>
              <w:pStyle w:val="TableContents"/>
              <w:spacing w:before="0" w:after="283"/>
              <w:jc w:val="center"/>
              <w:rPr/>
            </w:pPr>
            <w:r>
              <w:rPr/>
              <w:t xml:space="preserve">  </w:t>
            </w:r>
          </w:p>
        </w:tc>
        <w:tc>
          <w:tcPr>
            <w:tcW w:w="154" w:type="dxa"/>
            <w:tcBorders/>
            <w:shd w:fill="FFFFFF" w:val="clear"/>
            <w:vAlign w:val="bottom"/>
          </w:tcPr>
          <w:p>
            <w:pPr>
              <w:pStyle w:val="TableContents"/>
              <w:spacing w:before="0" w:after="283"/>
              <w:jc w:val="center"/>
              <w:rPr/>
            </w:pPr>
            <w:r>
              <w:rPr/>
              <w:t xml:space="preserve">  </w:t>
            </w:r>
          </w:p>
        </w:tc>
        <w:tc>
          <w:tcPr>
            <w:tcW w:w="2423"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2570"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489" w:type="dxa"/>
            <w:tcBorders/>
            <w:shd w:fill="FFFFFF" w:val="clear"/>
            <w:vAlign w:val="bottom"/>
          </w:tcPr>
          <w:p>
            <w:pPr>
              <w:pStyle w:val="TableContents"/>
              <w:spacing w:before="0" w:after="283"/>
              <w:jc w:val="left"/>
              <w:rPr/>
            </w:pPr>
            <w:r>
              <w:rPr/>
              <w:t xml:space="preserve">  </w:t>
            </w:r>
          </w:p>
        </w:tc>
        <w:tc>
          <w:tcPr>
            <w:tcW w:w="154" w:type="dxa"/>
            <w:tcBorders/>
            <w:shd w:fill="FFFFFF" w:val="clear"/>
            <w:vAlign w:val="bottom"/>
          </w:tcPr>
          <w:p>
            <w:pPr>
              <w:pStyle w:val="TableContents"/>
              <w:spacing w:before="0" w:after="283"/>
              <w:jc w:val="center"/>
              <w:rPr/>
            </w:pPr>
            <w:r>
              <w:rPr/>
              <w:t xml:space="preserve">  </w:t>
            </w:r>
          </w:p>
        </w:tc>
        <w:tc>
          <w:tcPr>
            <w:tcW w:w="106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1" w:type="dxa"/>
            <w:tcBorders/>
            <w:shd w:fill="FFFFFF" w:val="clear"/>
            <w:vAlign w:val="bottom"/>
          </w:tcPr>
          <w:p>
            <w:pPr>
              <w:pStyle w:val="TableContents"/>
              <w:spacing w:before="0" w:after="283"/>
              <w:jc w:val="center"/>
              <w:rPr/>
            </w:pPr>
            <w:r>
              <w:rPr/>
              <w:t xml:space="preserve">  </w:t>
            </w:r>
          </w:p>
        </w:tc>
        <w:tc>
          <w:tcPr>
            <w:tcW w:w="215" w:type="dxa"/>
            <w:tcBorders/>
            <w:shd w:fill="FFFFFF" w:val="clear"/>
            <w:vAlign w:val="bottom"/>
          </w:tcPr>
          <w:p>
            <w:pPr>
              <w:pStyle w:val="TableContents"/>
              <w:spacing w:before="0" w:after="283"/>
              <w:jc w:val="center"/>
              <w:rPr/>
            </w:pPr>
            <w:r>
              <w:rPr/>
              <w:t xml:space="preserve">  </w:t>
            </w:r>
          </w:p>
        </w:tc>
        <w:tc>
          <w:tcPr>
            <w:tcW w:w="94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4" w:type="dxa"/>
            <w:tcBorders/>
            <w:shd w:fill="FFFFFF" w:val="clear"/>
            <w:vAlign w:val="bottom"/>
          </w:tcPr>
          <w:p>
            <w:pPr>
              <w:pStyle w:val="TableContents"/>
              <w:spacing w:before="0" w:after="283"/>
              <w:jc w:val="center"/>
              <w:rPr/>
            </w:pPr>
            <w:r>
              <w:rPr/>
              <w:t xml:space="preserve">  </w:t>
            </w:r>
          </w:p>
        </w:tc>
        <w:tc>
          <w:tcPr>
            <w:tcW w:w="209" w:type="dxa"/>
            <w:tcBorders/>
            <w:shd w:fill="FFFFFF" w:val="clear"/>
            <w:vAlign w:val="bottom"/>
          </w:tcPr>
          <w:p>
            <w:pPr>
              <w:pStyle w:val="TableContents"/>
              <w:spacing w:before="0" w:after="283"/>
              <w:jc w:val="center"/>
              <w:rPr/>
            </w:pPr>
            <w:r>
              <w:rPr/>
              <w:t xml:space="preserve">  </w:t>
            </w:r>
          </w:p>
        </w:tc>
        <w:tc>
          <w:tcPr>
            <w:tcW w:w="107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4" w:type="dxa"/>
            <w:tcBorders/>
            <w:shd w:fill="FFFFFF" w:val="clear"/>
            <w:vAlign w:val="bottom"/>
          </w:tcPr>
          <w:p>
            <w:pPr>
              <w:pStyle w:val="TableContents"/>
              <w:spacing w:before="0" w:after="283"/>
              <w:jc w:val="center"/>
              <w:rPr/>
            </w:pPr>
            <w:r>
              <w:rPr/>
              <w:t xml:space="preserve">  </w:t>
            </w:r>
          </w:p>
        </w:tc>
        <w:tc>
          <w:tcPr>
            <w:tcW w:w="216" w:type="dxa"/>
            <w:tcBorders/>
            <w:shd w:fill="FFFFFF" w:val="clear"/>
            <w:vAlign w:val="bottom"/>
          </w:tcPr>
          <w:p>
            <w:pPr>
              <w:pStyle w:val="TableContents"/>
              <w:spacing w:before="0" w:after="283"/>
              <w:jc w:val="center"/>
              <w:rPr/>
            </w:pPr>
            <w:r>
              <w:rPr/>
              <w:t xml:space="preserve">  </w:t>
            </w:r>
          </w:p>
        </w:tc>
        <w:tc>
          <w:tcPr>
            <w:tcW w:w="108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6" w:type="dxa"/>
            <w:tcBorders/>
            <w:shd w:fill="FFFFFF" w:val="clear"/>
            <w:vAlign w:val="bottom"/>
          </w:tcPr>
          <w:p>
            <w:pPr>
              <w:pStyle w:val="TableContents"/>
              <w:spacing w:before="0" w:after="283"/>
              <w:jc w:val="center"/>
              <w:rPr/>
            </w:pPr>
            <w:r>
              <w:rPr/>
              <w:t xml:space="preserve">  </w:t>
            </w:r>
          </w:p>
        </w:tc>
      </w:tr>
      <w:tr>
        <w:trPr/>
        <w:tc>
          <w:tcPr>
            <w:tcW w:w="4489" w:type="dxa"/>
            <w:tcBorders/>
            <w:shd w:fill="FFFFFF" w:val="clear"/>
            <w:vAlign w:val="center"/>
          </w:tcPr>
          <w:p>
            <w:pPr>
              <w:pStyle w:val="TableContents"/>
              <w:spacing w:before="0" w:after="283"/>
              <w:rPr/>
            </w:pPr>
            <w:r>
              <w:rPr/>
              <w:t xml:space="preserve">  </w:t>
            </w:r>
          </w:p>
        </w:tc>
        <w:tc>
          <w:tcPr>
            <w:tcW w:w="5716" w:type="dxa"/>
            <w:gridSpan w:val="16"/>
            <w:tcBorders/>
            <w:shd w:fill="FFFFFF" w:val="clear"/>
          </w:tcPr>
          <w:p>
            <w:pPr>
              <w:pStyle w:val="TableContents"/>
              <w:spacing w:before="0" w:after="283"/>
              <w:rPr>
                <w:sz w:val="4"/>
                <w:szCs w:val="4"/>
              </w:rPr>
            </w:pPr>
            <w:r>
              <w:rPr>
                <w:sz w:val="4"/>
                <w:szCs w:val="4"/>
              </w:rPr>
            </w:r>
          </w:p>
        </w:tc>
      </w:tr>
      <w:tr>
        <w:trPr/>
        <w:tc>
          <w:tcPr>
            <w:tcW w:w="4489" w:type="dxa"/>
            <w:tcBorders/>
            <w:shd w:fill="CCEEFF" w:val="clear"/>
            <w:vAlign w:val="bottom"/>
          </w:tcPr>
          <w:p>
            <w:pPr>
              <w:pStyle w:val="TableContents"/>
              <w:spacing w:before="0" w:after="0"/>
              <w:ind w:left="200" w:right="0" w:hanging="200"/>
              <w:jc w:val="left"/>
              <w:rPr/>
            </w:pPr>
            <w:r>
              <w:rPr>
                <w:b/>
                <w:sz w:val="17"/>
              </w:rPr>
              <w:t>Earnings before interest, taxes, depreciation and amortization (EBITDA)</w:t>
            </w:r>
            <w:r>
              <w:rPr/>
              <w:t xml:space="preserv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pPr>
            <w:r>
              <w:rPr>
                <w:b/>
                <w:sz w:val="17"/>
              </w:rPr>
              <w:t>Net income reconciliation</w:t>
            </w: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EBITDA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111.5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94.1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470.2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360.7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(33.3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(25.4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(100.4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(83.5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Earnings before interest and taxes (EBIT)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78.2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68.7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369.8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277.2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Interest expense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(33.1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(15.0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(85.6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(59.4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(0.3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(0.3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Interest income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1.2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1.2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Net income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46.0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53.7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285.1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217.8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489" w:type="dxa"/>
            <w:tcBorders/>
            <w:shd w:fill="FFFFFF" w:val="clear"/>
            <w:vAlign w:val="bottom"/>
          </w:tcPr>
          <w:p>
            <w:pPr>
              <w:pStyle w:val="TableContents"/>
              <w:spacing w:before="0" w:after="0"/>
              <w:ind w:left="200" w:right="0" w:hanging="200"/>
              <w:jc w:val="left"/>
              <w:rPr/>
            </w:pPr>
            <w:r>
              <w:rPr>
                <w:b/>
                <w:sz w:val="17"/>
              </w:rPr>
              <w:t>Cash flows from operating activities reconciliation</w:t>
            </w: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EBITDA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111.5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94.1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470.2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360.7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Interest expense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(33.1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(15.0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(85.6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(59.4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Income Tax Expense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(0.3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(0.3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Interest income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1.2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1.2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Net change in assets and liabilities, net of acquisitions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(203.6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386.5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(703.0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(323.2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200" w:right="0" w:hanging="200"/>
              <w:jc w:val="left"/>
              <w:rPr>
                <w:sz w:val="17"/>
              </w:rPr>
            </w:pPr>
            <w:r>
              <w:rPr>
                <w:sz w:val="17"/>
              </w:rPr>
              <w:t xml:space="preserve">Other items to reconcile to cash flows from operating activities: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400" w:right="0" w:hanging="200"/>
              <w:jc w:val="left"/>
              <w:rPr>
                <w:sz w:val="17"/>
              </w:rPr>
            </w:pPr>
            <w:r>
              <w:rPr>
                <w:sz w:val="17"/>
              </w:rPr>
              <w:t xml:space="preserve">Cumulative effect of change in accounting principle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(6.3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400" w:right="0" w:hanging="200"/>
              <w:jc w:val="left"/>
              <w:rPr>
                <w:sz w:val="17"/>
              </w:rPr>
            </w:pPr>
            <w:r>
              <w:rPr>
                <w:sz w:val="17"/>
              </w:rPr>
              <w:t xml:space="preserve">Equity earnings in unconsolidated entities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(4.5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(1.3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(7.7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(1.8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400" w:right="0" w:hanging="200"/>
              <w:jc w:val="left"/>
              <w:rPr>
                <w:sz w:val="17"/>
              </w:rPr>
            </w:pPr>
            <w:r>
              <w:rPr>
                <w:sz w:val="17"/>
              </w:rPr>
              <w:t xml:space="preserve">Net cash paid for terminated interest rate hedging instruments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(2.4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(2.4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(0.9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400" w:right="0" w:hanging="200"/>
              <w:jc w:val="left"/>
              <w:rPr>
                <w:sz w:val="17"/>
              </w:rPr>
            </w:pPr>
            <w:r>
              <w:rPr>
                <w:sz w:val="17"/>
              </w:rPr>
              <w:t xml:space="preserve">Loss on foreign currency revaluation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2.0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0.7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4.1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2.1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400" w:right="0" w:hanging="200"/>
              <w:jc w:val="left"/>
              <w:rPr>
                <w:sz w:val="17"/>
              </w:rPr>
            </w:pPr>
            <w:r>
              <w:rPr>
                <w:sz w:val="17"/>
              </w:rPr>
              <w:t xml:space="preserve">Inventory valuation adjustment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0.7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5.9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19.2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(1.1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4.4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18.9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CCEEFF" w:val="clear"/>
            <w:vAlign w:val="bottom"/>
          </w:tcPr>
          <w:p>
            <w:pPr>
              <w:pStyle w:val="TableContents"/>
              <w:spacing w:before="0" w:after="0"/>
              <w:ind w:left="400" w:right="0" w:hanging="200"/>
              <w:jc w:val="left"/>
              <w:rPr>
                <w:sz w:val="17"/>
              </w:rPr>
            </w:pPr>
            <w:r>
              <w:rPr>
                <w:sz w:val="17"/>
              </w:rPr>
              <w:t xml:space="preserve">LTIP charge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15.6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9.3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42.7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26.1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0"/>
              <w:ind w:left="400" w:right="0" w:hanging="200"/>
              <w:jc w:val="left"/>
              <w:rPr>
                <w:sz w:val="17"/>
              </w:rPr>
            </w:pPr>
            <w:r>
              <w:rPr>
                <w:sz w:val="17"/>
              </w:rPr>
              <w:t xml:space="preserve">Non-cash amortization of terminated interest rate hedging instruments </w:t>
            </w:r>
          </w:p>
        </w:tc>
        <w:tc>
          <w:tcPr>
            <w:tcW w:w="154"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836" w:type="dxa"/>
            <w:tcBorders/>
            <w:shd w:fill="FFFFFF" w:val="clear"/>
            <w:vAlign w:val="bottom"/>
          </w:tcPr>
          <w:p>
            <w:pPr>
              <w:pStyle w:val="TableContents"/>
              <w:spacing w:before="0" w:after="283"/>
              <w:jc w:val="right"/>
              <w:rPr/>
            </w:pPr>
            <w:r>
              <w:rPr/>
              <w:t xml:space="preserve">0.3 </w:t>
            </w:r>
          </w:p>
        </w:tc>
        <w:tc>
          <w:tcPr>
            <w:tcW w:w="191" w:type="dxa"/>
            <w:tcBorders/>
            <w:shd w:fill="FFFFFF" w:val="clear"/>
            <w:vAlign w:val="bottom"/>
          </w:tcPr>
          <w:p>
            <w:pPr>
              <w:pStyle w:val="TableContents"/>
              <w:spacing w:before="0" w:after="283"/>
              <w:jc w:val="left"/>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shd w:fill="FFFFFF" w:val="clear"/>
            <w:vAlign w:val="bottom"/>
          </w:tcPr>
          <w:p>
            <w:pPr>
              <w:pStyle w:val="TableContents"/>
              <w:spacing w:before="0" w:after="283"/>
              <w:jc w:val="left"/>
              <w:rPr/>
            </w:pPr>
            <w:r>
              <w:rPr/>
              <w:t xml:space="preserve">  </w:t>
            </w:r>
          </w:p>
        </w:tc>
        <w:tc>
          <w:tcPr>
            <w:tcW w:w="717" w:type="dxa"/>
            <w:tcBorders/>
            <w:shd w:fill="FFFFFF" w:val="clear"/>
            <w:vAlign w:val="bottom"/>
          </w:tcPr>
          <w:p>
            <w:pPr>
              <w:pStyle w:val="TableContents"/>
              <w:spacing w:before="0" w:after="283"/>
              <w:jc w:val="right"/>
              <w:rPr/>
            </w:pPr>
            <w:r>
              <w:rPr/>
              <w:t xml:space="preserve">0.4 </w:t>
            </w:r>
          </w:p>
        </w:tc>
        <w:tc>
          <w:tcPr>
            <w:tcW w:w="174" w:type="dxa"/>
            <w:tcBorders/>
            <w:shd w:fill="FFFFFF" w:val="clear"/>
            <w:vAlign w:val="bottom"/>
          </w:tcPr>
          <w:p>
            <w:pPr>
              <w:pStyle w:val="TableContents"/>
              <w:spacing w:before="0" w:after="283"/>
              <w:jc w:val="left"/>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shd w:fill="FFFFFF" w:val="clear"/>
            <w:vAlign w:val="bottom"/>
          </w:tcPr>
          <w:p>
            <w:pPr>
              <w:pStyle w:val="TableContents"/>
              <w:spacing w:before="0" w:after="283"/>
              <w:jc w:val="left"/>
              <w:rPr/>
            </w:pPr>
            <w:r>
              <w:rPr/>
              <w:t xml:space="preserve">  </w:t>
            </w:r>
          </w:p>
        </w:tc>
        <w:tc>
          <w:tcPr>
            <w:tcW w:w="845" w:type="dxa"/>
            <w:tcBorders/>
            <w:shd w:fill="FFFFFF" w:val="clear"/>
            <w:vAlign w:val="bottom"/>
          </w:tcPr>
          <w:p>
            <w:pPr>
              <w:pStyle w:val="TableContents"/>
              <w:spacing w:before="0" w:after="283"/>
              <w:jc w:val="right"/>
              <w:rPr/>
            </w:pPr>
            <w:r>
              <w:rPr/>
              <w:t xml:space="preserve">1.5 </w:t>
            </w:r>
          </w:p>
        </w:tc>
        <w:tc>
          <w:tcPr>
            <w:tcW w:w="194"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shd w:fill="FFFFFF" w:val="clear"/>
            <w:vAlign w:val="bottom"/>
          </w:tcPr>
          <w:p>
            <w:pPr>
              <w:pStyle w:val="TableContents"/>
              <w:spacing w:before="0" w:after="283"/>
              <w:jc w:val="left"/>
              <w:rPr/>
            </w:pPr>
            <w:r>
              <w:rPr/>
              <w:t xml:space="preserve">  </w:t>
            </w:r>
          </w:p>
        </w:tc>
        <w:tc>
          <w:tcPr>
            <w:tcW w:w="848" w:type="dxa"/>
            <w:tcBorders/>
            <w:shd w:fill="FFFFFF" w:val="clear"/>
            <w:vAlign w:val="bottom"/>
          </w:tcPr>
          <w:p>
            <w:pPr>
              <w:pStyle w:val="TableContents"/>
              <w:spacing w:before="0" w:after="283"/>
              <w:jc w:val="right"/>
              <w:rPr/>
            </w:pPr>
            <w:r>
              <w:rPr/>
              <w:t xml:space="preserve">1.6 </w:t>
            </w:r>
          </w:p>
        </w:tc>
        <w:tc>
          <w:tcPr>
            <w:tcW w:w="186" w:type="dxa"/>
            <w:tcBorders/>
            <w:shd w:fill="FFFF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3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4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r>
        <w:trPr/>
        <w:tc>
          <w:tcPr>
            <w:tcW w:w="4489" w:type="dxa"/>
            <w:tcBorders/>
            <w:shd w:fill="CCEEFF" w:val="clear"/>
            <w:vAlign w:val="bottom"/>
          </w:tcPr>
          <w:p>
            <w:pPr>
              <w:pStyle w:val="TableContents"/>
              <w:spacing w:before="0" w:after="0"/>
              <w:ind w:left="200" w:right="0" w:hanging="200"/>
              <w:jc w:val="left"/>
              <w:rPr>
                <w:sz w:val="17"/>
              </w:rPr>
            </w:pPr>
            <w:r>
              <w:rPr>
                <w:sz w:val="17"/>
              </w:rPr>
              <w:t xml:space="preserve">Net cash provided by (used in) operating activities </w:t>
            </w:r>
          </w:p>
        </w:tc>
        <w:tc>
          <w:tcPr>
            <w:tcW w:w="154"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836" w:type="dxa"/>
            <w:tcBorders/>
            <w:shd w:fill="CCEEFF" w:val="clear"/>
            <w:vAlign w:val="bottom"/>
          </w:tcPr>
          <w:p>
            <w:pPr>
              <w:pStyle w:val="TableContents"/>
              <w:spacing w:before="0" w:after="283"/>
              <w:jc w:val="right"/>
              <w:rPr/>
            </w:pPr>
            <w:r>
              <w:rPr/>
              <w:t xml:space="preserve">(93.4 </w:t>
            </w:r>
          </w:p>
        </w:tc>
        <w:tc>
          <w:tcPr>
            <w:tcW w:w="191" w:type="dxa"/>
            <w:tcBorders/>
            <w:shd w:fill="CCEEFF" w:val="clear"/>
            <w:vAlign w:val="bottom"/>
          </w:tcPr>
          <w:p>
            <w:pPr>
              <w:pStyle w:val="TableContents"/>
              <w:spacing w:before="0" w:after="283"/>
              <w:jc w:val="left"/>
              <w:rPr/>
            </w:pPr>
            <w:r>
              <w:rPr/>
              <w:t xml:space="preserve">) </w:t>
            </w:r>
          </w:p>
        </w:tc>
        <w:tc>
          <w:tcPr>
            <w:tcW w:w="215" w:type="dxa"/>
            <w:tcBorders/>
            <w:shd w:fill="CCEEFF" w:val="clear"/>
            <w:vAlign w:val="bottom"/>
          </w:tcPr>
          <w:p>
            <w:pPr>
              <w:pStyle w:val="TableContents"/>
              <w:spacing w:before="0" w:after="283"/>
              <w:rPr/>
            </w:pPr>
            <w:r>
              <w:rPr/>
              <w:t xml:space="preserve">  </w:t>
            </w:r>
          </w:p>
        </w:tc>
        <w:tc>
          <w:tcPr>
            <w:tcW w:w="232" w:type="dxa"/>
            <w:tcBorders/>
            <w:shd w:fill="CCEEFF" w:val="clear"/>
            <w:vAlign w:val="bottom"/>
          </w:tcPr>
          <w:p>
            <w:pPr>
              <w:pStyle w:val="TableContents"/>
              <w:spacing w:before="0" w:after="283"/>
              <w:jc w:val="left"/>
              <w:rPr/>
            </w:pPr>
            <w:r>
              <w:rPr/>
              <w:t xml:space="preserve">$ </w:t>
            </w:r>
          </w:p>
        </w:tc>
        <w:tc>
          <w:tcPr>
            <w:tcW w:w="717" w:type="dxa"/>
            <w:tcBorders/>
            <w:shd w:fill="CCEEFF" w:val="clear"/>
            <w:vAlign w:val="bottom"/>
          </w:tcPr>
          <w:p>
            <w:pPr>
              <w:pStyle w:val="TableContents"/>
              <w:spacing w:before="0" w:after="283"/>
              <w:jc w:val="right"/>
              <w:rPr/>
            </w:pPr>
            <w:r>
              <w:rPr/>
              <w:t xml:space="preserve">473.6 </w:t>
            </w:r>
          </w:p>
        </w:tc>
        <w:tc>
          <w:tcPr>
            <w:tcW w:w="174" w:type="dxa"/>
            <w:tcBorders/>
            <w:shd w:fill="CCEEFF" w:val="clear"/>
            <w:vAlign w:val="bottom"/>
          </w:tcPr>
          <w:p>
            <w:pPr>
              <w:pStyle w:val="TableContents"/>
              <w:spacing w:before="0" w:after="283"/>
              <w:jc w:val="left"/>
              <w:rPr/>
            </w:pPr>
            <w:r>
              <w:rPr/>
              <w:t xml:space="preserve">  </w:t>
            </w:r>
          </w:p>
        </w:tc>
        <w:tc>
          <w:tcPr>
            <w:tcW w:w="209" w:type="dxa"/>
            <w:tcBorders/>
            <w:shd w:fill="CCEEFF" w:val="clear"/>
            <w:vAlign w:val="bottom"/>
          </w:tcPr>
          <w:p>
            <w:pPr>
              <w:pStyle w:val="TableContents"/>
              <w:spacing w:before="0" w:after="283"/>
              <w:rPr/>
            </w:pPr>
            <w:r>
              <w:rPr/>
              <w:t xml:space="preserve">  </w:t>
            </w:r>
          </w:p>
        </w:tc>
        <w:tc>
          <w:tcPr>
            <w:tcW w:w="233" w:type="dxa"/>
            <w:tcBorders/>
            <w:shd w:fill="CCEEFF" w:val="clear"/>
            <w:vAlign w:val="bottom"/>
          </w:tcPr>
          <w:p>
            <w:pPr>
              <w:pStyle w:val="TableContents"/>
              <w:spacing w:before="0" w:after="283"/>
              <w:jc w:val="left"/>
              <w:rPr/>
            </w:pPr>
            <w:r>
              <w:rPr/>
              <w:t xml:space="preserve">$ </w:t>
            </w:r>
          </w:p>
        </w:tc>
        <w:tc>
          <w:tcPr>
            <w:tcW w:w="845" w:type="dxa"/>
            <w:tcBorders/>
            <w:shd w:fill="CCEEFF" w:val="clear"/>
            <w:vAlign w:val="bottom"/>
          </w:tcPr>
          <w:p>
            <w:pPr>
              <w:pStyle w:val="TableContents"/>
              <w:spacing w:before="0" w:after="283"/>
              <w:jc w:val="right"/>
              <w:rPr/>
            </w:pPr>
            <w:r>
              <w:rPr/>
              <w:t xml:space="preserve">(275.3 </w:t>
            </w:r>
          </w:p>
        </w:tc>
        <w:tc>
          <w:tcPr>
            <w:tcW w:w="194"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4" w:type="dxa"/>
            <w:tcBorders/>
            <w:shd w:fill="CCEEFF" w:val="clear"/>
            <w:vAlign w:val="bottom"/>
          </w:tcPr>
          <w:p>
            <w:pPr>
              <w:pStyle w:val="TableContents"/>
              <w:spacing w:before="0" w:after="283"/>
              <w:jc w:val="left"/>
              <w:rPr/>
            </w:pPr>
            <w:r>
              <w:rPr/>
              <w:t xml:space="preserve">$ </w:t>
            </w:r>
          </w:p>
        </w:tc>
        <w:tc>
          <w:tcPr>
            <w:tcW w:w="848" w:type="dxa"/>
            <w:tcBorders/>
            <w:shd w:fill="CCEEFF" w:val="clear"/>
            <w:vAlign w:val="bottom"/>
          </w:tcPr>
          <w:p>
            <w:pPr>
              <w:pStyle w:val="TableContents"/>
              <w:spacing w:before="0" w:after="283"/>
              <w:jc w:val="right"/>
              <w:rPr/>
            </w:pPr>
            <w:r>
              <w:rPr/>
              <w:t xml:space="preserve">24.1 </w:t>
            </w:r>
          </w:p>
        </w:tc>
        <w:tc>
          <w:tcPr>
            <w:tcW w:w="186" w:type="dxa"/>
            <w:tcBorders/>
            <w:shd w:fill="CCEEFF" w:val="clear"/>
            <w:vAlign w:val="bottom"/>
          </w:tcPr>
          <w:p>
            <w:pPr>
              <w:pStyle w:val="TableContents"/>
              <w:spacing w:before="0" w:after="283"/>
              <w:jc w:val="left"/>
              <w:rPr/>
            </w:pPr>
            <w:r>
              <w:rPr/>
              <w:t xml:space="preserve">  </w:t>
            </w:r>
          </w:p>
        </w:tc>
      </w:tr>
      <w:tr>
        <w:trPr/>
        <w:tc>
          <w:tcPr>
            <w:tcW w:w="4489" w:type="dxa"/>
            <w:tcBorders/>
            <w:shd w:fill="FFFFFF" w:val="clear"/>
            <w:vAlign w:val="bottom"/>
          </w:tcPr>
          <w:p>
            <w:pPr>
              <w:pStyle w:val="TableContents"/>
              <w:spacing w:before="0" w:after="283"/>
              <w:rPr/>
            </w:pPr>
            <w:r>
              <w:rPr/>
              <w:t xml:space="preserve">  </w:t>
            </w:r>
          </w:p>
        </w:tc>
        <w:tc>
          <w:tcPr>
            <w:tcW w:w="154"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3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1" w:type="dxa"/>
            <w:tcBorders/>
            <w:shd w:fill="FFFFFF" w:val="clear"/>
            <w:vAlign w:val="bottom"/>
          </w:tcPr>
          <w:p>
            <w:pPr>
              <w:pStyle w:val="TableContents"/>
              <w:spacing w:before="0" w:after="283"/>
              <w:rPr/>
            </w:pPr>
            <w:r>
              <w:rPr/>
              <w:t xml:space="preserve">  </w:t>
            </w:r>
          </w:p>
        </w:tc>
        <w:tc>
          <w:tcPr>
            <w:tcW w:w="215" w:type="dxa"/>
            <w:tcBorders/>
            <w:shd w:fill="FFFFFF" w:val="clear"/>
            <w:vAlign w:val="bottom"/>
          </w:tcPr>
          <w:p>
            <w:pPr>
              <w:pStyle w:val="TableContents"/>
              <w:spacing w:before="0" w:after="283"/>
              <w:rPr/>
            </w:pPr>
            <w:r>
              <w:rPr/>
              <w:t xml:space="preserve">  </w:t>
            </w:r>
          </w:p>
        </w:tc>
        <w:tc>
          <w:tcPr>
            <w:tcW w:w="23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4" w:type="dxa"/>
            <w:tcBorders/>
            <w:shd w:fill="FFFFFF" w:val="clear"/>
            <w:vAlign w:val="bottom"/>
          </w:tcPr>
          <w:p>
            <w:pPr>
              <w:pStyle w:val="TableContents"/>
              <w:spacing w:before="0" w:after="283"/>
              <w:rPr/>
            </w:pPr>
            <w:r>
              <w:rPr/>
              <w:t xml:space="preserve">  </w:t>
            </w:r>
          </w:p>
        </w:tc>
        <w:tc>
          <w:tcPr>
            <w:tcW w:w="209" w:type="dxa"/>
            <w:tcBorders/>
            <w:shd w:fill="FFFFFF" w:val="clear"/>
            <w:vAlign w:val="bottom"/>
          </w:tcPr>
          <w:p>
            <w:pPr>
              <w:pStyle w:val="TableContents"/>
              <w:spacing w:before="0" w:after="283"/>
              <w:rPr/>
            </w:pPr>
            <w:r>
              <w:rPr/>
              <w:t xml:space="preserve">  </w:t>
            </w:r>
          </w:p>
        </w:tc>
        <w:tc>
          <w:tcPr>
            <w:tcW w:w="2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4"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4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6" w:type="dxa"/>
            <w:tcBorders/>
            <w:shd w:fill="FFFFFF" w:val="clear"/>
            <w:vAlign w:val="bottom"/>
          </w:tcPr>
          <w:p>
            <w:pPr>
              <w:pStyle w:val="TableContents"/>
              <w:spacing w:before="0" w:after="283"/>
              <w:rPr/>
            </w:pPr>
            <w:r>
              <w:rPr/>
              <w:t xml:space="preserve">  </w:t>
            </w:r>
          </w:p>
        </w:tc>
      </w:tr>
    </w:tbl>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247"/>
        <w:gridCol w:w="159"/>
        <w:gridCol w:w="247"/>
        <w:gridCol w:w="875"/>
        <w:gridCol w:w="204"/>
        <w:gridCol w:w="226"/>
        <w:gridCol w:w="247"/>
        <w:gridCol w:w="707"/>
        <w:gridCol w:w="177"/>
        <w:gridCol w:w="216"/>
        <w:gridCol w:w="239"/>
        <w:gridCol w:w="906"/>
        <w:gridCol w:w="198"/>
        <w:gridCol w:w="224"/>
        <w:gridCol w:w="239"/>
        <w:gridCol w:w="909"/>
        <w:gridCol w:w="185"/>
      </w:tblGrid>
      <w:tr>
        <w:trPr/>
        <w:tc>
          <w:tcPr>
            <w:tcW w:w="4247"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875" w:type="dxa"/>
            <w:tcBorders/>
            <w:shd w:fill="FFFFFF" w:val="clear"/>
            <w:vAlign w:val="bottom"/>
          </w:tcPr>
          <w:p>
            <w:pPr>
              <w:pStyle w:val="TableContents"/>
              <w:spacing w:before="0" w:after="283"/>
              <w:jc w:val="right"/>
              <w:rPr/>
            </w:pPr>
            <w:r>
              <w:rPr/>
              <w:t> </w:t>
            </w:r>
          </w:p>
        </w:tc>
        <w:tc>
          <w:tcPr>
            <w:tcW w:w="204" w:type="dxa"/>
            <w:tcBorders/>
            <w:shd w:fill="FFFFFF" w:val="clear"/>
            <w:vAlign w:val="bottom"/>
          </w:tcPr>
          <w:p>
            <w:pPr>
              <w:pStyle w:val="TableContents"/>
              <w:spacing w:before="0" w:after="283"/>
              <w:jc w:val="left"/>
              <w:rPr/>
            </w:pPr>
            <w:r>
              <w:rPr/>
              <w:t> </w:t>
            </w:r>
          </w:p>
        </w:tc>
        <w:tc>
          <w:tcPr>
            <w:tcW w:w="226" w:type="dxa"/>
            <w:tcBorders/>
            <w:shd w:fill="FFFFFF" w:val="clear"/>
            <w:vAlign w:val="bottom"/>
          </w:tcPr>
          <w:p>
            <w:pPr>
              <w:pStyle w:val="TableContents"/>
              <w:spacing w:before="0" w:after="283"/>
              <w:rPr/>
            </w:pPr>
            <w:r>
              <w:rPr/>
              <w:t> </w:t>
            </w:r>
          </w:p>
        </w:tc>
        <w:tc>
          <w:tcPr>
            <w:tcW w:w="247" w:type="dxa"/>
            <w:tcBorders/>
            <w:shd w:fill="FFFFFF" w:val="clear"/>
            <w:vAlign w:val="bottom"/>
          </w:tcPr>
          <w:p>
            <w:pPr>
              <w:pStyle w:val="TableContents"/>
              <w:spacing w:before="0" w:after="283"/>
              <w:jc w:val="right"/>
              <w:rPr/>
            </w:pPr>
            <w:r>
              <w:rPr/>
              <w:t> </w:t>
            </w:r>
          </w:p>
        </w:tc>
        <w:tc>
          <w:tcPr>
            <w:tcW w:w="7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pPr>
            <w:r>
              <w:rPr/>
              <w:t> </w:t>
            </w:r>
          </w:p>
        </w:tc>
        <w:tc>
          <w:tcPr>
            <w:tcW w:w="216"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jc w:val="right"/>
              <w:rPr/>
            </w:pPr>
            <w:r>
              <w:rPr/>
              <w:t> </w:t>
            </w:r>
          </w:p>
        </w:tc>
        <w:tc>
          <w:tcPr>
            <w:tcW w:w="906" w:type="dxa"/>
            <w:tcBorders/>
            <w:shd w:fill="FFFFFF" w:val="clear"/>
            <w:vAlign w:val="bottom"/>
          </w:tcPr>
          <w:p>
            <w:pPr>
              <w:pStyle w:val="TableContents"/>
              <w:spacing w:before="0" w:after="283"/>
              <w:jc w:val="right"/>
              <w:rPr/>
            </w:pPr>
            <w:r>
              <w:rPr/>
              <w:t> </w:t>
            </w:r>
          </w:p>
        </w:tc>
        <w:tc>
          <w:tcPr>
            <w:tcW w:w="198" w:type="dxa"/>
            <w:tcBorders/>
            <w:shd w:fill="FFFFFF" w:val="clear"/>
            <w:vAlign w:val="bottom"/>
          </w:tcPr>
          <w:p>
            <w:pPr>
              <w:pStyle w:val="TableContents"/>
              <w:spacing w:before="0" w:after="283"/>
              <w:jc w:val="left"/>
              <w:rPr/>
            </w:pPr>
            <w:r>
              <w:rPr/>
              <w:t> </w:t>
            </w:r>
          </w:p>
        </w:tc>
        <w:tc>
          <w:tcPr>
            <w:tcW w:w="224" w:type="dxa"/>
            <w:tcBorders/>
            <w:shd w:fill="FFFFFF" w:val="clear"/>
            <w:vAlign w:val="bottom"/>
          </w:tcPr>
          <w:p>
            <w:pPr>
              <w:pStyle w:val="TableContents"/>
              <w:spacing w:before="0" w:after="283"/>
              <w:rPr/>
            </w:pPr>
            <w:r>
              <w:rPr/>
              <w:t> </w:t>
            </w:r>
          </w:p>
        </w:tc>
        <w:tc>
          <w:tcPr>
            <w:tcW w:w="239" w:type="dxa"/>
            <w:tcBorders/>
            <w:shd w:fill="FFFFFF" w:val="clear"/>
            <w:vAlign w:val="bottom"/>
          </w:tcPr>
          <w:p>
            <w:pPr>
              <w:pStyle w:val="TableContents"/>
              <w:spacing w:before="0" w:after="283"/>
              <w:jc w:val="right"/>
              <w:rPr/>
            </w:pPr>
            <w:r>
              <w:rPr/>
              <w:t> </w:t>
            </w:r>
          </w:p>
        </w:tc>
        <w:tc>
          <w:tcPr>
            <w:tcW w:w="909" w:type="dxa"/>
            <w:tcBorders/>
            <w:shd w:fill="FFFFFF" w:val="clear"/>
            <w:vAlign w:val="bottom"/>
          </w:tcPr>
          <w:p>
            <w:pPr>
              <w:pStyle w:val="TableContents"/>
              <w:spacing w:before="0" w:after="283"/>
              <w:jc w:val="right"/>
              <w:rPr/>
            </w:pPr>
            <w:r>
              <w:rPr/>
              <w:t> </w:t>
            </w:r>
          </w:p>
        </w:tc>
        <w:tc>
          <w:tcPr>
            <w:tcW w:w="185" w:type="dxa"/>
            <w:tcBorders/>
            <w:shd w:fill="FFFFFF" w:val="clear"/>
            <w:vAlign w:val="bottom"/>
          </w:tcPr>
          <w:p>
            <w:pPr>
              <w:pStyle w:val="TableContents"/>
              <w:spacing w:before="0" w:after="283"/>
              <w:jc w:val="left"/>
              <w:rPr/>
            </w:pPr>
            <w:r>
              <w:rPr/>
              <w:t> </w:t>
            </w:r>
          </w:p>
        </w:tc>
      </w:tr>
      <w:tr>
        <w:trPr/>
        <w:tc>
          <w:tcPr>
            <w:tcW w:w="4247"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506" w:type="dxa"/>
            <w:gridSpan w:val="6"/>
            <w:tcBorders/>
            <w:shd w:fill="FFFFFF" w:val="clear"/>
            <w:vAlign w:val="bottom"/>
          </w:tcPr>
          <w:p>
            <w:pPr>
              <w:pStyle w:val="TableContents"/>
              <w:spacing w:before="0" w:after="283"/>
              <w:jc w:val="center"/>
              <w:rPr>
                <w:b/>
              </w:rPr>
            </w:pPr>
            <w:r>
              <w:rPr>
                <w:b/>
              </w:rPr>
              <w:t>Three Months Ended</w:t>
            </w:r>
          </w:p>
        </w:tc>
        <w:tc>
          <w:tcPr>
            <w:tcW w:w="177" w:type="dxa"/>
            <w:tcBorders/>
            <w:shd w:fill="FFFFFF" w:val="clear"/>
            <w:vAlign w:val="bottom"/>
          </w:tcPr>
          <w:p>
            <w:pPr>
              <w:pStyle w:val="TableContents"/>
              <w:spacing w:before="0" w:after="283"/>
              <w:jc w:val="center"/>
              <w:rPr/>
            </w:pPr>
            <w:r>
              <w:rPr/>
              <w:t xml:space="preserve">  </w:t>
            </w:r>
          </w:p>
        </w:tc>
        <w:tc>
          <w:tcPr>
            <w:tcW w:w="216" w:type="dxa"/>
            <w:tcBorders/>
            <w:shd w:fill="FFFFFF" w:val="clear"/>
            <w:vAlign w:val="bottom"/>
          </w:tcPr>
          <w:p>
            <w:pPr>
              <w:pStyle w:val="TableContents"/>
              <w:spacing w:before="0" w:after="283"/>
              <w:jc w:val="center"/>
              <w:rPr/>
            </w:pPr>
            <w:r>
              <w:rPr/>
              <w:t xml:space="preserve">  </w:t>
            </w:r>
          </w:p>
        </w:tc>
        <w:tc>
          <w:tcPr>
            <w:tcW w:w="2715" w:type="dxa"/>
            <w:gridSpan w:val="6"/>
            <w:tcBorders/>
            <w:shd w:fill="FFFFFF" w:val="clear"/>
            <w:vAlign w:val="bottom"/>
          </w:tcPr>
          <w:p>
            <w:pPr>
              <w:pStyle w:val="TableContents"/>
              <w:spacing w:before="0" w:after="283"/>
              <w:jc w:val="center"/>
              <w:rPr>
                <w:b/>
              </w:rPr>
            </w:pPr>
            <w:r>
              <w:rPr>
                <w:b/>
              </w:rPr>
              <w:t>Twelve Months Ended</w:t>
            </w:r>
          </w:p>
        </w:tc>
        <w:tc>
          <w:tcPr>
            <w:tcW w:w="185" w:type="dxa"/>
            <w:tcBorders/>
            <w:shd w:fill="FFFFFF" w:val="clear"/>
            <w:vAlign w:val="bottom"/>
          </w:tcPr>
          <w:p>
            <w:pPr>
              <w:pStyle w:val="TableContents"/>
              <w:spacing w:before="0" w:after="283"/>
              <w:jc w:val="center"/>
              <w:rPr/>
            </w:pPr>
            <w:r>
              <w:rPr/>
              <w:t xml:space="preserve">  </w:t>
            </w:r>
          </w:p>
        </w:tc>
      </w:tr>
      <w:tr>
        <w:trPr/>
        <w:tc>
          <w:tcPr>
            <w:tcW w:w="4247"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250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216" w:type="dxa"/>
            <w:tcBorders/>
            <w:shd w:fill="FFFFFF" w:val="clear"/>
            <w:vAlign w:val="bottom"/>
          </w:tcPr>
          <w:p>
            <w:pPr>
              <w:pStyle w:val="TableContents"/>
              <w:spacing w:before="0" w:after="283"/>
              <w:jc w:val="center"/>
              <w:rPr/>
            </w:pPr>
            <w:r>
              <w:rPr/>
              <w:t xml:space="preserve">  </w:t>
            </w:r>
          </w:p>
        </w:tc>
        <w:tc>
          <w:tcPr>
            <w:tcW w:w="271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4247" w:type="dxa"/>
            <w:tcBorders/>
            <w:shd w:fill="FFFFFF" w:val="clear"/>
            <w:vAlign w:val="bottom"/>
          </w:tcPr>
          <w:p>
            <w:pPr>
              <w:pStyle w:val="TableContents"/>
              <w:spacing w:before="0" w:after="283"/>
              <w:jc w:val="center"/>
              <w:rPr/>
            </w:pP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1122"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04" w:type="dxa"/>
            <w:tcBorders/>
            <w:shd w:fill="FFFFFF" w:val="clear"/>
            <w:vAlign w:val="bottom"/>
          </w:tcPr>
          <w:p>
            <w:pPr>
              <w:pStyle w:val="TableContents"/>
              <w:spacing w:before="0" w:after="283"/>
              <w:jc w:val="center"/>
              <w:rPr/>
            </w:pPr>
            <w:r>
              <w:rPr/>
              <w:t xml:space="preserve">  </w:t>
            </w:r>
          </w:p>
        </w:tc>
        <w:tc>
          <w:tcPr>
            <w:tcW w:w="226" w:type="dxa"/>
            <w:tcBorders/>
            <w:shd w:fill="FFFFFF" w:val="clear"/>
            <w:vAlign w:val="bottom"/>
          </w:tcPr>
          <w:p>
            <w:pPr>
              <w:pStyle w:val="TableContents"/>
              <w:spacing w:before="0" w:after="283"/>
              <w:jc w:val="center"/>
              <w:rPr/>
            </w:pPr>
            <w:r>
              <w:rPr/>
              <w:t xml:space="preserve">  </w:t>
            </w:r>
          </w:p>
        </w:tc>
        <w:tc>
          <w:tcPr>
            <w:tcW w:w="954"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7" w:type="dxa"/>
            <w:tcBorders/>
            <w:shd w:fill="FFFFFF" w:val="clear"/>
            <w:vAlign w:val="bottom"/>
          </w:tcPr>
          <w:p>
            <w:pPr>
              <w:pStyle w:val="TableContents"/>
              <w:spacing w:before="0" w:after="283"/>
              <w:jc w:val="center"/>
              <w:rPr/>
            </w:pPr>
            <w:r>
              <w:rPr/>
              <w:t xml:space="preserve">  </w:t>
            </w:r>
          </w:p>
        </w:tc>
        <w:tc>
          <w:tcPr>
            <w:tcW w:w="216" w:type="dxa"/>
            <w:tcBorders/>
            <w:shd w:fill="FFFFFF" w:val="clear"/>
            <w:vAlign w:val="bottom"/>
          </w:tcPr>
          <w:p>
            <w:pPr>
              <w:pStyle w:val="TableContents"/>
              <w:spacing w:before="0" w:after="283"/>
              <w:jc w:val="center"/>
              <w:rPr/>
            </w:pPr>
            <w:r>
              <w:rPr/>
              <w:t xml:space="preserve">  </w:t>
            </w:r>
          </w:p>
        </w:tc>
        <w:tc>
          <w:tcPr>
            <w:tcW w:w="1145"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98" w:type="dxa"/>
            <w:tcBorders/>
            <w:shd w:fill="FFFFFF" w:val="clear"/>
            <w:vAlign w:val="bottom"/>
          </w:tcPr>
          <w:p>
            <w:pPr>
              <w:pStyle w:val="TableContents"/>
              <w:spacing w:before="0" w:after="283"/>
              <w:jc w:val="center"/>
              <w:rPr/>
            </w:pPr>
            <w:r>
              <w:rPr/>
              <w:t xml:space="preserve">  </w:t>
            </w:r>
          </w:p>
        </w:tc>
        <w:tc>
          <w:tcPr>
            <w:tcW w:w="224" w:type="dxa"/>
            <w:tcBorders/>
            <w:shd w:fill="FFFFFF" w:val="clear"/>
            <w:vAlign w:val="bottom"/>
          </w:tcPr>
          <w:p>
            <w:pPr>
              <w:pStyle w:val="TableContents"/>
              <w:spacing w:before="0" w:after="283"/>
              <w:jc w:val="center"/>
              <w:rPr/>
            </w:pPr>
            <w:r>
              <w:rPr/>
              <w:t xml:space="preserve">  </w:t>
            </w:r>
          </w:p>
        </w:tc>
        <w:tc>
          <w:tcPr>
            <w:tcW w:w="114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5" w:type="dxa"/>
            <w:tcBorders/>
            <w:shd w:fill="FFFFFF" w:val="clear"/>
            <w:vAlign w:val="bottom"/>
          </w:tcPr>
          <w:p>
            <w:pPr>
              <w:pStyle w:val="TableContents"/>
              <w:spacing w:before="0" w:after="283"/>
              <w:jc w:val="center"/>
              <w:rPr/>
            </w:pPr>
            <w:r>
              <w:rPr/>
              <w:t xml:space="preserve">  </w:t>
            </w:r>
          </w:p>
        </w:tc>
      </w:tr>
      <w:tr>
        <w:trPr/>
        <w:tc>
          <w:tcPr>
            <w:tcW w:w="4247" w:type="dxa"/>
            <w:tcBorders/>
            <w:shd w:fill="FFFFFF" w:val="clear"/>
            <w:vAlign w:val="center"/>
          </w:tcPr>
          <w:p>
            <w:pPr>
              <w:pStyle w:val="TableContents"/>
              <w:spacing w:before="0" w:after="283"/>
              <w:rPr/>
            </w:pPr>
            <w:r>
              <w:rPr/>
              <w:t xml:space="preserve">  </w:t>
            </w:r>
          </w:p>
        </w:tc>
        <w:tc>
          <w:tcPr>
            <w:tcW w:w="5958" w:type="dxa"/>
            <w:gridSpan w:val="16"/>
            <w:tcBorders/>
            <w:shd w:fill="FFFFFF" w:val="clear"/>
          </w:tcPr>
          <w:p>
            <w:pPr>
              <w:pStyle w:val="TableContents"/>
              <w:spacing w:before="0" w:after="283"/>
              <w:rPr>
                <w:sz w:val="4"/>
                <w:szCs w:val="4"/>
              </w:rPr>
            </w:pPr>
            <w:r>
              <w:rPr>
                <w:sz w:val="4"/>
                <w:szCs w:val="4"/>
              </w:rPr>
            </w:r>
          </w:p>
        </w:tc>
      </w:tr>
      <w:tr>
        <w:trPr/>
        <w:tc>
          <w:tcPr>
            <w:tcW w:w="4247" w:type="dxa"/>
            <w:tcBorders/>
            <w:shd w:fill="CCEEFF" w:val="clear"/>
            <w:vAlign w:val="bottom"/>
          </w:tcPr>
          <w:p>
            <w:pPr>
              <w:pStyle w:val="TableContents"/>
              <w:spacing w:before="0" w:after="0"/>
              <w:ind w:left="200" w:right="0" w:hanging="200"/>
              <w:jc w:val="left"/>
              <w:rPr/>
            </w:pPr>
            <w:r>
              <w:rPr>
                <w:b/>
                <w:sz w:val="17"/>
              </w:rPr>
              <w:t>Funds flow from operations (FFO)</w:t>
            </w:r>
            <w:r>
              <w:rPr/>
              <w:t xml:space="preserve"> </w:t>
            </w:r>
          </w:p>
        </w:tc>
        <w:tc>
          <w:tcPr>
            <w:tcW w:w="159"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  </w:t>
            </w:r>
          </w:p>
        </w:tc>
        <w:tc>
          <w:tcPr>
            <w:tcW w:w="204"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  </w:t>
            </w:r>
          </w:p>
        </w:tc>
        <w:tc>
          <w:tcPr>
            <w:tcW w:w="177"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right"/>
              <w:rPr/>
            </w:pPr>
            <w:r>
              <w:rPr/>
              <w:t xml:space="preserve">  </w:t>
            </w:r>
          </w:p>
        </w:tc>
        <w:tc>
          <w:tcPr>
            <w:tcW w:w="198"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9" w:type="dxa"/>
            <w:tcBorders/>
            <w:shd w:fill="CCEEFF" w:val="clear"/>
            <w:vAlign w:val="bottom"/>
          </w:tcPr>
          <w:p>
            <w:pPr>
              <w:pStyle w:val="TableContents"/>
              <w:spacing w:before="0" w:after="283"/>
              <w:jc w:val="right"/>
              <w:rPr/>
            </w:pPr>
            <w:r>
              <w:rPr/>
              <w:t xml:space="preserve">  </w:t>
            </w:r>
          </w:p>
        </w:tc>
        <w:tc>
          <w:tcPr>
            <w:tcW w:w="185" w:type="dxa"/>
            <w:tcBorders/>
            <w:shd w:fill="CCEEFF" w:val="clear"/>
            <w:vAlign w:val="bottom"/>
          </w:tcPr>
          <w:p>
            <w:pPr>
              <w:pStyle w:val="TableContents"/>
              <w:spacing w:before="0" w:after="283"/>
              <w:jc w:val="left"/>
              <w:rPr/>
            </w:pPr>
            <w:r>
              <w:rPr/>
              <w:t xml:space="preserve">  </w:t>
            </w:r>
          </w:p>
        </w:tc>
      </w:tr>
      <w:tr>
        <w:trPr/>
        <w:tc>
          <w:tcPr>
            <w:tcW w:w="4247"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159"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w:t>
            </w:r>
            <w:r>
              <w:rPr/>
              <w:t xml:space="preserve">46.0 </w:t>
            </w:r>
          </w:p>
        </w:tc>
        <w:tc>
          <w:tcPr>
            <w:tcW w:w="204"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w:t>
            </w:r>
            <w:r>
              <w:rPr/>
              <w:t xml:space="preserve">53.7 </w:t>
            </w:r>
          </w:p>
        </w:tc>
        <w:tc>
          <w:tcPr>
            <w:tcW w:w="177"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right"/>
              <w:rPr/>
            </w:pPr>
            <w:r>
              <w:rPr/>
              <w:t> </w:t>
            </w:r>
            <w:r>
              <w:rPr/>
              <w:t xml:space="preserve">285.1 </w:t>
            </w:r>
          </w:p>
        </w:tc>
        <w:tc>
          <w:tcPr>
            <w:tcW w:w="198"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9" w:type="dxa"/>
            <w:tcBorders/>
            <w:shd w:fill="FFFFFF" w:val="clear"/>
            <w:vAlign w:val="bottom"/>
          </w:tcPr>
          <w:p>
            <w:pPr>
              <w:pStyle w:val="TableContents"/>
              <w:spacing w:before="0" w:after="283"/>
              <w:jc w:val="right"/>
              <w:rPr/>
            </w:pPr>
            <w:r>
              <w:rPr/>
              <w:t> </w:t>
            </w:r>
            <w:r>
              <w:rPr/>
              <w:t xml:space="preserve">217.8 </w:t>
            </w:r>
          </w:p>
        </w:tc>
        <w:tc>
          <w:tcPr>
            <w:tcW w:w="185" w:type="dxa"/>
            <w:tcBorders/>
            <w:shd w:fill="FFFFFF" w:val="clear"/>
            <w:vAlign w:val="bottom"/>
          </w:tcPr>
          <w:p>
            <w:pPr>
              <w:pStyle w:val="TableContents"/>
              <w:spacing w:before="0" w:after="283"/>
              <w:jc w:val="left"/>
              <w:rPr/>
            </w:pPr>
            <w:r>
              <w:rPr/>
              <w:t xml:space="preserve">  </w:t>
            </w:r>
          </w:p>
        </w:tc>
      </w:tr>
      <w:tr>
        <w:trPr/>
        <w:tc>
          <w:tcPr>
            <w:tcW w:w="4247" w:type="dxa"/>
            <w:tcBorders/>
            <w:shd w:fill="CCEEFF" w:val="clear"/>
            <w:vAlign w:val="bottom"/>
          </w:tcPr>
          <w:p>
            <w:pPr>
              <w:pStyle w:val="TableContents"/>
              <w:spacing w:before="0" w:after="0"/>
              <w:ind w:left="200" w:right="0" w:hanging="200"/>
              <w:jc w:val="left"/>
              <w:rPr>
                <w:sz w:val="17"/>
              </w:rPr>
            </w:pPr>
            <w:r>
              <w:rPr>
                <w:sz w:val="17"/>
              </w:rPr>
              <w:t xml:space="preserve">Equity earnings in unconsolidated entities </w:t>
            </w:r>
          </w:p>
        </w:tc>
        <w:tc>
          <w:tcPr>
            <w:tcW w:w="159"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(4.5 </w:t>
            </w:r>
          </w:p>
        </w:tc>
        <w:tc>
          <w:tcPr>
            <w:tcW w:w="204"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(1.3 </w:t>
            </w:r>
          </w:p>
        </w:tc>
        <w:tc>
          <w:tcPr>
            <w:tcW w:w="177"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right"/>
              <w:rPr/>
            </w:pPr>
            <w:r>
              <w:rPr/>
              <w:t xml:space="preserve">(7.7 </w:t>
            </w:r>
          </w:p>
        </w:tc>
        <w:tc>
          <w:tcPr>
            <w:tcW w:w="198"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9" w:type="dxa"/>
            <w:tcBorders/>
            <w:shd w:fill="CCEEFF" w:val="clear"/>
            <w:vAlign w:val="bottom"/>
          </w:tcPr>
          <w:p>
            <w:pPr>
              <w:pStyle w:val="TableContents"/>
              <w:spacing w:before="0" w:after="283"/>
              <w:jc w:val="right"/>
              <w:rPr/>
            </w:pPr>
            <w:r>
              <w:rPr/>
              <w:t xml:space="preserve">(1.8 </w:t>
            </w:r>
          </w:p>
        </w:tc>
        <w:tc>
          <w:tcPr>
            <w:tcW w:w="185" w:type="dxa"/>
            <w:tcBorders/>
            <w:shd w:fill="CCEEFF" w:val="clear"/>
            <w:vAlign w:val="bottom"/>
          </w:tcPr>
          <w:p>
            <w:pPr>
              <w:pStyle w:val="TableContents"/>
              <w:spacing w:before="0" w:after="283"/>
              <w:jc w:val="left"/>
              <w:rPr/>
            </w:pPr>
            <w:r>
              <w:rPr/>
              <w:t xml:space="preserve">) </w:t>
            </w:r>
          </w:p>
        </w:tc>
      </w:tr>
      <w:tr>
        <w:trPr/>
        <w:tc>
          <w:tcPr>
            <w:tcW w:w="4247" w:type="dxa"/>
            <w:tcBorders/>
            <w:shd w:fill="FFFFFF" w:val="clear"/>
            <w:vAlign w:val="bottom"/>
          </w:tcPr>
          <w:p>
            <w:pPr>
              <w:pStyle w:val="TableContents"/>
              <w:spacing w:before="0" w:after="0"/>
              <w:ind w:left="200" w:right="0" w:hanging="200"/>
              <w:jc w:val="left"/>
              <w:rPr>
                <w:sz w:val="17"/>
              </w:rPr>
            </w:pPr>
            <w:r>
              <w:rPr>
                <w:sz w:val="17"/>
              </w:rPr>
              <w:t xml:space="preserve">Depreciation and amortization </w:t>
            </w:r>
          </w:p>
        </w:tc>
        <w:tc>
          <w:tcPr>
            <w:tcW w:w="159"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33.3 </w:t>
            </w:r>
          </w:p>
        </w:tc>
        <w:tc>
          <w:tcPr>
            <w:tcW w:w="204"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25.4 </w:t>
            </w:r>
          </w:p>
        </w:tc>
        <w:tc>
          <w:tcPr>
            <w:tcW w:w="177"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right"/>
              <w:rPr/>
            </w:pPr>
            <w:r>
              <w:rPr/>
              <w:t xml:space="preserve">100.4 </w:t>
            </w:r>
          </w:p>
        </w:tc>
        <w:tc>
          <w:tcPr>
            <w:tcW w:w="198"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9" w:type="dxa"/>
            <w:tcBorders/>
            <w:shd w:fill="FFFFFF" w:val="clear"/>
            <w:vAlign w:val="bottom"/>
          </w:tcPr>
          <w:p>
            <w:pPr>
              <w:pStyle w:val="TableContents"/>
              <w:spacing w:before="0" w:after="283"/>
              <w:jc w:val="right"/>
              <w:rPr/>
            </w:pPr>
            <w:r>
              <w:rPr/>
              <w:t xml:space="preserve">83.5 </w:t>
            </w:r>
          </w:p>
        </w:tc>
        <w:tc>
          <w:tcPr>
            <w:tcW w:w="185" w:type="dxa"/>
            <w:tcBorders/>
            <w:shd w:fill="FFFFFF" w:val="clear"/>
            <w:vAlign w:val="bottom"/>
          </w:tcPr>
          <w:p>
            <w:pPr>
              <w:pStyle w:val="TableContents"/>
              <w:spacing w:before="0" w:after="283"/>
              <w:jc w:val="left"/>
              <w:rPr/>
            </w:pPr>
            <w:r>
              <w:rPr/>
              <w:t xml:space="preserve">  </w:t>
            </w:r>
          </w:p>
        </w:tc>
      </w:tr>
      <w:tr>
        <w:trPr/>
        <w:tc>
          <w:tcPr>
            <w:tcW w:w="4247" w:type="dxa"/>
            <w:tcBorders/>
            <w:shd w:fill="CCEEFF" w:val="clear"/>
            <w:vAlign w:val="bottom"/>
          </w:tcPr>
          <w:p>
            <w:pPr>
              <w:pStyle w:val="TableContents"/>
              <w:spacing w:before="0" w:after="0"/>
              <w:ind w:left="200" w:right="0" w:hanging="200"/>
              <w:jc w:val="left"/>
              <w:rPr>
                <w:sz w:val="17"/>
              </w:rPr>
            </w:pPr>
            <w:r>
              <w:rPr>
                <w:sz w:val="17"/>
              </w:rPr>
              <w:t xml:space="preserve">Non-cash amortization of terminated interest rate hedging instruments </w:t>
            </w:r>
          </w:p>
        </w:tc>
        <w:tc>
          <w:tcPr>
            <w:tcW w:w="159"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0.3 </w:t>
            </w:r>
          </w:p>
        </w:tc>
        <w:tc>
          <w:tcPr>
            <w:tcW w:w="204"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0.4 </w:t>
            </w:r>
          </w:p>
        </w:tc>
        <w:tc>
          <w:tcPr>
            <w:tcW w:w="177"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right"/>
              <w:rPr/>
            </w:pPr>
            <w:r>
              <w:rPr/>
              <w:t xml:space="preserve">1.5 </w:t>
            </w:r>
          </w:p>
        </w:tc>
        <w:tc>
          <w:tcPr>
            <w:tcW w:w="198"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9" w:type="dxa"/>
            <w:tcBorders/>
            <w:shd w:fill="CCEEFF" w:val="clear"/>
            <w:vAlign w:val="bottom"/>
          </w:tcPr>
          <w:p>
            <w:pPr>
              <w:pStyle w:val="TableContents"/>
              <w:spacing w:before="0" w:after="283"/>
              <w:jc w:val="right"/>
              <w:rPr/>
            </w:pPr>
            <w:r>
              <w:rPr/>
              <w:t xml:space="preserve">1.6 </w:t>
            </w:r>
          </w:p>
        </w:tc>
        <w:tc>
          <w:tcPr>
            <w:tcW w:w="185" w:type="dxa"/>
            <w:tcBorders/>
            <w:shd w:fill="CCEEFF" w:val="clear"/>
            <w:vAlign w:val="bottom"/>
          </w:tcPr>
          <w:p>
            <w:pPr>
              <w:pStyle w:val="TableContents"/>
              <w:spacing w:before="0" w:after="283"/>
              <w:jc w:val="left"/>
              <w:rPr/>
            </w:pPr>
            <w:r>
              <w:rPr/>
              <w:t xml:space="preserve">  </w:t>
            </w:r>
          </w:p>
        </w:tc>
      </w:tr>
      <w:tr>
        <w:trPr/>
        <w:tc>
          <w:tcPr>
            <w:tcW w:w="4247"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247" w:type="dxa"/>
            <w:tcBorders/>
            <w:shd w:fill="FFFFFF" w:val="clear"/>
            <w:vAlign w:val="bottom"/>
          </w:tcPr>
          <w:p>
            <w:pPr>
              <w:pStyle w:val="TableContents"/>
              <w:spacing w:before="0" w:after="0"/>
              <w:ind w:left="200" w:right="0" w:hanging="200"/>
              <w:jc w:val="left"/>
              <w:rPr>
                <w:sz w:val="17"/>
              </w:rPr>
            </w:pPr>
            <w:r>
              <w:rPr>
                <w:sz w:val="17"/>
              </w:rPr>
              <w:t xml:space="preserve">FFO </w:t>
            </w:r>
          </w:p>
        </w:tc>
        <w:tc>
          <w:tcPr>
            <w:tcW w:w="159"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75.1 </w:t>
            </w:r>
          </w:p>
        </w:tc>
        <w:tc>
          <w:tcPr>
            <w:tcW w:w="204"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78.2 </w:t>
            </w:r>
          </w:p>
        </w:tc>
        <w:tc>
          <w:tcPr>
            <w:tcW w:w="177"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right"/>
              <w:rPr/>
            </w:pPr>
            <w:r>
              <w:rPr/>
              <w:t xml:space="preserve">379.3 </w:t>
            </w:r>
          </w:p>
        </w:tc>
        <w:tc>
          <w:tcPr>
            <w:tcW w:w="198"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9" w:type="dxa"/>
            <w:tcBorders/>
            <w:shd w:fill="FFFFFF" w:val="clear"/>
            <w:vAlign w:val="bottom"/>
          </w:tcPr>
          <w:p>
            <w:pPr>
              <w:pStyle w:val="TableContents"/>
              <w:spacing w:before="0" w:after="283"/>
              <w:jc w:val="right"/>
              <w:rPr/>
            </w:pPr>
            <w:r>
              <w:rPr/>
              <w:t xml:space="preserve">301.1 </w:t>
            </w:r>
          </w:p>
        </w:tc>
        <w:tc>
          <w:tcPr>
            <w:tcW w:w="185" w:type="dxa"/>
            <w:tcBorders/>
            <w:shd w:fill="FFFFFF" w:val="clear"/>
            <w:vAlign w:val="bottom"/>
          </w:tcPr>
          <w:p>
            <w:pPr>
              <w:pStyle w:val="TableContents"/>
              <w:spacing w:before="0" w:after="283"/>
              <w:jc w:val="left"/>
              <w:rPr/>
            </w:pPr>
            <w:r>
              <w:rPr/>
              <w:t xml:space="preserve">  </w:t>
            </w:r>
          </w:p>
        </w:tc>
      </w:tr>
      <w:tr>
        <w:trPr/>
        <w:tc>
          <w:tcPr>
            <w:tcW w:w="4247" w:type="dxa"/>
            <w:tcBorders/>
            <w:shd w:fill="CCEEFF" w:val="clear"/>
            <w:vAlign w:val="bottom"/>
          </w:tcPr>
          <w:p>
            <w:pPr>
              <w:pStyle w:val="TableContents"/>
              <w:spacing w:before="0" w:after="0"/>
              <w:ind w:left="200" w:right="0" w:hanging="200"/>
              <w:jc w:val="left"/>
              <w:rPr>
                <w:sz w:val="17"/>
              </w:rPr>
            </w:pPr>
            <w:r>
              <w:rPr>
                <w:sz w:val="17"/>
              </w:rPr>
              <w:t xml:space="preserve">Maintenance capital expenditures </w:t>
            </w:r>
          </w:p>
        </w:tc>
        <w:tc>
          <w:tcPr>
            <w:tcW w:w="159"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875" w:type="dxa"/>
            <w:tcBorders/>
            <w:shd w:fill="CCEEFF" w:val="clear"/>
            <w:vAlign w:val="bottom"/>
          </w:tcPr>
          <w:p>
            <w:pPr>
              <w:pStyle w:val="TableContents"/>
              <w:spacing w:before="0" w:after="283"/>
              <w:jc w:val="right"/>
              <w:rPr/>
            </w:pPr>
            <w:r>
              <w:rPr/>
              <w:t xml:space="preserve">(11.0 </w:t>
            </w:r>
          </w:p>
        </w:tc>
        <w:tc>
          <w:tcPr>
            <w:tcW w:w="204" w:type="dxa"/>
            <w:tcBorders/>
            <w:shd w:fill="CCEEFF" w:val="clear"/>
            <w:vAlign w:val="bottom"/>
          </w:tcPr>
          <w:p>
            <w:pPr>
              <w:pStyle w:val="TableContents"/>
              <w:spacing w:before="0" w:after="283"/>
              <w:jc w:val="left"/>
              <w:rPr/>
            </w:pPr>
            <w:r>
              <w:rPr/>
              <w:t xml:space="preserve">) </w:t>
            </w:r>
          </w:p>
        </w:tc>
        <w:tc>
          <w:tcPr>
            <w:tcW w:w="226" w:type="dxa"/>
            <w:tcBorders/>
            <w:shd w:fill="CCEEFF" w:val="clear"/>
            <w:vAlign w:val="bottom"/>
          </w:tcPr>
          <w:p>
            <w:pPr>
              <w:pStyle w:val="TableContents"/>
              <w:spacing w:before="0" w:after="283"/>
              <w:rPr/>
            </w:pPr>
            <w:r>
              <w:rPr/>
              <w:t xml:space="preserve">  </w:t>
            </w:r>
          </w:p>
        </w:tc>
        <w:tc>
          <w:tcPr>
            <w:tcW w:w="247" w:type="dxa"/>
            <w:tcBorders/>
            <w:shd w:fill="CCEEFF" w:val="clear"/>
            <w:vAlign w:val="bottom"/>
          </w:tcPr>
          <w:p>
            <w:pPr>
              <w:pStyle w:val="TableContents"/>
              <w:spacing w:before="0" w:after="283"/>
              <w:jc w:val="left"/>
              <w:rPr/>
            </w:pPr>
            <w:r>
              <w:rPr/>
              <w:t xml:space="preserve">  </w:t>
            </w:r>
          </w:p>
        </w:tc>
        <w:tc>
          <w:tcPr>
            <w:tcW w:w="707" w:type="dxa"/>
            <w:tcBorders/>
            <w:shd w:fill="CCEEFF" w:val="clear"/>
            <w:vAlign w:val="bottom"/>
          </w:tcPr>
          <w:p>
            <w:pPr>
              <w:pStyle w:val="TableContents"/>
              <w:spacing w:before="0" w:after="283"/>
              <w:jc w:val="right"/>
              <w:rPr/>
            </w:pPr>
            <w:r>
              <w:rPr/>
              <w:t xml:space="preserve">(1.8 </w:t>
            </w:r>
          </w:p>
        </w:tc>
        <w:tc>
          <w:tcPr>
            <w:tcW w:w="177" w:type="dxa"/>
            <w:tcBorders/>
            <w:shd w:fill="CCEEFF" w:val="clear"/>
            <w:vAlign w:val="bottom"/>
          </w:tcPr>
          <w:p>
            <w:pPr>
              <w:pStyle w:val="TableContents"/>
              <w:spacing w:before="0" w:after="283"/>
              <w:jc w:val="left"/>
              <w:rPr/>
            </w:pPr>
            <w:r>
              <w:rPr/>
              <w:t xml:space="preserve">) </w:t>
            </w:r>
          </w:p>
        </w:tc>
        <w:tc>
          <w:tcPr>
            <w:tcW w:w="216"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6" w:type="dxa"/>
            <w:tcBorders/>
            <w:shd w:fill="CCEEFF" w:val="clear"/>
            <w:vAlign w:val="bottom"/>
          </w:tcPr>
          <w:p>
            <w:pPr>
              <w:pStyle w:val="TableContents"/>
              <w:spacing w:before="0" w:after="283"/>
              <w:jc w:val="right"/>
              <w:rPr/>
            </w:pPr>
            <w:r>
              <w:rPr/>
              <w:t xml:space="preserve">(28.2 </w:t>
            </w:r>
          </w:p>
        </w:tc>
        <w:tc>
          <w:tcPr>
            <w:tcW w:w="198" w:type="dxa"/>
            <w:tcBorders/>
            <w:shd w:fill="CCEEFF" w:val="clear"/>
            <w:vAlign w:val="bottom"/>
          </w:tcPr>
          <w:p>
            <w:pPr>
              <w:pStyle w:val="TableContents"/>
              <w:spacing w:before="0" w:after="283"/>
              <w:jc w:val="left"/>
              <w:rPr/>
            </w:pPr>
            <w:r>
              <w:rPr/>
              <w:t xml:space="preserve">) </w:t>
            </w:r>
          </w:p>
        </w:tc>
        <w:tc>
          <w:tcPr>
            <w:tcW w:w="224" w:type="dxa"/>
            <w:tcBorders/>
            <w:shd w:fill="CCEEFF" w:val="clear"/>
            <w:vAlign w:val="bottom"/>
          </w:tcPr>
          <w:p>
            <w:pPr>
              <w:pStyle w:val="TableContents"/>
              <w:spacing w:before="0" w:after="283"/>
              <w:rPr/>
            </w:pPr>
            <w:r>
              <w:rPr/>
              <w:t xml:space="preserve">  </w:t>
            </w:r>
          </w:p>
        </w:tc>
        <w:tc>
          <w:tcPr>
            <w:tcW w:w="239" w:type="dxa"/>
            <w:tcBorders/>
            <w:shd w:fill="CCEEFF" w:val="clear"/>
            <w:vAlign w:val="bottom"/>
          </w:tcPr>
          <w:p>
            <w:pPr>
              <w:pStyle w:val="TableContents"/>
              <w:spacing w:before="0" w:after="283"/>
              <w:jc w:val="left"/>
              <w:rPr/>
            </w:pPr>
            <w:r>
              <w:rPr/>
              <w:t xml:space="preserve">  </w:t>
            </w:r>
          </w:p>
        </w:tc>
        <w:tc>
          <w:tcPr>
            <w:tcW w:w="909" w:type="dxa"/>
            <w:tcBorders/>
            <w:shd w:fill="CCEEFF" w:val="clear"/>
            <w:vAlign w:val="bottom"/>
          </w:tcPr>
          <w:p>
            <w:pPr>
              <w:pStyle w:val="TableContents"/>
              <w:spacing w:before="0" w:after="283"/>
              <w:jc w:val="right"/>
              <w:rPr/>
            </w:pPr>
            <w:r>
              <w:rPr/>
              <w:t xml:space="preserve">(14.0 </w:t>
            </w:r>
          </w:p>
        </w:tc>
        <w:tc>
          <w:tcPr>
            <w:tcW w:w="185" w:type="dxa"/>
            <w:tcBorders/>
            <w:shd w:fill="CCEEFF" w:val="clear"/>
            <w:vAlign w:val="bottom"/>
          </w:tcPr>
          <w:p>
            <w:pPr>
              <w:pStyle w:val="TableContents"/>
              <w:spacing w:before="0" w:after="283"/>
              <w:jc w:val="left"/>
              <w:rPr/>
            </w:pPr>
            <w:r>
              <w:rPr/>
              <w:t xml:space="preserve">) </w:t>
            </w:r>
          </w:p>
        </w:tc>
      </w:tr>
      <w:tr>
        <w:trPr/>
        <w:tc>
          <w:tcPr>
            <w:tcW w:w="4247"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r>
        <w:trPr/>
        <w:tc>
          <w:tcPr>
            <w:tcW w:w="4247" w:type="dxa"/>
            <w:tcBorders/>
            <w:shd w:fill="FFFFFF" w:val="clear"/>
            <w:vAlign w:val="bottom"/>
          </w:tcPr>
          <w:p>
            <w:pPr>
              <w:pStyle w:val="TableContents"/>
              <w:spacing w:before="0" w:after="0"/>
              <w:ind w:left="200" w:right="0" w:hanging="200"/>
              <w:jc w:val="left"/>
              <w:rPr>
                <w:sz w:val="17"/>
              </w:rPr>
            </w:pPr>
            <w:r>
              <w:rPr>
                <w:sz w:val="17"/>
              </w:rPr>
              <w:t xml:space="preserve">FFO after maintenance capital expenditures </w:t>
            </w:r>
          </w:p>
        </w:tc>
        <w:tc>
          <w:tcPr>
            <w:tcW w:w="159"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875" w:type="dxa"/>
            <w:tcBorders/>
            <w:shd w:fill="FFFFFF" w:val="clear"/>
            <w:vAlign w:val="bottom"/>
          </w:tcPr>
          <w:p>
            <w:pPr>
              <w:pStyle w:val="TableContents"/>
              <w:spacing w:before="0" w:after="283"/>
              <w:jc w:val="right"/>
              <w:rPr/>
            </w:pPr>
            <w:r>
              <w:rPr/>
              <w:t xml:space="preserve">64.1 </w:t>
            </w:r>
          </w:p>
        </w:tc>
        <w:tc>
          <w:tcPr>
            <w:tcW w:w="204" w:type="dxa"/>
            <w:tcBorders/>
            <w:shd w:fill="FFFFFF" w:val="clear"/>
            <w:vAlign w:val="bottom"/>
          </w:tcPr>
          <w:p>
            <w:pPr>
              <w:pStyle w:val="TableContents"/>
              <w:spacing w:before="0" w:after="283"/>
              <w:jc w:val="left"/>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shd w:fill="FFFFFF" w:val="clear"/>
            <w:vAlign w:val="bottom"/>
          </w:tcPr>
          <w:p>
            <w:pPr>
              <w:pStyle w:val="TableContents"/>
              <w:spacing w:before="0" w:after="283"/>
              <w:jc w:val="left"/>
              <w:rPr/>
            </w:pPr>
            <w:r>
              <w:rPr/>
              <w:t xml:space="preserve">$ </w:t>
            </w:r>
          </w:p>
        </w:tc>
        <w:tc>
          <w:tcPr>
            <w:tcW w:w="707" w:type="dxa"/>
            <w:tcBorders/>
            <w:shd w:fill="FFFFFF" w:val="clear"/>
            <w:vAlign w:val="bottom"/>
          </w:tcPr>
          <w:p>
            <w:pPr>
              <w:pStyle w:val="TableContents"/>
              <w:spacing w:before="0" w:after="283"/>
              <w:jc w:val="right"/>
              <w:rPr/>
            </w:pPr>
            <w:r>
              <w:rPr/>
              <w:t xml:space="preserve">76.4 </w:t>
            </w:r>
          </w:p>
        </w:tc>
        <w:tc>
          <w:tcPr>
            <w:tcW w:w="177" w:type="dxa"/>
            <w:tcBorders/>
            <w:shd w:fill="FFFFFF" w:val="clear"/>
            <w:vAlign w:val="bottom"/>
          </w:tcPr>
          <w:p>
            <w:pPr>
              <w:pStyle w:val="TableContents"/>
              <w:spacing w:before="0" w:after="283"/>
              <w:jc w:val="left"/>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6" w:type="dxa"/>
            <w:tcBorders/>
            <w:shd w:fill="FFFFFF" w:val="clear"/>
            <w:vAlign w:val="bottom"/>
          </w:tcPr>
          <w:p>
            <w:pPr>
              <w:pStyle w:val="TableContents"/>
              <w:spacing w:before="0" w:after="283"/>
              <w:jc w:val="right"/>
              <w:rPr/>
            </w:pPr>
            <w:r>
              <w:rPr/>
              <w:t xml:space="preserve">351.1 </w:t>
            </w:r>
          </w:p>
        </w:tc>
        <w:tc>
          <w:tcPr>
            <w:tcW w:w="198" w:type="dxa"/>
            <w:tcBorders/>
            <w:shd w:fill="FFFFFF" w:val="clear"/>
            <w:vAlign w:val="bottom"/>
          </w:tcPr>
          <w:p>
            <w:pPr>
              <w:pStyle w:val="TableContents"/>
              <w:spacing w:before="0" w:after="283"/>
              <w:jc w:val="left"/>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shd w:fill="FFFFFF" w:val="clear"/>
            <w:vAlign w:val="bottom"/>
          </w:tcPr>
          <w:p>
            <w:pPr>
              <w:pStyle w:val="TableContents"/>
              <w:spacing w:before="0" w:after="283"/>
              <w:jc w:val="left"/>
              <w:rPr/>
            </w:pPr>
            <w:r>
              <w:rPr/>
              <w:t xml:space="preserve">$ </w:t>
            </w:r>
          </w:p>
        </w:tc>
        <w:tc>
          <w:tcPr>
            <w:tcW w:w="909" w:type="dxa"/>
            <w:tcBorders/>
            <w:shd w:fill="FFFFFF" w:val="clear"/>
            <w:vAlign w:val="bottom"/>
          </w:tcPr>
          <w:p>
            <w:pPr>
              <w:pStyle w:val="TableContents"/>
              <w:spacing w:before="0" w:after="283"/>
              <w:jc w:val="right"/>
              <w:rPr/>
            </w:pPr>
            <w:r>
              <w:rPr/>
              <w:t xml:space="preserve">287.1 </w:t>
            </w:r>
          </w:p>
        </w:tc>
        <w:tc>
          <w:tcPr>
            <w:tcW w:w="185" w:type="dxa"/>
            <w:tcBorders/>
            <w:shd w:fill="FFFFFF" w:val="clear"/>
            <w:vAlign w:val="bottom"/>
          </w:tcPr>
          <w:p>
            <w:pPr>
              <w:pStyle w:val="TableContents"/>
              <w:spacing w:before="0" w:after="283"/>
              <w:jc w:val="left"/>
              <w:rPr/>
            </w:pPr>
            <w:r>
              <w:rPr/>
              <w:t xml:space="preserve">  </w:t>
            </w:r>
          </w:p>
        </w:tc>
      </w:tr>
      <w:tr>
        <w:trPr/>
        <w:tc>
          <w:tcPr>
            <w:tcW w:w="4247" w:type="dxa"/>
            <w:tcBorders/>
            <w:shd w:fill="FFFFFF" w:val="cle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2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7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04" w:type="dxa"/>
            <w:tcBorders/>
            <w:shd w:fill="FFFFFF" w:val="clear"/>
            <w:vAlign w:val="bottom"/>
          </w:tcPr>
          <w:p>
            <w:pPr>
              <w:pStyle w:val="TableContents"/>
              <w:spacing w:before="0" w:after="283"/>
              <w:rPr/>
            </w:pPr>
            <w:r>
              <w:rPr/>
              <w:t xml:space="preserve">  </w:t>
            </w:r>
          </w:p>
        </w:tc>
        <w:tc>
          <w:tcPr>
            <w:tcW w:w="226" w:type="dxa"/>
            <w:tcBorders/>
            <w:shd w:fill="FFFFFF" w:val="clear"/>
            <w:vAlign w:val="bottom"/>
          </w:tcPr>
          <w:p>
            <w:pPr>
              <w:pStyle w:val="TableContents"/>
              <w:spacing w:before="0" w:after="283"/>
              <w:rPr/>
            </w:pPr>
            <w:r>
              <w:rPr/>
              <w:t xml:space="preserve">  </w:t>
            </w:r>
          </w:p>
        </w:tc>
        <w:tc>
          <w:tcPr>
            <w:tcW w:w="24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7" w:type="dxa"/>
            <w:tcBorders/>
            <w:shd w:fill="FFFFFF" w:val="clear"/>
            <w:vAlign w:val="bottom"/>
          </w:tcPr>
          <w:p>
            <w:pPr>
              <w:pStyle w:val="TableContents"/>
              <w:spacing w:before="0" w:after="283"/>
              <w:rPr/>
            </w:pPr>
            <w:r>
              <w:rPr/>
              <w:t xml:space="preserve">  </w:t>
            </w:r>
          </w:p>
        </w:tc>
        <w:tc>
          <w:tcPr>
            <w:tcW w:w="216" w:type="dxa"/>
            <w:tcBorders/>
            <w:shd w:fill="FFFFFF" w:val="clear"/>
            <w:vAlign w:val="bottom"/>
          </w:tcPr>
          <w:p>
            <w:pPr>
              <w:pStyle w:val="TableContents"/>
              <w:spacing w:before="0" w:after="283"/>
              <w:rPr/>
            </w:pPr>
            <w:r>
              <w:rPr/>
              <w:t xml:space="preserve">  </w:t>
            </w:r>
          </w:p>
        </w:tc>
        <w:tc>
          <w:tcPr>
            <w:tcW w:w="2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98" w:type="dxa"/>
            <w:tcBorders/>
            <w:shd w:fill="FFFFFF" w:val="clear"/>
            <w:vAlign w:val="bottom"/>
          </w:tcPr>
          <w:p>
            <w:pPr>
              <w:pStyle w:val="TableContents"/>
              <w:spacing w:before="0" w:after="283"/>
              <w:rPr/>
            </w:pPr>
            <w:r>
              <w:rPr/>
              <w:t xml:space="preserve">  </w:t>
            </w:r>
          </w:p>
        </w:tc>
        <w:tc>
          <w:tcPr>
            <w:tcW w:w="224" w:type="dxa"/>
            <w:tcBorders/>
            <w:shd w:fill="FFFFFF" w:val="clear"/>
            <w:vAlign w:val="bottom"/>
          </w:tcPr>
          <w:p>
            <w:pPr>
              <w:pStyle w:val="TableContents"/>
              <w:spacing w:before="0" w:after="283"/>
              <w:rPr/>
            </w:pPr>
            <w:r>
              <w:rPr/>
              <w:t xml:space="preserve">  </w:t>
            </w:r>
          </w:p>
        </w:tc>
        <w:tc>
          <w:tcPr>
            <w:tcW w:w="23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5"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p>
      <w:pPr>
        <w:pStyle w:val="TextBody"/>
        <w:spacing w:before="120" w:after="283"/>
        <w:rPr/>
      </w:pPr>
      <w:r>
        <w:rPr/>
        <w:t> </w:t>
      </w:r>
    </w:p>
    <w:tbl>
      <w:tblPr>
        <w:tblW w:w="5000" w:type="pct"/>
        <w:jc w:val="center"/>
        <w:tblInd w:w="0" w:type="dxa"/>
        <w:shd w:fill="FFFFFF" w:val="clear"/>
        <w:tblCellMar>
          <w:top w:w="0" w:type="dxa"/>
          <w:left w:w="0" w:type="dxa"/>
          <w:bottom w:w="0" w:type="dxa"/>
          <w:right w:w="0" w:type="dxa"/>
        </w:tblCellMar>
      </w:tblPr>
      <w:tblGrid>
        <w:gridCol w:w="4566"/>
        <w:gridCol w:w="282"/>
        <w:gridCol w:w="214"/>
        <w:gridCol w:w="623"/>
        <w:gridCol w:w="179"/>
        <w:gridCol w:w="282"/>
        <w:gridCol w:w="214"/>
        <w:gridCol w:w="623"/>
        <w:gridCol w:w="179"/>
        <w:gridCol w:w="281"/>
        <w:gridCol w:w="264"/>
        <w:gridCol w:w="766"/>
        <w:gridCol w:w="217"/>
        <w:gridCol w:w="297"/>
        <w:gridCol w:w="264"/>
        <w:gridCol w:w="767"/>
        <w:gridCol w:w="187"/>
      </w:tblGrid>
      <w:tr>
        <w:trPr/>
        <w:tc>
          <w:tcPr>
            <w:tcW w:w="4566" w:type="dxa"/>
            <w:tcBorders/>
            <w:shd w:fill="FFFFFF" w:val="clear"/>
            <w:vAlign w:val="bottom"/>
          </w:tcPr>
          <w:p>
            <w:pPr>
              <w:pStyle w:val="TableContents"/>
              <w:spacing w:before="0" w:after="283"/>
              <w:rPr/>
            </w:pPr>
            <w:r>
              <w:rPr/>
              <w:t> </w:t>
            </w:r>
          </w:p>
        </w:tc>
        <w:tc>
          <w:tcPr>
            <w:tcW w:w="28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282"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23"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281" w:type="dxa"/>
            <w:tcBorders/>
            <w:shd w:fill="FFFFFF" w:val="clear"/>
            <w:vAlign w:val="bottom"/>
          </w:tcPr>
          <w:p>
            <w:pPr>
              <w:pStyle w:val="TableContents"/>
              <w:spacing w:before="0" w:after="283"/>
              <w:rPr/>
            </w:pPr>
            <w:r>
              <w:rPr/>
              <w:t> </w:t>
            </w:r>
          </w:p>
        </w:tc>
        <w:tc>
          <w:tcPr>
            <w:tcW w:w="264" w:type="dxa"/>
            <w:tcBorders/>
            <w:shd w:fill="FFFFFF" w:val="clear"/>
            <w:vAlign w:val="bottom"/>
          </w:tcPr>
          <w:p>
            <w:pPr>
              <w:pStyle w:val="TableContents"/>
              <w:spacing w:before="0" w:after="283"/>
              <w:jc w:val="right"/>
              <w:rPr/>
            </w:pPr>
            <w:r>
              <w:rPr/>
              <w:t> </w:t>
            </w:r>
          </w:p>
        </w:tc>
        <w:tc>
          <w:tcPr>
            <w:tcW w:w="766" w:type="dxa"/>
            <w:tcBorders/>
            <w:shd w:fill="FFFFFF" w:val="clear"/>
            <w:vAlign w:val="bottom"/>
          </w:tcPr>
          <w:p>
            <w:pPr>
              <w:pStyle w:val="TableContents"/>
              <w:spacing w:before="0" w:after="283"/>
              <w:jc w:val="right"/>
              <w:rPr/>
            </w:pPr>
            <w:r>
              <w:rPr/>
              <w:t> </w:t>
            </w:r>
          </w:p>
        </w:tc>
        <w:tc>
          <w:tcPr>
            <w:tcW w:w="217" w:type="dxa"/>
            <w:tcBorders/>
            <w:shd w:fill="FFFFFF" w:val="clear"/>
            <w:vAlign w:val="bottom"/>
          </w:tcPr>
          <w:p>
            <w:pPr>
              <w:pStyle w:val="TableContents"/>
              <w:spacing w:before="0" w:after="283"/>
              <w:jc w:val="left"/>
              <w:rPr/>
            </w:pPr>
            <w:r>
              <w:rPr/>
              <w:t> </w:t>
            </w:r>
          </w:p>
        </w:tc>
        <w:tc>
          <w:tcPr>
            <w:tcW w:w="297" w:type="dxa"/>
            <w:tcBorders/>
            <w:shd w:fill="FFFFFF" w:val="clear"/>
            <w:vAlign w:val="bottom"/>
          </w:tcPr>
          <w:p>
            <w:pPr>
              <w:pStyle w:val="TableContents"/>
              <w:spacing w:before="0" w:after="283"/>
              <w:rPr/>
            </w:pPr>
            <w:r>
              <w:rPr/>
              <w:t> </w:t>
            </w:r>
          </w:p>
        </w:tc>
        <w:tc>
          <w:tcPr>
            <w:tcW w:w="264" w:type="dxa"/>
            <w:tcBorders/>
            <w:shd w:fill="FFFFFF" w:val="clear"/>
            <w:vAlign w:val="bottom"/>
          </w:tcPr>
          <w:p>
            <w:pPr>
              <w:pStyle w:val="TableContents"/>
              <w:spacing w:before="0" w:after="283"/>
              <w:jc w:val="right"/>
              <w:rPr/>
            </w:pPr>
            <w:r>
              <w:rPr/>
              <w:t> </w:t>
            </w:r>
          </w:p>
        </w:tc>
        <w:tc>
          <w:tcPr>
            <w:tcW w:w="767" w:type="dxa"/>
            <w:tcBorders/>
            <w:shd w:fill="FFFFFF" w:val="clear"/>
            <w:vAlign w:val="bottom"/>
          </w:tcPr>
          <w:p>
            <w:pPr>
              <w:pStyle w:val="TableContents"/>
              <w:spacing w:before="0" w:after="283"/>
              <w:jc w:val="right"/>
              <w:rPr/>
            </w:pPr>
            <w:r>
              <w:rPr/>
              <w:t> </w:t>
            </w:r>
          </w:p>
        </w:tc>
        <w:tc>
          <w:tcPr>
            <w:tcW w:w="187" w:type="dxa"/>
            <w:tcBorders/>
            <w:shd w:fill="FFFFFF" w:val="clear"/>
            <w:vAlign w:val="bottom"/>
          </w:tcPr>
          <w:p>
            <w:pPr>
              <w:pStyle w:val="TableContents"/>
              <w:spacing w:before="0" w:after="283"/>
              <w:jc w:val="left"/>
              <w:rPr/>
            </w:pPr>
            <w:r>
              <w:rPr/>
              <w:t> </w:t>
            </w:r>
          </w:p>
        </w:tc>
      </w:tr>
      <w:tr>
        <w:trPr/>
        <w:tc>
          <w:tcPr>
            <w:tcW w:w="4566" w:type="dxa"/>
            <w:tcBorders/>
            <w:shd w:fill="FFFFFF" w:val="clear"/>
            <w:vAlign w:val="bottom"/>
          </w:tcPr>
          <w:p>
            <w:pPr>
              <w:pStyle w:val="TableContents"/>
              <w:spacing w:before="0" w:after="283"/>
              <w:jc w:val="center"/>
              <w:rPr/>
            </w:pPr>
            <w:r>
              <w:rPr/>
              <w:t xml:space="preserve">  </w:t>
            </w:r>
          </w:p>
        </w:tc>
        <w:tc>
          <w:tcPr>
            <w:tcW w:w="282" w:type="dxa"/>
            <w:tcBorders/>
            <w:shd w:fill="FFFFFF" w:val="clear"/>
            <w:vAlign w:val="bottom"/>
          </w:tcPr>
          <w:p>
            <w:pPr>
              <w:pStyle w:val="TableContents"/>
              <w:spacing w:before="0" w:after="283"/>
              <w:jc w:val="center"/>
              <w:rPr/>
            </w:pPr>
            <w:r>
              <w:rPr/>
              <w:t xml:space="preserve">  </w:t>
            </w:r>
          </w:p>
        </w:tc>
        <w:tc>
          <w:tcPr>
            <w:tcW w:w="2135" w:type="dxa"/>
            <w:gridSpan w:val="6"/>
            <w:tcBorders/>
            <w:shd w:fill="FFFFFF" w:val="clear"/>
            <w:vAlign w:val="bottom"/>
          </w:tcPr>
          <w:p>
            <w:pPr>
              <w:pStyle w:val="TableContents"/>
              <w:spacing w:before="0" w:after="283"/>
              <w:jc w:val="center"/>
              <w:rPr>
                <w:b/>
              </w:rPr>
            </w:pPr>
            <w:r>
              <w:rPr>
                <w:b/>
              </w:rPr>
              <w:t>Three Months</w:t>
            </w:r>
          </w:p>
        </w:tc>
        <w:tc>
          <w:tcPr>
            <w:tcW w:w="179"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2575" w:type="dxa"/>
            <w:gridSpan w:val="6"/>
            <w:tcBorders/>
            <w:shd w:fill="FFFFFF" w:val="clear"/>
            <w:vAlign w:val="bottom"/>
          </w:tcPr>
          <w:p>
            <w:pPr>
              <w:pStyle w:val="TableContents"/>
              <w:spacing w:before="0" w:after="283"/>
              <w:jc w:val="center"/>
              <w:rPr/>
            </w:pP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282" w:type="dxa"/>
            <w:tcBorders/>
            <w:shd w:fill="FFFFFF" w:val="clear"/>
            <w:vAlign w:val="bottom"/>
          </w:tcPr>
          <w:p>
            <w:pPr>
              <w:pStyle w:val="TableContents"/>
              <w:spacing w:before="0" w:after="283"/>
              <w:jc w:val="center"/>
              <w:rPr/>
            </w:pPr>
            <w:r>
              <w:rPr/>
              <w:t xml:space="preserve">  </w:t>
            </w:r>
          </w:p>
        </w:tc>
        <w:tc>
          <w:tcPr>
            <w:tcW w:w="2135" w:type="dxa"/>
            <w:gridSpan w:val="6"/>
            <w:tcBorders/>
            <w:shd w:fill="FFFFFF" w:val="clear"/>
            <w:vAlign w:val="bottom"/>
          </w:tcPr>
          <w:p>
            <w:pPr>
              <w:pStyle w:val="TableContents"/>
              <w:spacing w:before="0" w:after="283"/>
              <w:jc w:val="center"/>
              <w:rPr>
                <w:b/>
              </w:rPr>
            </w:pPr>
            <w:r>
              <w:rPr>
                <w:b/>
              </w:rPr>
              <w:t>Ended</w:t>
            </w:r>
          </w:p>
        </w:tc>
        <w:tc>
          <w:tcPr>
            <w:tcW w:w="179"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2575" w:type="dxa"/>
            <w:gridSpan w:val="6"/>
            <w:tcBorders/>
            <w:shd w:fill="FFFFFF" w:val="clear"/>
            <w:vAlign w:val="bottom"/>
          </w:tcPr>
          <w:p>
            <w:pPr>
              <w:pStyle w:val="TableContents"/>
              <w:spacing w:before="0" w:after="283"/>
              <w:jc w:val="center"/>
              <w:rPr>
                <w:b/>
              </w:rPr>
            </w:pPr>
            <w:r>
              <w:rPr>
                <w:b/>
              </w:rPr>
              <w:t>Twelve Months Ended</w:t>
            </w:r>
          </w:p>
        </w:tc>
        <w:tc>
          <w:tcPr>
            <w:tcW w:w="187"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center"/>
              <w:rPr/>
            </w:pPr>
            <w:r>
              <w:rPr/>
              <w:t xml:space="preserve">  </w:t>
            </w:r>
          </w:p>
        </w:tc>
        <w:tc>
          <w:tcPr>
            <w:tcW w:w="282" w:type="dxa"/>
            <w:tcBorders/>
            <w:shd w:fill="FFFFFF" w:val="clear"/>
            <w:vAlign w:val="bottom"/>
          </w:tcPr>
          <w:p>
            <w:pPr>
              <w:pStyle w:val="TableContents"/>
              <w:spacing w:before="0" w:after="283"/>
              <w:jc w:val="center"/>
              <w:rPr/>
            </w:pPr>
            <w:r>
              <w:rPr/>
              <w:t xml:space="preserve">  </w:t>
            </w:r>
          </w:p>
        </w:tc>
        <w:tc>
          <w:tcPr>
            <w:tcW w:w="213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2575"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jc w:val="center"/>
              <w:rPr/>
            </w:pPr>
            <w:r>
              <w:rPr/>
              <w:t xml:space="preserve">  </w:t>
            </w:r>
          </w:p>
        </w:tc>
        <w:tc>
          <w:tcPr>
            <w:tcW w:w="83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82" w:type="dxa"/>
            <w:tcBorders/>
            <w:shd w:fill="FFFFFF" w:val="clear"/>
            <w:vAlign w:val="bottom"/>
          </w:tcPr>
          <w:p>
            <w:pPr>
              <w:pStyle w:val="TableContents"/>
              <w:spacing w:before="0" w:after="283"/>
              <w:jc w:val="center"/>
              <w:rPr/>
            </w:pPr>
            <w:r>
              <w:rPr/>
              <w:t xml:space="preserve">  </w:t>
            </w:r>
          </w:p>
        </w:tc>
        <w:tc>
          <w:tcPr>
            <w:tcW w:w="83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79" w:type="dxa"/>
            <w:tcBorders/>
            <w:shd w:fill="FFFFFF" w:val="clear"/>
            <w:vAlign w:val="bottom"/>
          </w:tcPr>
          <w:p>
            <w:pPr>
              <w:pStyle w:val="TableContents"/>
              <w:spacing w:before="0" w:after="283"/>
              <w:jc w:val="center"/>
              <w:rPr/>
            </w:pPr>
            <w:r>
              <w:rPr/>
              <w:t xml:space="preserve">  </w:t>
            </w:r>
          </w:p>
        </w:tc>
        <w:tc>
          <w:tcPr>
            <w:tcW w:w="281" w:type="dxa"/>
            <w:tcBorders/>
            <w:shd w:fill="FFFFFF" w:val="clear"/>
            <w:vAlign w:val="bottom"/>
          </w:tcPr>
          <w:p>
            <w:pPr>
              <w:pStyle w:val="TableContents"/>
              <w:spacing w:before="0" w:after="283"/>
              <w:jc w:val="center"/>
              <w:rPr/>
            </w:pPr>
            <w:r>
              <w:rPr/>
              <w:t xml:space="preserve">  </w:t>
            </w:r>
          </w:p>
        </w:tc>
        <w:tc>
          <w:tcPr>
            <w:tcW w:w="1030"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217" w:type="dxa"/>
            <w:tcBorders/>
            <w:shd w:fill="FFFFFF" w:val="clear"/>
            <w:vAlign w:val="bottom"/>
          </w:tcPr>
          <w:p>
            <w:pPr>
              <w:pStyle w:val="TableContents"/>
              <w:spacing w:before="0" w:after="283"/>
              <w:jc w:val="center"/>
              <w:rPr/>
            </w:pPr>
            <w:r>
              <w:rPr/>
              <w:t xml:space="preserve">  </w:t>
            </w:r>
          </w:p>
        </w:tc>
        <w:tc>
          <w:tcPr>
            <w:tcW w:w="297" w:type="dxa"/>
            <w:tcBorders/>
            <w:shd w:fill="FFFFFF" w:val="clear"/>
            <w:vAlign w:val="bottom"/>
          </w:tcPr>
          <w:p>
            <w:pPr>
              <w:pStyle w:val="TableContents"/>
              <w:spacing w:before="0" w:after="283"/>
              <w:jc w:val="center"/>
              <w:rPr/>
            </w:pPr>
            <w:r>
              <w:rPr/>
              <w:t xml:space="preserve">  </w:t>
            </w:r>
          </w:p>
        </w:tc>
        <w:tc>
          <w:tcPr>
            <w:tcW w:w="103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87" w:type="dxa"/>
            <w:tcBorders/>
            <w:shd w:fill="FFFFFF" w:val="clear"/>
            <w:vAlign w:val="bottom"/>
          </w:tcPr>
          <w:p>
            <w:pPr>
              <w:pStyle w:val="TableContents"/>
              <w:spacing w:before="0" w:after="283"/>
              <w:jc w:val="center"/>
              <w:rPr/>
            </w:pPr>
            <w:r>
              <w:rPr/>
              <w:t xml:space="preserve">  </w:t>
            </w:r>
          </w:p>
        </w:tc>
      </w:tr>
      <w:tr>
        <w:trPr/>
        <w:tc>
          <w:tcPr>
            <w:tcW w:w="4566" w:type="dxa"/>
            <w:tcBorders/>
            <w:shd w:fill="FFFFFF" w:val="clear"/>
            <w:vAlign w:val="center"/>
          </w:tcPr>
          <w:p>
            <w:pPr>
              <w:pStyle w:val="TableContents"/>
              <w:spacing w:before="0" w:after="283"/>
              <w:rPr/>
            </w:pPr>
            <w:r>
              <w:rPr/>
              <w:t xml:space="preserve">  </w:t>
            </w:r>
          </w:p>
        </w:tc>
        <w:tc>
          <w:tcPr>
            <w:tcW w:w="5639" w:type="dxa"/>
            <w:gridSpan w:val="16"/>
            <w:tcBorders/>
            <w:shd w:fill="FFFFFF" w:val="clear"/>
          </w:tcPr>
          <w:p>
            <w:pPr>
              <w:pStyle w:val="TableContents"/>
              <w:spacing w:before="0" w:after="283"/>
              <w:rPr>
                <w:sz w:val="4"/>
                <w:szCs w:val="4"/>
              </w:rPr>
            </w:pPr>
            <w:r>
              <w:rPr>
                <w:sz w:val="4"/>
                <w:szCs w:val="4"/>
              </w:rPr>
            </w:r>
          </w:p>
        </w:tc>
      </w:tr>
      <w:tr>
        <w:trPr/>
        <w:tc>
          <w:tcPr>
            <w:tcW w:w="4566" w:type="dxa"/>
            <w:tcBorders/>
            <w:shd w:fill="CCEEFF" w:val="clear"/>
            <w:vAlign w:val="bottom"/>
          </w:tcPr>
          <w:p>
            <w:pPr>
              <w:pStyle w:val="TableContents"/>
              <w:spacing w:before="0" w:after="0"/>
              <w:ind w:left="200" w:right="0" w:hanging="200"/>
              <w:jc w:val="left"/>
              <w:rPr/>
            </w:pPr>
            <w:r>
              <w:rPr>
                <w:b/>
                <w:sz w:val="17"/>
              </w:rPr>
              <w:t>Selected items impacting comparability</w:t>
            </w: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6" w:type="dxa"/>
            <w:tcBorders/>
            <w:shd w:fill="CCEEFF" w:val="clear"/>
            <w:vAlign w:val="bottom"/>
          </w:tcPr>
          <w:p>
            <w:pPr>
              <w:pStyle w:val="TableContents"/>
              <w:spacing w:before="0" w:after="283"/>
              <w:jc w:val="right"/>
              <w:rPr/>
            </w:pPr>
            <w:r>
              <w:rPr/>
              <w:t xml:space="preserve">  </w:t>
            </w:r>
          </w:p>
        </w:tc>
        <w:tc>
          <w:tcPr>
            <w:tcW w:w="217"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7"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LTIP charge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(15.6 </w:t>
            </w:r>
          </w:p>
        </w:tc>
        <w:tc>
          <w:tcPr>
            <w:tcW w:w="179"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(9.3 </w:t>
            </w:r>
          </w:p>
        </w:tc>
        <w:tc>
          <w:tcPr>
            <w:tcW w:w="179"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6" w:type="dxa"/>
            <w:tcBorders/>
            <w:shd w:fill="FFFFFF" w:val="clear"/>
            <w:vAlign w:val="bottom"/>
          </w:tcPr>
          <w:p>
            <w:pPr>
              <w:pStyle w:val="TableContents"/>
              <w:spacing w:before="0" w:after="283"/>
              <w:jc w:val="right"/>
              <w:rPr/>
            </w:pPr>
            <w:r>
              <w:rPr/>
              <w:t xml:space="preserve">(42.7 </w:t>
            </w:r>
          </w:p>
        </w:tc>
        <w:tc>
          <w:tcPr>
            <w:tcW w:w="217"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7" w:type="dxa"/>
            <w:tcBorders/>
            <w:shd w:fill="FFFFFF" w:val="clear"/>
            <w:vAlign w:val="bottom"/>
          </w:tcPr>
          <w:p>
            <w:pPr>
              <w:pStyle w:val="TableContents"/>
              <w:spacing w:before="0" w:after="283"/>
              <w:jc w:val="right"/>
              <w:rPr/>
            </w:pPr>
            <w:r>
              <w:rPr/>
              <w:t xml:space="preserve">(26.1 </w:t>
            </w:r>
          </w:p>
        </w:tc>
        <w:tc>
          <w:tcPr>
            <w:tcW w:w="187"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Cumulative effect of change in accounting principle  LTIP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 </w:t>
            </w:r>
          </w:p>
        </w:tc>
        <w:tc>
          <w:tcPr>
            <w:tcW w:w="179"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6" w:type="dxa"/>
            <w:tcBorders/>
            <w:shd w:fill="CCEEFF" w:val="clear"/>
            <w:vAlign w:val="bottom"/>
          </w:tcPr>
          <w:p>
            <w:pPr>
              <w:pStyle w:val="TableContents"/>
              <w:spacing w:before="0" w:after="283"/>
              <w:jc w:val="right"/>
              <w:rPr/>
            </w:pPr>
            <w:r>
              <w:rPr/>
              <w:t xml:space="preserve">6.3 </w:t>
            </w:r>
          </w:p>
        </w:tc>
        <w:tc>
          <w:tcPr>
            <w:tcW w:w="217"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7" w:type="dxa"/>
            <w:tcBorders/>
            <w:shd w:fill="CCEEFF" w:val="clear"/>
            <w:vAlign w:val="bottom"/>
          </w:tcPr>
          <w:p>
            <w:pPr>
              <w:pStyle w:val="TableContents"/>
              <w:spacing w:before="0" w:after="283"/>
              <w:jc w:val="right"/>
              <w:rPr/>
            </w:pPr>
            <w:r>
              <w:rPr/>
              <w:t xml:space="preserve"> </w:t>
            </w:r>
          </w:p>
        </w:tc>
        <w:tc>
          <w:tcPr>
            <w:tcW w:w="187"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Loss on foreign currency revaluation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 </w:t>
            </w:r>
          </w:p>
        </w:tc>
        <w:tc>
          <w:tcPr>
            <w:tcW w:w="179"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(0.7 </w:t>
            </w:r>
          </w:p>
        </w:tc>
        <w:tc>
          <w:tcPr>
            <w:tcW w:w="179"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6" w:type="dxa"/>
            <w:tcBorders/>
            <w:shd w:fill="FFFFFF" w:val="clear"/>
            <w:vAlign w:val="bottom"/>
          </w:tcPr>
          <w:p>
            <w:pPr>
              <w:pStyle w:val="TableContents"/>
              <w:spacing w:before="0" w:after="283"/>
              <w:jc w:val="right"/>
              <w:rPr/>
            </w:pPr>
            <w:r>
              <w:rPr/>
              <w:t xml:space="preserve"> </w:t>
            </w:r>
          </w:p>
        </w:tc>
        <w:tc>
          <w:tcPr>
            <w:tcW w:w="217"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7" w:type="dxa"/>
            <w:tcBorders/>
            <w:shd w:fill="FFFFFF" w:val="clear"/>
            <w:vAlign w:val="bottom"/>
          </w:tcPr>
          <w:p>
            <w:pPr>
              <w:pStyle w:val="TableContents"/>
              <w:spacing w:before="0" w:after="283"/>
              <w:jc w:val="right"/>
              <w:rPr/>
            </w:pPr>
            <w:r>
              <w:rPr/>
              <w:t xml:space="preserve">(2.1 </w:t>
            </w:r>
          </w:p>
        </w:tc>
        <w:tc>
          <w:tcPr>
            <w:tcW w:w="187"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SFAS 133 mark-to-market adjustment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(19.2 </w:t>
            </w:r>
          </w:p>
        </w:tc>
        <w:tc>
          <w:tcPr>
            <w:tcW w:w="179" w:type="dxa"/>
            <w:tcBorders/>
            <w:shd w:fill="CCEEFF" w:val="clear"/>
            <w:vAlign w:val="bottom"/>
          </w:tcPr>
          <w:p>
            <w:pPr>
              <w:pStyle w:val="TableContents"/>
              <w:spacing w:before="0" w:after="283"/>
              <w:jc w:val="left"/>
              <w:rPr/>
            </w:pP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1.1 </w:t>
            </w:r>
          </w:p>
        </w:tc>
        <w:tc>
          <w:tcPr>
            <w:tcW w:w="179"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6" w:type="dxa"/>
            <w:tcBorders/>
            <w:shd w:fill="CCEEFF" w:val="clear"/>
            <w:vAlign w:val="bottom"/>
          </w:tcPr>
          <w:p>
            <w:pPr>
              <w:pStyle w:val="TableContents"/>
              <w:spacing w:before="0" w:after="283"/>
              <w:jc w:val="right"/>
              <w:rPr/>
            </w:pPr>
            <w:r>
              <w:rPr/>
              <w:t xml:space="preserve">(4.4 </w:t>
            </w:r>
          </w:p>
        </w:tc>
        <w:tc>
          <w:tcPr>
            <w:tcW w:w="217"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7" w:type="dxa"/>
            <w:tcBorders/>
            <w:shd w:fill="CCEEFF" w:val="clear"/>
            <w:vAlign w:val="bottom"/>
          </w:tcPr>
          <w:p>
            <w:pPr>
              <w:pStyle w:val="TableContents"/>
              <w:spacing w:before="0" w:after="283"/>
              <w:jc w:val="right"/>
              <w:rPr/>
            </w:pPr>
            <w:r>
              <w:rPr/>
              <w:t xml:space="preserve">(18.9 </w:t>
            </w:r>
          </w:p>
        </w:tc>
        <w:tc>
          <w:tcPr>
            <w:tcW w:w="187"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(34.8 </w:t>
            </w:r>
          </w:p>
        </w:tc>
        <w:tc>
          <w:tcPr>
            <w:tcW w:w="179"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(8.9 </w:t>
            </w:r>
          </w:p>
        </w:tc>
        <w:tc>
          <w:tcPr>
            <w:tcW w:w="179"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6" w:type="dxa"/>
            <w:tcBorders/>
            <w:shd w:fill="FFFFFF" w:val="clear"/>
            <w:vAlign w:val="bottom"/>
          </w:tcPr>
          <w:p>
            <w:pPr>
              <w:pStyle w:val="TableContents"/>
              <w:spacing w:before="0" w:after="283"/>
              <w:jc w:val="right"/>
              <w:rPr/>
            </w:pPr>
            <w:r>
              <w:rPr/>
              <w:t xml:space="preserve">(40.8 </w:t>
            </w:r>
          </w:p>
        </w:tc>
        <w:tc>
          <w:tcPr>
            <w:tcW w:w="217"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7" w:type="dxa"/>
            <w:tcBorders/>
            <w:shd w:fill="FFFFFF" w:val="clear"/>
            <w:vAlign w:val="bottom"/>
          </w:tcPr>
          <w:p>
            <w:pPr>
              <w:pStyle w:val="TableContents"/>
              <w:spacing w:before="0" w:after="283"/>
              <w:jc w:val="right"/>
              <w:rPr/>
            </w:pPr>
            <w:r>
              <w:rPr/>
              <w:t xml:space="preserve">(47.1 </w:t>
            </w:r>
          </w:p>
        </w:tc>
        <w:tc>
          <w:tcPr>
            <w:tcW w:w="187" w:type="dxa"/>
            <w:tcBorders/>
            <w:shd w:fill="FFFFFF" w:val="clear"/>
            <w:vAlign w:val="bottom"/>
          </w:tcPr>
          <w:p>
            <w:pPr>
              <w:pStyle w:val="TableContents"/>
              <w:spacing w:before="0" w:after="283"/>
              <w:jc w:val="left"/>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GP 2% portion of selected items impacting comparability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0.7 </w:t>
            </w:r>
          </w:p>
        </w:tc>
        <w:tc>
          <w:tcPr>
            <w:tcW w:w="179" w:type="dxa"/>
            <w:tcBorders/>
            <w:shd w:fill="CCEEFF" w:val="clear"/>
            <w:vAlign w:val="bottom"/>
          </w:tcPr>
          <w:p>
            <w:pPr>
              <w:pStyle w:val="TableContents"/>
              <w:spacing w:before="0" w:after="283"/>
              <w:jc w:val="left"/>
              <w:rPr/>
            </w:pP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0.2 </w:t>
            </w:r>
          </w:p>
        </w:tc>
        <w:tc>
          <w:tcPr>
            <w:tcW w:w="179"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6" w:type="dxa"/>
            <w:tcBorders/>
            <w:shd w:fill="CCEEFF" w:val="clear"/>
            <w:vAlign w:val="bottom"/>
          </w:tcPr>
          <w:p>
            <w:pPr>
              <w:pStyle w:val="TableContents"/>
              <w:spacing w:before="0" w:after="283"/>
              <w:jc w:val="right"/>
              <w:rPr/>
            </w:pPr>
            <w:r>
              <w:rPr/>
              <w:t xml:space="preserve">0.8 </w:t>
            </w:r>
          </w:p>
        </w:tc>
        <w:tc>
          <w:tcPr>
            <w:tcW w:w="217"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7" w:type="dxa"/>
            <w:tcBorders/>
            <w:shd w:fill="CCEEFF" w:val="clear"/>
            <w:vAlign w:val="bottom"/>
          </w:tcPr>
          <w:p>
            <w:pPr>
              <w:pStyle w:val="TableContents"/>
              <w:spacing w:before="0" w:after="283"/>
              <w:jc w:val="right"/>
              <w:rPr/>
            </w:pPr>
            <w:r>
              <w:rPr/>
              <w:t xml:space="preserve">1.0 </w:t>
            </w:r>
          </w:p>
        </w:tc>
        <w:tc>
          <w:tcPr>
            <w:tcW w:w="187"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67"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LP 98% portion of selected items impacting comparability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(34.1 </w:t>
            </w:r>
          </w:p>
        </w:tc>
        <w:tc>
          <w:tcPr>
            <w:tcW w:w="179"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(8.7 </w:t>
            </w:r>
          </w:p>
        </w:tc>
        <w:tc>
          <w:tcPr>
            <w:tcW w:w="179"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6" w:type="dxa"/>
            <w:tcBorders/>
            <w:shd w:fill="FFFFFF" w:val="clear"/>
            <w:vAlign w:val="bottom"/>
          </w:tcPr>
          <w:p>
            <w:pPr>
              <w:pStyle w:val="TableContents"/>
              <w:spacing w:before="0" w:after="283"/>
              <w:jc w:val="right"/>
              <w:rPr/>
            </w:pPr>
            <w:r>
              <w:rPr/>
              <w:t xml:space="preserve">(40.0 </w:t>
            </w:r>
          </w:p>
        </w:tc>
        <w:tc>
          <w:tcPr>
            <w:tcW w:w="217"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7" w:type="dxa"/>
            <w:tcBorders/>
            <w:shd w:fill="FFFFFF" w:val="clear"/>
            <w:vAlign w:val="bottom"/>
          </w:tcPr>
          <w:p>
            <w:pPr>
              <w:pStyle w:val="TableContents"/>
              <w:spacing w:before="0" w:after="283"/>
              <w:jc w:val="right"/>
              <w:rPr/>
            </w:pPr>
            <w:r>
              <w:rPr/>
              <w:t xml:space="preserve">(46.1 </w:t>
            </w:r>
          </w:p>
        </w:tc>
        <w:tc>
          <w:tcPr>
            <w:tcW w:w="187" w:type="dxa"/>
            <w:tcBorders/>
            <w:shd w:fill="FFFF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566" w:type="dxa"/>
            <w:tcBorders/>
            <w:shd w:fill="CCEEFF" w:val="clear"/>
            <w:vAlign w:val="bottom"/>
          </w:tcPr>
          <w:p>
            <w:pPr>
              <w:pStyle w:val="TableContents"/>
              <w:spacing w:before="0" w:after="0"/>
              <w:ind w:left="200" w:right="0" w:hanging="200"/>
              <w:jc w:val="left"/>
              <w:rPr>
                <w:sz w:val="17"/>
              </w:rPr>
            </w:pPr>
            <w:r>
              <w:rPr>
                <w:sz w:val="17"/>
              </w:rPr>
              <w:t xml:space="preserve">Impact to basic net income per limited partner unit(1)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(0.37 </w:t>
            </w:r>
          </w:p>
        </w:tc>
        <w:tc>
          <w:tcPr>
            <w:tcW w:w="179" w:type="dxa"/>
            <w:tcBorders/>
            <w:shd w:fill="CCEEFF" w:val="clear"/>
            <w:vAlign w:val="bottom"/>
          </w:tcPr>
          <w:p>
            <w:pPr>
              <w:pStyle w:val="TableContents"/>
              <w:spacing w:before="0" w:after="283"/>
              <w:jc w:val="left"/>
              <w:rPr/>
            </w:pPr>
            <w:r>
              <w:rPr/>
              <w:t xml:space="preserve">) </w:t>
            </w:r>
          </w:p>
        </w:tc>
        <w:tc>
          <w:tcPr>
            <w:tcW w:w="282"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23" w:type="dxa"/>
            <w:tcBorders/>
            <w:shd w:fill="CCEEFF" w:val="clear"/>
            <w:vAlign w:val="bottom"/>
          </w:tcPr>
          <w:p>
            <w:pPr>
              <w:pStyle w:val="TableContents"/>
              <w:spacing w:before="0" w:after="283"/>
              <w:jc w:val="right"/>
              <w:rPr/>
            </w:pPr>
            <w:r>
              <w:rPr/>
              <w:t xml:space="preserve">(0.12 </w:t>
            </w:r>
          </w:p>
        </w:tc>
        <w:tc>
          <w:tcPr>
            <w:tcW w:w="179" w:type="dxa"/>
            <w:tcBorders/>
            <w:shd w:fill="CCEEFF" w:val="clear"/>
            <w:vAlign w:val="bottom"/>
          </w:tcPr>
          <w:p>
            <w:pPr>
              <w:pStyle w:val="TableContents"/>
              <w:spacing w:before="0" w:after="283"/>
              <w:jc w:val="left"/>
              <w:rPr/>
            </w:pPr>
            <w:r>
              <w:rPr/>
              <w:t xml:space="preserve">) </w:t>
            </w:r>
          </w:p>
        </w:tc>
        <w:tc>
          <w:tcPr>
            <w:tcW w:w="281"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6" w:type="dxa"/>
            <w:tcBorders/>
            <w:shd w:fill="CCEEFF" w:val="clear"/>
            <w:vAlign w:val="bottom"/>
          </w:tcPr>
          <w:p>
            <w:pPr>
              <w:pStyle w:val="TableContents"/>
              <w:spacing w:before="0" w:after="283"/>
              <w:jc w:val="right"/>
              <w:rPr/>
            </w:pPr>
            <w:r>
              <w:rPr/>
              <w:t xml:space="preserve">(0.63 </w:t>
            </w:r>
          </w:p>
        </w:tc>
        <w:tc>
          <w:tcPr>
            <w:tcW w:w="217" w:type="dxa"/>
            <w:tcBorders/>
            <w:shd w:fill="CCEEFF" w:val="clear"/>
            <w:vAlign w:val="bottom"/>
          </w:tcPr>
          <w:p>
            <w:pPr>
              <w:pStyle w:val="TableContents"/>
              <w:spacing w:before="0" w:after="283"/>
              <w:jc w:val="left"/>
              <w:rPr/>
            </w:pPr>
            <w:r>
              <w:rPr/>
              <w:t xml:space="preserve">) </w:t>
            </w:r>
          </w:p>
        </w:tc>
        <w:tc>
          <w:tcPr>
            <w:tcW w:w="297" w:type="dxa"/>
            <w:tcBorders/>
            <w:shd w:fill="CCEEFF" w:val="clear"/>
            <w:vAlign w:val="bottom"/>
          </w:tcPr>
          <w:p>
            <w:pPr>
              <w:pStyle w:val="TableContents"/>
              <w:spacing w:before="0" w:after="283"/>
              <w:rPr/>
            </w:pPr>
            <w:r>
              <w:rPr/>
              <w:t xml:space="preserve">  </w:t>
            </w:r>
          </w:p>
        </w:tc>
        <w:tc>
          <w:tcPr>
            <w:tcW w:w="264" w:type="dxa"/>
            <w:tcBorders/>
            <w:shd w:fill="CCEEFF" w:val="clear"/>
            <w:vAlign w:val="bottom"/>
          </w:tcPr>
          <w:p>
            <w:pPr>
              <w:pStyle w:val="TableContents"/>
              <w:spacing w:before="0" w:after="283"/>
              <w:jc w:val="left"/>
              <w:rPr/>
            </w:pPr>
            <w:r>
              <w:rPr/>
              <w:t xml:space="preserve">$ </w:t>
            </w:r>
          </w:p>
        </w:tc>
        <w:tc>
          <w:tcPr>
            <w:tcW w:w="767" w:type="dxa"/>
            <w:tcBorders/>
            <w:shd w:fill="CCEEFF" w:val="clear"/>
            <w:vAlign w:val="bottom"/>
          </w:tcPr>
          <w:p>
            <w:pPr>
              <w:pStyle w:val="TableContents"/>
              <w:spacing w:before="0" w:after="283"/>
              <w:jc w:val="right"/>
              <w:rPr/>
            </w:pPr>
            <w:r>
              <w:rPr/>
              <w:t xml:space="preserve">(0.76 </w:t>
            </w:r>
          </w:p>
        </w:tc>
        <w:tc>
          <w:tcPr>
            <w:tcW w:w="187" w:type="dxa"/>
            <w:tcBorders/>
            <w:shd w:fill="CCEEFF" w:val="clear"/>
            <w:vAlign w:val="bottom"/>
          </w:tcPr>
          <w:p>
            <w:pPr>
              <w:pStyle w:val="TableContents"/>
              <w:spacing w:before="0" w:after="283"/>
              <w:jc w:val="left"/>
              <w:rPr/>
            </w:pPr>
            <w:r>
              <w:rPr/>
              <w:t xml:space="preserve">) </w:t>
            </w:r>
          </w:p>
        </w:tc>
      </w:tr>
      <w:tr>
        <w:trPr/>
        <w:tc>
          <w:tcPr>
            <w:tcW w:w="4566"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r>
        <w:trPr/>
        <w:tc>
          <w:tcPr>
            <w:tcW w:w="4566" w:type="dxa"/>
            <w:tcBorders/>
            <w:shd w:fill="FFFFFF" w:val="clear"/>
            <w:vAlign w:val="bottom"/>
          </w:tcPr>
          <w:p>
            <w:pPr>
              <w:pStyle w:val="TableContents"/>
              <w:spacing w:before="0" w:after="0"/>
              <w:ind w:left="200" w:right="0" w:hanging="200"/>
              <w:jc w:val="left"/>
              <w:rPr>
                <w:sz w:val="17"/>
              </w:rPr>
            </w:pPr>
            <w:r>
              <w:rPr>
                <w:sz w:val="17"/>
              </w:rPr>
              <w:t xml:space="preserve">Impact to diluted net income per limited partner unit(1)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(0.36 </w:t>
            </w:r>
          </w:p>
        </w:tc>
        <w:tc>
          <w:tcPr>
            <w:tcW w:w="179" w:type="dxa"/>
            <w:tcBorders/>
            <w:shd w:fill="FFFFFF" w:val="clear"/>
            <w:vAlign w:val="bottom"/>
          </w:tcPr>
          <w:p>
            <w:pPr>
              <w:pStyle w:val="TableContents"/>
              <w:spacing w:before="0" w:after="283"/>
              <w:jc w:val="left"/>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23" w:type="dxa"/>
            <w:tcBorders/>
            <w:shd w:fill="FFFFFF" w:val="clear"/>
            <w:vAlign w:val="bottom"/>
          </w:tcPr>
          <w:p>
            <w:pPr>
              <w:pStyle w:val="TableContents"/>
              <w:spacing w:before="0" w:after="283"/>
              <w:jc w:val="right"/>
              <w:rPr/>
            </w:pPr>
            <w:r>
              <w:rPr/>
              <w:t xml:space="preserve">(0.11 </w:t>
            </w:r>
          </w:p>
        </w:tc>
        <w:tc>
          <w:tcPr>
            <w:tcW w:w="179" w:type="dxa"/>
            <w:tcBorders/>
            <w:shd w:fill="FFFFFF" w:val="clear"/>
            <w:vAlign w:val="bottom"/>
          </w:tcPr>
          <w:p>
            <w:pPr>
              <w:pStyle w:val="TableContents"/>
              <w:spacing w:before="0" w:after="283"/>
              <w:jc w:val="left"/>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6" w:type="dxa"/>
            <w:tcBorders/>
            <w:shd w:fill="FFFFFF" w:val="clear"/>
            <w:vAlign w:val="bottom"/>
          </w:tcPr>
          <w:p>
            <w:pPr>
              <w:pStyle w:val="TableContents"/>
              <w:spacing w:before="0" w:after="283"/>
              <w:jc w:val="right"/>
              <w:rPr/>
            </w:pPr>
            <w:r>
              <w:rPr/>
              <w:t xml:space="preserve">(0.62 </w:t>
            </w:r>
          </w:p>
        </w:tc>
        <w:tc>
          <w:tcPr>
            <w:tcW w:w="217" w:type="dxa"/>
            <w:tcBorders/>
            <w:shd w:fill="FFFFFF" w:val="clear"/>
            <w:vAlign w:val="bottom"/>
          </w:tcPr>
          <w:p>
            <w:pPr>
              <w:pStyle w:val="TableContents"/>
              <w:spacing w:before="0" w:after="283"/>
              <w:jc w:val="left"/>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shd w:fill="FFFFFF" w:val="clear"/>
            <w:vAlign w:val="bottom"/>
          </w:tcPr>
          <w:p>
            <w:pPr>
              <w:pStyle w:val="TableContents"/>
              <w:spacing w:before="0" w:after="283"/>
              <w:jc w:val="left"/>
              <w:rPr/>
            </w:pPr>
            <w:r>
              <w:rPr/>
              <w:t xml:space="preserve">$ </w:t>
            </w:r>
          </w:p>
        </w:tc>
        <w:tc>
          <w:tcPr>
            <w:tcW w:w="767" w:type="dxa"/>
            <w:tcBorders/>
            <w:shd w:fill="FFFFFF" w:val="clear"/>
            <w:vAlign w:val="bottom"/>
          </w:tcPr>
          <w:p>
            <w:pPr>
              <w:pStyle w:val="TableContents"/>
              <w:spacing w:before="0" w:after="283"/>
              <w:jc w:val="right"/>
              <w:rPr/>
            </w:pPr>
            <w:r>
              <w:rPr/>
              <w:t xml:space="preserve">(0.75 </w:t>
            </w:r>
          </w:p>
        </w:tc>
        <w:tc>
          <w:tcPr>
            <w:tcW w:w="187" w:type="dxa"/>
            <w:tcBorders/>
            <w:shd w:fill="FFFFFF" w:val="clear"/>
            <w:vAlign w:val="bottom"/>
          </w:tcPr>
          <w:p>
            <w:pPr>
              <w:pStyle w:val="TableContents"/>
              <w:spacing w:before="0" w:after="283"/>
              <w:jc w:val="left"/>
              <w:rPr/>
            </w:pPr>
            <w:r>
              <w:rPr/>
              <w:t xml:space="preserve">) </w:t>
            </w:r>
          </w:p>
        </w:tc>
      </w:tr>
      <w:tr>
        <w:trPr/>
        <w:tc>
          <w:tcPr>
            <w:tcW w:w="456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2"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79" w:type="dxa"/>
            <w:tcBorders/>
            <w:shd w:fill="FFFFFF" w:val="clear"/>
            <w:vAlign w:val="bottom"/>
          </w:tcPr>
          <w:p>
            <w:pPr>
              <w:pStyle w:val="TableContents"/>
              <w:spacing w:before="0" w:after="283"/>
              <w:rPr/>
            </w:pPr>
            <w:r>
              <w:rPr/>
              <w:t xml:space="preserve">  </w:t>
            </w:r>
          </w:p>
        </w:tc>
        <w:tc>
          <w:tcPr>
            <w:tcW w:w="281"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217" w:type="dxa"/>
            <w:tcBorders/>
            <w:shd w:fill="FFFFFF" w:val="clear"/>
            <w:vAlign w:val="bottom"/>
          </w:tcPr>
          <w:p>
            <w:pPr>
              <w:pStyle w:val="TableContents"/>
              <w:spacing w:before="0" w:after="283"/>
              <w:rPr/>
            </w:pPr>
            <w:r>
              <w:rPr/>
              <w:t xml:space="preserve">  </w:t>
            </w:r>
          </w:p>
        </w:tc>
        <w:tc>
          <w:tcPr>
            <w:tcW w:w="297" w:type="dxa"/>
            <w:tcBorders/>
            <w:shd w:fill="FFFFFF" w:val="clear"/>
            <w:vAlign w:val="bottom"/>
          </w:tcPr>
          <w:p>
            <w:pPr>
              <w:pStyle w:val="TableContents"/>
              <w:spacing w:before="0" w:after="283"/>
              <w:rPr/>
            </w:pPr>
            <w:r>
              <w:rPr/>
              <w:t xml:space="preserve">  </w:t>
            </w:r>
          </w:p>
        </w:tc>
        <w:tc>
          <w:tcPr>
            <w:tcW w:w="26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67"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87" w:type="dxa"/>
            <w:tcBorders/>
            <w:shd w:fill="FFFFFF" w:val="clear"/>
            <w:vAlign w:val="bottom"/>
          </w:tcPr>
          <w:p>
            <w:pPr>
              <w:pStyle w:val="TableContents"/>
              <w:spacing w:before="0" w:after="283"/>
              <w:rPr/>
            </w:pPr>
            <w:r>
              <w:rPr/>
              <w:t xml:space="preserve">  </w:t>
            </w:r>
          </w:p>
        </w:tc>
      </w:tr>
    </w:tbl>
    <w:tbl>
      <w:tblPr>
        <w:tblW w:w="5000" w:type="pct"/>
        <w:jc w:val="left"/>
        <w:tblInd w:w="0" w:type="dxa"/>
        <w:shd w:fill="FFFFFF" w:val="clear"/>
        <w:tblCellMar>
          <w:top w:w="0" w:type="dxa"/>
          <w:left w:w="0" w:type="dxa"/>
          <w:bottom w:w="0" w:type="dxa"/>
          <w:right w:w="0" w:type="dxa"/>
        </w:tblCellMar>
      </w:tblPr>
      <w:tblGrid>
        <w:gridCol w:w="203"/>
        <w:gridCol w:w="102"/>
        <w:gridCol w:w="9900"/>
      </w:tblGrid>
      <w:tr>
        <w:trPr/>
        <w:tc>
          <w:tcPr>
            <w:tcW w:w="203" w:type="dxa"/>
            <w:tcBorders/>
            <w:shd w:fill="FFFFFF" w:val="clear"/>
            <w:vAlign w:val="center"/>
          </w:tcPr>
          <w:p>
            <w:pPr>
              <w:pStyle w:val="TableContents"/>
              <w:spacing w:before="0" w:after="283"/>
              <w:rPr>
                <w:sz w:val="4"/>
                <w:szCs w:val="4"/>
              </w:rPr>
            </w:pPr>
            <w:r>
              <w:rPr>
                <w:sz w:val="4"/>
                <w:szCs w:val="4"/>
              </w:rPr>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center"/>
          </w:tcPr>
          <w:p>
            <w:pPr>
              <w:pStyle w:val="TableContents"/>
              <w:spacing w:before="0" w:after="283"/>
              <w:rPr>
                <w:sz w:val="4"/>
                <w:szCs w:val="4"/>
              </w:rPr>
            </w:pPr>
            <w:r>
              <w:rPr>
                <w:sz w:val="4"/>
                <w:szCs w:val="4"/>
              </w:rPr>
            </w:r>
          </w:p>
        </w:tc>
      </w:tr>
      <w:tr>
        <w:trPr/>
        <w:tc>
          <w:tcPr>
            <w:tcW w:w="203" w:type="dxa"/>
            <w:tcBorders/>
            <w:shd w:fill="FFFFFF" w:val="clear"/>
          </w:tcPr>
          <w:p>
            <w:pPr>
              <w:pStyle w:val="TableContents"/>
              <w:spacing w:before="0" w:after="283"/>
              <w:jc w:val="right"/>
              <w:rPr>
                <w:sz w:val="13"/>
              </w:rPr>
            </w:pPr>
            <w:r>
              <w:rPr>
                <w:sz w:val="13"/>
              </w:rPr>
              <w:t>(1)</w:t>
            </w:r>
          </w:p>
        </w:tc>
        <w:tc>
          <w:tcPr>
            <w:tcW w:w="102" w:type="dxa"/>
            <w:tcBorders/>
            <w:shd w:fill="FFFFFF" w:val="clear"/>
            <w:vAlign w:val="center"/>
          </w:tcPr>
          <w:p>
            <w:pPr>
              <w:pStyle w:val="TableContents"/>
              <w:spacing w:before="0" w:after="283"/>
              <w:rPr>
                <w:sz w:val="4"/>
                <w:szCs w:val="4"/>
              </w:rPr>
            </w:pPr>
            <w:r>
              <w:rPr>
                <w:sz w:val="4"/>
                <w:szCs w:val="4"/>
              </w:rPr>
            </w:r>
          </w:p>
        </w:tc>
        <w:tc>
          <w:tcPr>
            <w:tcW w:w="9900" w:type="dxa"/>
            <w:tcBorders/>
            <w:shd w:fill="FFFFFF" w:val="clear"/>
            <w:vAlign w:val="bottom"/>
          </w:tcPr>
          <w:p>
            <w:pPr>
              <w:pStyle w:val="TableContents"/>
              <w:spacing w:before="0" w:after="283"/>
              <w:rPr>
                <w:sz w:val="13"/>
              </w:rPr>
            </w:pPr>
            <w:r>
              <w:rPr>
                <w:sz w:val="13"/>
              </w:rPr>
              <w:t xml:space="preserve">The application of EITF 03-06 negatively impacted basic and diluted earnings per limited partner unit by approximately $0.13 and $0.10 for the year ended December 31, 2006 and 2005, respectively.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5127"/>
        <w:gridCol w:w="316"/>
        <w:gridCol w:w="214"/>
        <w:gridCol w:w="503"/>
        <w:gridCol w:w="156"/>
        <w:gridCol w:w="316"/>
        <w:gridCol w:w="214"/>
        <w:gridCol w:w="503"/>
        <w:gridCol w:w="156"/>
        <w:gridCol w:w="316"/>
        <w:gridCol w:w="214"/>
        <w:gridCol w:w="659"/>
        <w:gridCol w:w="156"/>
        <w:gridCol w:w="316"/>
        <w:gridCol w:w="214"/>
        <w:gridCol w:w="659"/>
        <w:gridCol w:w="166"/>
      </w:tblGrid>
      <w:tr>
        <w:trPr/>
        <w:tc>
          <w:tcPr>
            <w:tcW w:w="5127" w:type="dxa"/>
            <w:tcBorders/>
            <w:shd w:fill="FFFFFF" w:val="clear"/>
            <w:vAlign w:val="bottom"/>
          </w:tcPr>
          <w:p>
            <w:pPr>
              <w:pStyle w:val="TableContents"/>
              <w:spacing w:before="0" w:after="283"/>
              <w:rPr/>
            </w:pPr>
            <w:r>
              <w:rPr/>
              <w:t> </w:t>
            </w:r>
          </w:p>
        </w:tc>
        <w:tc>
          <w:tcPr>
            <w:tcW w:w="316"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316"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503"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316"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59"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316" w:type="dxa"/>
            <w:tcBorders/>
            <w:shd w:fill="FFFFFF" w:val="clear"/>
            <w:vAlign w:val="bottom"/>
          </w:tcPr>
          <w:p>
            <w:pPr>
              <w:pStyle w:val="TableContents"/>
              <w:spacing w:before="0" w:after="283"/>
              <w:rPr/>
            </w:pPr>
            <w:r>
              <w:rPr/>
              <w:t> </w:t>
            </w:r>
          </w:p>
        </w:tc>
        <w:tc>
          <w:tcPr>
            <w:tcW w:w="214" w:type="dxa"/>
            <w:tcBorders/>
            <w:shd w:fill="FFFFFF" w:val="clear"/>
            <w:vAlign w:val="bottom"/>
          </w:tcPr>
          <w:p>
            <w:pPr>
              <w:pStyle w:val="TableContents"/>
              <w:spacing w:before="0" w:after="283"/>
              <w:jc w:val="right"/>
              <w:rPr/>
            </w:pPr>
            <w:r>
              <w:rPr/>
              <w:t> </w:t>
            </w:r>
          </w:p>
        </w:tc>
        <w:tc>
          <w:tcPr>
            <w:tcW w:w="659"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r>
      <w:tr>
        <w:trPr/>
        <w:tc>
          <w:tcPr>
            <w:tcW w:w="5127"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1906" w:type="dxa"/>
            <w:gridSpan w:val="6"/>
            <w:tcBorders/>
            <w:shd w:fill="FFFFFF" w:val="clear"/>
            <w:vAlign w:val="bottom"/>
          </w:tcPr>
          <w:p>
            <w:pPr>
              <w:pStyle w:val="TableContents"/>
              <w:spacing w:before="0" w:after="283"/>
              <w:jc w:val="center"/>
              <w:rPr>
                <w:b/>
              </w:rPr>
            </w:pPr>
            <w:r>
              <w:rPr>
                <w:b/>
              </w:rPr>
              <w:t>Three Months</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2218" w:type="dxa"/>
            <w:gridSpan w:val="6"/>
            <w:tcBorders/>
            <w:shd w:fill="FFFFFF" w:val="clear"/>
            <w:vAlign w:val="bottom"/>
          </w:tcPr>
          <w:p>
            <w:pPr>
              <w:pStyle w:val="TableContents"/>
              <w:spacing w:before="0" w:after="283"/>
              <w:jc w:val="center"/>
              <w:rPr>
                <w:b/>
              </w:rPr>
            </w:pPr>
            <w:r>
              <w:rPr>
                <w:b/>
              </w:rPr>
              <w:t>Twelve Months</w:t>
            </w:r>
          </w:p>
        </w:tc>
        <w:tc>
          <w:tcPr>
            <w:tcW w:w="166" w:type="dxa"/>
            <w:tcBorders/>
            <w:shd w:fill="FFFFFF" w:val="clear"/>
            <w:vAlign w:val="bottom"/>
          </w:tcPr>
          <w:p>
            <w:pPr>
              <w:pStyle w:val="TableContents"/>
              <w:spacing w:before="0" w:after="283"/>
              <w:jc w:val="center"/>
              <w:rPr/>
            </w:pPr>
            <w:r>
              <w:rPr/>
              <w:t xml:space="preserve">  </w:t>
            </w:r>
          </w:p>
        </w:tc>
      </w:tr>
      <w:tr>
        <w:trPr/>
        <w:tc>
          <w:tcPr>
            <w:tcW w:w="5127"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1906" w:type="dxa"/>
            <w:gridSpan w:val="6"/>
            <w:tcBorders/>
            <w:shd w:fill="FFFFFF" w:val="clear"/>
            <w:vAlign w:val="bottom"/>
          </w:tcPr>
          <w:p>
            <w:pPr>
              <w:pStyle w:val="TableContents"/>
              <w:spacing w:before="0" w:after="283"/>
              <w:jc w:val="center"/>
              <w:rPr>
                <w:b/>
              </w:rPr>
            </w:pPr>
            <w:r>
              <w:rPr>
                <w:b/>
              </w:rPr>
              <w:t>Ended</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2218" w:type="dxa"/>
            <w:gridSpan w:val="6"/>
            <w:tcBorders/>
            <w:shd w:fill="FFFFFF" w:val="clear"/>
            <w:vAlign w:val="bottom"/>
          </w:tcPr>
          <w:p>
            <w:pPr>
              <w:pStyle w:val="TableContents"/>
              <w:spacing w:before="0" w:after="283"/>
              <w:jc w:val="center"/>
              <w:rPr>
                <w:b/>
              </w:rPr>
            </w:pPr>
            <w:r>
              <w:rPr>
                <w:b/>
              </w:rPr>
              <w:t>Ended</w:t>
            </w:r>
          </w:p>
        </w:tc>
        <w:tc>
          <w:tcPr>
            <w:tcW w:w="166" w:type="dxa"/>
            <w:tcBorders/>
            <w:shd w:fill="FFFFFF" w:val="clear"/>
            <w:vAlign w:val="bottom"/>
          </w:tcPr>
          <w:p>
            <w:pPr>
              <w:pStyle w:val="TableContents"/>
              <w:spacing w:before="0" w:after="283"/>
              <w:jc w:val="center"/>
              <w:rPr/>
            </w:pPr>
            <w:r>
              <w:rPr/>
              <w:t xml:space="preserve">  </w:t>
            </w:r>
          </w:p>
        </w:tc>
      </w:tr>
      <w:tr>
        <w:trPr/>
        <w:tc>
          <w:tcPr>
            <w:tcW w:w="5127"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190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2218"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5127"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7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71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87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56" w:type="dxa"/>
            <w:tcBorders/>
            <w:shd w:fill="FFFFFF" w:val="clear"/>
            <w:vAlign w:val="bottom"/>
          </w:tcPr>
          <w:p>
            <w:pPr>
              <w:pStyle w:val="TableContents"/>
              <w:spacing w:before="0" w:after="283"/>
              <w:jc w:val="center"/>
              <w:rPr/>
            </w:pPr>
            <w:r>
              <w:rPr/>
              <w:t xml:space="preserve">  </w:t>
            </w:r>
          </w:p>
        </w:tc>
        <w:tc>
          <w:tcPr>
            <w:tcW w:w="316" w:type="dxa"/>
            <w:tcBorders/>
            <w:shd w:fill="FFFFFF" w:val="clear"/>
            <w:vAlign w:val="bottom"/>
          </w:tcPr>
          <w:p>
            <w:pPr>
              <w:pStyle w:val="TableContents"/>
              <w:spacing w:before="0" w:after="283"/>
              <w:jc w:val="center"/>
              <w:rPr/>
            </w:pPr>
            <w:r>
              <w:rPr/>
              <w:t xml:space="preserve">  </w:t>
            </w:r>
          </w:p>
        </w:tc>
        <w:tc>
          <w:tcPr>
            <w:tcW w:w="87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66" w:type="dxa"/>
            <w:tcBorders/>
            <w:shd w:fill="FFFFFF" w:val="clear"/>
            <w:vAlign w:val="bottom"/>
          </w:tcPr>
          <w:p>
            <w:pPr>
              <w:pStyle w:val="TableContents"/>
              <w:spacing w:before="0" w:after="283"/>
              <w:jc w:val="center"/>
              <w:rPr/>
            </w:pPr>
            <w:r>
              <w:rPr/>
              <w:t xml:space="preserve">  </w:t>
            </w:r>
          </w:p>
        </w:tc>
      </w:tr>
      <w:tr>
        <w:trPr/>
        <w:tc>
          <w:tcPr>
            <w:tcW w:w="5127" w:type="dxa"/>
            <w:tcBorders/>
            <w:shd w:fill="FFFFFF" w:val="clear"/>
            <w:vAlign w:val="center"/>
          </w:tcPr>
          <w:p>
            <w:pPr>
              <w:pStyle w:val="TableContents"/>
              <w:spacing w:before="0" w:after="283"/>
              <w:rPr/>
            </w:pPr>
            <w:r>
              <w:rPr/>
              <w:t xml:space="preserve">  </w:t>
            </w:r>
          </w:p>
        </w:tc>
        <w:tc>
          <w:tcPr>
            <w:tcW w:w="5078" w:type="dxa"/>
            <w:gridSpan w:val="16"/>
            <w:tcBorders/>
            <w:shd w:fill="FFFFFF" w:val="clear"/>
          </w:tcPr>
          <w:p>
            <w:pPr>
              <w:pStyle w:val="TableContents"/>
              <w:spacing w:before="0" w:after="283"/>
              <w:rPr>
                <w:sz w:val="4"/>
                <w:szCs w:val="4"/>
              </w:rPr>
            </w:pPr>
            <w:r>
              <w:rPr>
                <w:sz w:val="4"/>
                <w:szCs w:val="4"/>
              </w:rPr>
            </w:r>
          </w:p>
        </w:tc>
      </w:tr>
      <w:tr>
        <w:trPr/>
        <w:tc>
          <w:tcPr>
            <w:tcW w:w="5127" w:type="dxa"/>
            <w:tcBorders/>
            <w:shd w:fill="CCEEFF" w:val="clear"/>
            <w:vAlign w:val="bottom"/>
          </w:tcPr>
          <w:p>
            <w:pPr>
              <w:pStyle w:val="TableContents"/>
              <w:spacing w:before="0" w:after="0"/>
              <w:ind w:left="200" w:right="0" w:hanging="200"/>
              <w:jc w:val="left"/>
              <w:rPr/>
            </w:pPr>
            <w:r>
              <w:rPr>
                <w:b/>
                <w:sz w:val="17"/>
              </w:rPr>
              <w:t>Net income and earnings per limited partner unit excluding selected items impacting comparability</w:t>
            </w: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Net income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46.0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53.7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285.1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217.8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34.8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8.9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40.8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47.1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Adjusted net income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80.8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62.6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325.9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264.9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CCEEFF" w:val="clear"/>
            <w:vAlign w:val="bottom"/>
          </w:tcPr>
          <w:p>
            <w:pPr>
              <w:pStyle w:val="TableContents"/>
              <w:spacing w:before="0" w:after="0"/>
              <w:ind w:left="200" w:right="0" w:hanging="200"/>
              <w:jc w:val="left"/>
              <w:rPr>
                <w:sz w:val="17"/>
              </w:rPr>
            </w:pPr>
            <w:r>
              <w:rPr>
                <w:sz w:val="17"/>
              </w:rPr>
              <w:t xml:space="preserve">Net income available for limited partners under EITF 03-06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34.2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48.0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236.1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191.6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Limited partners 98% of selected items impacting comparability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34.1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8.7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40.0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46.1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CCEEFF" w:val="clear"/>
            <w:vAlign w:val="bottom"/>
          </w:tcPr>
          <w:p>
            <w:pPr>
              <w:pStyle w:val="TableContents"/>
              <w:spacing w:before="0" w:after="0"/>
              <w:ind w:left="200" w:right="0" w:hanging="200"/>
              <w:jc w:val="left"/>
              <w:rPr>
                <w:sz w:val="17"/>
              </w:rPr>
            </w:pPr>
            <w:r>
              <w:rPr>
                <w:sz w:val="17"/>
              </w:rPr>
              <w:t xml:space="preserve">Pro forma additional general partner distribution under EITF 03-06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10.8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7.2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Adjusted limited partners net income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68.3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56.7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286.9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244.9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CCEEFF" w:val="clear"/>
            <w:vAlign w:val="bottom"/>
          </w:tcPr>
          <w:p>
            <w:pPr>
              <w:pStyle w:val="TableContents"/>
              <w:spacing w:before="0" w:after="0"/>
              <w:ind w:left="200" w:right="0" w:hanging="200"/>
              <w:jc w:val="left"/>
              <w:rPr>
                <w:sz w:val="17"/>
              </w:rPr>
            </w:pPr>
            <w:r>
              <w:rPr>
                <w:sz w:val="17"/>
              </w:rPr>
              <w:t xml:space="preserve">Adjusted basic net income per limited partner unit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0.73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0.77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3.54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3.53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Adjusted diluted net income per limited partner unit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0.72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0.75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3.50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3.47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CCEEFF" w:val="clear"/>
            <w:vAlign w:val="bottom"/>
          </w:tcPr>
          <w:p>
            <w:pPr>
              <w:pStyle w:val="TableContents"/>
              <w:spacing w:before="0" w:after="0"/>
              <w:ind w:left="200" w:right="0" w:hanging="200"/>
              <w:jc w:val="left"/>
              <w:rPr>
                <w:sz w:val="17"/>
              </w:rPr>
            </w:pPr>
            <w:r>
              <w:rPr>
                <w:sz w:val="17"/>
              </w:rPr>
              <w:t xml:space="preserve">Basic weighted average units outstanding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93.2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503" w:type="dxa"/>
            <w:tcBorders/>
            <w:shd w:fill="CCEEFF" w:val="clear"/>
            <w:vAlign w:val="bottom"/>
          </w:tcPr>
          <w:p>
            <w:pPr>
              <w:pStyle w:val="TableContents"/>
              <w:spacing w:before="0" w:after="283"/>
              <w:jc w:val="right"/>
              <w:rPr/>
            </w:pPr>
            <w:r>
              <w:rPr/>
              <w:t xml:space="preserve">73.7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81.1 </w:t>
            </w:r>
          </w:p>
        </w:tc>
        <w:tc>
          <w:tcPr>
            <w:tcW w:w="156" w:type="dxa"/>
            <w:tcBorders/>
            <w:shd w:fill="CCEEFF" w:val="clear"/>
            <w:vAlign w:val="bottom"/>
          </w:tcPr>
          <w:p>
            <w:pPr>
              <w:pStyle w:val="TableContents"/>
              <w:spacing w:before="0" w:after="283"/>
              <w:jc w:val="left"/>
              <w:rPr/>
            </w:pPr>
            <w:r>
              <w:rPr/>
              <w:t xml:space="preserve">  </w:t>
            </w:r>
          </w:p>
        </w:tc>
        <w:tc>
          <w:tcPr>
            <w:tcW w:w="316" w:type="dxa"/>
            <w:tcBorders/>
            <w:shd w:fill="CCEEFF" w:val="clear"/>
            <w:vAlign w:val="bottom"/>
          </w:tcPr>
          <w:p>
            <w:pPr>
              <w:pStyle w:val="TableContents"/>
              <w:spacing w:before="0" w:after="283"/>
              <w:rPr/>
            </w:pPr>
            <w:r>
              <w:rPr/>
              <w:t xml:space="preserve">  </w:t>
            </w:r>
          </w:p>
        </w:tc>
        <w:tc>
          <w:tcPr>
            <w:tcW w:w="214" w:type="dxa"/>
            <w:tcBorders/>
            <w:shd w:fill="CCEEFF" w:val="clear"/>
            <w:vAlign w:val="bottom"/>
          </w:tcPr>
          <w:p>
            <w:pPr>
              <w:pStyle w:val="TableContents"/>
              <w:spacing w:before="0" w:after="283"/>
              <w:jc w:val="left"/>
              <w:rPr/>
            </w:pPr>
            <w:r>
              <w:rPr/>
              <w:t xml:space="preserve">  </w:t>
            </w:r>
          </w:p>
        </w:tc>
        <w:tc>
          <w:tcPr>
            <w:tcW w:w="659" w:type="dxa"/>
            <w:tcBorders/>
            <w:shd w:fill="CCEEFF" w:val="clear"/>
            <w:vAlign w:val="bottom"/>
          </w:tcPr>
          <w:p>
            <w:pPr>
              <w:pStyle w:val="TableContents"/>
              <w:spacing w:before="0" w:after="283"/>
              <w:jc w:val="right"/>
              <w:rPr/>
            </w:pPr>
            <w:r>
              <w:rPr/>
              <w:t xml:space="preserve">69.3 </w:t>
            </w:r>
          </w:p>
        </w:tc>
        <w:tc>
          <w:tcPr>
            <w:tcW w:w="166" w:type="dxa"/>
            <w:tcBorders/>
            <w:shd w:fill="CCEE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r>
        <w:trPr/>
        <w:tc>
          <w:tcPr>
            <w:tcW w:w="5127" w:type="dxa"/>
            <w:tcBorders/>
            <w:shd w:fill="FFFFFF" w:val="clear"/>
            <w:vAlign w:val="bottom"/>
          </w:tcPr>
          <w:p>
            <w:pPr>
              <w:pStyle w:val="TableContents"/>
              <w:spacing w:before="0" w:after="0"/>
              <w:ind w:left="200" w:right="0" w:hanging="200"/>
              <w:jc w:val="left"/>
              <w:rPr>
                <w:sz w:val="17"/>
              </w:rPr>
            </w:pPr>
            <w:r>
              <w:rPr>
                <w:sz w:val="17"/>
              </w:rPr>
              <w:t xml:space="preserve">Diluted weighted average units outstanding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94.3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503" w:type="dxa"/>
            <w:tcBorders/>
            <w:shd w:fill="FFFFFF" w:val="clear"/>
            <w:vAlign w:val="bottom"/>
          </w:tcPr>
          <w:p>
            <w:pPr>
              <w:pStyle w:val="TableContents"/>
              <w:spacing w:before="0" w:after="283"/>
              <w:jc w:val="right"/>
              <w:rPr/>
            </w:pPr>
            <w:r>
              <w:rPr/>
              <w:t xml:space="preserve">75.3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81.9 </w:t>
            </w:r>
          </w:p>
        </w:tc>
        <w:tc>
          <w:tcPr>
            <w:tcW w:w="156" w:type="dxa"/>
            <w:tcBorders/>
            <w:shd w:fill="FFFFFF" w:val="clear"/>
            <w:vAlign w:val="bottom"/>
          </w:tcPr>
          <w:p>
            <w:pPr>
              <w:pStyle w:val="TableContents"/>
              <w:spacing w:before="0" w:after="283"/>
              <w:jc w:val="left"/>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shd w:fill="FFFFFF" w:val="clear"/>
            <w:vAlign w:val="bottom"/>
          </w:tcPr>
          <w:p>
            <w:pPr>
              <w:pStyle w:val="TableContents"/>
              <w:spacing w:before="0" w:after="283"/>
              <w:jc w:val="left"/>
              <w:rPr/>
            </w:pPr>
            <w:r>
              <w:rPr/>
              <w:t xml:space="preserve">  </w:t>
            </w:r>
          </w:p>
        </w:tc>
        <w:tc>
          <w:tcPr>
            <w:tcW w:w="659" w:type="dxa"/>
            <w:tcBorders/>
            <w:shd w:fill="FFFFFF" w:val="clear"/>
            <w:vAlign w:val="bottom"/>
          </w:tcPr>
          <w:p>
            <w:pPr>
              <w:pStyle w:val="TableContents"/>
              <w:spacing w:before="0" w:after="283"/>
              <w:jc w:val="right"/>
              <w:rPr/>
            </w:pPr>
            <w:r>
              <w:rPr/>
              <w:t xml:space="preserve">70.5 </w:t>
            </w:r>
          </w:p>
        </w:tc>
        <w:tc>
          <w:tcPr>
            <w:tcW w:w="166" w:type="dxa"/>
            <w:tcBorders/>
            <w:shd w:fill="FFFFFF" w:val="clear"/>
            <w:vAlign w:val="bottom"/>
          </w:tcPr>
          <w:p>
            <w:pPr>
              <w:pStyle w:val="TableContents"/>
              <w:spacing w:before="0" w:after="283"/>
              <w:jc w:val="left"/>
              <w:rPr/>
            </w:pPr>
            <w:r>
              <w:rPr/>
              <w:t xml:space="preserve">  </w:t>
            </w:r>
          </w:p>
        </w:tc>
      </w:tr>
      <w:tr>
        <w:trPr/>
        <w:tc>
          <w:tcPr>
            <w:tcW w:w="5127"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5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6" w:type="dxa"/>
            <w:tcBorders/>
            <w:shd w:fill="FFFFFF" w:val="clear"/>
            <w:vAlign w:val="bottom"/>
          </w:tcPr>
          <w:p>
            <w:pPr>
              <w:pStyle w:val="TableContents"/>
              <w:spacing w:before="0" w:after="283"/>
              <w:rPr/>
            </w:pPr>
            <w:r>
              <w:rPr/>
              <w:t xml:space="preserve">  </w:t>
            </w:r>
          </w:p>
        </w:tc>
        <w:tc>
          <w:tcPr>
            <w:tcW w:w="316" w:type="dxa"/>
            <w:tcBorders/>
            <w:shd w:fill="FFFFFF" w:val="clear"/>
            <w:vAlign w:val="bottom"/>
          </w:tcPr>
          <w:p>
            <w:pPr>
              <w:pStyle w:val="TableContents"/>
              <w:spacing w:before="0" w:after="283"/>
              <w:rPr/>
            </w:pPr>
            <w:r>
              <w:rPr/>
              <w:t xml:space="preserve">  </w:t>
            </w:r>
          </w:p>
        </w:tc>
        <w:tc>
          <w:tcPr>
            <w:tcW w:w="21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66"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b/>
          <w:color w:val="000000"/>
          <w:sz w:val="17"/>
          <w:highlight w:val="white"/>
        </w:rPr>
        <w:t> MORE </w:t>
      </w:r>
      <w:r>
        <w:rPr>
          <w:rFonts w:ascii="Times New Roman;Times" w:hAnsi="Times New Roman;Times"/>
          <w:color w:val="000000"/>
          <w:sz w:val="17"/>
          <w:highlight w:val="white"/>
        </w:rPr>
        <w:t xml:space="preserve"> </w:t>
      </w:r>
    </w:p>
    <w:p>
      <w:pPr>
        <w:pStyle w:val="TextBody"/>
        <w:spacing w:before="120" w:after="283"/>
        <w:rPr/>
      </w:pPr>
      <w:r>
        <w:rPr/>
        <w:t> </w:t>
      </w:r>
    </w:p>
    <w:p>
      <w:pPr>
        <w:pStyle w:val="TextBody"/>
        <w:jc w:val="center"/>
        <w:rPr>
          <w:color w:val="000000"/>
          <w:highlight w:val="white"/>
        </w:rPr>
      </w:pPr>
      <w:r>
        <w:rPr>
          <w:color w:val="000000"/>
          <w:highlight w:val="white"/>
        </w:rPr>
        <w:drawing>
          <wp:inline distT="0" distB="0" distL="0" distR="0">
            <wp:extent cx="5657850" cy="171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rPr>
        <w:t>PLAINS ALL AMERICAN PIPELINE, L.P. AND SUBSIDIARIES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b/>
          <w:color w:val="000000"/>
          <w:sz w:val="17"/>
          <w:highlight w:val="white"/>
        </w:rPr>
        <w:t>FINANCIAL SUMMARY</w:t>
      </w:r>
      <w:r>
        <w:rPr>
          <w:rFonts w:ascii="Times New Roman;Times" w:hAnsi="Times New Roman;Times"/>
          <w:color w:val="000000"/>
          <w:sz w:val="17"/>
          <w:highlight w:val="white"/>
        </w:rPr>
        <w:t xml:space="preserve">(unaudited) </w:t>
      </w:r>
    </w:p>
    <w:p>
      <w:pPr>
        <w:pStyle w:val="TextBody"/>
        <w:spacing w:before="120" w:after="283"/>
        <w:rPr/>
      </w:pPr>
      <w:r>
        <w:rPr/>
        <w:t> </w:t>
      </w:r>
    </w:p>
    <w:p>
      <w:pPr>
        <w:pStyle w:val="TextBody"/>
        <w:spacing w:before="240" w:after="283"/>
        <w:rPr/>
      </w:pPr>
      <w:r>
        <w:rPr/>
        <w:t> </w:t>
      </w:r>
    </w:p>
    <w:p>
      <w:pPr>
        <w:pStyle w:val="TextBody"/>
        <w:spacing w:before="0" w:after="0"/>
        <w:jc w:val="left"/>
        <w:rPr>
          <w:rFonts w:ascii="Arial;Helvetica" w:hAnsi="Arial;Helvetica"/>
          <w:color w:val="000000"/>
          <w:sz w:val="17"/>
          <w:highlight w:val="white"/>
        </w:rPr>
      </w:pPr>
      <w:r>
        <w:rPr>
          <w:rFonts w:ascii="Times New Roman;Times" w:hAnsi="Times New Roman;Times"/>
          <w:b/>
          <w:color w:val="000000"/>
          <w:sz w:val="17"/>
          <w:highlight w:val="white"/>
          <w:u w:val="single"/>
        </w:rPr>
        <w:t>FINANCIAL DATA RECONCILIATIONS</w:t>
      </w:r>
      <w:r>
        <w:rPr>
          <w:rFonts w:ascii="Arial;Helvetica" w:hAnsi="Arial;Helvetica"/>
          <w:color w:val="000000"/>
          <w:sz w:val="17"/>
          <w:highlight w:val="white"/>
        </w:rPr>
        <w:t xml:space="preserve"> </w:t>
      </w:r>
    </w:p>
    <w:p>
      <w:pPr>
        <w:pStyle w:val="TextBody"/>
        <w:spacing w:before="0" w:after="0"/>
        <w:jc w:val="left"/>
        <w:rPr>
          <w:rFonts w:ascii="Times New Roman;Times" w:hAnsi="Times New Roman;Times"/>
          <w:color w:val="000000"/>
          <w:sz w:val="17"/>
          <w:highlight w:val="white"/>
        </w:rPr>
      </w:pPr>
      <w:r>
        <w:rPr>
          <w:rFonts w:ascii="Times New Roman;Times" w:hAnsi="Times New Roman;Times"/>
          <w:color w:val="000000"/>
          <w:sz w:val="17"/>
          <w:highlight w:val="white"/>
        </w:rPr>
        <w:t xml:space="preserve">(in millions, except per unit data) (continued) </w:t>
      </w:r>
    </w:p>
    <w:tbl>
      <w:tblPr>
        <w:tblW w:w="5000" w:type="pct"/>
        <w:jc w:val="center"/>
        <w:tblInd w:w="0" w:type="dxa"/>
        <w:shd w:fill="FFFFFF" w:val="clear"/>
        <w:tblCellMar>
          <w:top w:w="0" w:type="dxa"/>
          <w:left w:w="0" w:type="dxa"/>
          <w:bottom w:w="0" w:type="dxa"/>
          <w:right w:w="0" w:type="dxa"/>
        </w:tblCellMar>
      </w:tblPr>
      <w:tblGrid>
        <w:gridCol w:w="5085"/>
        <w:gridCol w:w="301"/>
        <w:gridCol w:w="203"/>
        <w:gridCol w:w="626"/>
        <w:gridCol w:w="148"/>
        <w:gridCol w:w="301"/>
        <w:gridCol w:w="203"/>
        <w:gridCol w:w="626"/>
        <w:gridCol w:w="148"/>
        <w:gridCol w:w="301"/>
        <w:gridCol w:w="203"/>
        <w:gridCol w:w="625"/>
        <w:gridCol w:w="148"/>
        <w:gridCol w:w="301"/>
        <w:gridCol w:w="203"/>
        <w:gridCol w:w="626"/>
        <w:gridCol w:w="157"/>
      </w:tblGrid>
      <w:tr>
        <w:trPr/>
        <w:tc>
          <w:tcPr>
            <w:tcW w:w="5085" w:type="dxa"/>
            <w:tcBorders/>
            <w:shd w:fill="FFFFFF" w:val="clear"/>
            <w:vAlign w:val="bottom"/>
          </w:tcPr>
          <w:p>
            <w:pPr>
              <w:pStyle w:val="TableContents"/>
              <w:spacing w:before="0" w:after="283"/>
              <w:rPr/>
            </w:pPr>
            <w:r>
              <w:rPr/>
              <w:t> </w:t>
            </w:r>
          </w:p>
        </w:tc>
        <w:tc>
          <w:tcPr>
            <w:tcW w:w="30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6"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6"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5"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301" w:type="dxa"/>
            <w:tcBorders/>
            <w:shd w:fill="FFFFFF" w:val="clear"/>
            <w:vAlign w:val="bottom"/>
          </w:tcPr>
          <w:p>
            <w:pPr>
              <w:pStyle w:val="TableContents"/>
              <w:spacing w:before="0" w:after="283"/>
              <w:rPr/>
            </w:pPr>
            <w:r>
              <w:rPr/>
              <w:t> </w:t>
            </w:r>
          </w:p>
        </w:tc>
        <w:tc>
          <w:tcPr>
            <w:tcW w:w="203" w:type="dxa"/>
            <w:tcBorders/>
            <w:shd w:fill="FFFFFF" w:val="clear"/>
            <w:vAlign w:val="bottom"/>
          </w:tcPr>
          <w:p>
            <w:pPr>
              <w:pStyle w:val="TableContents"/>
              <w:spacing w:before="0" w:after="283"/>
              <w:jc w:val="right"/>
              <w:rPr/>
            </w:pPr>
            <w:r>
              <w:rPr/>
              <w:t> </w:t>
            </w:r>
          </w:p>
        </w:tc>
        <w:tc>
          <w:tcPr>
            <w:tcW w:w="626"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r>
      <w:tr>
        <w:trPr/>
        <w:tc>
          <w:tcPr>
            <w:tcW w:w="5085"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7" w:type="dxa"/>
            <w:gridSpan w:val="6"/>
            <w:tcBorders/>
            <w:shd w:fill="FFFFFF" w:val="clear"/>
            <w:vAlign w:val="bottom"/>
          </w:tcPr>
          <w:p>
            <w:pPr>
              <w:pStyle w:val="TableContents"/>
              <w:spacing w:before="0" w:after="283"/>
              <w:jc w:val="center"/>
              <w:rPr>
                <w:b/>
              </w:rPr>
            </w:pPr>
            <w:r>
              <w:rPr>
                <w:b/>
              </w:rPr>
              <w:t>Three Months</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6" w:type="dxa"/>
            <w:gridSpan w:val="6"/>
            <w:tcBorders/>
            <w:shd w:fill="FFFFFF" w:val="clear"/>
            <w:vAlign w:val="bottom"/>
          </w:tcPr>
          <w:p>
            <w:pPr>
              <w:pStyle w:val="TableContents"/>
              <w:spacing w:before="0" w:after="283"/>
              <w:jc w:val="center"/>
              <w:rPr>
                <w:b/>
              </w:rPr>
            </w:pPr>
            <w:r>
              <w:rPr>
                <w:b/>
              </w:rPr>
              <w:t>Twelve Months</w:t>
            </w:r>
          </w:p>
        </w:tc>
        <w:tc>
          <w:tcPr>
            <w:tcW w:w="157" w:type="dxa"/>
            <w:tcBorders/>
            <w:shd w:fill="FFFFFF" w:val="clear"/>
            <w:vAlign w:val="bottom"/>
          </w:tcPr>
          <w:p>
            <w:pPr>
              <w:pStyle w:val="TableContents"/>
              <w:spacing w:before="0" w:after="283"/>
              <w:jc w:val="center"/>
              <w:rPr/>
            </w:pPr>
            <w:r>
              <w:rPr/>
              <w:t xml:space="preserve">  </w:t>
            </w:r>
          </w:p>
        </w:tc>
      </w:tr>
      <w:tr>
        <w:trPr/>
        <w:tc>
          <w:tcPr>
            <w:tcW w:w="5085"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7" w:type="dxa"/>
            <w:gridSpan w:val="6"/>
            <w:tcBorders/>
            <w:shd w:fill="FFFFFF" w:val="clear"/>
            <w:vAlign w:val="bottom"/>
          </w:tcPr>
          <w:p>
            <w:pPr>
              <w:pStyle w:val="TableContents"/>
              <w:spacing w:before="0" w:after="283"/>
              <w:jc w:val="center"/>
              <w:rPr>
                <w:b/>
              </w:rPr>
            </w:pPr>
            <w:r>
              <w:rPr>
                <w:b/>
              </w:rPr>
              <w:t>Ended</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6" w:type="dxa"/>
            <w:gridSpan w:val="6"/>
            <w:tcBorders/>
            <w:shd w:fill="FFFFFF" w:val="clear"/>
            <w:vAlign w:val="bottom"/>
          </w:tcPr>
          <w:p>
            <w:pPr>
              <w:pStyle w:val="TableContents"/>
              <w:spacing w:before="0" w:after="283"/>
              <w:jc w:val="center"/>
              <w:rPr>
                <w:b/>
              </w:rPr>
            </w:pPr>
            <w:r>
              <w:rPr>
                <w:b/>
              </w:rPr>
              <w:t>Ended</w:t>
            </w:r>
          </w:p>
        </w:tc>
        <w:tc>
          <w:tcPr>
            <w:tcW w:w="157" w:type="dxa"/>
            <w:tcBorders/>
            <w:shd w:fill="FFFFFF" w:val="clear"/>
            <w:vAlign w:val="bottom"/>
          </w:tcPr>
          <w:p>
            <w:pPr>
              <w:pStyle w:val="TableContents"/>
              <w:spacing w:before="0" w:after="283"/>
              <w:jc w:val="center"/>
              <w:rPr/>
            </w:pPr>
            <w:r>
              <w:rPr/>
              <w:t xml:space="preserve">  </w:t>
            </w:r>
          </w:p>
        </w:tc>
      </w:tr>
      <w:tr>
        <w:trPr/>
        <w:tc>
          <w:tcPr>
            <w:tcW w:w="5085"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7"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2106" w:type="dxa"/>
            <w:gridSpan w:val="6"/>
            <w:tcBorders>
              <w:bottom w:val="single" w:sz="2" w:space="0" w:color="000000"/>
            </w:tcBorders>
            <w:shd w:fill="FFFFFF" w:val="clear"/>
            <w:tcMar>
              <w:bottom w:w="28" w:type="dxa"/>
            </w:tcMar>
            <w:vAlign w:val="bottom"/>
          </w:tcPr>
          <w:p>
            <w:pPr>
              <w:pStyle w:val="TableContents"/>
              <w:spacing w:before="0" w:after="283"/>
              <w:jc w:val="center"/>
              <w:rPr/>
            </w:pPr>
            <w:r>
              <w:rPr>
                <w:b/>
              </w:rPr>
              <w:t>December 31,</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5085"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8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8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82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2006</w:t>
            </w:r>
            <w:r>
              <w:rPr/>
              <w:t xml:space="preserve"> </w:t>
            </w:r>
          </w:p>
        </w:tc>
        <w:tc>
          <w:tcPr>
            <w:tcW w:w="148" w:type="dxa"/>
            <w:tcBorders/>
            <w:shd w:fill="FFFFFF" w:val="clear"/>
            <w:vAlign w:val="bottom"/>
          </w:tcPr>
          <w:p>
            <w:pPr>
              <w:pStyle w:val="TableContents"/>
              <w:spacing w:before="0" w:after="283"/>
              <w:jc w:val="center"/>
              <w:rPr/>
            </w:pPr>
            <w:r>
              <w:rPr/>
              <w:t xml:space="preserve">  </w:t>
            </w:r>
          </w:p>
        </w:tc>
        <w:tc>
          <w:tcPr>
            <w:tcW w:w="301" w:type="dxa"/>
            <w:tcBorders/>
            <w:shd w:fill="FFFFFF" w:val="clear"/>
            <w:vAlign w:val="bottom"/>
          </w:tcPr>
          <w:p>
            <w:pPr>
              <w:pStyle w:val="TableContents"/>
              <w:spacing w:before="0" w:after="283"/>
              <w:jc w:val="center"/>
              <w:rPr/>
            </w:pPr>
            <w:r>
              <w:rPr/>
              <w:t xml:space="preserve">  </w:t>
            </w:r>
          </w:p>
        </w:tc>
        <w:tc>
          <w:tcPr>
            <w:tcW w:w="82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2005</w:t>
            </w:r>
            <w:r>
              <w:rPr/>
              <w:t xml:space="preserve"> </w:t>
            </w:r>
          </w:p>
        </w:tc>
        <w:tc>
          <w:tcPr>
            <w:tcW w:w="157" w:type="dxa"/>
            <w:tcBorders/>
            <w:shd w:fill="FFFFFF" w:val="clear"/>
            <w:vAlign w:val="bottom"/>
          </w:tcPr>
          <w:p>
            <w:pPr>
              <w:pStyle w:val="TableContents"/>
              <w:spacing w:before="0" w:after="283"/>
              <w:jc w:val="center"/>
              <w:rPr/>
            </w:pPr>
            <w:r>
              <w:rPr/>
              <w:t xml:space="preserve">  </w:t>
            </w:r>
          </w:p>
        </w:tc>
      </w:tr>
      <w:tr>
        <w:trPr/>
        <w:tc>
          <w:tcPr>
            <w:tcW w:w="5085" w:type="dxa"/>
            <w:tcBorders/>
            <w:shd w:fill="FFFFFF" w:val="clear"/>
            <w:vAlign w:val="center"/>
          </w:tcPr>
          <w:p>
            <w:pPr>
              <w:pStyle w:val="TableContents"/>
              <w:spacing w:before="0" w:after="283"/>
              <w:rPr/>
            </w:pPr>
            <w:r>
              <w:rPr/>
              <w:t xml:space="preserve">  </w:t>
            </w:r>
          </w:p>
        </w:tc>
        <w:tc>
          <w:tcPr>
            <w:tcW w:w="5120" w:type="dxa"/>
            <w:gridSpan w:val="16"/>
            <w:tcBorders/>
            <w:shd w:fill="FFFFFF" w:val="clear"/>
          </w:tcPr>
          <w:p>
            <w:pPr>
              <w:pStyle w:val="TableContents"/>
              <w:spacing w:before="0" w:after="283"/>
              <w:rPr>
                <w:sz w:val="4"/>
                <w:szCs w:val="4"/>
              </w:rPr>
            </w:pPr>
            <w:r>
              <w:rPr>
                <w:sz w:val="4"/>
                <w:szCs w:val="4"/>
              </w:rPr>
            </w:r>
          </w:p>
        </w:tc>
      </w:tr>
      <w:tr>
        <w:trPr/>
        <w:tc>
          <w:tcPr>
            <w:tcW w:w="5085" w:type="dxa"/>
            <w:tcBorders/>
            <w:shd w:fill="CCEEFF" w:val="clear"/>
            <w:vAlign w:val="bottom"/>
          </w:tcPr>
          <w:p>
            <w:pPr>
              <w:pStyle w:val="TableContents"/>
              <w:spacing w:before="0" w:after="0"/>
              <w:ind w:left="200" w:right="0" w:hanging="200"/>
              <w:jc w:val="left"/>
              <w:rPr/>
            </w:pPr>
            <w:r>
              <w:rPr>
                <w:b/>
                <w:sz w:val="17"/>
              </w:rPr>
              <w:t>EBITDA excluding selected items impacting comparability</w:t>
            </w: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  </w:t>
            </w:r>
          </w:p>
        </w:tc>
        <w:tc>
          <w:tcPr>
            <w:tcW w:w="157" w:type="dxa"/>
            <w:tcBorders/>
            <w:shd w:fill="CCEEFF" w:val="clear"/>
            <w:vAlign w:val="bottom"/>
          </w:tcPr>
          <w:p>
            <w:pPr>
              <w:pStyle w:val="TableContents"/>
              <w:spacing w:before="0" w:after="283"/>
              <w:jc w:val="left"/>
              <w:rPr/>
            </w:pPr>
            <w:r>
              <w:rPr/>
              <w:t xml:space="preserve">  </w:t>
            </w:r>
          </w:p>
        </w:tc>
      </w:tr>
      <w:tr>
        <w:trPr/>
        <w:tc>
          <w:tcPr>
            <w:tcW w:w="5085" w:type="dxa"/>
            <w:tcBorders/>
            <w:shd w:fill="FFFFFF" w:val="clear"/>
            <w:vAlign w:val="bottom"/>
          </w:tcPr>
          <w:p>
            <w:pPr>
              <w:pStyle w:val="TableContents"/>
              <w:spacing w:before="0" w:after="0"/>
              <w:ind w:left="200" w:right="0" w:hanging="200"/>
              <w:jc w:val="left"/>
              <w:rPr>
                <w:sz w:val="17"/>
              </w:rPr>
            </w:pPr>
            <w:r>
              <w:rPr>
                <w:sz w:val="17"/>
              </w:rPr>
              <w:t xml:space="preserve">EBITDA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111.5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94.1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470.2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360.7 </w:t>
            </w:r>
          </w:p>
        </w:tc>
        <w:tc>
          <w:tcPr>
            <w:tcW w:w="157" w:type="dxa"/>
            <w:tcBorders/>
            <w:shd w:fill="FFFFFF" w:val="clear"/>
            <w:vAlign w:val="bottom"/>
          </w:tcPr>
          <w:p>
            <w:pPr>
              <w:pStyle w:val="TableContents"/>
              <w:spacing w:before="0" w:after="283"/>
              <w:jc w:val="left"/>
              <w:rPr/>
            </w:pPr>
            <w:r>
              <w:rPr/>
              <w:t xml:space="preserve">  </w:t>
            </w:r>
          </w:p>
        </w:tc>
      </w:tr>
      <w:tr>
        <w:trPr/>
        <w:tc>
          <w:tcPr>
            <w:tcW w:w="5085"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34.8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8.9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5" w:type="dxa"/>
            <w:tcBorders/>
            <w:shd w:fill="CCEEFF" w:val="clear"/>
            <w:vAlign w:val="bottom"/>
          </w:tcPr>
          <w:p>
            <w:pPr>
              <w:pStyle w:val="TableContents"/>
              <w:spacing w:before="0" w:after="283"/>
              <w:jc w:val="right"/>
              <w:rPr/>
            </w:pPr>
            <w:r>
              <w:rPr/>
              <w:t xml:space="preserve">40.8 </w:t>
            </w:r>
          </w:p>
        </w:tc>
        <w:tc>
          <w:tcPr>
            <w:tcW w:w="148" w:type="dxa"/>
            <w:tcBorders/>
            <w:shd w:fill="CCEEFF" w:val="clear"/>
            <w:vAlign w:val="bottom"/>
          </w:tcPr>
          <w:p>
            <w:pPr>
              <w:pStyle w:val="TableContents"/>
              <w:spacing w:before="0" w:after="283"/>
              <w:jc w:val="left"/>
              <w:rPr/>
            </w:pPr>
            <w:r>
              <w:rPr/>
              <w:t xml:space="preserve">  </w:t>
            </w:r>
          </w:p>
        </w:tc>
        <w:tc>
          <w:tcPr>
            <w:tcW w:w="301" w:type="dxa"/>
            <w:tcBorders/>
            <w:shd w:fill="CCEEFF" w:val="clear"/>
            <w:vAlign w:val="bottom"/>
          </w:tcPr>
          <w:p>
            <w:pPr>
              <w:pStyle w:val="TableContents"/>
              <w:spacing w:before="0" w:after="283"/>
              <w:rPr/>
            </w:pPr>
            <w:r>
              <w:rPr/>
              <w:t xml:space="preserve">  </w:t>
            </w:r>
          </w:p>
        </w:tc>
        <w:tc>
          <w:tcPr>
            <w:tcW w:w="203" w:type="dxa"/>
            <w:tcBorders/>
            <w:shd w:fill="CCEEFF" w:val="clear"/>
            <w:vAlign w:val="bottom"/>
          </w:tcPr>
          <w:p>
            <w:pPr>
              <w:pStyle w:val="TableContents"/>
              <w:spacing w:before="0" w:after="283"/>
              <w:jc w:val="left"/>
              <w:rPr/>
            </w:pPr>
            <w:r>
              <w:rPr/>
              <w:t xml:space="preserve">  </w:t>
            </w:r>
          </w:p>
        </w:tc>
        <w:tc>
          <w:tcPr>
            <w:tcW w:w="626" w:type="dxa"/>
            <w:tcBorders/>
            <w:shd w:fill="CCEEFF" w:val="clear"/>
            <w:vAlign w:val="bottom"/>
          </w:tcPr>
          <w:p>
            <w:pPr>
              <w:pStyle w:val="TableContents"/>
              <w:spacing w:before="0" w:after="283"/>
              <w:jc w:val="right"/>
              <w:rPr/>
            </w:pPr>
            <w:r>
              <w:rPr/>
              <w:t xml:space="preserve">47.1 </w:t>
            </w:r>
          </w:p>
        </w:tc>
        <w:tc>
          <w:tcPr>
            <w:tcW w:w="157" w:type="dxa"/>
            <w:tcBorders/>
            <w:shd w:fill="CCEEFF" w:val="clear"/>
            <w:vAlign w:val="bottom"/>
          </w:tcPr>
          <w:p>
            <w:pPr>
              <w:pStyle w:val="TableContents"/>
              <w:spacing w:before="0" w:after="283"/>
              <w:jc w:val="left"/>
              <w:rPr/>
            </w:pPr>
            <w:r>
              <w:rPr/>
              <w:t xml:space="preserve">  </w:t>
            </w:r>
          </w:p>
        </w:tc>
      </w:tr>
      <w:tr>
        <w:trPr/>
        <w:tc>
          <w:tcPr>
            <w:tcW w:w="5085"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r>
        <w:trPr/>
        <w:tc>
          <w:tcPr>
            <w:tcW w:w="5085" w:type="dxa"/>
            <w:tcBorders/>
            <w:shd w:fill="FFFFFF" w:val="clear"/>
            <w:vAlign w:val="bottom"/>
          </w:tcPr>
          <w:p>
            <w:pPr>
              <w:pStyle w:val="TableContents"/>
              <w:spacing w:before="0" w:after="0"/>
              <w:ind w:left="200" w:right="0" w:hanging="200"/>
              <w:jc w:val="left"/>
              <w:rPr>
                <w:sz w:val="17"/>
              </w:rPr>
            </w:pPr>
            <w:r>
              <w:rPr>
                <w:sz w:val="17"/>
              </w:rPr>
              <w:t xml:space="preserve">Adjusted EBITDA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146.3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103.0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5" w:type="dxa"/>
            <w:tcBorders/>
            <w:shd w:fill="FFFFFF" w:val="clear"/>
            <w:vAlign w:val="bottom"/>
          </w:tcPr>
          <w:p>
            <w:pPr>
              <w:pStyle w:val="TableContents"/>
              <w:spacing w:before="0" w:after="283"/>
              <w:jc w:val="right"/>
              <w:rPr/>
            </w:pPr>
            <w:r>
              <w:rPr/>
              <w:t xml:space="preserve">511.0 </w:t>
            </w:r>
          </w:p>
        </w:tc>
        <w:tc>
          <w:tcPr>
            <w:tcW w:w="148" w:type="dxa"/>
            <w:tcBorders/>
            <w:shd w:fill="FFFFFF" w:val="clear"/>
            <w:vAlign w:val="bottom"/>
          </w:tcPr>
          <w:p>
            <w:pPr>
              <w:pStyle w:val="TableContents"/>
              <w:spacing w:before="0" w:after="283"/>
              <w:jc w:val="left"/>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shd w:fill="FFFFFF" w:val="clear"/>
            <w:vAlign w:val="bottom"/>
          </w:tcPr>
          <w:p>
            <w:pPr>
              <w:pStyle w:val="TableContents"/>
              <w:spacing w:before="0" w:after="283"/>
              <w:jc w:val="left"/>
              <w:rPr/>
            </w:pPr>
            <w:r>
              <w:rPr/>
              <w:t xml:space="preserve">$ </w:t>
            </w:r>
          </w:p>
        </w:tc>
        <w:tc>
          <w:tcPr>
            <w:tcW w:w="626" w:type="dxa"/>
            <w:tcBorders/>
            <w:shd w:fill="FFFFFF" w:val="clear"/>
            <w:vAlign w:val="bottom"/>
          </w:tcPr>
          <w:p>
            <w:pPr>
              <w:pStyle w:val="TableContents"/>
              <w:spacing w:before="0" w:after="283"/>
              <w:jc w:val="right"/>
              <w:rPr/>
            </w:pPr>
            <w:r>
              <w:rPr/>
              <w:t xml:space="preserve">407.8 </w:t>
            </w:r>
          </w:p>
        </w:tc>
        <w:tc>
          <w:tcPr>
            <w:tcW w:w="157" w:type="dxa"/>
            <w:tcBorders/>
            <w:shd w:fill="FFFFFF" w:val="clear"/>
            <w:vAlign w:val="bottom"/>
          </w:tcPr>
          <w:p>
            <w:pPr>
              <w:pStyle w:val="TableContents"/>
              <w:spacing w:before="0" w:after="283"/>
              <w:jc w:val="left"/>
              <w:rPr/>
            </w:pPr>
            <w:r>
              <w:rPr/>
              <w:t xml:space="preserve">  </w:t>
            </w:r>
          </w:p>
        </w:tc>
      </w:tr>
      <w:tr>
        <w:trPr/>
        <w:tc>
          <w:tcPr>
            <w:tcW w:w="5085"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8" w:type="dxa"/>
            <w:tcBorders/>
            <w:shd w:fill="FFFFFF" w:val="clear"/>
            <w:vAlign w:val="bottom"/>
          </w:tcPr>
          <w:p>
            <w:pPr>
              <w:pStyle w:val="TableContents"/>
              <w:spacing w:before="0" w:after="283"/>
              <w:rPr/>
            </w:pPr>
            <w:r>
              <w:rPr/>
              <w:t xml:space="preserve">  </w:t>
            </w:r>
          </w:p>
        </w:tc>
        <w:tc>
          <w:tcPr>
            <w:tcW w:w="301" w:type="dxa"/>
            <w:tcBorders/>
            <w:shd w:fill="FFFFFF" w:val="clear"/>
            <w:vAlign w:val="bottom"/>
          </w:tcPr>
          <w:p>
            <w:pPr>
              <w:pStyle w:val="TableContents"/>
              <w:spacing w:before="0" w:after="283"/>
              <w:rPr/>
            </w:pPr>
            <w:r>
              <w:rPr/>
              <w:t xml:space="preserve">  </w:t>
            </w:r>
          </w:p>
        </w:tc>
        <w:tc>
          <w:tcPr>
            <w:tcW w:w="20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26"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7"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1247"/>
        <w:gridCol w:w="75"/>
        <w:gridCol w:w="468"/>
        <w:gridCol w:w="1225"/>
        <w:gridCol w:w="126"/>
        <w:gridCol w:w="75"/>
        <w:gridCol w:w="278"/>
        <w:gridCol w:w="711"/>
        <w:gridCol w:w="126"/>
        <w:gridCol w:w="75"/>
        <w:gridCol w:w="333"/>
        <w:gridCol w:w="855"/>
        <w:gridCol w:w="126"/>
        <w:gridCol w:w="74"/>
        <w:gridCol w:w="401"/>
        <w:gridCol w:w="1292"/>
        <w:gridCol w:w="126"/>
        <w:gridCol w:w="75"/>
        <w:gridCol w:w="278"/>
        <w:gridCol w:w="711"/>
        <w:gridCol w:w="126"/>
        <w:gridCol w:w="75"/>
        <w:gridCol w:w="285"/>
        <w:gridCol w:w="904"/>
        <w:gridCol w:w="138"/>
      </w:tblGrid>
      <w:tr>
        <w:trPr/>
        <w:tc>
          <w:tcPr>
            <w:tcW w:w="1247" w:type="dxa"/>
            <w:tcBorders/>
            <w:shd w:fill="FFFFFF" w:val="clear"/>
            <w:vAlign w:val="bottom"/>
          </w:tcPr>
          <w:p>
            <w:pPr>
              <w:pStyle w:val="TableContents"/>
              <w:spacing w:before="0" w:after="283"/>
              <w:rPr/>
            </w:pPr>
            <w:r>
              <w:rPr/>
              <w:t> </w:t>
            </w:r>
          </w:p>
        </w:tc>
        <w:tc>
          <w:tcPr>
            <w:tcW w:w="75"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22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278" w:type="dxa"/>
            <w:tcBorders/>
            <w:shd w:fill="FFFFFF" w:val="clear"/>
            <w:vAlign w:val="bottom"/>
          </w:tcPr>
          <w:p>
            <w:pPr>
              <w:pStyle w:val="TableContents"/>
              <w:spacing w:before="0" w:after="283"/>
              <w:jc w:val="right"/>
              <w:rPr/>
            </w:pPr>
            <w:r>
              <w:rPr/>
              <w:t> </w:t>
            </w:r>
          </w:p>
        </w:tc>
        <w:tc>
          <w:tcPr>
            <w:tcW w:w="7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333" w:type="dxa"/>
            <w:tcBorders/>
            <w:shd w:fill="FFFFFF" w:val="clear"/>
            <w:vAlign w:val="bottom"/>
          </w:tcPr>
          <w:p>
            <w:pPr>
              <w:pStyle w:val="TableContents"/>
              <w:spacing w:before="0" w:after="283"/>
              <w:jc w:val="right"/>
              <w:rPr/>
            </w:pPr>
            <w:r>
              <w:rPr/>
              <w:t> </w:t>
            </w:r>
          </w:p>
        </w:tc>
        <w:tc>
          <w:tcPr>
            <w:tcW w:w="85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401" w:type="dxa"/>
            <w:tcBorders/>
            <w:shd w:fill="FFFFFF" w:val="clear"/>
            <w:vAlign w:val="bottom"/>
          </w:tcPr>
          <w:p>
            <w:pPr>
              <w:pStyle w:val="TableContents"/>
              <w:spacing w:before="0" w:after="283"/>
              <w:jc w:val="right"/>
              <w:rPr/>
            </w:pPr>
            <w:r>
              <w:rPr/>
              <w:t> </w:t>
            </w:r>
          </w:p>
        </w:tc>
        <w:tc>
          <w:tcPr>
            <w:tcW w:w="129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278" w:type="dxa"/>
            <w:tcBorders/>
            <w:shd w:fill="FFFFFF" w:val="clear"/>
            <w:vAlign w:val="bottom"/>
          </w:tcPr>
          <w:p>
            <w:pPr>
              <w:pStyle w:val="TableContents"/>
              <w:spacing w:before="0" w:after="283"/>
              <w:jc w:val="right"/>
              <w:rPr/>
            </w:pPr>
            <w:r>
              <w:rPr/>
              <w:t> </w:t>
            </w:r>
          </w:p>
        </w:tc>
        <w:tc>
          <w:tcPr>
            <w:tcW w:w="7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75"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904"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1247"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4272" w:type="dxa"/>
            <w:gridSpan w:val="10"/>
            <w:tcBorders/>
            <w:shd w:fill="FFFFFF" w:val="clear"/>
            <w:vAlign w:val="bottom"/>
          </w:tcPr>
          <w:p>
            <w:pPr>
              <w:pStyle w:val="TableContents"/>
              <w:spacing w:before="0" w:after="283"/>
              <w:jc w:val="center"/>
              <w:rPr>
                <w:b/>
              </w:rPr>
            </w:pPr>
            <w:r>
              <w:rPr>
                <w:b/>
              </w:rPr>
              <w:t>Three Months Ended</w:t>
            </w:r>
          </w:p>
        </w:tc>
        <w:tc>
          <w:tcPr>
            <w:tcW w:w="126"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73" w:type="dxa"/>
            <w:gridSpan w:val="10"/>
            <w:tcBorders/>
            <w:shd w:fill="FFFFFF" w:val="clear"/>
            <w:vAlign w:val="bottom"/>
          </w:tcPr>
          <w:p>
            <w:pPr>
              <w:pStyle w:val="TableContents"/>
              <w:spacing w:before="0" w:after="283"/>
              <w:jc w:val="center"/>
              <w:rPr>
                <w:b/>
              </w:rPr>
            </w:pPr>
            <w:r>
              <w:rPr>
                <w:b/>
              </w:rPr>
              <w:t>Twelve Months Ended</w:t>
            </w:r>
          </w:p>
        </w:tc>
        <w:tc>
          <w:tcPr>
            <w:tcW w:w="138" w:type="dxa"/>
            <w:tcBorders/>
            <w:shd w:fill="FFFFFF" w:val="clear"/>
            <w:vAlign w:val="bottom"/>
          </w:tcPr>
          <w:p>
            <w:pPr>
              <w:pStyle w:val="TableContents"/>
              <w:spacing w:before="0" w:after="283"/>
              <w:jc w:val="center"/>
              <w:rPr/>
            </w:pPr>
            <w:r>
              <w:rPr/>
              <w:t xml:space="preserve">  </w:t>
            </w:r>
          </w:p>
        </w:tc>
      </w:tr>
      <w:tr>
        <w:trPr/>
        <w:tc>
          <w:tcPr>
            <w:tcW w:w="1247"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4272"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73"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2006</w:t>
            </w:r>
            <w:r>
              <w:rPr/>
              <w:t xml:space="preserve"> </w:t>
            </w:r>
          </w:p>
        </w:tc>
        <w:tc>
          <w:tcPr>
            <w:tcW w:w="138" w:type="dxa"/>
            <w:tcBorders/>
            <w:shd w:fill="FFFFFF" w:val="clear"/>
            <w:vAlign w:val="bottom"/>
          </w:tcPr>
          <w:p>
            <w:pPr>
              <w:pStyle w:val="TableContents"/>
              <w:spacing w:before="0" w:after="283"/>
              <w:jc w:val="center"/>
              <w:rPr/>
            </w:pPr>
            <w:r>
              <w:rPr/>
              <w:t xml:space="preserve">  </w:t>
            </w:r>
          </w:p>
        </w:tc>
      </w:tr>
      <w:tr>
        <w:trPr/>
        <w:tc>
          <w:tcPr>
            <w:tcW w:w="1247"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16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9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1188"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693"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9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6" w:type="dxa"/>
            <w:tcBorders/>
            <w:shd w:fill="FFFFFF" w:val="clear"/>
            <w:vAlign w:val="bottom"/>
          </w:tcPr>
          <w:p>
            <w:pPr>
              <w:pStyle w:val="TableContents"/>
              <w:spacing w:before="0" w:after="283"/>
              <w:jc w:val="center"/>
              <w:rPr/>
            </w:pPr>
            <w:r>
              <w:rPr/>
              <w:t xml:space="preserve">  </w:t>
            </w:r>
          </w:p>
        </w:tc>
        <w:tc>
          <w:tcPr>
            <w:tcW w:w="75" w:type="dxa"/>
            <w:tcBorders/>
            <w:shd w:fill="FFFFFF" w:val="clear"/>
            <w:vAlign w:val="bottom"/>
          </w:tcPr>
          <w:p>
            <w:pPr>
              <w:pStyle w:val="TableContents"/>
              <w:spacing w:before="0" w:after="283"/>
              <w:jc w:val="center"/>
              <w:rPr/>
            </w:pPr>
            <w:r>
              <w:rPr/>
              <w:t xml:space="preserve">  </w:t>
            </w:r>
          </w:p>
        </w:tc>
        <w:tc>
          <w:tcPr>
            <w:tcW w:w="1189"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38" w:type="dxa"/>
            <w:tcBorders/>
            <w:shd w:fill="FFFFFF" w:val="clear"/>
            <w:vAlign w:val="bottom"/>
          </w:tcPr>
          <w:p>
            <w:pPr>
              <w:pStyle w:val="TableContents"/>
              <w:spacing w:before="0" w:after="283"/>
              <w:jc w:val="center"/>
              <w:rPr/>
            </w:pPr>
            <w:r>
              <w:rPr/>
              <w:t xml:space="preserve">  </w:t>
            </w:r>
          </w:p>
        </w:tc>
      </w:tr>
      <w:tr>
        <w:trPr/>
        <w:tc>
          <w:tcPr>
            <w:tcW w:w="1247" w:type="dxa"/>
            <w:tcBorders/>
            <w:shd w:fill="FFFFFF" w:val="clear"/>
            <w:vAlign w:val="center"/>
          </w:tcPr>
          <w:p>
            <w:pPr>
              <w:pStyle w:val="TableContents"/>
              <w:spacing w:before="0" w:after="283"/>
              <w:rPr/>
            </w:pPr>
            <w:r>
              <w:rPr/>
              <w:t xml:space="preserve">  </w:t>
            </w:r>
          </w:p>
        </w:tc>
        <w:tc>
          <w:tcPr>
            <w:tcW w:w="8958" w:type="dxa"/>
            <w:gridSpan w:val="24"/>
            <w:tcBorders/>
            <w:shd w:fill="FFFFFF" w:val="clear"/>
          </w:tcPr>
          <w:p>
            <w:pPr>
              <w:pStyle w:val="TableContents"/>
              <w:spacing w:before="0" w:after="283"/>
              <w:rPr>
                <w:sz w:val="4"/>
                <w:szCs w:val="4"/>
              </w:rPr>
            </w:pPr>
            <w:r>
              <w:rPr>
                <w:sz w:val="4"/>
                <w:szCs w:val="4"/>
              </w:rPr>
            </w:r>
          </w:p>
        </w:tc>
      </w:tr>
      <w:tr>
        <w:trPr/>
        <w:tc>
          <w:tcPr>
            <w:tcW w:w="1247" w:type="dxa"/>
            <w:tcBorders/>
            <w:shd w:fill="CCEEFF" w:val="clear"/>
            <w:vAlign w:val="bottom"/>
          </w:tcPr>
          <w:p>
            <w:pPr>
              <w:pStyle w:val="TableContents"/>
              <w:spacing w:before="0" w:after="0"/>
              <w:ind w:left="200" w:right="0" w:hanging="200"/>
              <w:jc w:val="left"/>
              <w:rPr/>
            </w:pPr>
            <w:r>
              <w:rPr>
                <w:b/>
                <w:sz w:val="17"/>
              </w:rPr>
              <w:t>2006 Segment profit excluding selected items impacting comparability</w:t>
            </w:r>
            <w:r>
              <w:rPr/>
              <w:t xml:space="preserve"> </w:t>
            </w:r>
          </w:p>
        </w:tc>
        <w:tc>
          <w:tcPr>
            <w:tcW w:w="7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5"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5"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2"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4"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r>
      <w:tr>
        <w:trPr/>
        <w:tc>
          <w:tcPr>
            <w:tcW w:w="1247"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7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5" w:type="dxa"/>
            <w:tcBorders/>
            <w:shd w:fill="FFFFFF" w:val="clear"/>
            <w:vAlign w:val="bottom"/>
          </w:tcPr>
          <w:p>
            <w:pPr>
              <w:pStyle w:val="TableContents"/>
              <w:spacing w:before="0" w:after="283"/>
              <w:jc w:val="right"/>
              <w:rPr/>
            </w:pPr>
            <w:r>
              <w:rPr/>
              <w:t xml:space="preserve">55.3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15.1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5" w:type="dxa"/>
            <w:tcBorders/>
            <w:shd w:fill="FFFFFF" w:val="clear"/>
            <w:vAlign w:val="bottom"/>
          </w:tcPr>
          <w:p>
            <w:pPr>
              <w:pStyle w:val="TableContents"/>
              <w:spacing w:before="0" w:after="283"/>
              <w:jc w:val="right"/>
              <w:rPr/>
            </w:pPr>
            <w:r>
              <w:rPr/>
              <w:t xml:space="preserve">40.8 </w:t>
            </w:r>
          </w:p>
        </w:tc>
        <w:tc>
          <w:tcPr>
            <w:tcW w:w="126"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2" w:type="dxa"/>
            <w:tcBorders/>
            <w:shd w:fill="FFFFFF" w:val="clear"/>
            <w:vAlign w:val="bottom"/>
          </w:tcPr>
          <w:p>
            <w:pPr>
              <w:pStyle w:val="TableContents"/>
              <w:spacing w:before="0" w:after="283"/>
              <w:jc w:val="right"/>
              <w:rPr/>
            </w:pPr>
            <w:r>
              <w:rPr/>
              <w:t xml:space="preserve">200.2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34.6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4" w:type="dxa"/>
            <w:tcBorders/>
            <w:shd w:fill="FFFFFF" w:val="clear"/>
            <w:vAlign w:val="bottom"/>
          </w:tcPr>
          <w:p>
            <w:pPr>
              <w:pStyle w:val="TableContents"/>
              <w:spacing w:before="0" w:after="283"/>
              <w:jc w:val="right"/>
              <w:rPr/>
            </w:pPr>
            <w:r>
              <w:rPr/>
              <w:t xml:space="preserve">228.0 </w:t>
            </w:r>
          </w:p>
        </w:tc>
        <w:tc>
          <w:tcPr>
            <w:tcW w:w="138" w:type="dxa"/>
            <w:tcBorders/>
            <w:shd w:fill="FFFFFF" w:val="clear"/>
            <w:vAlign w:val="bottom"/>
          </w:tcPr>
          <w:p>
            <w:pPr>
              <w:pStyle w:val="TableContents"/>
              <w:spacing w:before="0" w:after="283"/>
              <w:jc w:val="left"/>
              <w:rPr/>
            </w:pPr>
            <w:r>
              <w:rPr/>
              <w:t xml:space="preserve">  </w:t>
            </w:r>
          </w:p>
        </w:tc>
      </w:tr>
      <w:tr>
        <w:trPr/>
        <w:tc>
          <w:tcPr>
            <w:tcW w:w="1247"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7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5"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5"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2"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4" w:type="dxa"/>
            <w:tcBorders/>
            <w:shd w:fill="CCEEFF" w:val="clear"/>
            <w:vAlign w:val="bottom"/>
          </w:tcPr>
          <w:p>
            <w:pPr>
              <w:pStyle w:val="TableContents"/>
              <w:spacing w:before="0" w:after="283"/>
              <w:jc w:val="right"/>
              <w:rPr/>
            </w:pPr>
            <w:r>
              <w:rPr/>
              <w:t xml:space="preserve">  </w:t>
            </w:r>
          </w:p>
        </w:tc>
        <w:tc>
          <w:tcPr>
            <w:tcW w:w="138" w:type="dxa"/>
            <w:tcBorders/>
            <w:shd w:fill="CCEEFF" w:val="clear"/>
            <w:vAlign w:val="bottom"/>
          </w:tcPr>
          <w:p>
            <w:pPr>
              <w:pStyle w:val="TableContents"/>
              <w:spacing w:before="0" w:after="283"/>
              <w:jc w:val="left"/>
              <w:rPr/>
            </w:pPr>
            <w:r>
              <w:rPr/>
              <w:t xml:space="preserve">  </w:t>
            </w:r>
          </w:p>
        </w:tc>
      </w:tr>
      <w:tr>
        <w:trPr/>
        <w:tc>
          <w:tcPr>
            <w:tcW w:w="1247"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7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5" w:type="dxa"/>
            <w:tcBorders/>
            <w:shd w:fill="FFFFFF" w:val="clear"/>
            <w:vAlign w:val="bottom"/>
          </w:tcPr>
          <w:p>
            <w:pPr>
              <w:pStyle w:val="TableContents"/>
              <w:spacing w:before="0" w:after="283"/>
              <w:jc w:val="right"/>
              <w:rPr/>
            </w:pPr>
            <w:r>
              <w:rPr/>
              <w:t xml:space="preserve">7.6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2.2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5" w:type="dxa"/>
            <w:tcBorders/>
            <w:shd w:fill="FFFFFF" w:val="clear"/>
            <w:vAlign w:val="bottom"/>
          </w:tcPr>
          <w:p>
            <w:pPr>
              <w:pStyle w:val="TableContents"/>
              <w:spacing w:before="0" w:after="283"/>
              <w:jc w:val="right"/>
              <w:rPr/>
            </w:pPr>
            <w:r>
              <w:rPr/>
              <w:t xml:space="preserve">5.8 </w:t>
            </w:r>
          </w:p>
        </w:tc>
        <w:tc>
          <w:tcPr>
            <w:tcW w:w="126"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2" w:type="dxa"/>
            <w:tcBorders/>
            <w:shd w:fill="FFFFFF" w:val="clear"/>
            <w:vAlign w:val="bottom"/>
          </w:tcPr>
          <w:p>
            <w:pPr>
              <w:pStyle w:val="TableContents"/>
              <w:spacing w:before="0" w:after="283"/>
              <w:jc w:val="right"/>
              <w:rPr/>
            </w:pPr>
            <w:r>
              <w:rPr/>
              <w:t xml:space="preserve">20.8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5.8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4" w:type="dxa"/>
            <w:tcBorders/>
            <w:shd w:fill="FFFFFF" w:val="clear"/>
            <w:vAlign w:val="bottom"/>
          </w:tcPr>
          <w:p>
            <w:pPr>
              <w:pStyle w:val="TableContents"/>
              <w:spacing w:before="0" w:after="283"/>
              <w:jc w:val="right"/>
              <w:rPr/>
            </w:pPr>
            <w:r>
              <w:rPr/>
              <w:t xml:space="preserve">16.1 </w:t>
            </w:r>
          </w:p>
        </w:tc>
        <w:tc>
          <w:tcPr>
            <w:tcW w:w="138" w:type="dxa"/>
            <w:tcBorders/>
            <w:shd w:fill="FFFFFF" w:val="clear"/>
            <w:vAlign w:val="bottom"/>
          </w:tcPr>
          <w:p>
            <w:pPr>
              <w:pStyle w:val="TableContents"/>
              <w:spacing w:before="0" w:after="283"/>
              <w:jc w:val="left"/>
              <w:rPr/>
            </w:pPr>
            <w:r>
              <w:rPr/>
              <w:t xml:space="preserve">  </w:t>
            </w:r>
          </w:p>
        </w:tc>
      </w:tr>
      <w:tr>
        <w:trPr/>
        <w:tc>
          <w:tcPr>
            <w:tcW w:w="1247" w:type="dxa"/>
            <w:tcBorders/>
            <w:shd w:fill="CCEEFF" w:val="clear"/>
            <w:vAlign w:val="bottom"/>
          </w:tcPr>
          <w:p>
            <w:pPr>
              <w:pStyle w:val="TableContents"/>
              <w:spacing w:before="0" w:after="0"/>
              <w:ind w:left="400" w:right="0" w:hanging="200"/>
              <w:jc w:val="left"/>
              <w:rPr>
                <w:sz w:val="17"/>
              </w:rPr>
            </w:pPr>
            <w:r>
              <w:rPr>
                <w:sz w:val="17"/>
              </w:rPr>
              <w:t xml:space="preserve">SFAS 133 mark-to-market adjustment </w:t>
            </w:r>
          </w:p>
        </w:tc>
        <w:tc>
          <w:tcPr>
            <w:tcW w:w="75"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5"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5" w:type="dxa"/>
            <w:tcBorders/>
            <w:shd w:fill="CCEEFF" w:val="clear"/>
            <w:vAlign w:val="bottom"/>
          </w:tcPr>
          <w:p>
            <w:pPr>
              <w:pStyle w:val="TableContents"/>
              <w:spacing w:before="0" w:after="283"/>
              <w:jc w:val="right"/>
              <w:rPr/>
            </w:pPr>
            <w:r>
              <w:rPr/>
              <w:t xml:space="preserve">19.2 </w:t>
            </w:r>
          </w:p>
        </w:tc>
        <w:tc>
          <w:tcPr>
            <w:tcW w:w="126"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2"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11" w:type="dxa"/>
            <w:tcBorders/>
            <w:shd w:fill="CCEEFF" w:val="clear"/>
            <w:vAlign w:val="bottom"/>
          </w:tcPr>
          <w:p>
            <w:pPr>
              <w:pStyle w:val="TableContents"/>
              <w:spacing w:before="0" w:after="283"/>
              <w:jc w:val="right"/>
              <w:rPr/>
            </w:pPr>
            <w:r>
              <w:rPr/>
              <w:t xml:space="preserve"> </w:t>
            </w:r>
          </w:p>
        </w:tc>
        <w:tc>
          <w:tcPr>
            <w:tcW w:w="126" w:type="dxa"/>
            <w:tcBorders/>
            <w:shd w:fill="CCEEFF" w:val="clear"/>
            <w:vAlign w:val="bottom"/>
          </w:tcPr>
          <w:p>
            <w:pPr>
              <w:pStyle w:val="TableContents"/>
              <w:spacing w:before="0" w:after="283"/>
              <w:jc w:val="left"/>
              <w:rPr/>
            </w:pPr>
            <w:r>
              <w:rPr/>
              <w:t xml:space="preserve">  </w:t>
            </w:r>
          </w:p>
        </w:tc>
        <w:tc>
          <w:tcPr>
            <w:tcW w:w="75"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4" w:type="dxa"/>
            <w:tcBorders/>
            <w:shd w:fill="CCEEFF" w:val="clear"/>
            <w:vAlign w:val="bottom"/>
          </w:tcPr>
          <w:p>
            <w:pPr>
              <w:pStyle w:val="TableContents"/>
              <w:spacing w:before="0" w:after="283"/>
              <w:jc w:val="right"/>
              <w:rPr/>
            </w:pPr>
            <w:r>
              <w:rPr/>
              <w:t xml:space="preserve">4.4 </w:t>
            </w:r>
          </w:p>
        </w:tc>
        <w:tc>
          <w:tcPr>
            <w:tcW w:w="138" w:type="dxa"/>
            <w:tcBorders/>
            <w:shd w:fill="CCEEFF" w:val="clear"/>
            <w:vAlign w:val="bottom"/>
          </w:tcPr>
          <w:p>
            <w:pPr>
              <w:pStyle w:val="TableContents"/>
              <w:spacing w:before="0" w:after="283"/>
              <w:jc w:val="left"/>
              <w:rPr/>
            </w:pPr>
            <w:r>
              <w:rPr/>
              <w:t xml:space="preserve">  </w:t>
            </w:r>
          </w:p>
        </w:tc>
      </w:tr>
      <w:tr>
        <w:trPr/>
        <w:tc>
          <w:tcPr>
            <w:tcW w:w="1247"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3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r>
      <w:tr>
        <w:trPr/>
        <w:tc>
          <w:tcPr>
            <w:tcW w:w="1247" w:type="dxa"/>
            <w:tcBorders/>
            <w:shd w:fill="FFFF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75"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5" w:type="dxa"/>
            <w:tcBorders/>
            <w:shd w:fill="FFFFFF" w:val="clear"/>
            <w:vAlign w:val="bottom"/>
          </w:tcPr>
          <w:p>
            <w:pPr>
              <w:pStyle w:val="TableContents"/>
              <w:spacing w:before="0" w:after="283"/>
              <w:jc w:val="right"/>
              <w:rPr/>
            </w:pPr>
            <w:r>
              <w:rPr/>
              <w:t xml:space="preserve">62.9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17.3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5" w:type="dxa"/>
            <w:tcBorders/>
            <w:shd w:fill="FFFFFF" w:val="clear"/>
            <w:vAlign w:val="bottom"/>
          </w:tcPr>
          <w:p>
            <w:pPr>
              <w:pStyle w:val="TableContents"/>
              <w:spacing w:before="0" w:after="283"/>
              <w:jc w:val="right"/>
              <w:rPr/>
            </w:pPr>
            <w:r>
              <w:rPr/>
              <w:t xml:space="preserve">65.8 </w:t>
            </w:r>
          </w:p>
        </w:tc>
        <w:tc>
          <w:tcPr>
            <w:tcW w:w="126"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2" w:type="dxa"/>
            <w:tcBorders/>
            <w:shd w:fill="FFFFFF" w:val="clear"/>
            <w:vAlign w:val="bottom"/>
          </w:tcPr>
          <w:p>
            <w:pPr>
              <w:pStyle w:val="TableContents"/>
              <w:spacing w:before="0" w:after="283"/>
              <w:jc w:val="right"/>
              <w:rPr/>
            </w:pPr>
            <w:r>
              <w:rPr/>
              <w:t xml:space="preserve">221.0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11" w:type="dxa"/>
            <w:tcBorders/>
            <w:shd w:fill="FFFFFF" w:val="clear"/>
            <w:vAlign w:val="bottom"/>
          </w:tcPr>
          <w:p>
            <w:pPr>
              <w:pStyle w:val="TableContents"/>
              <w:spacing w:before="0" w:after="283"/>
              <w:jc w:val="right"/>
              <w:rPr/>
            </w:pPr>
            <w:r>
              <w:rPr/>
              <w:t xml:space="preserve">40.4 </w:t>
            </w:r>
          </w:p>
        </w:tc>
        <w:tc>
          <w:tcPr>
            <w:tcW w:w="126" w:type="dxa"/>
            <w:tcBorders/>
            <w:shd w:fill="FFFFFF" w:val="clear"/>
            <w:vAlign w:val="bottom"/>
          </w:tcPr>
          <w:p>
            <w:pPr>
              <w:pStyle w:val="TableContents"/>
              <w:spacing w:before="0" w:after="283"/>
              <w:jc w:val="left"/>
              <w:rPr/>
            </w:pPr>
            <w:r>
              <w:rPr/>
              <w:t xml:space="preserve">  </w:t>
            </w:r>
          </w:p>
        </w:tc>
        <w:tc>
          <w:tcPr>
            <w:tcW w:w="75"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4" w:type="dxa"/>
            <w:tcBorders/>
            <w:shd w:fill="FFFFFF" w:val="clear"/>
            <w:vAlign w:val="bottom"/>
          </w:tcPr>
          <w:p>
            <w:pPr>
              <w:pStyle w:val="TableContents"/>
              <w:spacing w:before="0" w:after="283"/>
              <w:jc w:val="right"/>
              <w:rPr/>
            </w:pPr>
            <w:r>
              <w:rPr/>
              <w:t xml:space="preserve">248.5 </w:t>
            </w:r>
          </w:p>
        </w:tc>
        <w:tc>
          <w:tcPr>
            <w:tcW w:w="138" w:type="dxa"/>
            <w:tcBorders/>
            <w:shd w:fill="FFFFFF" w:val="clear"/>
            <w:vAlign w:val="bottom"/>
          </w:tcPr>
          <w:p>
            <w:pPr>
              <w:pStyle w:val="TableContents"/>
              <w:spacing w:before="0" w:after="283"/>
              <w:jc w:val="left"/>
              <w:rPr/>
            </w:pPr>
            <w:r>
              <w:rPr/>
              <w:t xml:space="preserve">  </w:t>
            </w:r>
          </w:p>
        </w:tc>
      </w:tr>
      <w:tr>
        <w:trPr/>
        <w:tc>
          <w:tcPr>
            <w:tcW w:w="1247"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3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5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9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1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6" w:type="dxa"/>
            <w:tcBorders/>
            <w:shd w:fill="FFFFFF" w:val="clear"/>
            <w:vAlign w:val="bottom"/>
          </w:tcPr>
          <w:p>
            <w:pPr>
              <w:pStyle w:val="TableContents"/>
              <w:spacing w:before="0" w:after="283"/>
              <w:rPr/>
            </w:pPr>
            <w:r>
              <w:rPr/>
              <w:t xml:space="preserve">  </w:t>
            </w:r>
          </w:p>
        </w:tc>
        <w:tc>
          <w:tcPr>
            <w:tcW w:w="75"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38"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shd w:fill="FFFFFF" w:val="clear"/>
        <w:tblCellMar>
          <w:top w:w="0" w:type="dxa"/>
          <w:left w:w="0" w:type="dxa"/>
          <w:bottom w:w="0" w:type="dxa"/>
          <w:right w:w="0" w:type="dxa"/>
        </w:tblCellMar>
      </w:tblPr>
      <w:tblGrid>
        <w:gridCol w:w="1231"/>
        <w:gridCol w:w="74"/>
        <w:gridCol w:w="468"/>
        <w:gridCol w:w="1223"/>
        <w:gridCol w:w="125"/>
        <w:gridCol w:w="74"/>
        <w:gridCol w:w="334"/>
        <w:gridCol w:w="653"/>
        <w:gridCol w:w="125"/>
        <w:gridCol w:w="74"/>
        <w:gridCol w:w="333"/>
        <w:gridCol w:w="854"/>
        <w:gridCol w:w="159"/>
        <w:gridCol w:w="74"/>
        <w:gridCol w:w="401"/>
        <w:gridCol w:w="1290"/>
        <w:gridCol w:w="125"/>
        <w:gridCol w:w="74"/>
        <w:gridCol w:w="278"/>
        <w:gridCol w:w="709"/>
        <w:gridCol w:w="125"/>
        <w:gridCol w:w="74"/>
        <w:gridCol w:w="285"/>
        <w:gridCol w:w="902"/>
        <w:gridCol w:w="141"/>
      </w:tblGrid>
      <w:tr>
        <w:trPr/>
        <w:tc>
          <w:tcPr>
            <w:tcW w:w="1231" w:type="dxa"/>
            <w:tcBorders/>
            <w:shd w:fill="FFFFFF" w:val="clear"/>
            <w:vAlign w:val="bottom"/>
          </w:tcPr>
          <w:p>
            <w:pPr>
              <w:pStyle w:val="TableContents"/>
              <w:spacing w:before="0" w:after="283"/>
              <w:rPr/>
            </w:pPr>
            <w:r>
              <w:rPr/>
              <w:t> </w:t>
            </w:r>
          </w:p>
        </w:tc>
        <w:tc>
          <w:tcPr>
            <w:tcW w:w="74" w:type="dxa"/>
            <w:tcBorders/>
            <w:shd w:fill="FFFFFF" w:val="clear"/>
            <w:vAlign w:val="bottom"/>
          </w:tcPr>
          <w:p>
            <w:pPr>
              <w:pStyle w:val="TableContents"/>
              <w:spacing w:before="0" w:after="283"/>
              <w:rPr/>
            </w:pPr>
            <w:r>
              <w:rPr/>
              <w:t> </w:t>
            </w:r>
          </w:p>
        </w:tc>
        <w:tc>
          <w:tcPr>
            <w:tcW w:w="468" w:type="dxa"/>
            <w:tcBorders/>
            <w:shd w:fill="FFFFFF" w:val="clear"/>
            <w:vAlign w:val="bottom"/>
          </w:tcPr>
          <w:p>
            <w:pPr>
              <w:pStyle w:val="TableContents"/>
              <w:spacing w:before="0" w:after="283"/>
              <w:jc w:val="right"/>
              <w:rPr/>
            </w:pPr>
            <w:r>
              <w:rPr/>
              <w:t> </w:t>
            </w:r>
          </w:p>
        </w:tc>
        <w:tc>
          <w:tcPr>
            <w:tcW w:w="122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334" w:type="dxa"/>
            <w:tcBorders/>
            <w:shd w:fill="FFFFFF" w:val="clear"/>
            <w:vAlign w:val="bottom"/>
          </w:tcPr>
          <w:p>
            <w:pPr>
              <w:pStyle w:val="TableContents"/>
              <w:spacing w:before="0" w:after="283"/>
              <w:jc w:val="right"/>
              <w:rPr/>
            </w:pPr>
            <w:r>
              <w:rPr/>
              <w:t> </w:t>
            </w:r>
          </w:p>
        </w:tc>
        <w:tc>
          <w:tcPr>
            <w:tcW w:w="65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333" w:type="dxa"/>
            <w:tcBorders/>
            <w:shd w:fill="FFFFFF" w:val="clear"/>
            <w:vAlign w:val="bottom"/>
          </w:tcPr>
          <w:p>
            <w:pPr>
              <w:pStyle w:val="TableContents"/>
              <w:spacing w:before="0" w:after="283"/>
              <w:jc w:val="right"/>
              <w:rPr/>
            </w:pPr>
            <w:r>
              <w:rPr/>
              <w:t> </w:t>
            </w:r>
          </w:p>
        </w:tc>
        <w:tc>
          <w:tcPr>
            <w:tcW w:w="854" w:type="dxa"/>
            <w:tcBorders/>
            <w:shd w:fill="FFFFFF" w:val="clear"/>
            <w:vAlign w:val="bottom"/>
          </w:tcPr>
          <w:p>
            <w:pPr>
              <w:pStyle w:val="TableContents"/>
              <w:spacing w:before="0" w:after="283"/>
              <w:jc w:val="right"/>
              <w:rPr/>
            </w:pPr>
            <w:r>
              <w:rPr/>
              <w:t> </w:t>
            </w:r>
          </w:p>
        </w:tc>
        <w:tc>
          <w:tcPr>
            <w:tcW w:w="159"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401" w:type="dxa"/>
            <w:tcBorders/>
            <w:shd w:fill="FFFFFF" w:val="clear"/>
            <w:vAlign w:val="bottom"/>
          </w:tcPr>
          <w:p>
            <w:pPr>
              <w:pStyle w:val="TableContents"/>
              <w:spacing w:before="0" w:after="283"/>
              <w:jc w:val="right"/>
              <w:rPr/>
            </w:pPr>
            <w:r>
              <w:rPr/>
              <w:t> </w:t>
            </w:r>
          </w:p>
        </w:tc>
        <w:tc>
          <w:tcPr>
            <w:tcW w:w="12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278" w:type="dxa"/>
            <w:tcBorders/>
            <w:shd w:fill="FFFFFF" w:val="clear"/>
            <w:vAlign w:val="bottom"/>
          </w:tcPr>
          <w:p>
            <w:pPr>
              <w:pStyle w:val="TableContents"/>
              <w:spacing w:before="0" w:after="283"/>
              <w:jc w:val="right"/>
              <w:rPr/>
            </w:pPr>
            <w:r>
              <w:rPr/>
              <w:t> </w:t>
            </w:r>
          </w:p>
        </w:tc>
        <w:tc>
          <w:tcPr>
            <w:tcW w:w="7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right"/>
              <w:rPr/>
            </w:pPr>
            <w:r>
              <w:rPr/>
              <w:t> </w:t>
            </w:r>
          </w:p>
        </w:tc>
        <w:tc>
          <w:tcPr>
            <w:tcW w:w="902" w:type="dxa"/>
            <w:tcBorders/>
            <w:shd w:fill="FFFFFF" w:val="clear"/>
            <w:vAlign w:val="bottom"/>
          </w:tcPr>
          <w:p>
            <w:pPr>
              <w:pStyle w:val="TableContents"/>
              <w:spacing w:before="0" w:after="283"/>
              <w:jc w:val="right"/>
              <w:rPr/>
            </w:pPr>
            <w:r>
              <w:rPr/>
              <w:t> </w:t>
            </w:r>
          </w:p>
        </w:tc>
        <w:tc>
          <w:tcPr>
            <w:tcW w:w="141" w:type="dxa"/>
            <w:tcBorders/>
            <w:shd w:fill="FFFFFF" w:val="clear"/>
            <w:vAlign w:val="bottom"/>
          </w:tcPr>
          <w:p>
            <w:pPr>
              <w:pStyle w:val="TableContents"/>
              <w:spacing w:before="0" w:after="283"/>
              <w:jc w:val="left"/>
              <w:rPr/>
            </w:pPr>
            <w:r>
              <w:rPr/>
              <w:t> </w:t>
            </w:r>
          </w:p>
        </w:tc>
      </w:tr>
      <w:tr>
        <w:trPr/>
        <w:tc>
          <w:tcPr>
            <w:tcW w:w="1231"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63" w:type="dxa"/>
            <w:gridSpan w:val="10"/>
            <w:tcBorders/>
            <w:shd w:fill="FFFFFF" w:val="clear"/>
            <w:vAlign w:val="bottom"/>
          </w:tcPr>
          <w:p>
            <w:pPr>
              <w:pStyle w:val="TableContents"/>
              <w:spacing w:before="0" w:after="283"/>
              <w:jc w:val="center"/>
              <w:rPr>
                <w:b/>
              </w:rPr>
            </w:pPr>
            <w:r>
              <w:rPr>
                <w:b/>
              </w:rPr>
              <w:t>Three Months Ended</w:t>
            </w:r>
          </w:p>
        </w:tc>
        <w:tc>
          <w:tcPr>
            <w:tcW w:w="159"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63" w:type="dxa"/>
            <w:gridSpan w:val="10"/>
            <w:tcBorders/>
            <w:shd w:fill="FFFFFF" w:val="clear"/>
            <w:vAlign w:val="bottom"/>
          </w:tcPr>
          <w:p>
            <w:pPr>
              <w:pStyle w:val="TableContents"/>
              <w:spacing w:before="0" w:after="283"/>
              <w:jc w:val="center"/>
              <w:rPr>
                <w:b/>
              </w:rPr>
            </w:pPr>
            <w:r>
              <w:rPr>
                <w:b/>
              </w:rPr>
              <w:t>Twelve Months Ended</w:t>
            </w:r>
          </w:p>
        </w:tc>
        <w:tc>
          <w:tcPr>
            <w:tcW w:w="141" w:type="dxa"/>
            <w:tcBorders/>
            <w:shd w:fill="FFFFFF" w:val="clear"/>
            <w:vAlign w:val="bottom"/>
          </w:tcPr>
          <w:p>
            <w:pPr>
              <w:pStyle w:val="TableContents"/>
              <w:spacing w:before="0" w:after="283"/>
              <w:jc w:val="center"/>
              <w:rPr/>
            </w:pPr>
            <w:r>
              <w:rPr/>
              <w:t xml:space="preserve">  </w:t>
            </w:r>
          </w:p>
        </w:tc>
      </w:tr>
      <w:tr>
        <w:trPr/>
        <w:tc>
          <w:tcPr>
            <w:tcW w:w="1231"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63"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4263" w:type="dxa"/>
            <w:gridSpan w:val="10"/>
            <w:tcBorders>
              <w:bottom w:val="single" w:sz="2" w:space="0" w:color="000000"/>
            </w:tcBorders>
            <w:shd w:fill="FFFFFF" w:val="clear"/>
            <w:tcMar>
              <w:bottom w:w="28" w:type="dxa"/>
            </w:tcMar>
            <w:vAlign w:val="bottom"/>
          </w:tcPr>
          <w:p>
            <w:pPr>
              <w:pStyle w:val="TableContents"/>
              <w:spacing w:before="0" w:after="283"/>
              <w:jc w:val="center"/>
              <w:rPr/>
            </w:pPr>
            <w:r>
              <w:rPr>
                <w:b/>
              </w:rPr>
              <w:t>December 31, 2005</w:t>
            </w:r>
            <w:r>
              <w:rPr/>
              <w:t xml:space="preserve"> </w:t>
            </w:r>
          </w:p>
        </w:tc>
        <w:tc>
          <w:tcPr>
            <w:tcW w:w="141" w:type="dxa"/>
            <w:tcBorders/>
            <w:shd w:fill="FFFFFF" w:val="clear"/>
            <w:vAlign w:val="bottom"/>
          </w:tcPr>
          <w:p>
            <w:pPr>
              <w:pStyle w:val="TableContents"/>
              <w:spacing w:before="0" w:after="283"/>
              <w:jc w:val="center"/>
              <w:rPr/>
            </w:pPr>
            <w:r>
              <w:rPr/>
              <w:t xml:space="preserve">  </w:t>
            </w:r>
          </w:p>
        </w:tc>
      </w:tr>
      <w:tr>
        <w:trPr/>
        <w:tc>
          <w:tcPr>
            <w:tcW w:w="1231"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6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9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1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59"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691"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Transportation</w:t>
            </w: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9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Facilities</w:t>
            </w:r>
            <w:r>
              <w:rPr/>
              <w:t xml:space="preserve"> </w:t>
            </w:r>
          </w:p>
        </w:tc>
        <w:tc>
          <w:tcPr>
            <w:tcW w:w="125" w:type="dxa"/>
            <w:tcBorders/>
            <w:shd w:fill="FFFFFF" w:val="clear"/>
            <w:vAlign w:val="bottom"/>
          </w:tcPr>
          <w:p>
            <w:pPr>
              <w:pStyle w:val="TableContents"/>
              <w:spacing w:before="0" w:after="283"/>
              <w:jc w:val="center"/>
              <w:rPr/>
            </w:pPr>
            <w:r>
              <w:rPr/>
              <w:t xml:space="preserve">  </w:t>
            </w:r>
          </w:p>
        </w:tc>
        <w:tc>
          <w:tcPr>
            <w:tcW w:w="74" w:type="dxa"/>
            <w:tcBorders/>
            <w:shd w:fill="FFFFFF" w:val="clear"/>
            <w:vAlign w:val="bottom"/>
          </w:tcPr>
          <w:p>
            <w:pPr>
              <w:pStyle w:val="TableContents"/>
              <w:spacing w:before="0" w:after="283"/>
              <w:jc w:val="center"/>
              <w:rPr/>
            </w:pPr>
            <w:r>
              <w:rPr/>
              <w:t xml:space="preserve">  </w:t>
            </w:r>
          </w:p>
        </w:tc>
        <w:tc>
          <w:tcPr>
            <w:tcW w:w="1187" w:type="dxa"/>
            <w:gridSpan w:val="2"/>
            <w:tcBorders>
              <w:bottom w:val="single" w:sz="2" w:space="0" w:color="000000"/>
            </w:tcBorders>
            <w:shd w:fill="FFFFFF" w:val="clear"/>
            <w:tcMar>
              <w:bottom w:w="28" w:type="dxa"/>
            </w:tcMar>
            <w:vAlign w:val="bottom"/>
          </w:tcPr>
          <w:p>
            <w:pPr>
              <w:pStyle w:val="TableContents"/>
              <w:spacing w:before="0" w:after="283"/>
              <w:jc w:val="center"/>
              <w:rPr/>
            </w:pPr>
            <w:r>
              <w:rPr>
                <w:b/>
              </w:rPr>
              <w:t>Marketing</w:t>
            </w:r>
            <w:r>
              <w:rPr/>
              <w:t xml:space="preserve"> </w:t>
            </w:r>
          </w:p>
        </w:tc>
        <w:tc>
          <w:tcPr>
            <w:tcW w:w="141" w:type="dxa"/>
            <w:tcBorders/>
            <w:shd w:fill="FFFFFF" w:val="clear"/>
            <w:vAlign w:val="bottom"/>
          </w:tcPr>
          <w:p>
            <w:pPr>
              <w:pStyle w:val="TableContents"/>
              <w:spacing w:before="0" w:after="283"/>
              <w:jc w:val="center"/>
              <w:rPr/>
            </w:pPr>
            <w:r>
              <w:rPr/>
              <w:t xml:space="preserve">  </w:t>
            </w:r>
          </w:p>
        </w:tc>
      </w:tr>
      <w:tr>
        <w:trPr/>
        <w:tc>
          <w:tcPr>
            <w:tcW w:w="1231" w:type="dxa"/>
            <w:tcBorders/>
            <w:shd w:fill="FFFFFF" w:val="clear"/>
            <w:vAlign w:val="center"/>
          </w:tcPr>
          <w:p>
            <w:pPr>
              <w:pStyle w:val="TableContents"/>
              <w:spacing w:before="0" w:after="283"/>
              <w:rPr/>
            </w:pPr>
            <w:r>
              <w:rPr/>
              <w:t xml:space="preserve">  </w:t>
            </w:r>
          </w:p>
        </w:tc>
        <w:tc>
          <w:tcPr>
            <w:tcW w:w="8974" w:type="dxa"/>
            <w:gridSpan w:val="24"/>
            <w:tcBorders/>
            <w:shd w:fill="FFFFFF" w:val="clear"/>
          </w:tcPr>
          <w:p>
            <w:pPr>
              <w:pStyle w:val="TableContents"/>
              <w:spacing w:before="0" w:after="283"/>
              <w:rPr>
                <w:sz w:val="4"/>
                <w:szCs w:val="4"/>
              </w:rPr>
            </w:pPr>
            <w:r>
              <w:rPr>
                <w:sz w:val="4"/>
                <w:szCs w:val="4"/>
              </w:rPr>
            </w:r>
          </w:p>
        </w:tc>
      </w:tr>
      <w:tr>
        <w:trPr/>
        <w:tc>
          <w:tcPr>
            <w:tcW w:w="1231" w:type="dxa"/>
            <w:tcBorders/>
            <w:shd w:fill="CCEEFF" w:val="clear"/>
            <w:vAlign w:val="bottom"/>
          </w:tcPr>
          <w:p>
            <w:pPr>
              <w:pStyle w:val="TableContents"/>
              <w:spacing w:before="0" w:after="0"/>
              <w:ind w:left="200" w:right="0" w:hanging="200"/>
              <w:jc w:val="left"/>
              <w:rPr/>
            </w:pPr>
            <w:r>
              <w:rPr>
                <w:b/>
                <w:sz w:val="17"/>
              </w:rPr>
              <w:t>2005 Segment profit excluding selected items impacting comparability</w:t>
            </w:r>
            <w:r>
              <w:rPr/>
              <w:t xml:space="preserve"> </w:t>
            </w:r>
          </w:p>
        </w:tc>
        <w:tc>
          <w:tcPr>
            <w:tcW w:w="7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4" w:type="dxa"/>
            <w:tcBorders/>
            <w:shd w:fill="CCEEFF" w:val="clear"/>
            <w:vAlign w:val="bottom"/>
          </w:tcPr>
          <w:p>
            <w:pPr>
              <w:pStyle w:val="TableContents"/>
              <w:spacing w:before="0" w:after="283"/>
              <w:jc w:val="left"/>
              <w:rPr/>
            </w:pPr>
            <w:r>
              <w:rPr/>
              <w:t xml:space="preserve">  </w:t>
            </w:r>
          </w:p>
        </w:tc>
        <w:tc>
          <w:tcPr>
            <w:tcW w:w="65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4"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0"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09"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2" w:type="dxa"/>
            <w:tcBorders/>
            <w:shd w:fill="CCEEFF" w:val="clear"/>
            <w:vAlign w:val="bottom"/>
          </w:tcPr>
          <w:p>
            <w:pPr>
              <w:pStyle w:val="TableContents"/>
              <w:spacing w:before="0" w:after="283"/>
              <w:jc w:val="right"/>
              <w:rPr/>
            </w:pPr>
            <w:r>
              <w:rPr/>
              <w:t xml:space="preserve">  </w:t>
            </w:r>
          </w:p>
        </w:tc>
        <w:tc>
          <w:tcPr>
            <w:tcW w:w="141" w:type="dxa"/>
            <w:tcBorders/>
            <w:shd w:fill="CCEEFF" w:val="clear"/>
            <w:vAlign w:val="bottom"/>
          </w:tcPr>
          <w:p>
            <w:pPr>
              <w:pStyle w:val="TableContents"/>
              <w:spacing w:before="0" w:after="283"/>
              <w:jc w:val="left"/>
              <w:rPr/>
            </w:pPr>
            <w:r>
              <w:rPr/>
              <w:t xml:space="preserve">  </w:t>
            </w:r>
          </w:p>
        </w:tc>
      </w:tr>
      <w:tr>
        <w:trPr/>
        <w:tc>
          <w:tcPr>
            <w:tcW w:w="1231" w:type="dxa"/>
            <w:tcBorders/>
            <w:shd w:fill="FFFFFF" w:val="clear"/>
            <w:vAlign w:val="bottom"/>
          </w:tcPr>
          <w:p>
            <w:pPr>
              <w:pStyle w:val="TableContents"/>
              <w:spacing w:before="0" w:after="0"/>
              <w:ind w:left="200" w:right="0" w:hanging="200"/>
              <w:jc w:val="left"/>
              <w:rPr>
                <w:sz w:val="17"/>
              </w:rPr>
            </w:pPr>
            <w:r>
              <w:rPr>
                <w:sz w:val="17"/>
              </w:rPr>
              <w:t xml:space="preserve">Reported segment profit </w:t>
            </w:r>
          </w:p>
        </w:tc>
        <w:tc>
          <w:tcPr>
            <w:tcW w:w="7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39.0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jc w:val="left"/>
              <w:rPr/>
            </w:pPr>
            <w:r>
              <w:rPr/>
              <w:t xml:space="preserve">$ </w:t>
            </w:r>
          </w:p>
        </w:tc>
        <w:tc>
          <w:tcPr>
            <w:tcW w:w="653" w:type="dxa"/>
            <w:tcBorders/>
            <w:shd w:fill="FFFFFF" w:val="clear"/>
            <w:vAlign w:val="bottom"/>
          </w:tcPr>
          <w:p>
            <w:pPr>
              <w:pStyle w:val="TableContents"/>
              <w:spacing w:before="0" w:after="283"/>
              <w:jc w:val="right"/>
              <w:rPr/>
            </w:pPr>
            <w:r>
              <w:rPr/>
              <w:t xml:space="preserve">4.0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4" w:type="dxa"/>
            <w:tcBorders/>
            <w:shd w:fill="FFFFFF" w:val="clear"/>
            <w:vAlign w:val="bottom"/>
          </w:tcPr>
          <w:p>
            <w:pPr>
              <w:pStyle w:val="TableContents"/>
              <w:spacing w:before="0" w:after="283"/>
              <w:jc w:val="right"/>
              <w:rPr/>
            </w:pPr>
            <w:r>
              <w:rPr/>
              <w:t xml:space="preserve">50.8 </w:t>
            </w:r>
          </w:p>
        </w:tc>
        <w:tc>
          <w:tcPr>
            <w:tcW w:w="159"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0" w:type="dxa"/>
            <w:tcBorders/>
            <w:shd w:fill="FFFFFF" w:val="clear"/>
            <w:vAlign w:val="bottom"/>
          </w:tcPr>
          <w:p>
            <w:pPr>
              <w:pStyle w:val="TableContents"/>
              <w:spacing w:before="0" w:after="283"/>
              <w:jc w:val="right"/>
              <w:rPr/>
            </w:pPr>
            <w:r>
              <w:rPr/>
              <w:t xml:space="preserve">169.5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09" w:type="dxa"/>
            <w:tcBorders/>
            <w:shd w:fill="FFFFFF" w:val="clear"/>
            <w:vAlign w:val="bottom"/>
          </w:tcPr>
          <w:p>
            <w:pPr>
              <w:pStyle w:val="TableContents"/>
              <w:spacing w:before="0" w:after="283"/>
              <w:jc w:val="right"/>
              <w:rPr/>
            </w:pPr>
            <w:r>
              <w:rPr/>
              <w:t xml:space="preserve">15.2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2" w:type="dxa"/>
            <w:tcBorders/>
            <w:shd w:fill="FFFFFF" w:val="clear"/>
            <w:vAlign w:val="bottom"/>
          </w:tcPr>
          <w:p>
            <w:pPr>
              <w:pStyle w:val="TableContents"/>
              <w:spacing w:before="0" w:after="283"/>
              <w:jc w:val="right"/>
              <w:rPr/>
            </w:pPr>
            <w:r>
              <w:rPr/>
              <w:t xml:space="preserve">175.4 </w:t>
            </w:r>
          </w:p>
        </w:tc>
        <w:tc>
          <w:tcPr>
            <w:tcW w:w="141" w:type="dxa"/>
            <w:tcBorders/>
            <w:shd w:fill="FFFFFF" w:val="clear"/>
            <w:vAlign w:val="bottom"/>
          </w:tcPr>
          <w:p>
            <w:pPr>
              <w:pStyle w:val="TableContents"/>
              <w:spacing w:before="0" w:after="283"/>
              <w:jc w:val="left"/>
              <w:rPr/>
            </w:pPr>
            <w:r>
              <w:rPr/>
              <w:t xml:space="preserve">  </w:t>
            </w:r>
          </w:p>
        </w:tc>
      </w:tr>
      <w:tr>
        <w:trPr/>
        <w:tc>
          <w:tcPr>
            <w:tcW w:w="1231" w:type="dxa"/>
            <w:tcBorders/>
            <w:shd w:fill="CCEEFF" w:val="clear"/>
            <w:vAlign w:val="bottom"/>
          </w:tcPr>
          <w:p>
            <w:pPr>
              <w:pStyle w:val="TableContents"/>
              <w:spacing w:before="0" w:after="0"/>
              <w:ind w:left="200" w:right="0" w:hanging="200"/>
              <w:jc w:val="left"/>
              <w:rPr>
                <w:sz w:val="17"/>
              </w:rPr>
            </w:pPr>
            <w:r>
              <w:rPr>
                <w:sz w:val="17"/>
              </w:rPr>
              <w:t xml:space="preserve">Selected items impacting comparability of segment profit: </w:t>
            </w:r>
          </w:p>
        </w:tc>
        <w:tc>
          <w:tcPr>
            <w:tcW w:w="7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4" w:type="dxa"/>
            <w:tcBorders/>
            <w:shd w:fill="CCEEFF" w:val="clear"/>
            <w:vAlign w:val="bottom"/>
          </w:tcPr>
          <w:p>
            <w:pPr>
              <w:pStyle w:val="TableContents"/>
              <w:spacing w:before="0" w:after="283"/>
              <w:jc w:val="left"/>
              <w:rPr/>
            </w:pPr>
            <w:r>
              <w:rPr/>
              <w:t xml:space="preserve">  </w:t>
            </w:r>
          </w:p>
        </w:tc>
        <w:tc>
          <w:tcPr>
            <w:tcW w:w="65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4" w:type="dxa"/>
            <w:tcBorders/>
            <w:shd w:fill="CCEEFF" w:val="clear"/>
            <w:vAlign w:val="bottom"/>
          </w:tcPr>
          <w:p>
            <w:pPr>
              <w:pStyle w:val="TableContents"/>
              <w:spacing w:before="0" w:after="283"/>
              <w:jc w:val="right"/>
              <w:rPr/>
            </w:pPr>
            <w:r>
              <w:rPr/>
              <w:t xml:space="preserve">  </w:t>
            </w:r>
          </w:p>
        </w:tc>
        <w:tc>
          <w:tcPr>
            <w:tcW w:w="159"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0"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09"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2" w:type="dxa"/>
            <w:tcBorders/>
            <w:shd w:fill="CCEEFF" w:val="clear"/>
            <w:vAlign w:val="bottom"/>
          </w:tcPr>
          <w:p>
            <w:pPr>
              <w:pStyle w:val="TableContents"/>
              <w:spacing w:before="0" w:after="283"/>
              <w:jc w:val="right"/>
              <w:rPr/>
            </w:pPr>
            <w:r>
              <w:rPr/>
              <w:t xml:space="preserve">  </w:t>
            </w:r>
          </w:p>
        </w:tc>
        <w:tc>
          <w:tcPr>
            <w:tcW w:w="141" w:type="dxa"/>
            <w:tcBorders/>
            <w:shd w:fill="CCEEFF" w:val="clear"/>
            <w:vAlign w:val="bottom"/>
          </w:tcPr>
          <w:p>
            <w:pPr>
              <w:pStyle w:val="TableContents"/>
              <w:spacing w:before="0" w:after="283"/>
              <w:jc w:val="left"/>
              <w:rPr/>
            </w:pPr>
            <w:r>
              <w:rPr/>
              <w:t xml:space="preserve">  </w:t>
            </w:r>
          </w:p>
        </w:tc>
      </w:tr>
      <w:tr>
        <w:trPr/>
        <w:tc>
          <w:tcPr>
            <w:tcW w:w="1231" w:type="dxa"/>
            <w:tcBorders/>
            <w:shd w:fill="FFFFFF" w:val="clear"/>
            <w:vAlign w:val="bottom"/>
          </w:tcPr>
          <w:p>
            <w:pPr>
              <w:pStyle w:val="TableContents"/>
              <w:spacing w:before="0" w:after="0"/>
              <w:ind w:left="400" w:right="0" w:hanging="200"/>
              <w:jc w:val="left"/>
              <w:rPr>
                <w:sz w:val="17"/>
              </w:rPr>
            </w:pPr>
            <w:r>
              <w:rPr>
                <w:sz w:val="17"/>
              </w:rPr>
              <w:t xml:space="preserve">LTIP charge </w:t>
            </w:r>
          </w:p>
        </w:tc>
        <w:tc>
          <w:tcPr>
            <w:tcW w:w="7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5.5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jc w:val="left"/>
              <w:rPr/>
            </w:pPr>
            <w:r>
              <w:rPr/>
              <w:t xml:space="preserve">  </w:t>
            </w:r>
          </w:p>
        </w:tc>
        <w:tc>
          <w:tcPr>
            <w:tcW w:w="653" w:type="dxa"/>
            <w:tcBorders/>
            <w:shd w:fill="FFFFFF" w:val="clear"/>
            <w:vAlign w:val="bottom"/>
          </w:tcPr>
          <w:p>
            <w:pPr>
              <w:pStyle w:val="TableContents"/>
              <w:spacing w:before="0" w:after="283"/>
              <w:jc w:val="right"/>
              <w:rPr/>
            </w:pPr>
            <w:r>
              <w:rPr/>
              <w:t xml:space="preserve">1.0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4" w:type="dxa"/>
            <w:tcBorders/>
            <w:shd w:fill="FFFFFF" w:val="clear"/>
            <w:vAlign w:val="bottom"/>
          </w:tcPr>
          <w:p>
            <w:pPr>
              <w:pStyle w:val="TableContents"/>
              <w:spacing w:before="0" w:after="283"/>
              <w:jc w:val="right"/>
              <w:rPr/>
            </w:pPr>
            <w:r>
              <w:rPr/>
              <w:t xml:space="preserve">2.8 </w:t>
            </w:r>
          </w:p>
        </w:tc>
        <w:tc>
          <w:tcPr>
            <w:tcW w:w="159"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0" w:type="dxa"/>
            <w:tcBorders/>
            <w:shd w:fill="FFFFFF" w:val="clear"/>
            <w:vAlign w:val="bottom"/>
          </w:tcPr>
          <w:p>
            <w:pPr>
              <w:pStyle w:val="TableContents"/>
              <w:spacing w:before="0" w:after="283"/>
              <w:jc w:val="right"/>
              <w:rPr/>
            </w:pPr>
            <w:r>
              <w:rPr/>
              <w:t xml:space="preserve">11.6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09" w:type="dxa"/>
            <w:tcBorders/>
            <w:shd w:fill="FFFFFF" w:val="clear"/>
            <w:vAlign w:val="bottom"/>
          </w:tcPr>
          <w:p>
            <w:pPr>
              <w:pStyle w:val="TableContents"/>
              <w:spacing w:before="0" w:after="283"/>
              <w:jc w:val="right"/>
              <w:rPr/>
            </w:pPr>
            <w:r>
              <w:rPr/>
              <w:t xml:space="preserve">2.2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2" w:type="dxa"/>
            <w:tcBorders/>
            <w:shd w:fill="FFFFFF" w:val="clear"/>
            <w:vAlign w:val="bottom"/>
          </w:tcPr>
          <w:p>
            <w:pPr>
              <w:pStyle w:val="TableContents"/>
              <w:spacing w:before="0" w:after="283"/>
              <w:jc w:val="right"/>
              <w:rPr/>
            </w:pPr>
            <w:r>
              <w:rPr/>
              <w:t xml:space="preserve">12.3 </w:t>
            </w:r>
          </w:p>
        </w:tc>
        <w:tc>
          <w:tcPr>
            <w:tcW w:w="141" w:type="dxa"/>
            <w:tcBorders/>
            <w:shd w:fill="FFFFFF" w:val="clear"/>
            <w:vAlign w:val="bottom"/>
          </w:tcPr>
          <w:p>
            <w:pPr>
              <w:pStyle w:val="TableContents"/>
              <w:spacing w:before="0" w:after="283"/>
              <w:jc w:val="left"/>
              <w:rPr/>
            </w:pPr>
            <w:r>
              <w:rPr/>
              <w:t xml:space="preserve">  </w:t>
            </w:r>
          </w:p>
        </w:tc>
      </w:tr>
      <w:tr>
        <w:trPr/>
        <w:tc>
          <w:tcPr>
            <w:tcW w:w="1231" w:type="dxa"/>
            <w:tcBorders/>
            <w:shd w:fill="CCEEFF" w:val="clear"/>
            <w:vAlign w:val="bottom"/>
          </w:tcPr>
          <w:p>
            <w:pPr>
              <w:pStyle w:val="TableContents"/>
              <w:spacing w:before="0" w:after="0"/>
              <w:ind w:left="400" w:right="0" w:hanging="200"/>
              <w:jc w:val="left"/>
              <w:rPr>
                <w:sz w:val="17"/>
              </w:rPr>
            </w:pPr>
            <w:r>
              <w:rPr>
                <w:sz w:val="17"/>
              </w:rPr>
              <w:t xml:space="preserve">Loss on foreign currency revaluation </w:t>
            </w:r>
          </w:p>
        </w:tc>
        <w:tc>
          <w:tcPr>
            <w:tcW w:w="7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4" w:type="dxa"/>
            <w:tcBorders/>
            <w:shd w:fill="CCEEFF" w:val="clear"/>
            <w:vAlign w:val="bottom"/>
          </w:tcPr>
          <w:p>
            <w:pPr>
              <w:pStyle w:val="TableContents"/>
              <w:spacing w:before="0" w:after="283"/>
              <w:jc w:val="left"/>
              <w:rPr/>
            </w:pPr>
            <w:r>
              <w:rPr/>
              <w:t xml:space="preserve">  </w:t>
            </w:r>
          </w:p>
        </w:tc>
        <w:tc>
          <w:tcPr>
            <w:tcW w:w="653"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4" w:type="dxa"/>
            <w:tcBorders/>
            <w:shd w:fill="CCEEFF" w:val="clear"/>
            <w:vAlign w:val="bottom"/>
          </w:tcPr>
          <w:p>
            <w:pPr>
              <w:pStyle w:val="TableContents"/>
              <w:spacing w:before="0" w:after="283"/>
              <w:jc w:val="right"/>
              <w:rPr/>
            </w:pPr>
            <w:r>
              <w:rPr/>
              <w:t xml:space="preserve">0.7 </w:t>
            </w:r>
          </w:p>
        </w:tc>
        <w:tc>
          <w:tcPr>
            <w:tcW w:w="159"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0"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09" w:type="dxa"/>
            <w:tcBorders/>
            <w:shd w:fill="CCEEFF" w:val="clear"/>
            <w:vAlign w:val="bottom"/>
          </w:tcPr>
          <w:p>
            <w:pPr>
              <w:pStyle w:val="TableContents"/>
              <w:spacing w:before="0" w:after="283"/>
              <w:jc w:val="right"/>
              <w:rPr/>
            </w:pPr>
            <w:r>
              <w:rPr/>
              <w:t xml:space="preserve">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2" w:type="dxa"/>
            <w:tcBorders/>
            <w:shd w:fill="CCEEFF" w:val="clear"/>
            <w:vAlign w:val="bottom"/>
          </w:tcPr>
          <w:p>
            <w:pPr>
              <w:pStyle w:val="TableContents"/>
              <w:spacing w:before="0" w:after="283"/>
              <w:jc w:val="right"/>
              <w:rPr/>
            </w:pPr>
            <w:r>
              <w:rPr/>
              <w:t xml:space="preserve">2.1 </w:t>
            </w:r>
          </w:p>
        </w:tc>
        <w:tc>
          <w:tcPr>
            <w:tcW w:w="141" w:type="dxa"/>
            <w:tcBorders/>
            <w:shd w:fill="CCEEFF" w:val="clear"/>
            <w:vAlign w:val="bottom"/>
          </w:tcPr>
          <w:p>
            <w:pPr>
              <w:pStyle w:val="TableContents"/>
              <w:spacing w:before="0" w:after="283"/>
              <w:jc w:val="left"/>
              <w:rPr/>
            </w:pPr>
            <w:r>
              <w:rPr/>
              <w:t xml:space="preserve">  </w:t>
            </w:r>
          </w:p>
        </w:tc>
      </w:tr>
      <w:tr>
        <w:trPr/>
        <w:tc>
          <w:tcPr>
            <w:tcW w:w="1231" w:type="dxa"/>
            <w:tcBorders/>
            <w:shd w:fill="FFFFFF" w:val="clear"/>
            <w:vAlign w:val="bottom"/>
          </w:tcPr>
          <w:p>
            <w:pPr>
              <w:pStyle w:val="TableContents"/>
              <w:spacing w:before="0" w:after="0"/>
              <w:ind w:left="400" w:right="0" w:hanging="200"/>
              <w:jc w:val="left"/>
              <w:rPr>
                <w:sz w:val="17"/>
              </w:rPr>
            </w:pPr>
            <w:r>
              <w:rPr>
                <w:sz w:val="17"/>
              </w:rPr>
              <w:t xml:space="preserve">SFAS 133 mark-to-market adjustment </w:t>
            </w:r>
          </w:p>
        </w:tc>
        <w:tc>
          <w:tcPr>
            <w:tcW w:w="74" w:type="dxa"/>
            <w:tcBorders/>
            <w:shd w:fill="FFFFFF" w:val="clear"/>
            <w:vAlign w:val="bottom"/>
          </w:tcPr>
          <w:p>
            <w:pPr>
              <w:pStyle w:val="TableContents"/>
              <w:spacing w:before="0" w:after="283"/>
              <w:rPr/>
            </w:pPr>
            <w:r>
              <w:rPr/>
              <w:t xml:space="preserve">  </w:t>
            </w:r>
          </w:p>
        </w:tc>
        <w:tc>
          <w:tcPr>
            <w:tcW w:w="468" w:type="dxa"/>
            <w:tcBorders/>
            <w:shd w:fill="FFFFFF" w:val="clear"/>
            <w:vAlign w:val="bottom"/>
          </w:tcPr>
          <w:p>
            <w:pPr>
              <w:pStyle w:val="TableContents"/>
              <w:spacing w:before="0" w:after="283"/>
              <w:jc w:val="left"/>
              <w:rPr/>
            </w:pPr>
            <w:r>
              <w:rPr/>
              <w:t xml:space="preserve">  </w:t>
            </w:r>
          </w:p>
        </w:tc>
        <w:tc>
          <w:tcPr>
            <w:tcW w:w="1223" w:type="dxa"/>
            <w:tcBorders/>
            <w:shd w:fill="FFFFFF" w:val="clear"/>
            <w:vAlign w:val="bottom"/>
          </w:tcPr>
          <w:p>
            <w:pPr>
              <w:pStyle w:val="TableContents"/>
              <w:spacing w:before="0" w:after="283"/>
              <w:jc w:val="right"/>
              <w:rPr/>
            </w:pPr>
            <w:r>
              <w:rPr/>
              <w:t xml:space="preserve">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4" w:type="dxa"/>
            <w:tcBorders/>
            <w:shd w:fill="FFFFFF" w:val="clear"/>
            <w:vAlign w:val="bottom"/>
          </w:tcPr>
          <w:p>
            <w:pPr>
              <w:pStyle w:val="TableContents"/>
              <w:spacing w:before="0" w:after="283"/>
              <w:jc w:val="left"/>
              <w:rPr/>
            </w:pPr>
            <w:r>
              <w:rPr/>
              <w:t xml:space="preserve">  </w:t>
            </w:r>
          </w:p>
        </w:tc>
        <w:tc>
          <w:tcPr>
            <w:tcW w:w="653" w:type="dxa"/>
            <w:tcBorders/>
            <w:shd w:fill="FFFFFF" w:val="clear"/>
            <w:vAlign w:val="bottom"/>
          </w:tcPr>
          <w:p>
            <w:pPr>
              <w:pStyle w:val="TableContents"/>
              <w:spacing w:before="0" w:after="283"/>
              <w:jc w:val="right"/>
              <w:rPr/>
            </w:pPr>
            <w:r>
              <w:rPr/>
              <w:t xml:space="preserve">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333" w:type="dxa"/>
            <w:tcBorders/>
            <w:shd w:fill="FFFFFF" w:val="clear"/>
            <w:vAlign w:val="bottom"/>
          </w:tcPr>
          <w:p>
            <w:pPr>
              <w:pStyle w:val="TableContents"/>
              <w:spacing w:before="0" w:after="283"/>
              <w:jc w:val="left"/>
              <w:rPr/>
            </w:pPr>
            <w:r>
              <w:rPr/>
              <w:t xml:space="preserve">  </w:t>
            </w:r>
          </w:p>
        </w:tc>
        <w:tc>
          <w:tcPr>
            <w:tcW w:w="854" w:type="dxa"/>
            <w:tcBorders/>
            <w:shd w:fill="FFFFFF" w:val="clear"/>
            <w:vAlign w:val="bottom"/>
          </w:tcPr>
          <w:p>
            <w:pPr>
              <w:pStyle w:val="TableContents"/>
              <w:spacing w:before="0" w:after="283"/>
              <w:jc w:val="right"/>
              <w:rPr/>
            </w:pPr>
            <w:r>
              <w:rPr/>
              <w:t xml:space="preserve">(1.1 </w:t>
            </w:r>
          </w:p>
        </w:tc>
        <w:tc>
          <w:tcPr>
            <w:tcW w:w="159"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shd w:fill="FFFFFF" w:val="clear"/>
            <w:vAlign w:val="bottom"/>
          </w:tcPr>
          <w:p>
            <w:pPr>
              <w:pStyle w:val="TableContents"/>
              <w:spacing w:before="0" w:after="283"/>
              <w:jc w:val="left"/>
              <w:rPr/>
            </w:pPr>
            <w:r>
              <w:rPr/>
              <w:t xml:space="preserve">  </w:t>
            </w:r>
          </w:p>
        </w:tc>
        <w:tc>
          <w:tcPr>
            <w:tcW w:w="1290" w:type="dxa"/>
            <w:tcBorders/>
            <w:shd w:fill="FFFFFF" w:val="clear"/>
            <w:vAlign w:val="bottom"/>
          </w:tcPr>
          <w:p>
            <w:pPr>
              <w:pStyle w:val="TableContents"/>
              <w:spacing w:before="0" w:after="283"/>
              <w:jc w:val="right"/>
              <w:rPr/>
            </w:pPr>
            <w:r>
              <w:rPr/>
              <w:t xml:space="preserve">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78" w:type="dxa"/>
            <w:tcBorders/>
            <w:shd w:fill="FFFFFF" w:val="clear"/>
            <w:vAlign w:val="bottom"/>
          </w:tcPr>
          <w:p>
            <w:pPr>
              <w:pStyle w:val="TableContents"/>
              <w:spacing w:before="0" w:after="283"/>
              <w:jc w:val="left"/>
              <w:rPr/>
            </w:pPr>
            <w:r>
              <w:rPr/>
              <w:t xml:space="preserve">  </w:t>
            </w:r>
          </w:p>
        </w:tc>
        <w:tc>
          <w:tcPr>
            <w:tcW w:w="709" w:type="dxa"/>
            <w:tcBorders/>
            <w:shd w:fill="FFFFFF" w:val="clear"/>
            <w:vAlign w:val="bottom"/>
          </w:tcPr>
          <w:p>
            <w:pPr>
              <w:pStyle w:val="TableContents"/>
              <w:spacing w:before="0" w:after="283"/>
              <w:jc w:val="right"/>
              <w:rPr/>
            </w:pPr>
            <w:r>
              <w:rPr/>
              <w:t xml:space="preserve"> </w:t>
            </w:r>
          </w:p>
        </w:tc>
        <w:tc>
          <w:tcPr>
            <w:tcW w:w="125" w:type="dxa"/>
            <w:tcBorders/>
            <w:shd w:fill="FFFFFF" w:val="clear"/>
            <w:vAlign w:val="bottom"/>
          </w:tcPr>
          <w:p>
            <w:pPr>
              <w:pStyle w:val="TableContents"/>
              <w:spacing w:before="0" w:after="283"/>
              <w:jc w:val="left"/>
              <w:rPr/>
            </w:pPr>
            <w:r>
              <w:rPr/>
              <w:t xml:space="preserve">  </w:t>
            </w:r>
          </w:p>
        </w:tc>
        <w:tc>
          <w:tcPr>
            <w:tcW w:w="74" w:type="dxa"/>
            <w:tcBorders/>
            <w:shd w:fill="FFFFFF" w:val="clear"/>
            <w:vAlign w:val="bottom"/>
          </w:tcPr>
          <w:p>
            <w:pPr>
              <w:pStyle w:val="TableContents"/>
              <w:spacing w:before="0" w:after="283"/>
              <w:rPr/>
            </w:pPr>
            <w:r>
              <w:rPr/>
              <w:t xml:space="preserve">  </w:t>
            </w:r>
          </w:p>
        </w:tc>
        <w:tc>
          <w:tcPr>
            <w:tcW w:w="285" w:type="dxa"/>
            <w:tcBorders/>
            <w:shd w:fill="FFFFFF" w:val="clear"/>
            <w:vAlign w:val="bottom"/>
          </w:tcPr>
          <w:p>
            <w:pPr>
              <w:pStyle w:val="TableContents"/>
              <w:spacing w:before="0" w:after="283"/>
              <w:jc w:val="left"/>
              <w:rPr/>
            </w:pPr>
            <w:r>
              <w:rPr/>
              <w:t xml:space="preserve">  </w:t>
            </w:r>
          </w:p>
        </w:tc>
        <w:tc>
          <w:tcPr>
            <w:tcW w:w="902" w:type="dxa"/>
            <w:tcBorders/>
            <w:shd w:fill="FFFFFF" w:val="clear"/>
            <w:vAlign w:val="bottom"/>
          </w:tcPr>
          <w:p>
            <w:pPr>
              <w:pStyle w:val="TableContents"/>
              <w:spacing w:before="0" w:after="283"/>
              <w:jc w:val="right"/>
              <w:rPr/>
            </w:pPr>
            <w:r>
              <w:rPr/>
              <w:t xml:space="preserve">18.9 </w:t>
            </w:r>
          </w:p>
        </w:tc>
        <w:tc>
          <w:tcPr>
            <w:tcW w:w="141" w:type="dxa"/>
            <w:tcBorders/>
            <w:shd w:fill="FFFFFF" w:val="clear"/>
            <w:vAlign w:val="bottom"/>
          </w:tcPr>
          <w:p>
            <w:pPr>
              <w:pStyle w:val="TableContents"/>
              <w:spacing w:before="0" w:after="283"/>
              <w:jc w:val="left"/>
              <w:rPr/>
            </w:pPr>
            <w:r>
              <w:rPr/>
              <w:t xml:space="preserve">  </w:t>
            </w:r>
          </w:p>
        </w:tc>
      </w:tr>
      <w:tr>
        <w:trPr/>
        <w:tc>
          <w:tcPr>
            <w:tcW w:w="1231"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6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33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65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333"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854"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90"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278"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709"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285"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902" w:type="dxa"/>
            <w:tcBorders>
              <w:top w:val="single" w:sz="2" w:space="0" w:color="000000"/>
            </w:tcBorders>
            <w:shd w:fill="FFFFFF" w:val="clear"/>
            <w:tcMar>
              <w:top w:w="28" w:type="dxa"/>
            </w:tcMar>
            <w:vAlign w:val="bottom"/>
          </w:tcPr>
          <w:p>
            <w:pPr>
              <w:pStyle w:val="TableContents"/>
              <w:spacing w:before="0" w:after="283"/>
              <w:rPr/>
            </w:pPr>
            <w:r>
              <w:rPr/>
              <w:t xml:space="preserve">  </w:t>
            </w:r>
          </w:p>
        </w:tc>
        <w:tc>
          <w:tcPr>
            <w:tcW w:w="141" w:type="dxa"/>
            <w:tcBorders/>
            <w:shd w:fill="FFFFFF" w:val="clear"/>
            <w:vAlign w:val="bottom"/>
          </w:tcPr>
          <w:p>
            <w:pPr>
              <w:pStyle w:val="TableContents"/>
              <w:spacing w:before="0" w:after="283"/>
              <w:rPr/>
            </w:pPr>
            <w:r>
              <w:rPr/>
              <w:t xml:space="preserve">  </w:t>
            </w:r>
          </w:p>
        </w:tc>
      </w:tr>
      <w:tr>
        <w:trPr/>
        <w:tc>
          <w:tcPr>
            <w:tcW w:w="1231" w:type="dxa"/>
            <w:tcBorders/>
            <w:shd w:fill="CCEEFF" w:val="clear"/>
            <w:vAlign w:val="bottom"/>
          </w:tcPr>
          <w:p>
            <w:pPr>
              <w:pStyle w:val="TableContents"/>
              <w:spacing w:before="0" w:after="0"/>
              <w:ind w:left="200" w:right="0" w:hanging="200"/>
              <w:jc w:val="left"/>
              <w:rPr>
                <w:sz w:val="17"/>
              </w:rPr>
            </w:pPr>
            <w:r>
              <w:rPr>
                <w:sz w:val="17"/>
              </w:rPr>
              <w:t xml:space="preserve">Segment profit excluding selected items impacting comparability </w:t>
            </w:r>
          </w:p>
        </w:tc>
        <w:tc>
          <w:tcPr>
            <w:tcW w:w="74" w:type="dxa"/>
            <w:tcBorders/>
            <w:shd w:fill="CCEEFF" w:val="clear"/>
            <w:vAlign w:val="bottom"/>
          </w:tcPr>
          <w:p>
            <w:pPr>
              <w:pStyle w:val="TableContents"/>
              <w:spacing w:before="0" w:after="283"/>
              <w:rPr/>
            </w:pPr>
            <w:r>
              <w:rPr/>
              <w:t xml:space="preserve">  </w:t>
            </w:r>
          </w:p>
        </w:tc>
        <w:tc>
          <w:tcPr>
            <w:tcW w:w="468" w:type="dxa"/>
            <w:tcBorders/>
            <w:shd w:fill="CCEEFF" w:val="clear"/>
            <w:vAlign w:val="bottom"/>
          </w:tcPr>
          <w:p>
            <w:pPr>
              <w:pStyle w:val="TableContents"/>
              <w:spacing w:before="0" w:after="283"/>
              <w:jc w:val="left"/>
              <w:rPr/>
            </w:pPr>
            <w:r>
              <w:rPr/>
              <w:t xml:space="preserve">$ </w:t>
            </w:r>
          </w:p>
        </w:tc>
        <w:tc>
          <w:tcPr>
            <w:tcW w:w="1223" w:type="dxa"/>
            <w:tcBorders/>
            <w:shd w:fill="CCEEFF" w:val="clear"/>
            <w:vAlign w:val="bottom"/>
          </w:tcPr>
          <w:p>
            <w:pPr>
              <w:pStyle w:val="TableContents"/>
              <w:spacing w:before="0" w:after="283"/>
              <w:jc w:val="right"/>
              <w:rPr/>
            </w:pPr>
            <w:r>
              <w:rPr/>
              <w:t xml:space="preserve">44.5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4" w:type="dxa"/>
            <w:tcBorders/>
            <w:shd w:fill="CCEEFF" w:val="clear"/>
            <w:vAlign w:val="bottom"/>
          </w:tcPr>
          <w:p>
            <w:pPr>
              <w:pStyle w:val="TableContents"/>
              <w:spacing w:before="0" w:after="283"/>
              <w:jc w:val="left"/>
              <w:rPr/>
            </w:pPr>
            <w:r>
              <w:rPr/>
              <w:t xml:space="preserve">$ </w:t>
            </w:r>
          </w:p>
        </w:tc>
        <w:tc>
          <w:tcPr>
            <w:tcW w:w="653" w:type="dxa"/>
            <w:tcBorders/>
            <w:shd w:fill="CCEEFF" w:val="clear"/>
            <w:vAlign w:val="bottom"/>
          </w:tcPr>
          <w:p>
            <w:pPr>
              <w:pStyle w:val="TableContents"/>
              <w:spacing w:before="0" w:after="283"/>
              <w:jc w:val="right"/>
              <w:rPr/>
            </w:pPr>
            <w:r>
              <w:rPr/>
              <w:t xml:space="preserve">5.0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333" w:type="dxa"/>
            <w:tcBorders/>
            <w:shd w:fill="CCEEFF" w:val="clear"/>
            <w:vAlign w:val="bottom"/>
          </w:tcPr>
          <w:p>
            <w:pPr>
              <w:pStyle w:val="TableContents"/>
              <w:spacing w:before="0" w:after="283"/>
              <w:jc w:val="left"/>
              <w:rPr/>
            </w:pPr>
            <w:r>
              <w:rPr/>
              <w:t xml:space="preserve">$ </w:t>
            </w:r>
          </w:p>
        </w:tc>
        <w:tc>
          <w:tcPr>
            <w:tcW w:w="854" w:type="dxa"/>
            <w:tcBorders/>
            <w:shd w:fill="CCEEFF" w:val="clear"/>
            <w:vAlign w:val="bottom"/>
          </w:tcPr>
          <w:p>
            <w:pPr>
              <w:pStyle w:val="TableContents"/>
              <w:spacing w:before="0" w:after="283"/>
              <w:jc w:val="right"/>
              <w:rPr/>
            </w:pPr>
            <w:r>
              <w:rPr/>
              <w:t xml:space="preserve">53.2 </w:t>
            </w:r>
          </w:p>
        </w:tc>
        <w:tc>
          <w:tcPr>
            <w:tcW w:w="159"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401" w:type="dxa"/>
            <w:tcBorders/>
            <w:shd w:fill="CCEEFF" w:val="clear"/>
            <w:vAlign w:val="bottom"/>
          </w:tcPr>
          <w:p>
            <w:pPr>
              <w:pStyle w:val="TableContents"/>
              <w:spacing w:before="0" w:after="283"/>
              <w:jc w:val="left"/>
              <w:rPr/>
            </w:pPr>
            <w:r>
              <w:rPr/>
              <w:t xml:space="preserve">$ </w:t>
            </w:r>
          </w:p>
        </w:tc>
        <w:tc>
          <w:tcPr>
            <w:tcW w:w="1290" w:type="dxa"/>
            <w:tcBorders/>
            <w:shd w:fill="CCEEFF" w:val="clear"/>
            <w:vAlign w:val="bottom"/>
          </w:tcPr>
          <w:p>
            <w:pPr>
              <w:pStyle w:val="TableContents"/>
              <w:spacing w:before="0" w:after="283"/>
              <w:jc w:val="right"/>
              <w:rPr/>
            </w:pPr>
            <w:r>
              <w:rPr/>
              <w:t xml:space="preserve">181.1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78" w:type="dxa"/>
            <w:tcBorders/>
            <w:shd w:fill="CCEEFF" w:val="clear"/>
            <w:vAlign w:val="bottom"/>
          </w:tcPr>
          <w:p>
            <w:pPr>
              <w:pStyle w:val="TableContents"/>
              <w:spacing w:before="0" w:after="283"/>
              <w:jc w:val="left"/>
              <w:rPr/>
            </w:pPr>
            <w:r>
              <w:rPr/>
              <w:t xml:space="preserve">$ </w:t>
            </w:r>
          </w:p>
        </w:tc>
        <w:tc>
          <w:tcPr>
            <w:tcW w:w="709" w:type="dxa"/>
            <w:tcBorders/>
            <w:shd w:fill="CCEEFF" w:val="clear"/>
            <w:vAlign w:val="bottom"/>
          </w:tcPr>
          <w:p>
            <w:pPr>
              <w:pStyle w:val="TableContents"/>
              <w:spacing w:before="0" w:after="283"/>
              <w:jc w:val="right"/>
              <w:rPr/>
            </w:pPr>
            <w:r>
              <w:rPr/>
              <w:t xml:space="preserve">17.4 </w:t>
            </w:r>
          </w:p>
        </w:tc>
        <w:tc>
          <w:tcPr>
            <w:tcW w:w="125" w:type="dxa"/>
            <w:tcBorders/>
            <w:shd w:fill="CCEEFF" w:val="clear"/>
            <w:vAlign w:val="bottom"/>
          </w:tcPr>
          <w:p>
            <w:pPr>
              <w:pStyle w:val="TableContents"/>
              <w:spacing w:before="0" w:after="283"/>
              <w:jc w:val="left"/>
              <w:rPr/>
            </w:pPr>
            <w:r>
              <w:rPr/>
              <w:t xml:space="preserve">  </w:t>
            </w:r>
          </w:p>
        </w:tc>
        <w:tc>
          <w:tcPr>
            <w:tcW w:w="74" w:type="dxa"/>
            <w:tcBorders/>
            <w:shd w:fill="CCEEFF" w:val="clear"/>
            <w:vAlign w:val="bottom"/>
          </w:tcPr>
          <w:p>
            <w:pPr>
              <w:pStyle w:val="TableContents"/>
              <w:spacing w:before="0" w:after="283"/>
              <w:rPr/>
            </w:pPr>
            <w:r>
              <w:rPr/>
              <w:t xml:space="preserve">  </w:t>
            </w:r>
          </w:p>
        </w:tc>
        <w:tc>
          <w:tcPr>
            <w:tcW w:w="285" w:type="dxa"/>
            <w:tcBorders/>
            <w:shd w:fill="CCEEFF" w:val="clear"/>
            <w:vAlign w:val="bottom"/>
          </w:tcPr>
          <w:p>
            <w:pPr>
              <w:pStyle w:val="TableContents"/>
              <w:spacing w:before="0" w:after="283"/>
              <w:jc w:val="left"/>
              <w:rPr/>
            </w:pPr>
            <w:r>
              <w:rPr/>
              <w:t xml:space="preserve">$ </w:t>
            </w:r>
          </w:p>
        </w:tc>
        <w:tc>
          <w:tcPr>
            <w:tcW w:w="902" w:type="dxa"/>
            <w:tcBorders/>
            <w:shd w:fill="CCEEFF" w:val="clear"/>
            <w:vAlign w:val="bottom"/>
          </w:tcPr>
          <w:p>
            <w:pPr>
              <w:pStyle w:val="TableContents"/>
              <w:spacing w:before="0" w:after="283"/>
              <w:jc w:val="right"/>
              <w:rPr/>
            </w:pPr>
            <w:r>
              <w:rPr/>
              <w:t xml:space="preserve">208.7 </w:t>
            </w:r>
          </w:p>
        </w:tc>
        <w:tc>
          <w:tcPr>
            <w:tcW w:w="141" w:type="dxa"/>
            <w:tcBorders/>
            <w:shd w:fill="CCEEFF" w:val="clear"/>
            <w:vAlign w:val="bottom"/>
          </w:tcPr>
          <w:p>
            <w:pPr>
              <w:pStyle w:val="TableContents"/>
              <w:spacing w:before="0" w:after="283"/>
              <w:jc w:val="left"/>
              <w:rPr/>
            </w:pPr>
            <w:r>
              <w:rPr/>
              <w:t xml:space="preserve">  </w:t>
            </w:r>
          </w:p>
        </w:tc>
      </w:tr>
      <w:tr>
        <w:trPr/>
        <w:tc>
          <w:tcPr>
            <w:tcW w:w="1231"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6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2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33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65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333"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854"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59"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401"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90"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278"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709"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25" w:type="dxa"/>
            <w:tcBorders/>
            <w:shd w:fill="FFFFFF" w:val="clear"/>
            <w:vAlign w:val="bottom"/>
          </w:tcPr>
          <w:p>
            <w:pPr>
              <w:pStyle w:val="TableContents"/>
              <w:spacing w:before="0" w:after="283"/>
              <w:rPr/>
            </w:pPr>
            <w:r>
              <w:rPr/>
              <w:t xml:space="preserve">  </w:t>
            </w:r>
          </w:p>
        </w:tc>
        <w:tc>
          <w:tcPr>
            <w:tcW w:w="74" w:type="dxa"/>
            <w:tcBorders/>
            <w:shd w:fill="FFFFFF" w:val="clear"/>
            <w:vAlign w:val="bottom"/>
          </w:tcPr>
          <w:p>
            <w:pPr>
              <w:pStyle w:val="TableContents"/>
              <w:spacing w:before="0" w:after="283"/>
              <w:rPr/>
            </w:pPr>
            <w:r>
              <w:rPr/>
              <w:t xml:space="preserve">  </w:t>
            </w:r>
          </w:p>
        </w:tc>
        <w:tc>
          <w:tcPr>
            <w:tcW w:w="285"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902" w:type="dxa"/>
            <w:tcBorders>
              <w:top w:val="double" w:sz="6" w:space="0" w:color="000000"/>
            </w:tcBorders>
            <w:shd w:fill="FFFFFF" w:val="clear"/>
            <w:tcMar>
              <w:top w:w="28" w:type="dxa"/>
            </w:tcMar>
            <w:vAlign w:val="bottom"/>
          </w:tcPr>
          <w:p>
            <w:pPr>
              <w:pStyle w:val="TableContents"/>
              <w:spacing w:before="0" w:after="283"/>
              <w:rPr/>
            </w:pPr>
            <w:r>
              <w:rPr/>
              <w:t xml:space="preserve">  </w:t>
            </w:r>
          </w:p>
        </w:tc>
        <w:tc>
          <w:tcPr>
            <w:tcW w:w="141" w:type="dxa"/>
            <w:tcBorders/>
            <w:shd w:fill="FFFFFF" w:val="clear"/>
            <w:vAlign w:val="bottom"/>
          </w:tcPr>
          <w:p>
            <w:pPr>
              <w:pStyle w:val="TableContents"/>
              <w:spacing w:before="0" w:after="283"/>
              <w:rPr/>
            </w:pPr>
            <w:r>
              <w:rPr/>
              <w:t xml:space="preserve">  </w:t>
            </w:r>
          </w:p>
        </w:tc>
      </w:tr>
    </w:tbl>
    <w:p>
      <w:pPr>
        <w:pStyle w:val="TextBody"/>
        <w:spacing w:before="240" w:after="283"/>
        <w:rPr/>
      </w:pPr>
      <w:r>
        <w:rPr/>
        <w:t> </w:t>
      </w:r>
    </w:p>
    <w:p>
      <w:pPr>
        <w:pStyle w:val="TextBody"/>
        <w:spacing w:before="0" w:after="0"/>
        <w:jc w:val="center"/>
        <w:rPr>
          <w:rFonts w:ascii="Times New Roman;Times" w:hAnsi="Times New Roman;Times"/>
          <w:color w:val="000000"/>
          <w:sz w:val="17"/>
          <w:highlight w:val="white"/>
        </w:rPr>
      </w:pPr>
      <w:r>
        <w:rPr>
          <w:rFonts w:ascii="Times New Roman;Times" w:hAnsi="Times New Roman;Times"/>
          <w:color w:val="000000"/>
          <w:sz w:val="17"/>
          <w:highlight w:val="white"/>
        </w:rPr>
        <w:t xml:space="preserve"># # # </w:t>
      </w:r>
    </w:p>
    <w:p>
      <w:pPr>
        <w:pStyle w:val="TextBody"/>
        <w:spacing w:before="60" w:after="283"/>
        <w:rPr/>
      </w:pPr>
      <w:r>
        <w:rPr/>
        <w:t> </w:t>
      </w:r>
    </w:p>
    <w:p>
      <w:pPr>
        <w:pStyle w:val="TextBody"/>
        <w:spacing w:before="120" w:after="283"/>
        <w:rPr/>
      </w:pPr>
      <w:r>
        <w:rPr/>
        <w:t> </w:t>
      </w:r>
    </w:p>
    <w:p>
      <w:pPr>
        <w:pStyle w:val="TextBody"/>
        <w:spacing w:before="0" w:after="283"/>
        <w:jc w:val="center"/>
        <w:rPr>
          <w:color w:val="000000"/>
          <w:highlight w:val="white"/>
        </w:rPr>
      </w:pPr>
      <w:r>
        <w:rPr>
          <w:color w:val="000000"/>
          <w:highlight w:val="white"/>
        </w:rPr>
        <w:drawing>
          <wp:inline distT="0" distB="0" distL="0" distR="0">
            <wp:extent cx="5657850" cy="171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57850" cy="171450"/>
                    </a:xfrm>
                    <a:prstGeom prst="rect">
                      <a:avLst/>
                    </a:prstGeom>
                  </pic:spPr>
                </pic:pic>
              </a:graphicData>
            </a:graphic>
          </wp:inline>
        </w:drawing>
      </w:r>
      <w:r>
        <w:rPr>
          <w:color w:val="000000"/>
          <w:highlight w:val="white"/>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gif"/><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gif"/><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9420</Words>
  <CharactersWithSpaces>67968</CharactersWithSpaces>
  <Paragraphs>8182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