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3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 No. 333-214778</w:t>
      </w:r>
    </w:p>
    <w:p>
      <w:pPr>
        <w:spacing w:after="0" w:line="213"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2818130</wp:posOffset>
            </wp:positionH>
            <wp:positionV relativeFrom="paragraph">
              <wp:posOffset>144145</wp:posOffset>
            </wp:positionV>
            <wp:extent cx="1620520"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0520"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14,977,890 Common Units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$21.46 per Common 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right="80" w:firstLine="348"/>
        <w:spacing w:after="0" w:line="298" w:lineRule="auto"/>
        <w:rPr>
          <w:sz w:val="20"/>
          <w:szCs w:val="20"/>
          <w:color w:val="auto"/>
        </w:rPr>
      </w:pPr>
      <w:r>
        <w:rPr>
          <w:rFonts w:ascii="Arial" w:cs="Arial" w:eastAsia="Arial" w:hAnsi="Arial"/>
          <w:sz w:val="16"/>
          <w:szCs w:val="16"/>
          <w:color w:val="auto"/>
        </w:rPr>
        <w:t>The selling unitholder identified in this prospectus supplement is selling an aggregate of 14,977,890 of our common units in this offering. Concurrently with this offering of our common units, the selling unitholder is selling an aggregate of 15,000,000 of its Class A shares representing limited partner interests in Plains GP Holdings, L.P. (NYSE: PAGP). This prospectus supplement shall not be deemed to be an offer to sell or a solicitation of an offer to buy the securities offered in the concurrent offering. For more information, please see "Prospectus Supplement Summary—Concurrent Offering."</w:t>
      </w:r>
    </w:p>
    <w:p>
      <w:pPr>
        <w:spacing w:after="0" w:line="167" w:lineRule="exact"/>
        <w:rPr>
          <w:sz w:val="24"/>
          <w:szCs w:val="24"/>
          <w:color w:val="auto"/>
        </w:rPr>
      </w:pPr>
    </w:p>
    <w:p>
      <w:pPr>
        <w:ind w:right="120" w:firstLine="351"/>
        <w:spacing w:after="0" w:line="268" w:lineRule="auto"/>
        <w:rPr>
          <w:sz w:val="20"/>
          <w:szCs w:val="20"/>
          <w:color w:val="auto"/>
        </w:rPr>
      </w:pPr>
      <w:r>
        <w:rPr>
          <w:rFonts w:ascii="Arial" w:cs="Arial" w:eastAsia="Arial" w:hAnsi="Arial"/>
          <w:sz w:val="18"/>
          <w:szCs w:val="18"/>
          <w:color w:val="auto"/>
        </w:rPr>
        <w:t>Our common units are listed on the New York Stock Exchange (the "NYSE") under the symbol "PAA." The last reported sale price of our common units on the NYSE on September 17, 2019 was $22.18 per common unit.</w:t>
      </w:r>
    </w:p>
    <w:p>
      <w:pPr>
        <w:spacing w:after="0" w:line="186" w:lineRule="exact"/>
        <w:rPr>
          <w:sz w:val="24"/>
          <w:szCs w:val="24"/>
          <w:color w:val="auto"/>
        </w:rPr>
      </w:pPr>
    </w:p>
    <w:p>
      <w:pPr>
        <w:ind w:right="580" w:firstLine="348"/>
        <w:spacing w:after="0" w:line="332" w:lineRule="auto"/>
        <w:rPr>
          <w:sz w:val="20"/>
          <w:szCs w:val="20"/>
          <w:color w:val="auto"/>
        </w:rPr>
      </w:pPr>
      <w:r>
        <w:rPr>
          <w:rFonts w:ascii="Arial" w:cs="Arial" w:eastAsia="Arial" w:hAnsi="Arial"/>
          <w:sz w:val="16"/>
          <w:szCs w:val="16"/>
          <w:color w:val="auto"/>
        </w:rPr>
        <w:t>The underwriter has agreed to purchase the common units from the selling unitholder at a price of $21.25 per unit, which will result in approximately $318.3 million of proceeds to the selling unitholder before expenses. We will not receive any proceeds from the sale of common units in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93980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tbl>
      <w:tblPr>
        <w:tblLayout w:type="fixed"/>
        <w:tblInd w:w="17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42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r>
      <w:tr>
        <w:trPr>
          <w:trHeight w:val="155"/>
        </w:trPr>
        <w:tc>
          <w:tcPr>
            <w:tcW w:w="20" w:type="dxa"/>
            <w:vAlign w:val="bottom"/>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2"/>
          </w:tcPr>
          <w:p>
            <w:pPr>
              <w:ind w:left="1180"/>
              <w:spacing w:after="0" w:line="155" w:lineRule="exact"/>
              <w:rPr>
                <w:sz w:val="20"/>
                <w:szCs w:val="20"/>
                <w:color w:val="auto"/>
              </w:rPr>
            </w:pPr>
            <w:r>
              <w:rPr>
                <w:rFonts w:ascii="Arial" w:cs="Arial" w:eastAsia="Arial" w:hAnsi="Arial"/>
                <w:sz w:val="14"/>
                <w:szCs w:val="14"/>
                <w:b w:val="1"/>
                <w:bCs w:val="1"/>
                <w:color w:val="auto"/>
              </w:rPr>
              <w:t>Per common unit</w:t>
            </w:r>
          </w:p>
        </w:tc>
        <w:tc>
          <w:tcPr>
            <w:tcW w:w="1380" w:type="dxa"/>
            <w:vAlign w:val="bottom"/>
            <w:tcBorders>
              <w:bottom w:val="single" w:sz="8" w:color="auto"/>
            </w:tcBorders>
          </w:tcPr>
          <w:p>
            <w:pPr>
              <w:ind w:left="580"/>
              <w:spacing w:after="0" w:line="155" w:lineRule="exact"/>
              <w:rPr>
                <w:sz w:val="20"/>
                <w:szCs w:val="20"/>
                <w:color w:val="auto"/>
              </w:rPr>
            </w:pPr>
            <w:r>
              <w:rPr>
                <w:rFonts w:ascii="Arial" w:cs="Arial" w:eastAsia="Arial" w:hAnsi="Arial"/>
                <w:sz w:val="14"/>
                <w:szCs w:val="14"/>
                <w:b w:val="1"/>
                <w:bCs w:val="1"/>
                <w:color w:val="auto"/>
              </w:rPr>
              <w:t>Total</w:t>
            </w:r>
          </w:p>
        </w:tc>
      </w:tr>
      <w:tr>
        <w:trPr>
          <w:trHeight w:val="217"/>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Price to the public</w:t>
            </w:r>
          </w:p>
        </w:tc>
        <w:tc>
          <w:tcPr>
            <w:tcW w:w="2420" w:type="dxa"/>
            <w:vAlign w:val="bottom"/>
            <w:gridSpan w:val="2"/>
          </w:tcPr>
          <w:p>
            <w:pPr>
              <w:jc w:val="center"/>
              <w:ind w:left="857"/>
              <w:spacing w:after="0"/>
              <w:rPr>
                <w:sz w:val="20"/>
                <w:szCs w:val="20"/>
                <w:color w:val="auto"/>
              </w:rPr>
            </w:pPr>
            <w:r>
              <w:rPr>
                <w:rFonts w:ascii="Arial" w:cs="Arial" w:eastAsia="Arial" w:hAnsi="Arial"/>
                <w:sz w:val="18"/>
                <w:szCs w:val="18"/>
                <w:color w:val="auto"/>
                <w:w w:val="87"/>
              </w:rPr>
              <w:t>$21.46</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$321,425,520</w:t>
            </w:r>
          </w:p>
        </w:tc>
      </w:tr>
      <w:tr>
        <w:trPr>
          <w:trHeight w:val="21"/>
        </w:trPr>
        <w:tc>
          <w:tcPr>
            <w:tcW w:w="2440" w:type="dxa"/>
            <w:vAlign w:val="bottom"/>
            <w:tcBorders>
              <w:bottom w:val="single" w:sz="8" w:color="auto"/>
            </w:tcBorders>
            <w:gridSpan w:val="2"/>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6"/>
        </w:trPr>
        <w:tc>
          <w:tcPr>
            <w:tcW w:w="4080" w:type="dxa"/>
            <w:vAlign w:val="bottom"/>
            <w:gridSpan w:val="3"/>
          </w:tcPr>
          <w:p>
            <w:pPr>
              <w:spacing w:after="0"/>
              <w:rPr>
                <w:sz w:val="20"/>
                <w:szCs w:val="20"/>
                <w:color w:val="auto"/>
              </w:rPr>
            </w:pPr>
            <w:r>
              <w:rPr>
                <w:rFonts w:ascii="Arial" w:cs="Arial" w:eastAsia="Arial" w:hAnsi="Arial"/>
                <w:sz w:val="18"/>
                <w:szCs w:val="18"/>
                <w:color w:val="auto"/>
              </w:rPr>
              <w:t>Underwriting discounts and commissions</w:t>
            </w:r>
          </w:p>
        </w:tc>
        <w:tc>
          <w:tcPr>
            <w:tcW w:w="2420" w:type="dxa"/>
            <w:vAlign w:val="bottom"/>
            <w:gridSpan w:val="2"/>
          </w:tcPr>
          <w:p>
            <w:pPr>
              <w:jc w:val="center"/>
              <w:ind w:left="857"/>
              <w:spacing w:after="0"/>
              <w:rPr>
                <w:sz w:val="20"/>
                <w:szCs w:val="20"/>
                <w:color w:val="auto"/>
              </w:rPr>
            </w:pPr>
            <w:r>
              <w:rPr>
                <w:rFonts w:ascii="Arial" w:cs="Arial" w:eastAsia="Arial" w:hAnsi="Arial"/>
                <w:sz w:val="18"/>
                <w:szCs w:val="18"/>
                <w:color w:val="auto"/>
                <w:w w:val="88"/>
              </w:rPr>
              <w:t>$0.21</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$3,145,357</w:t>
            </w:r>
          </w:p>
        </w:tc>
      </w:tr>
      <w:tr>
        <w:trPr>
          <w:trHeight w:val="21"/>
        </w:trPr>
        <w:tc>
          <w:tcPr>
            <w:tcW w:w="2440" w:type="dxa"/>
            <w:vAlign w:val="bottom"/>
            <w:tcBorders>
              <w:bottom w:val="single" w:sz="8" w:color="auto"/>
            </w:tcBorders>
            <w:gridSpan w:val="2"/>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6"/>
        </w:trPr>
        <w:tc>
          <w:tcPr>
            <w:tcW w:w="4080" w:type="dxa"/>
            <w:vAlign w:val="bottom"/>
            <w:gridSpan w:val="3"/>
          </w:tcPr>
          <w:p>
            <w:pPr>
              <w:spacing w:after="0"/>
              <w:rPr>
                <w:sz w:val="20"/>
                <w:szCs w:val="20"/>
                <w:color w:val="auto"/>
              </w:rPr>
            </w:pPr>
            <w:r>
              <w:rPr>
                <w:rFonts w:ascii="Arial" w:cs="Arial" w:eastAsia="Arial" w:hAnsi="Arial"/>
                <w:sz w:val="18"/>
                <w:szCs w:val="18"/>
                <w:color w:val="auto"/>
              </w:rPr>
              <w:t>Proceeds to the selling unitholder</w:t>
            </w:r>
          </w:p>
        </w:tc>
        <w:tc>
          <w:tcPr>
            <w:tcW w:w="2420" w:type="dxa"/>
            <w:vAlign w:val="bottom"/>
            <w:gridSpan w:val="2"/>
          </w:tcPr>
          <w:p>
            <w:pPr>
              <w:jc w:val="center"/>
              <w:ind w:left="857"/>
              <w:spacing w:after="0"/>
              <w:rPr>
                <w:sz w:val="20"/>
                <w:szCs w:val="20"/>
                <w:color w:val="auto"/>
              </w:rPr>
            </w:pPr>
            <w:r>
              <w:rPr>
                <w:rFonts w:ascii="Arial" w:cs="Arial" w:eastAsia="Arial" w:hAnsi="Arial"/>
                <w:sz w:val="18"/>
                <w:szCs w:val="18"/>
                <w:color w:val="auto"/>
                <w:w w:val="87"/>
              </w:rPr>
              <w:t>$21.25</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$318,280,163</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pacing w:after="0" w:line="200" w:lineRule="exact"/>
        <w:rPr>
          <w:sz w:val="24"/>
          <w:szCs w:val="24"/>
          <w:color w:val="auto"/>
        </w:rPr>
      </w:pPr>
    </w:p>
    <w:p>
      <w:pPr>
        <w:spacing w:after="0" w:line="313" w:lineRule="exact"/>
        <w:rPr>
          <w:sz w:val="24"/>
          <w:szCs w:val="24"/>
          <w:color w:val="auto"/>
        </w:rPr>
      </w:pPr>
    </w:p>
    <w:p>
      <w:pPr>
        <w:ind w:right="300" w:firstLine="351"/>
        <w:spacing w:after="0" w:line="301" w:lineRule="auto"/>
        <w:rPr>
          <w:sz w:val="20"/>
          <w:szCs w:val="20"/>
          <w:color w:val="auto"/>
        </w:rPr>
      </w:pPr>
      <w:r>
        <w:rPr>
          <w:rFonts w:ascii="Arial" w:cs="Arial" w:eastAsia="Arial" w:hAnsi="Arial"/>
          <w:sz w:val="19"/>
          <w:szCs w:val="19"/>
          <w:b w:val="1"/>
          <w:bCs w:val="1"/>
          <w:color w:val="auto"/>
        </w:rPr>
        <w:t>Investing in our common units involves risks. Limited partnerships are inherently different from corporations. You should carefully consider the risks relating to investing in our common units and each of the risk factors described under "Risk Factors" on page S-4 of this prospectus supplement before you make an investment in our securities.</w:t>
      </w:r>
    </w:p>
    <w:p>
      <w:pPr>
        <w:spacing w:after="0" w:line="14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Delivery of the common units is expected to be made on or about September 23, 2019.</w:t>
      </w:r>
    </w:p>
    <w:p>
      <w:pPr>
        <w:spacing w:after="0" w:line="225" w:lineRule="exact"/>
        <w:rPr>
          <w:sz w:val="24"/>
          <w:szCs w:val="24"/>
          <w:color w:val="auto"/>
        </w:rPr>
      </w:pPr>
    </w:p>
    <w:p>
      <w:pPr>
        <w:jc w:val="center"/>
        <w:ind w:right="240"/>
        <w:spacing w:after="0" w:line="370" w:lineRule="auto"/>
        <w:rPr>
          <w:sz w:val="20"/>
          <w:szCs w:val="20"/>
          <w:color w:val="auto"/>
        </w:rPr>
      </w:pPr>
      <w:r>
        <w:rPr>
          <w:rFonts w:ascii="Arial" w:cs="Arial" w:eastAsia="Arial" w:hAnsi="Arial"/>
          <w:sz w:val="15"/>
          <w:szCs w:val="15"/>
          <w:color w:val="auto"/>
        </w:rPr>
        <w:t>Neither the Securities and Exchange Commission (the "SEC")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79375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Sole Book Running Manager</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Barclays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161290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ectPr>
          <w:pgSz w:w="11900" w:h="16838" w:orient="portrait"/>
          <w:cols w:equalWidth="0" w:num="1">
            <w:col w:w="11420"/>
          </w:cols>
          <w:pgMar w:left="240" w:top="685" w:right="239" w:bottom="296"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The date of this prospectus supplement is September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296"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660" w:type="dxa"/>
            <w:vAlign w:val="bottom"/>
            <w:gridSpan w:val="18"/>
            <w:vMerge w:val="restart"/>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Important Notice About Information in This Prospectus Supplement and the Accompanying Base Prospectus</w:t>
              </w:r>
            </w:hyperlink>
          </w:p>
        </w:tc>
        <w:tc>
          <w:tcPr>
            <w:tcW w:w="860" w:type="dxa"/>
            <w:vAlign w:val="bottom"/>
            <w:vMerge w:val="restart"/>
          </w:tcPr>
          <w:p>
            <w:pPr>
              <w:spacing w:after="0"/>
              <w:rPr>
                <w:sz w:val="14"/>
                <w:szCs w:val="14"/>
                <w:color w:val="auto"/>
              </w:rPr>
            </w:pPr>
          </w:p>
        </w:tc>
        <w:tc>
          <w:tcPr>
            <w:tcW w:w="460" w:type="dxa"/>
            <w:vAlign w:val="bottom"/>
            <w:tcBorders>
              <w:bottom w:val="single" w:sz="8" w:color="auto"/>
            </w:tcBorders>
            <w:gridSpan w:val="7"/>
          </w:tcPr>
          <w:p>
            <w:pPr>
              <w:jc w:val="right"/>
              <w:ind w:right="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7660" w:type="dxa"/>
            <w:vAlign w:val="bottom"/>
            <w:tcBorders>
              <w:bottom w:val="single" w:sz="8" w:color="0000EE"/>
            </w:tcBorders>
            <w:gridSpan w:val="18"/>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0000EE"/>
            </w:tcBorders>
            <w:gridSpan w:val="4"/>
          </w:tcPr>
          <w:p>
            <w:pPr>
              <w:jc w:val="right"/>
              <w:spacing w:after="0" w:line="170"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S-ii</w:t>
              </w:r>
            </w:hyperlink>
          </w:p>
        </w:tc>
        <w:tc>
          <w:tcPr>
            <w:tcW w:w="0" w:type="dxa"/>
            <w:vAlign w:val="bottom"/>
          </w:tcPr>
          <w:p>
            <w:pPr>
              <w:spacing w:after="0"/>
              <w:rPr>
                <w:sz w:val="1"/>
                <w:szCs w:val="1"/>
                <w:color w:val="auto"/>
              </w:rPr>
            </w:pPr>
          </w:p>
        </w:tc>
      </w:tr>
      <w:tr>
        <w:trPr>
          <w:trHeight w:val="196"/>
        </w:trPr>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Forward-Looking Statements</w:t>
              </w:r>
            </w:hyperlink>
          </w:p>
        </w:tc>
        <w:tc>
          <w:tcPr>
            <w:tcW w:w="644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S-iii</w:t>
              </w:r>
            </w:hyperlink>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Prospectus Supplement Summary</w:t>
              </w:r>
            </w:hyperlink>
          </w:p>
        </w:tc>
        <w:tc>
          <w:tcPr>
            <w:tcW w:w="614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6">
              <w:r>
                <w:rPr>
                  <w:rFonts w:ascii="Arial" w:cs="Arial" w:eastAsia="Arial" w:hAnsi="Arial"/>
                  <w:sz w:val="18"/>
                  <w:szCs w:val="18"/>
                  <w:color w:val="0000EE"/>
                  <w:w w:val="78"/>
                </w:rPr>
                <w:t>S-1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7620" w:type="dxa"/>
            <w:vAlign w:val="bottom"/>
            <w:gridSpan w:val="17"/>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9">
              <w:r>
                <w:rPr>
                  <w:rFonts w:ascii="Arial" w:cs="Arial" w:eastAsia="Arial" w:hAnsi="Arial"/>
                  <w:sz w:val="18"/>
                  <w:szCs w:val="18"/>
                  <w:color w:val="0000EE"/>
                  <w:w w:val="78"/>
                </w:rPr>
                <w:t>S-4</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0">
              <w:r>
                <w:rPr>
                  <w:rFonts w:ascii="Arial" w:cs="Arial" w:eastAsia="Arial" w:hAnsi="Arial"/>
                  <w:sz w:val="18"/>
                  <w:szCs w:val="18"/>
                  <w:color w:val="0000EE"/>
                  <w:w w:val="85"/>
                </w:rPr>
                <w:t>Use of Proceeds</w:t>
              </w:r>
            </w:hyperlink>
          </w:p>
        </w:tc>
        <w:tc>
          <w:tcPr>
            <w:tcW w:w="736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10">
              <w:r>
                <w:rPr>
                  <w:rFonts w:ascii="Arial" w:cs="Arial" w:eastAsia="Arial" w:hAnsi="Arial"/>
                  <w:sz w:val="18"/>
                  <w:szCs w:val="18"/>
                  <w:color w:val="0000EE"/>
                  <w:w w:val="78"/>
                </w:rPr>
                <w:t>S-5</w:t>
              </w:r>
            </w:hyperlink>
          </w:p>
        </w:tc>
        <w:tc>
          <w:tcPr>
            <w:tcW w:w="0" w:type="dxa"/>
            <w:vAlign w:val="bottom"/>
          </w:tcPr>
          <w:p>
            <w:pPr>
              <w:spacing w:after="0"/>
              <w:rPr>
                <w:sz w:val="1"/>
                <w:szCs w:val="1"/>
                <w:color w:val="auto"/>
              </w:rPr>
            </w:pPr>
          </w:p>
        </w:tc>
      </w:tr>
      <w:tr>
        <w:trPr>
          <w:trHeight w:val="196"/>
        </w:trPr>
        <w:tc>
          <w:tcPr>
            <w:tcW w:w="13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Selling Unitholder</w:t>
              </w:r>
            </w:hyperlink>
          </w:p>
        </w:tc>
        <w:tc>
          <w:tcPr>
            <w:tcW w:w="720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11">
              <w:r>
                <w:rPr>
                  <w:rFonts w:ascii="Arial" w:cs="Arial" w:eastAsia="Arial" w:hAnsi="Arial"/>
                  <w:sz w:val="18"/>
                  <w:szCs w:val="18"/>
                  <w:color w:val="0000EE"/>
                  <w:w w:val="78"/>
                </w:rPr>
                <w:t>S-6</w:t>
              </w:r>
            </w:hyperlink>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Material U.S. Federal Income Tax Consequences</w:t>
              </w:r>
            </w:hyperlink>
          </w:p>
        </w:tc>
        <w:tc>
          <w:tcPr>
            <w:tcW w:w="50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12">
              <w:r>
                <w:rPr>
                  <w:rFonts w:ascii="Arial" w:cs="Arial" w:eastAsia="Arial" w:hAnsi="Arial"/>
                  <w:sz w:val="18"/>
                  <w:szCs w:val="18"/>
                  <w:color w:val="0000EE"/>
                  <w:w w:val="78"/>
                </w:rPr>
                <w:t>S-7</w:t>
              </w:r>
            </w:hyperlink>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Underwriting</w:t>
              </w:r>
            </w:hyperlink>
          </w:p>
        </w:tc>
        <w:tc>
          <w:tcPr>
            <w:tcW w:w="756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84"/>
              </w:rPr>
            </w:pPr>
            <w:hyperlink w:anchor="page29">
              <w:r>
                <w:rPr>
                  <w:rFonts w:ascii="Arial" w:cs="Arial" w:eastAsia="Arial" w:hAnsi="Arial"/>
                  <w:sz w:val="18"/>
                  <w:szCs w:val="18"/>
                  <w:color w:val="0000EE"/>
                  <w:w w:val="84"/>
                </w:rPr>
                <w:t>S-24</w:t>
              </w:r>
            </w:hyperlink>
          </w:p>
        </w:tc>
        <w:tc>
          <w:tcPr>
            <w:tcW w:w="0" w:type="dxa"/>
            <w:vAlign w:val="bottom"/>
          </w:tcPr>
          <w:p>
            <w:pPr>
              <w:spacing w:after="0"/>
              <w:rPr>
                <w:sz w:val="1"/>
                <w:szCs w:val="1"/>
                <w:color w:val="auto"/>
              </w:rPr>
            </w:pPr>
          </w:p>
        </w:tc>
      </w:tr>
      <w:tr>
        <w:trPr>
          <w:trHeight w:val="196"/>
        </w:trPr>
        <w:tc>
          <w:tcPr>
            <w:tcW w:w="852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120" w:type="dxa"/>
            <w:vAlign w:val="bottom"/>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w w:val="84"/>
              </w:rPr>
            </w:pPr>
            <w:hyperlink w:anchor="page33">
              <w:r>
                <w:rPr>
                  <w:rFonts w:ascii="Arial" w:cs="Arial" w:eastAsia="Arial" w:hAnsi="Arial"/>
                  <w:sz w:val="18"/>
                  <w:szCs w:val="18"/>
                  <w:color w:val="0000EE"/>
                  <w:w w:val="84"/>
                </w:rPr>
                <w:t>S-28</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7540" w:type="dxa"/>
            <w:vAlign w:val="bottom"/>
            <w:gridSpan w:val="15"/>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0000EE"/>
            </w:tcBorders>
            <w:gridSpan w:val="6"/>
          </w:tcPr>
          <w:p>
            <w:pPr>
              <w:jc w:val="right"/>
              <w:spacing w:after="0" w:line="196" w:lineRule="exact"/>
              <w:rPr>
                <w:rFonts w:ascii="Arial" w:cs="Arial" w:eastAsia="Arial" w:hAnsi="Arial"/>
                <w:sz w:val="18"/>
                <w:szCs w:val="18"/>
                <w:color w:val="0000EE"/>
                <w:w w:val="84"/>
              </w:rPr>
            </w:pPr>
            <w:hyperlink w:anchor="page33">
              <w:r>
                <w:rPr>
                  <w:rFonts w:ascii="Arial" w:cs="Arial" w:eastAsia="Arial" w:hAnsi="Arial"/>
                  <w:sz w:val="18"/>
                  <w:szCs w:val="18"/>
                  <w:color w:val="0000EE"/>
                  <w:w w:val="84"/>
                </w:rPr>
                <w:t>S-28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w:t>
              </w:r>
            </w:hyperlink>
          </w:p>
        </w:tc>
        <w:tc>
          <w:tcPr>
            <w:tcW w:w="120" w:type="dxa"/>
            <w:vAlign w:val="bottom"/>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w w:val="84"/>
              </w:rPr>
            </w:pPr>
            <w:hyperlink w:anchor="page33">
              <w:r>
                <w:rPr>
                  <w:rFonts w:ascii="Arial" w:cs="Arial" w:eastAsia="Arial" w:hAnsi="Arial"/>
                  <w:sz w:val="18"/>
                  <w:szCs w:val="18"/>
                  <w:color w:val="0000EE"/>
                  <w:w w:val="84"/>
                </w:rPr>
                <w:t>S-28</w:t>
              </w:r>
            </w:hyperlink>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60" w:type="dxa"/>
            <w:vAlign w:val="bottom"/>
            <w:gridSpan w:val="2"/>
          </w:tcPr>
          <w:p>
            <w:pPr>
              <w:ind w:left="700"/>
              <w:spacing w:after="0"/>
              <w:rPr>
                <w:sz w:val="20"/>
                <w:szCs w:val="20"/>
                <w:color w:val="auto"/>
              </w:rPr>
            </w:pPr>
            <w:r>
              <w:rPr>
                <w:rFonts w:ascii="Arial" w:cs="Arial" w:eastAsia="Arial" w:hAnsi="Arial"/>
                <w:sz w:val="18"/>
                <w:szCs w:val="18"/>
                <w:b w:val="1"/>
                <w:bCs w:val="1"/>
                <w:color w:val="auto"/>
              </w:rPr>
              <w:t>Prospectus</w:t>
            </w:r>
          </w:p>
        </w:tc>
        <w:tc>
          <w:tcPr>
            <w:tcW w:w="1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852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460" w:type="dxa"/>
            <w:vAlign w:val="bottom"/>
            <w:gridSpan w:val="7"/>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1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Where You Can Find More Information</w:t>
              </w:r>
            </w:hyperlink>
          </w:p>
        </w:tc>
        <w:tc>
          <w:tcPr>
            <w:tcW w:w="460" w:type="dxa"/>
            <w:vAlign w:val="bottom"/>
            <w:gridSpan w:val="7"/>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3"/>
          </w:tcPr>
          <w:p>
            <w:pPr>
              <w:spacing w:after="0"/>
              <w:rPr>
                <w:sz w:val="17"/>
                <w:szCs w:val="17"/>
                <w:color w:val="auto"/>
              </w:rPr>
            </w:pPr>
          </w:p>
        </w:tc>
        <w:tc>
          <w:tcPr>
            <w:tcW w:w="5720" w:type="dxa"/>
            <w:vAlign w:val="bottom"/>
            <w:gridSpan w:val="5"/>
          </w:tcPr>
          <w:p>
            <w:pPr>
              <w:spacing w:after="0"/>
              <w:rPr>
                <w:sz w:val="17"/>
                <w:szCs w:val="17"/>
                <w:color w:val="auto"/>
              </w:rPr>
            </w:pPr>
          </w:p>
        </w:tc>
        <w:tc>
          <w:tcPr>
            <w:tcW w:w="360" w:type="dxa"/>
            <w:vAlign w:val="bottom"/>
            <w:gridSpan w:val="6"/>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About Plains All American Pipeline, L.P.</w:t>
              </w:r>
            </w:hyperlink>
          </w:p>
        </w:tc>
        <w:tc>
          <w:tcPr>
            <w:tcW w:w="5580" w:type="dxa"/>
            <w:vAlign w:val="bottom"/>
            <w:gridSpan w:val="4"/>
          </w:tcPr>
          <w:p>
            <w:pPr>
              <w:spacing w:after="0"/>
              <w:rPr>
                <w:sz w:val="17"/>
                <w:szCs w:val="17"/>
                <w:color w:val="auto"/>
              </w:rPr>
            </w:pPr>
          </w:p>
        </w:tc>
        <w:tc>
          <w:tcPr>
            <w:tcW w:w="360" w:type="dxa"/>
            <w:vAlign w:val="bottom"/>
            <w:gridSpan w:val="6"/>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Risk Factors</w:t>
              </w:r>
            </w:hyperlink>
          </w:p>
        </w:tc>
        <w:tc>
          <w:tcPr>
            <w:tcW w:w="7620" w:type="dxa"/>
            <w:vAlign w:val="bottom"/>
            <w:gridSpan w:val="17"/>
          </w:tcPr>
          <w:p>
            <w:pPr>
              <w:spacing w:after="0"/>
              <w:rPr>
                <w:sz w:val="17"/>
                <w:szCs w:val="17"/>
                <w:color w:val="auto"/>
              </w:rPr>
            </w:pPr>
          </w:p>
        </w:tc>
        <w:tc>
          <w:tcPr>
            <w:tcW w:w="360" w:type="dxa"/>
            <w:vAlign w:val="bottom"/>
            <w:gridSpan w:val="6"/>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8</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43">
              <w:r>
                <w:rPr>
                  <w:rFonts w:ascii="Arial" w:cs="Arial" w:eastAsia="Arial" w:hAnsi="Arial"/>
                  <w:sz w:val="18"/>
                  <w:szCs w:val="18"/>
                  <w:color w:val="0000EE"/>
                  <w:w w:val="85"/>
                </w:rPr>
                <w:t>Use of Proceeds</w:t>
              </w:r>
            </w:hyperlink>
          </w:p>
        </w:tc>
        <w:tc>
          <w:tcPr>
            <w:tcW w:w="7360" w:type="dxa"/>
            <w:vAlign w:val="bottom"/>
            <w:gridSpan w:val="14"/>
          </w:tcPr>
          <w:p>
            <w:pPr>
              <w:spacing w:after="0"/>
              <w:rPr>
                <w:sz w:val="17"/>
                <w:szCs w:val="17"/>
                <w:color w:val="auto"/>
              </w:rPr>
            </w:pPr>
          </w:p>
        </w:tc>
        <w:tc>
          <w:tcPr>
            <w:tcW w:w="360" w:type="dxa"/>
            <w:vAlign w:val="bottom"/>
            <w:gridSpan w:val="6"/>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9</w:t>
              </w:r>
            </w:hyperlink>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Description of Our Common Units</w:t>
              </w:r>
            </w:hyperlink>
          </w:p>
        </w:tc>
        <w:tc>
          <w:tcPr>
            <w:tcW w:w="6060" w:type="dxa"/>
            <w:vAlign w:val="bottom"/>
            <w:gridSpan w:val="6"/>
          </w:tcPr>
          <w:p>
            <w:pPr>
              <w:spacing w:after="0"/>
              <w:rPr>
                <w:sz w:val="17"/>
                <w:szCs w:val="17"/>
                <w:color w:val="auto"/>
              </w:rPr>
            </w:pPr>
          </w:p>
        </w:tc>
        <w:tc>
          <w:tcPr>
            <w:tcW w:w="280" w:type="dxa"/>
            <w:vAlign w:val="bottom"/>
            <w:gridSpan w:val="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r>
        <w:trPr>
          <w:trHeight w:val="196"/>
        </w:trPr>
        <w:tc>
          <w:tcPr>
            <w:tcW w:w="8520" w:type="dxa"/>
            <w:vAlign w:val="bottom"/>
            <w:gridSpan w:val="1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Cash Distribution Policy</w:t>
              </w:r>
            </w:hyperlink>
          </w:p>
        </w:tc>
        <w:tc>
          <w:tcPr>
            <w:tcW w:w="460" w:type="dxa"/>
            <w:vAlign w:val="bottom"/>
            <w:gridSpan w:val="7"/>
          </w:tcPr>
          <w:p>
            <w:pPr>
              <w:jc w:val="right"/>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1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Our Partnership Agreement</w:t>
              </w:r>
            </w:hyperlink>
          </w:p>
        </w:tc>
        <w:tc>
          <w:tcPr>
            <w:tcW w:w="460" w:type="dxa"/>
            <w:vAlign w:val="bottom"/>
            <w:gridSpan w:val="7"/>
          </w:tcPr>
          <w:p>
            <w:pPr>
              <w:jc w:val="right"/>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Material U.S. Federal Income Tax Consequences</w:t>
              </w:r>
            </w:hyperlink>
          </w:p>
        </w:tc>
        <w:tc>
          <w:tcPr>
            <w:tcW w:w="5060" w:type="dxa"/>
            <w:vAlign w:val="bottom"/>
            <w:gridSpan w:val="2"/>
          </w:tcPr>
          <w:p>
            <w:pPr>
              <w:spacing w:after="0"/>
              <w:rPr>
                <w:sz w:val="17"/>
                <w:szCs w:val="17"/>
                <w:color w:val="auto"/>
              </w:rPr>
            </w:pPr>
          </w:p>
        </w:tc>
        <w:tc>
          <w:tcPr>
            <w:tcW w:w="280" w:type="dxa"/>
            <w:vAlign w:val="bottom"/>
            <w:gridSpan w:val="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Selling Unitholders</w:t>
              </w:r>
            </w:hyperlink>
          </w:p>
        </w:tc>
        <w:tc>
          <w:tcPr>
            <w:tcW w:w="7140" w:type="dxa"/>
            <w:vAlign w:val="bottom"/>
            <w:gridSpan w:val="12"/>
          </w:tcPr>
          <w:p>
            <w:pPr>
              <w:spacing w:after="0"/>
              <w:rPr>
                <w:sz w:val="17"/>
                <w:szCs w:val="17"/>
                <w:color w:val="auto"/>
              </w:rPr>
            </w:pPr>
          </w:p>
        </w:tc>
        <w:tc>
          <w:tcPr>
            <w:tcW w:w="280" w:type="dxa"/>
            <w:vAlign w:val="bottom"/>
            <w:gridSpan w:val="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34</w:t>
              </w:r>
            </w:hyperlink>
          </w:p>
        </w:tc>
        <w:tc>
          <w:tcPr>
            <w:tcW w:w="0" w:type="dxa"/>
            <w:vAlign w:val="bottom"/>
          </w:tcPr>
          <w:p>
            <w:pPr>
              <w:spacing w:after="0"/>
              <w:rPr>
                <w:sz w:val="1"/>
                <w:szCs w:val="1"/>
                <w:color w:val="auto"/>
              </w:rPr>
            </w:pPr>
          </w:p>
        </w:tc>
      </w:tr>
      <w:tr>
        <w:trPr>
          <w:trHeight w:val="196"/>
        </w:trPr>
        <w:tc>
          <w:tcPr>
            <w:tcW w:w="8520" w:type="dxa"/>
            <w:vAlign w:val="bottom"/>
            <w:gridSpan w:val="1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Plan of Distribution</w:t>
              </w:r>
            </w:hyperlink>
          </w:p>
        </w:tc>
        <w:tc>
          <w:tcPr>
            <w:tcW w:w="460" w:type="dxa"/>
            <w:vAlign w:val="bottom"/>
            <w:gridSpan w:val="7"/>
          </w:tcPr>
          <w:p>
            <w:pPr>
              <w:jc w:val="right"/>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Legal Matters</w:t>
              </w:r>
            </w:hyperlink>
          </w:p>
        </w:tc>
        <w:tc>
          <w:tcPr>
            <w:tcW w:w="7120" w:type="dxa"/>
            <w:vAlign w:val="bottom"/>
            <w:gridSpan w:val="11"/>
          </w:tcPr>
          <w:p>
            <w:pPr>
              <w:spacing w:after="0"/>
              <w:rPr>
                <w:sz w:val="17"/>
                <w:szCs w:val="17"/>
                <w:color w:val="auto"/>
              </w:rPr>
            </w:pPr>
          </w:p>
        </w:tc>
        <w:tc>
          <w:tcPr>
            <w:tcW w:w="280" w:type="dxa"/>
            <w:vAlign w:val="bottom"/>
            <w:gridSpan w:val="5"/>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39</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Experts</w:t>
              </w:r>
            </w:hyperlink>
          </w:p>
        </w:tc>
        <w:tc>
          <w:tcPr>
            <w:tcW w:w="7540" w:type="dxa"/>
            <w:vAlign w:val="bottom"/>
            <w:gridSpan w:val="15"/>
          </w:tcPr>
          <w:p>
            <w:pPr>
              <w:spacing w:after="0"/>
              <w:rPr>
                <w:sz w:val="17"/>
                <w:szCs w:val="17"/>
                <w:color w:val="auto"/>
              </w:rPr>
            </w:pPr>
          </w:p>
        </w:tc>
        <w:tc>
          <w:tcPr>
            <w:tcW w:w="280" w:type="dxa"/>
            <w:vAlign w:val="bottom"/>
            <w:gridSpan w:val="5"/>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39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IMPORTANT NOTICE ABOUT INFORMATION IN THIS PROSPECTUS SUPPLEMENT AND THE ACCOMPANYING BASE PROSPECTUS</w:t>
      </w:r>
    </w:p>
    <w:p>
      <w:pPr>
        <w:spacing w:after="0" w:line="25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This document is in two parts: (1) this prospectus supplement, which describes the specific terms of this offering, and (2) the accompanying base prospectus, which provides general information, some of which may not apply to this offering. This prospectus supplement may also add to, update or change information contained in the accompanying base prospectus. If information in this prospectus supplement is inconsistent with the accompanying base prospectus, you should rely on this prospectus supplement. Generally, when we refer to this "prospectus," we are referring to both documents combined.</w:t>
      </w:r>
    </w:p>
    <w:p>
      <w:pPr>
        <w:spacing w:after="0" w:line="167"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This prospectus supplement and the accompanying base prospectus contain and incorporate by reference information that you should consider when making your investment decision. We have not, and neither the selling unitholder nor the underwriter or its affiliates and agents have, authorized anyone to provide you with additional or different information. You should not assume that the information contained in this prospectus supplement or the accompanying base prospectus is accurate as of any date other than the date on the front of those documents or that any information we have incorporated by reference is accurate as of any date other than the date of the document incorporated by reference. Our business, financial condition, results of operations and prospects may have changed since those dates.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we nor the selling unitholder are making an offer to sell our common units in any jurisdiction where the offer is not permitted.</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information in this prospectus supplement is not complete. You should carefully read this prospectus supplement and the accompanying base prospectus, including the information incorporated by reference herein and therein, before you invest, as these documents contain information you should consider when making your investment decision.</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None of Plains All American Pipeline, L.P., the selling unitholder, the underwriter or any of their respective representatives is making any representation to you regarding the legality of an investment in our common units by you under applicable laws. You should consult with your own advisors as to legal, tax, business, financial and related aspects of an investment in the common units.</w:t>
      </w:r>
    </w:p>
    <w:p>
      <w:pPr>
        <w:spacing w:after="0" w:line="194"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This prospectus supplement contains forward-looking statements that are subject to a number of risks and uncertainties, many of which are beyond our control. Please read "Forward-Looking Statements" and "Risk Factors."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this prospectus supplement and the accompanying base prospectus, unless the context clearly indicates otherwise:</w:t>
      </w:r>
    </w:p>
    <w:p>
      <w:pPr>
        <w:spacing w:after="0" w:line="239" w:lineRule="exact"/>
        <w:rPr>
          <w:sz w:val="20"/>
          <w:szCs w:val="20"/>
          <w:color w:val="auto"/>
        </w:rPr>
      </w:pPr>
    </w:p>
    <w:p>
      <w:pPr>
        <w:ind w:left="1080" w:right="560" w:hanging="532"/>
        <w:spacing w:after="0" w:line="332"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"ours," "we," "us," "the Partnership," "Plains All American Pipeline, L.P." or "PAA" refers to Plains All American Pipeline, L.P., the registrant itself, or to Plains All American Pipeline, L.P. and its operating subsidiaries collectively, as the context requires;</w:t>
      </w:r>
    </w:p>
    <w:p>
      <w:pPr>
        <w:spacing w:after="0" w:line="166"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"PAGP" refers to Plains GP Holdings, L.P. (NYSE: PAGP), individually, or to PAGP and its operating subsidiaries collectively, as the context requires;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"PAA GP" refers to PAA GP LLC, our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"AAP" refers to Plains AAP, L.P., which owns a 100% membership interest in PAA GP;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"GP LLC" refers to Plains All American GP LLC, the general partner of AAP;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"PAGP GP" refers to PAA GP Holdings LLC;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"selling unitholder" refers to the entity identified as the selling unitholder in "Selling Unitholder."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All statements included in or incorporated by reference into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15" w:lineRule="exact"/>
        <w:rPr>
          <w:sz w:val="20"/>
          <w:szCs w:val="20"/>
          <w:color w:val="auto"/>
        </w:rPr>
      </w:pPr>
    </w:p>
    <w:p>
      <w:pPr>
        <w:ind w:left="1080" w:right="100" w:hanging="532"/>
        <w:spacing w:after="0" w:line="25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natural gas liquids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market distortions caused by over-commitments to infrastructure projects, which impacts volumes, margins, returns and overall earnings;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61"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w:t>
      </w:r>
    </w:p>
    <w:p>
      <w:pPr>
        <w:spacing w:after="0" w:line="186" w:lineRule="exact"/>
        <w:rPr>
          <w:sz w:val="20"/>
          <w:szCs w:val="20"/>
          <w:color w:val="auto"/>
        </w:rPr>
      </w:pPr>
    </w:p>
    <w:p>
      <w:pPr>
        <w:ind w:right="60" w:firstLine="351"/>
        <w:spacing w:after="0" w:line="294" w:lineRule="auto"/>
        <w:rPr>
          <w:rFonts w:ascii="Arial" w:cs="Arial" w:eastAsia="Arial" w:hAnsi="Arial"/>
          <w:sz w:val="16"/>
          <w:szCs w:val="16"/>
          <w:color w:val="0000EE"/>
        </w:rPr>
      </w:pPr>
      <w:r>
        <w:rPr>
          <w:rFonts w:ascii="Arial" w:cs="Arial" w:eastAsia="Arial" w:hAnsi="Arial"/>
          <w:sz w:val="16"/>
          <w:szCs w:val="16"/>
          <w:color w:val="auto"/>
        </w:rPr>
        <w:t xml:space="preserve">Other factors described or incorporated by reference herein, as well as factors that are unknown or unpredictable, could also have a material adverse effect </w:t>
      </w:r>
      <w:hyperlink r:id="rId17">
        <w:r>
          <w:rPr>
            <w:rFonts w:ascii="Arial" w:cs="Arial" w:eastAsia="Arial" w:hAnsi="Arial"/>
            <w:sz w:val="16"/>
            <w:szCs w:val="16"/>
            <w:color w:val="auto"/>
          </w:rPr>
          <w:t xml:space="preserve">on future results. Please read "Risk Factors" on page S-5 of this prospectus supplement and as discussed in Item 1A. "Risk Factors" in our </w:t>
        </w:r>
        <w:r>
          <w:rPr>
            <w:rFonts w:ascii="Arial" w:cs="Arial" w:eastAsia="Arial" w:hAnsi="Arial"/>
            <w:sz w:val="16"/>
            <w:szCs w:val="16"/>
            <w:u w:val="single" w:color="auto"/>
            <w:color w:val="0000EE"/>
          </w:rPr>
          <w:t>Annual Report on</w:t>
        </w:r>
      </w:hyperlink>
      <w:r>
        <w:rPr>
          <w:rFonts w:ascii="Arial" w:cs="Arial" w:eastAsia="Arial" w:hAnsi="Arial"/>
          <w:sz w:val="16"/>
          <w:szCs w:val="16"/>
          <w:color w:val="auto"/>
        </w:rPr>
        <w:t xml:space="preserve"> </w:t>
      </w:r>
      <w:hyperlink r:id="rId17">
        <w:r>
          <w:rPr>
            <w:rFonts w:ascii="Arial" w:cs="Arial" w:eastAsia="Arial" w:hAnsi="Arial"/>
            <w:sz w:val="16"/>
            <w:szCs w:val="16"/>
            <w:u w:val="single" w:color="auto"/>
            <w:color w:val="0000EE"/>
          </w:rPr>
          <w:t>Form 10-K for the fiscal year ended December 31, 2018 (File No. 001-14569)</w:t>
        </w:r>
        <w:r>
          <w:rPr>
            <w:rFonts w:ascii="Arial" w:cs="Arial" w:eastAsia="Arial" w:hAnsi="Arial"/>
            <w:sz w:val="16"/>
            <w:szCs w:val="16"/>
            <w:color w:val="0000EE"/>
          </w:rPr>
          <w:t xml:space="preserve"> </w:t>
        </w:r>
        <w:r>
          <w:rPr>
            <w:rFonts w:ascii="Arial" w:cs="Arial" w:eastAsia="Arial" w:hAnsi="Arial"/>
            <w:sz w:val="16"/>
            <w:szCs w:val="16"/>
            <w:color w:val="000000"/>
          </w:rPr>
          <w:t>and in any subsequent</w:t>
        </w:r>
        <w:r>
          <w:rPr>
            <w:rFonts w:ascii="Arial" w:cs="Arial" w:eastAsia="Arial" w:hAnsi="Arial"/>
            <w:sz w:val="16"/>
            <w:szCs w:val="16"/>
            <w:color w:val="0000EE"/>
          </w:rPr>
          <w:t xml:space="preserve"> </w:t>
        </w:r>
      </w:hyperlink>
      <w:hyperlink r:id="rId18">
        <w:r>
          <w:rPr>
            <w:rFonts w:ascii="Arial" w:cs="Arial" w:eastAsia="Arial" w:hAnsi="Arial"/>
            <w:sz w:val="16"/>
            <w:szCs w:val="16"/>
            <w:u w:val="single" w:color="auto"/>
            <w:color w:val="0000EE"/>
          </w:rPr>
          <w:t xml:space="preserve">quarterly report on Form 10-Q, </w:t>
        </w:r>
      </w:hyperlink>
      <w:hyperlink r:id="rId17">
        <w:r>
          <w:rPr>
            <w:rFonts w:ascii="Arial" w:cs="Arial" w:eastAsia="Arial" w:hAnsi="Arial"/>
            <w:sz w:val="16"/>
            <w:szCs w:val="16"/>
            <w:color w:val="000000"/>
          </w:rPr>
          <w:t xml:space="preserve">which are incorporated </w:t>
        </w:r>
      </w:hyperlink>
      <w:r>
        <w:rPr>
          <w:rFonts w:ascii="Arial" w:cs="Arial" w:eastAsia="Arial" w:hAnsi="Arial"/>
          <w:sz w:val="16"/>
          <w:szCs w:val="16"/>
          <w:color w:val="0000EE"/>
        </w:rPr>
        <w:t xml:space="preserve">in </w:t>
      </w:r>
      <w:r>
        <w:rPr>
          <w:rFonts w:ascii="Arial" w:cs="Arial" w:eastAsia="Arial" w:hAnsi="Arial"/>
          <w:sz w:val="16"/>
          <w:szCs w:val="16"/>
          <w:color w:val="000000"/>
        </w:rPr>
        <w:t>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70" w:lineRule="exact"/>
        <w:rPr>
          <w:rFonts w:ascii="Arial" w:cs="Arial" w:eastAsia="Arial" w:hAnsi="Arial"/>
          <w:sz w:val="16"/>
          <w:szCs w:val="16"/>
          <w:color w:val="0000EE"/>
        </w:rPr>
      </w:pPr>
    </w:p>
    <w:p>
      <w:pPr>
        <w:jc w:val="center"/>
        <w:ind w:right="-159"/>
        <w:spacing w:after="0"/>
        <w:rPr>
          <w:sz w:val="20"/>
          <w:szCs w:val="20"/>
          <w:color w:val="auto"/>
        </w:rPr>
      </w:pPr>
      <w:r>
        <w:rPr>
          <w:rFonts w:ascii="Arial" w:cs="Arial" w:eastAsia="Arial" w:hAnsi="Arial"/>
          <w:sz w:val="18"/>
          <w:szCs w:val="18"/>
          <w:color w:val="auto"/>
        </w:rPr>
        <w:t>S-iv</w:t>
      </w:r>
    </w:p>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0674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right="20" w:firstLine="351"/>
        <w:spacing w:after="0" w:line="291"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This summary highlights information included in or incorporated by reference into this prospectus supplement.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w:t>
      </w:r>
      <w:hyperlink r:id="rId17">
        <w:r>
          <w:rPr>
            <w:rFonts w:ascii="Arial" w:cs="Arial" w:eastAsia="Arial" w:hAnsi="Arial"/>
            <w:sz w:val="16"/>
            <w:szCs w:val="16"/>
            <w:i w:val="1"/>
            <w:iCs w:val="1"/>
            <w:color w:val="auto"/>
          </w:rPr>
          <w:t xml:space="preserve">complete understanding of this offering of common units. Please read "Risk Factors" on page S-5 of this prospectus supplement and in our </w:t>
        </w:r>
        <w:r>
          <w:rPr>
            <w:rFonts w:ascii="Arial" w:cs="Arial" w:eastAsia="Arial" w:hAnsi="Arial"/>
            <w:sz w:val="16"/>
            <w:szCs w:val="16"/>
            <w:i w:val="1"/>
            <w:iCs w:val="1"/>
            <w:u w:val="single" w:color="auto"/>
            <w:color w:val="0000EE"/>
          </w:rPr>
          <w:t>Annual Report</w:t>
        </w:r>
      </w:hyperlink>
      <w:r>
        <w:rPr>
          <w:rFonts w:ascii="Arial" w:cs="Arial" w:eastAsia="Arial" w:hAnsi="Arial"/>
          <w:sz w:val="16"/>
          <w:szCs w:val="16"/>
          <w:i w:val="1"/>
          <w:iCs w:val="1"/>
          <w:color w:val="auto"/>
        </w:rPr>
        <w:t xml:space="preserve"> </w:t>
      </w:r>
      <w:hyperlink r:id="rId17">
        <w:r>
          <w:rPr>
            <w:rFonts w:ascii="Arial" w:cs="Arial" w:eastAsia="Arial" w:hAnsi="Arial"/>
            <w:sz w:val="16"/>
            <w:szCs w:val="16"/>
            <w:i w:val="1"/>
            <w:iCs w:val="1"/>
            <w:u w:val="single" w:color="auto"/>
            <w:color w:val="0000EE"/>
          </w:rPr>
          <w:t>on Form 10-K for the fiscal year ended December 31, 2018</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and in any subsequent</w:t>
        </w:r>
        <w:r>
          <w:rPr>
            <w:rFonts w:ascii="Arial" w:cs="Arial" w:eastAsia="Arial" w:hAnsi="Arial"/>
            <w:sz w:val="16"/>
            <w:szCs w:val="16"/>
            <w:i w:val="1"/>
            <w:iCs w:val="1"/>
            <w:color w:val="0000EE"/>
          </w:rPr>
          <w:t xml:space="preserve"> </w:t>
        </w:r>
      </w:hyperlink>
      <w:hyperlink r:id="rId18">
        <w:r>
          <w:rPr>
            <w:rFonts w:ascii="Arial" w:cs="Arial" w:eastAsia="Arial" w:hAnsi="Arial"/>
            <w:sz w:val="16"/>
            <w:szCs w:val="16"/>
            <w:i w:val="1"/>
            <w:iCs w:val="1"/>
            <w:u w:val="single" w:color="auto"/>
            <w:color w:val="0000EE"/>
          </w:rPr>
          <w:t xml:space="preserve">quarterly report on Form 10-Q, </w:t>
        </w:r>
      </w:hyperlink>
      <w:hyperlink r:id="rId17">
        <w:r>
          <w:rPr>
            <w:rFonts w:ascii="Arial" w:cs="Arial" w:eastAsia="Arial" w:hAnsi="Arial"/>
            <w:sz w:val="16"/>
            <w:szCs w:val="16"/>
            <w:i w:val="1"/>
            <w:iCs w:val="1"/>
            <w:color w:val="000000"/>
          </w:rPr>
          <w:t>which are incorporated by reference</w:t>
        </w:r>
      </w:hyperlink>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herein, for information regarding risks you should consider before investing in our common units.</w:t>
      </w:r>
    </w:p>
    <w:p>
      <w:pPr>
        <w:spacing w:after="0" w:line="384" w:lineRule="exact"/>
        <w:rPr>
          <w:rFonts w:ascii="Arial" w:cs="Arial" w:eastAsia="Arial" w:hAnsi="Arial"/>
          <w:sz w:val="16"/>
          <w:szCs w:val="16"/>
          <w:i w:val="1"/>
          <w:iCs w:val="1"/>
          <w:color w:val="0000EE"/>
        </w:rPr>
      </w:pPr>
    </w:p>
    <w:p>
      <w:pPr>
        <w:jc w:val="center"/>
        <w:ind w:right="-239"/>
        <w:spacing w:after="0"/>
        <w:rPr>
          <w:sz w:val="20"/>
          <w:szCs w:val="20"/>
          <w:color w:val="auto"/>
        </w:rPr>
      </w:pPr>
      <w:r>
        <w:rPr>
          <w:rFonts w:ascii="Arial" w:cs="Arial" w:eastAsia="Arial" w:hAnsi="Arial"/>
          <w:sz w:val="18"/>
          <w:szCs w:val="18"/>
          <w:b w:val="1"/>
          <w:bCs w:val="1"/>
          <w:color w:val="auto"/>
        </w:rPr>
        <w:t>Plains All American Pipeline, L.P.</w:t>
      </w:r>
    </w:p>
    <w:p>
      <w:pPr>
        <w:spacing w:after="0" w:line="231" w:lineRule="exact"/>
        <w:rPr>
          <w:rFonts w:ascii="Arial" w:cs="Arial" w:eastAsia="Arial" w:hAnsi="Arial"/>
          <w:sz w:val="16"/>
          <w:szCs w:val="16"/>
          <w:i w:val="1"/>
          <w:iCs w:val="1"/>
          <w:color w:val="0000EE"/>
        </w:rPr>
      </w:pPr>
    </w:p>
    <w:p>
      <w:pPr>
        <w:ind w:left="240" w:right="120" w:firstLine="348"/>
        <w:spacing w:after="0" w:line="255" w:lineRule="auto"/>
        <w:rPr>
          <w:sz w:val="20"/>
          <w:szCs w:val="20"/>
          <w:color w:val="auto"/>
        </w:rPr>
      </w:pPr>
      <w:r>
        <w:rPr>
          <w:rFonts w:ascii="Arial" w:cs="Arial" w:eastAsia="Arial" w:hAnsi="Arial"/>
          <w:sz w:val="18"/>
          <w:szCs w:val="18"/>
          <w:color w:val="auto"/>
        </w:rPr>
        <w:t>We are a Delaware limited partnership formed in 1998. Our operations are conducted directly and indirectly through our primary operating subsidiaries. We own and operate midstream energy infrastructure and provide logistics services primarily for crude oil, NGL and natural gas.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200" w:lineRule="exact"/>
        <w:rPr>
          <w:rFonts w:ascii="Arial" w:cs="Arial" w:eastAsia="Arial" w:hAnsi="Arial"/>
          <w:sz w:val="16"/>
          <w:szCs w:val="16"/>
          <w:i w:val="1"/>
          <w:iCs w:val="1"/>
          <w:color w:val="0000EE"/>
        </w:rPr>
      </w:pPr>
    </w:p>
    <w:p>
      <w:pPr>
        <w:spacing w:after="0" w:line="207" w:lineRule="exact"/>
        <w:rPr>
          <w:rFonts w:ascii="Arial" w:cs="Arial" w:eastAsia="Arial" w:hAnsi="Arial"/>
          <w:sz w:val="16"/>
          <w:szCs w:val="16"/>
          <w:i w:val="1"/>
          <w:iCs w:val="1"/>
          <w:color w:val="0000EE"/>
        </w:rPr>
      </w:pPr>
    </w:p>
    <w:p>
      <w:pPr>
        <w:jc w:val="center"/>
        <w:ind w:right="-239"/>
        <w:spacing w:after="0"/>
        <w:rPr>
          <w:sz w:val="20"/>
          <w:szCs w:val="20"/>
          <w:color w:val="auto"/>
        </w:rPr>
      </w:pPr>
      <w:r>
        <w:rPr>
          <w:rFonts w:ascii="Arial" w:cs="Arial" w:eastAsia="Arial" w:hAnsi="Arial"/>
          <w:sz w:val="18"/>
          <w:szCs w:val="18"/>
          <w:b w:val="1"/>
          <w:bCs w:val="1"/>
          <w:color w:val="auto"/>
        </w:rPr>
        <w:t>Ongoing Acquisition, Divestiture and Investment Activities</w:t>
      </w:r>
    </w:p>
    <w:p>
      <w:pPr>
        <w:spacing w:after="0" w:line="231" w:lineRule="exact"/>
        <w:rPr>
          <w:rFonts w:ascii="Arial" w:cs="Arial" w:eastAsia="Arial" w:hAnsi="Arial"/>
          <w:sz w:val="16"/>
          <w:szCs w:val="16"/>
          <w:i w:val="1"/>
          <w:iCs w:val="1"/>
          <w:color w:val="0000EE"/>
        </w:rPr>
      </w:pPr>
    </w:p>
    <w:p>
      <w:pPr>
        <w:ind w:left="240" w:right="20" w:firstLine="351"/>
        <w:spacing w:after="0" w:line="286"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response to changing U.S. production profiles and increased competition for new build assets, over the last several years, we have increased our joint venture related activities in an effort to fully meet the current and future needs of our customers while also rationalizing assets and enhancing our investment returns. The vast majority of our joint ventures are accounted for as investments in unconsolidated subsidiaries.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81" w:lineRule="exact"/>
        <w:rPr>
          <w:rFonts w:ascii="Arial" w:cs="Arial" w:eastAsia="Arial" w:hAnsi="Arial"/>
          <w:sz w:val="16"/>
          <w:szCs w:val="16"/>
          <w:i w:val="1"/>
          <w:iCs w:val="1"/>
          <w:color w:val="0000EE"/>
        </w:rPr>
      </w:pPr>
    </w:p>
    <w:p>
      <w:pPr>
        <w:ind w:left="240" w:firstLine="351"/>
        <w:spacing w:after="0" w:line="291" w:lineRule="auto"/>
        <w:rPr>
          <w:sz w:val="20"/>
          <w:szCs w:val="20"/>
          <w:color w:val="auto"/>
        </w:rPr>
      </w:pPr>
      <w:r>
        <w:rPr>
          <w:rFonts w:ascii="Arial" w:cs="Arial" w:eastAsia="Arial" w:hAnsi="Arial"/>
          <w:sz w:val="16"/>
          <w:szCs w:val="16"/>
          <w:color w:val="auto"/>
        </w:rPr>
        <w:t>From time to time, we may also (i) sell assets that we regard as non-core or that we believe might be a better fit with the business and/or assets of a third-party buyer or (ii) sell partial interests in assets 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 In 2016, we initiated a program to evaluate potential sales of non-core assets and/or sales of partial interests in assets to strategic joint venture partners to optimize our asset portfolio and strengthen our balance sheet and leverage metrics. From 2016 through 2018, we completed asset sales totaling approximately $3.0 billion.</w:t>
      </w:r>
    </w:p>
    <w:p>
      <w:pPr>
        <w:spacing w:after="0" w:line="200" w:lineRule="exact"/>
        <w:rPr>
          <w:rFonts w:ascii="Arial" w:cs="Arial" w:eastAsia="Arial" w:hAnsi="Arial"/>
          <w:sz w:val="16"/>
          <w:szCs w:val="16"/>
          <w:i w:val="1"/>
          <w:iCs w:val="1"/>
          <w:color w:val="0000EE"/>
        </w:rPr>
      </w:pPr>
    </w:p>
    <w:p>
      <w:pPr>
        <w:spacing w:after="0" w:line="200" w:lineRule="exact"/>
        <w:rPr>
          <w:rFonts w:ascii="Arial" w:cs="Arial" w:eastAsia="Arial" w:hAnsi="Arial"/>
          <w:sz w:val="16"/>
          <w:szCs w:val="16"/>
          <w:i w:val="1"/>
          <w:iCs w:val="1"/>
          <w:color w:val="0000EE"/>
        </w:rPr>
      </w:pPr>
    </w:p>
    <w:p>
      <w:pPr>
        <w:spacing w:after="0" w:line="233" w:lineRule="exact"/>
        <w:rPr>
          <w:rFonts w:ascii="Arial" w:cs="Arial" w:eastAsia="Arial" w:hAnsi="Arial"/>
          <w:sz w:val="16"/>
          <w:szCs w:val="16"/>
          <w:i w:val="1"/>
          <w:iCs w:val="1"/>
          <w:color w:val="0000EE"/>
        </w:rPr>
      </w:pPr>
    </w:p>
    <w:p>
      <w:pPr>
        <w:jc w:val="center"/>
        <w:ind w:right="-279"/>
        <w:spacing w:after="0"/>
        <w:rPr>
          <w:sz w:val="20"/>
          <w:szCs w:val="20"/>
          <w:color w:val="auto"/>
        </w:rPr>
      </w:pPr>
      <w:r>
        <w:rPr>
          <w:rFonts w:ascii="Arial" w:cs="Arial" w:eastAsia="Arial" w:hAnsi="Arial"/>
          <w:sz w:val="18"/>
          <w:szCs w:val="18"/>
          <w:color w:val="auto"/>
        </w:rPr>
        <w:t>S-1</w:t>
      </w:r>
    </w:p>
    <w:p>
      <w:pPr>
        <w:spacing w:after="0" w:line="20" w:lineRule="exact"/>
        <w:rPr>
          <w:rFonts w:ascii="Arial" w:cs="Arial" w:eastAsia="Arial" w:hAnsi="Arial"/>
          <w:sz w:val="16"/>
          <w:szCs w:val="16"/>
          <w:i w:val="1"/>
          <w:iCs w:val="1"/>
          <w:color w:val="0000EE"/>
        </w:rPr>
      </w:pPr>
      <w:r>
        <w:rPr>
          <w:rFonts w:ascii="Arial" w:cs="Arial" w:eastAsia="Arial" w:hAnsi="Arial"/>
          <w:sz w:val="16"/>
          <w:szCs w:val="16"/>
          <w:i w:val="1"/>
          <w:iCs w:val="1"/>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5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50430" cy="4695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100" w:firstLine="348"/>
        <w:spacing w:after="0" w:line="290"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w:t>
      </w:r>
    </w:p>
    <w:p>
      <w:pPr>
        <w:spacing w:after="0" w:line="3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Concurrent Offering</w:t>
      </w:r>
    </w:p>
    <w:p>
      <w:pPr>
        <w:spacing w:after="0" w:line="231" w:lineRule="exact"/>
        <w:rPr>
          <w:sz w:val="20"/>
          <w:szCs w:val="20"/>
          <w:color w:val="auto"/>
        </w:rPr>
      </w:pPr>
    </w:p>
    <w:p>
      <w:pPr>
        <w:ind w:left="240" w:right="80" w:firstLine="351"/>
        <w:spacing w:after="0" w:line="294" w:lineRule="auto"/>
        <w:rPr>
          <w:sz w:val="20"/>
          <w:szCs w:val="20"/>
          <w:color w:val="auto"/>
        </w:rPr>
      </w:pPr>
      <w:r>
        <w:rPr>
          <w:rFonts w:ascii="Arial" w:cs="Arial" w:eastAsia="Arial" w:hAnsi="Arial"/>
          <w:sz w:val="16"/>
          <w:szCs w:val="16"/>
          <w:color w:val="auto"/>
        </w:rPr>
        <w:t>Concurrently with this offering, the selling unitholder has commenced a public offering of an aggregate of 15,000,000 PAGP Class A shares, in an offering we refer to herein as the concurrent offering. The concurrent offering is expected to close simultaneously with this offering, but we cannot assure you that the concurrent offering will close on these terms, on a timely basis or at all. This offering is not conditioned upon the closing of the concurrent offering and the concurrent offering is not conditioned upon the closing of this offering. This prospectus supplement shall not be deemed to be an offer to sell or a solicitation of an offer to buy the securities offered in the concurrent offering.</w:t>
      </w:r>
    </w:p>
    <w:p>
      <w:pPr>
        <w:spacing w:after="0" w:line="38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jc w:val="both"/>
        <w:ind w:left="240" w:right="300" w:firstLine="351"/>
        <w:spacing w:after="0" w:line="306" w:lineRule="auto"/>
        <w:rPr>
          <w:sz w:val="20"/>
          <w:szCs w:val="20"/>
          <w:color w:val="auto"/>
        </w:rPr>
      </w:pPr>
      <w:r>
        <w:rPr>
          <w:rFonts w:ascii="Arial" w:cs="Arial" w:eastAsia="Arial" w:hAnsi="Arial"/>
          <w:sz w:val="16"/>
          <w:szCs w:val="16"/>
          <w:color w:val="auto"/>
        </w:rPr>
        <w:t>Our executive offices are located at 333 Clay Street, Suite 1600, Houston, Texas 77002. Our telephone number is (713) 646-4100. We maintain a website at www.plainsallamerican.com where we routinely post important information about our business and operations. Information contained on or available through our website is not incorporated into or otherwise a part of this prospectus supplement or the accompanying base prospectus.</w:t>
      </w:r>
    </w:p>
    <w:p>
      <w:pPr>
        <w:spacing w:after="0" w:line="37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left="240" w:firstLine="351"/>
        <w:spacing w:after="0" w:line="335" w:lineRule="auto"/>
        <w:rPr>
          <w:rFonts w:ascii="Arial" w:cs="Arial" w:eastAsia="Arial" w:hAnsi="Arial"/>
          <w:sz w:val="15"/>
          <w:szCs w:val="15"/>
          <w:color w:val="auto"/>
        </w:rPr>
      </w:pPr>
      <w:r>
        <w:rPr>
          <w:rFonts w:ascii="Arial" w:cs="Arial" w:eastAsia="Arial" w:hAnsi="Arial"/>
          <w:sz w:val="15"/>
          <w:szCs w:val="15"/>
          <w:color w:val="auto"/>
        </w:rPr>
        <w:t xml:space="preserve">For additional information about us, including our partnership structure and management, please refer to the documents set forth under "Where You Can Find More Information" in this prospectus supplement, including our </w:t>
      </w:r>
      <w:hyperlink r:id="rId17">
        <w:r>
          <w:rPr>
            <w:rFonts w:ascii="Arial" w:cs="Arial" w:eastAsia="Arial" w:hAnsi="Arial"/>
            <w:sz w:val="15"/>
            <w:szCs w:val="15"/>
            <w:u w:val="single" w:color="auto"/>
            <w:color w:val="0000EE"/>
          </w:rPr>
          <w:t>Annual Report on Form 10-K for the fiscal year ended December 31, 2018</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our Quarterly Reports on Form 10-Q for the quarterly periods ended </w:t>
      </w:r>
      <w:hyperlink r:id="rId23">
        <w:r>
          <w:rPr>
            <w:rFonts w:ascii="Arial" w:cs="Arial" w:eastAsia="Arial" w:hAnsi="Arial"/>
            <w:sz w:val="15"/>
            <w:szCs w:val="15"/>
            <w:u w:val="single" w:color="auto"/>
            <w:color w:val="0000EE"/>
          </w:rPr>
          <w:t>March 31, 2019</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w:t>
      </w:r>
      <w:hyperlink r:id="rId18">
        <w:r>
          <w:rPr>
            <w:rFonts w:ascii="Arial" w:cs="Arial" w:eastAsia="Arial" w:hAnsi="Arial"/>
            <w:sz w:val="15"/>
            <w:szCs w:val="15"/>
            <w:u w:val="single" w:color="auto"/>
            <w:color w:val="0000EE"/>
          </w:rPr>
          <w:t>June 30, 2019,</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each of which is incorporated by reference herein.</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1" w:lineRule="exact"/>
        <w:rPr>
          <w:rFonts w:ascii="Arial" w:cs="Arial" w:eastAsia="Arial" w:hAnsi="Arial"/>
          <w:sz w:val="15"/>
          <w:szCs w:val="15"/>
          <w:color w:val="auto"/>
        </w:rPr>
      </w:pPr>
    </w:p>
    <w:p>
      <w:pPr>
        <w:jc w:val="center"/>
        <w:ind w:right="-299"/>
        <w:spacing w:after="0"/>
        <w:rPr>
          <w:sz w:val="20"/>
          <w:szCs w:val="20"/>
          <w:color w:val="auto"/>
        </w:rPr>
      </w:pPr>
      <w:r>
        <w:rPr>
          <w:rFonts w:ascii="Arial" w:cs="Arial" w:eastAsia="Arial" w:hAnsi="Arial"/>
          <w:sz w:val="18"/>
          <w:szCs w:val="18"/>
          <w:color w:val="auto"/>
        </w:rPr>
        <w:t>S-2</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879"/>
        </w:trPr>
        <w:tc>
          <w:tcPr>
            <w:tcW w:w="2520" w:type="dxa"/>
            <w:vAlign w:val="bottom"/>
            <w:tcBorders>
              <w:top w:val="single" w:sz="8" w:color="auto"/>
              <w:left w:val="single" w:sz="8" w:color="auto"/>
            </w:tcBorders>
          </w:tcPr>
          <w:p>
            <w:pPr>
              <w:spacing w:after="0"/>
              <w:rPr>
                <w:sz w:val="24"/>
                <w:szCs w:val="24"/>
                <w:color w:val="auto"/>
              </w:rPr>
            </w:pPr>
          </w:p>
        </w:tc>
        <w:tc>
          <w:tcPr>
            <w:tcW w:w="8900" w:type="dxa"/>
            <w:vAlign w:val="bottom"/>
            <w:tcBorders>
              <w:top w:val="single" w:sz="8" w:color="auto"/>
              <w:right w:val="single" w:sz="8" w:color="auto"/>
            </w:tcBorders>
          </w:tcPr>
          <w:p>
            <w:pPr>
              <w:ind w:left="2680"/>
              <w:spacing w:after="0"/>
              <w:rPr>
                <w:sz w:val="20"/>
                <w:szCs w:val="20"/>
                <w:color w:val="auto"/>
              </w:rPr>
            </w:pPr>
            <w:r>
              <w:rPr>
                <w:rFonts w:ascii="Arial" w:cs="Arial" w:eastAsia="Arial" w:hAnsi="Arial"/>
                <w:sz w:val="18"/>
                <w:szCs w:val="18"/>
                <w:b w:val="1"/>
                <w:bCs w:val="1"/>
                <w:color w:val="auto"/>
              </w:rPr>
              <w:t>The Offering</w:t>
            </w:r>
          </w:p>
        </w:tc>
      </w:tr>
      <w:tr>
        <w:trPr>
          <w:trHeight w:val="426"/>
        </w:trPr>
        <w:tc>
          <w:tcPr>
            <w:tcW w:w="25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w w:val="97"/>
              </w:rPr>
              <w:t>Common Units</w:t>
            </w:r>
          </w:p>
        </w:tc>
        <w:tc>
          <w:tcPr>
            <w:tcW w:w="8900" w:type="dxa"/>
            <w:vAlign w:val="bottom"/>
            <w:tcBorders>
              <w:right w:val="single" w:sz="8" w:color="auto"/>
            </w:tcBorders>
          </w:tcPr>
          <w:p>
            <w:pPr>
              <w:spacing w:after="0"/>
              <w:rPr>
                <w:sz w:val="24"/>
                <w:szCs w:val="24"/>
                <w:color w:val="auto"/>
              </w:rPr>
            </w:pPr>
          </w:p>
        </w:tc>
      </w:tr>
      <w:tr>
        <w:trPr>
          <w:trHeight w:val="216"/>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Offered by</w:t>
            </w:r>
          </w:p>
        </w:tc>
        <w:tc>
          <w:tcPr>
            <w:tcW w:w="8900" w:type="dxa"/>
            <w:vAlign w:val="bottom"/>
            <w:tcBorders>
              <w:right w:val="single" w:sz="8" w:color="auto"/>
            </w:tcBorders>
          </w:tcPr>
          <w:p>
            <w:pPr>
              <w:spacing w:after="0"/>
              <w:rPr>
                <w:sz w:val="18"/>
                <w:szCs w:val="18"/>
                <w:color w:val="auto"/>
              </w:rPr>
            </w:pPr>
          </w:p>
        </w:tc>
      </w:tr>
      <w:tr>
        <w:trPr>
          <w:trHeight w:val="216"/>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the Selling</w:t>
            </w:r>
          </w:p>
        </w:tc>
        <w:tc>
          <w:tcPr>
            <w:tcW w:w="8900" w:type="dxa"/>
            <w:vAlign w:val="bottom"/>
            <w:tcBorders>
              <w:right w:val="single" w:sz="8" w:color="auto"/>
            </w:tcBorders>
          </w:tcPr>
          <w:p>
            <w:pPr>
              <w:spacing w:after="0"/>
              <w:rPr>
                <w:sz w:val="18"/>
                <w:szCs w:val="18"/>
                <w:color w:val="auto"/>
              </w:rPr>
            </w:pPr>
          </w:p>
        </w:tc>
      </w:tr>
      <w:tr>
        <w:trPr>
          <w:trHeight w:val="222"/>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Unitholder</w:t>
            </w: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14,977,890 common units.</w:t>
            </w:r>
          </w:p>
        </w:tc>
      </w:tr>
      <w:tr>
        <w:trPr>
          <w:trHeight w:val="426"/>
        </w:trPr>
        <w:tc>
          <w:tcPr>
            <w:tcW w:w="25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w w:val="97"/>
              </w:rPr>
              <w:t>Common Units</w:t>
            </w:r>
          </w:p>
        </w:tc>
        <w:tc>
          <w:tcPr>
            <w:tcW w:w="8900" w:type="dxa"/>
            <w:vAlign w:val="bottom"/>
            <w:tcBorders>
              <w:right w:val="single" w:sz="8" w:color="auto"/>
            </w:tcBorders>
          </w:tcPr>
          <w:p>
            <w:pPr>
              <w:spacing w:after="0"/>
              <w:rPr>
                <w:sz w:val="24"/>
                <w:szCs w:val="24"/>
                <w:color w:val="auto"/>
              </w:rPr>
            </w:pPr>
          </w:p>
        </w:tc>
      </w:tr>
      <w:tr>
        <w:trPr>
          <w:trHeight w:val="216"/>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Outstanding</w:t>
            </w:r>
          </w:p>
        </w:tc>
        <w:tc>
          <w:tcPr>
            <w:tcW w:w="8900" w:type="dxa"/>
            <w:vAlign w:val="bottom"/>
            <w:tcBorders>
              <w:right w:val="single" w:sz="8" w:color="auto"/>
            </w:tcBorders>
          </w:tcPr>
          <w:p>
            <w:pPr>
              <w:spacing w:after="0"/>
              <w:rPr>
                <w:sz w:val="18"/>
                <w:szCs w:val="18"/>
                <w:color w:val="auto"/>
              </w:rPr>
            </w:pPr>
          </w:p>
        </w:tc>
      </w:tr>
      <w:tr>
        <w:trPr>
          <w:trHeight w:val="216"/>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After This</w:t>
            </w:r>
          </w:p>
        </w:tc>
        <w:tc>
          <w:tcPr>
            <w:tcW w:w="8900" w:type="dxa"/>
            <w:vAlign w:val="bottom"/>
            <w:tcBorders>
              <w:right w:val="single" w:sz="8" w:color="auto"/>
            </w:tcBorders>
          </w:tcPr>
          <w:p>
            <w:pPr>
              <w:spacing w:after="0"/>
              <w:rPr>
                <w:sz w:val="18"/>
                <w:szCs w:val="18"/>
                <w:color w:val="auto"/>
              </w:rPr>
            </w:pPr>
          </w:p>
        </w:tc>
      </w:tr>
      <w:tr>
        <w:trPr>
          <w:trHeight w:val="222"/>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Offering</w:t>
            </w: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728,028,576 common units.</w:t>
            </w:r>
          </w:p>
        </w:tc>
      </w:tr>
      <w:tr>
        <w:trPr>
          <w:trHeight w:val="426"/>
        </w:trPr>
        <w:tc>
          <w:tcPr>
            <w:tcW w:w="25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Use of</w:t>
            </w: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We will not receive any of the proceeds from the sale of common units by the selling unitholder in this</w:t>
            </w:r>
          </w:p>
        </w:tc>
      </w:tr>
      <w:tr>
        <w:trPr>
          <w:trHeight w:val="222"/>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Proceeds</w:t>
            </w: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offering. Please read "Use of Proceeds" in this prospectus supplement for further information.</w:t>
            </w:r>
          </w:p>
        </w:tc>
      </w:tr>
      <w:tr>
        <w:trPr>
          <w:trHeight w:val="426"/>
        </w:trPr>
        <w:tc>
          <w:tcPr>
            <w:tcW w:w="25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Cash</w:t>
            </w: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Our partnership agreement requires that within 45 days following the end of each quarter, after making</w:t>
            </w:r>
          </w:p>
        </w:tc>
      </w:tr>
      <w:tr>
        <w:trPr>
          <w:trHeight w:val="216"/>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w w:val="98"/>
              </w:rPr>
              <w:t>Distributions</w:t>
            </w: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distributions to holders of our outstanding preferred units, we distribute the remainder of our available</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cash to common unitholders of record upon the applicable record date. Available cash generally means,</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for any quarter ending prior to liquidation, all cash and cash equivalents on hand at the end of that quarter</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less the amount of cash reserves that are necessary or appropriate in the reasonable discretion of the</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general partner to (i) provide for the proper conduct of our business, (ii) comply with applicable law or</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any partnership debt instrument or other agreement or, (iii) provide funds for distributions to common and</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preferred unitholders in respect of any one or more of the next four quarters. For a description of our cash</w:t>
            </w:r>
          </w:p>
        </w:tc>
      </w:tr>
      <w:tr>
        <w:trPr>
          <w:trHeight w:val="222"/>
        </w:trPr>
        <w:tc>
          <w:tcPr>
            <w:tcW w:w="2520" w:type="dxa"/>
            <w:vAlign w:val="bottom"/>
            <w:tcBorders>
              <w:left w:val="single" w:sz="8" w:color="auto"/>
            </w:tcBorders>
          </w:tcPr>
          <w:p>
            <w:pPr>
              <w:spacing w:after="0"/>
              <w:rPr>
                <w:sz w:val="19"/>
                <w:szCs w:val="19"/>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distribution policy, please read "Cash Distribution Policy" in the accompanying base prospectus.</w:t>
            </w:r>
          </w:p>
        </w:tc>
      </w:tr>
      <w:tr>
        <w:trPr>
          <w:trHeight w:val="426"/>
        </w:trPr>
        <w:tc>
          <w:tcPr>
            <w:tcW w:w="2520" w:type="dxa"/>
            <w:vAlign w:val="bottom"/>
            <w:tcBorders>
              <w:left w:val="single" w:sz="8" w:color="auto"/>
            </w:tcBorders>
          </w:tcPr>
          <w:p>
            <w:pPr>
              <w:spacing w:after="0"/>
              <w:rPr>
                <w:sz w:val="24"/>
                <w:szCs w:val="24"/>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 August 14, 2019, we paid a quarterly cash distribution of $0.36 per unit ($1.44 per unit on an</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annualized basis) to holders of record of such common units at the close of business on July 31, 2019.</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This distribution represented a year-over-year distribution increase of approximately 20% over the</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quarterly distribution of $0.30 per common unit ($1.20 per common unit on an annualized basis) we paid</w:t>
            </w:r>
          </w:p>
        </w:tc>
      </w:tr>
      <w:tr>
        <w:trPr>
          <w:trHeight w:val="222"/>
        </w:trPr>
        <w:tc>
          <w:tcPr>
            <w:tcW w:w="2520" w:type="dxa"/>
            <w:vAlign w:val="bottom"/>
            <w:tcBorders>
              <w:left w:val="single" w:sz="8" w:color="auto"/>
            </w:tcBorders>
          </w:tcPr>
          <w:p>
            <w:pPr>
              <w:spacing w:after="0"/>
              <w:rPr>
                <w:sz w:val="19"/>
                <w:szCs w:val="19"/>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 August 2018.</w:t>
            </w:r>
          </w:p>
        </w:tc>
      </w:tr>
      <w:tr>
        <w:trPr>
          <w:trHeight w:val="426"/>
        </w:trPr>
        <w:tc>
          <w:tcPr>
            <w:tcW w:w="2520" w:type="dxa"/>
            <w:vAlign w:val="bottom"/>
            <w:tcBorders>
              <w:left w:val="single" w:sz="8" w:color="auto"/>
            </w:tcBorders>
          </w:tcPr>
          <w:p>
            <w:pPr>
              <w:spacing w:after="0"/>
              <w:rPr>
                <w:sz w:val="24"/>
                <w:szCs w:val="24"/>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Cash distributions in respect of the third quarter of 2019 have not been declared or paid. Because this</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offering is expected to close before the record date for the third quarter of 2019 distribution, purchasers in</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this offering will be entitled to receive the third quarter of 2019 distribution so long as they are holders of</w:t>
            </w:r>
          </w:p>
        </w:tc>
      </w:tr>
      <w:tr>
        <w:trPr>
          <w:trHeight w:val="222"/>
        </w:trPr>
        <w:tc>
          <w:tcPr>
            <w:tcW w:w="2520" w:type="dxa"/>
            <w:vAlign w:val="bottom"/>
            <w:tcBorders>
              <w:left w:val="single" w:sz="8" w:color="auto"/>
            </w:tcBorders>
          </w:tcPr>
          <w:p>
            <w:pPr>
              <w:spacing w:after="0"/>
              <w:rPr>
                <w:sz w:val="19"/>
                <w:szCs w:val="19"/>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record on the record date for such distribution.</w:t>
            </w:r>
          </w:p>
        </w:tc>
      </w:tr>
      <w:tr>
        <w:trPr>
          <w:trHeight w:val="426"/>
        </w:trPr>
        <w:tc>
          <w:tcPr>
            <w:tcW w:w="25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Exchange</w:t>
            </w:r>
          </w:p>
        </w:tc>
        <w:tc>
          <w:tcPr>
            <w:tcW w:w="8900" w:type="dxa"/>
            <w:vAlign w:val="bottom"/>
            <w:tcBorders>
              <w:right w:val="single" w:sz="8" w:color="auto"/>
            </w:tcBorders>
          </w:tcPr>
          <w:p>
            <w:pPr>
              <w:spacing w:after="0"/>
              <w:rPr>
                <w:sz w:val="24"/>
                <w:szCs w:val="24"/>
                <w:color w:val="auto"/>
              </w:rPr>
            </w:pPr>
          </w:p>
        </w:tc>
      </w:tr>
      <w:tr>
        <w:trPr>
          <w:trHeight w:val="222"/>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Listing</w:t>
            </w: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Our common units are traded on the NYSE under the symbol "PAA."</w:t>
            </w:r>
          </w:p>
        </w:tc>
      </w:tr>
      <w:tr>
        <w:trPr>
          <w:trHeight w:val="228"/>
        </w:trPr>
        <w:tc>
          <w:tcPr>
            <w:tcW w:w="2520" w:type="dxa"/>
            <w:vAlign w:val="bottom"/>
            <w:tcBorders>
              <w:left w:val="single" w:sz="8" w:color="auto"/>
              <w:bottom w:val="single" w:sz="8" w:color="auto"/>
            </w:tcBorders>
          </w:tcPr>
          <w:p>
            <w:pPr>
              <w:spacing w:after="0"/>
              <w:rPr>
                <w:sz w:val="19"/>
                <w:szCs w:val="19"/>
                <w:color w:val="auto"/>
              </w:rPr>
            </w:pPr>
          </w:p>
        </w:tc>
        <w:tc>
          <w:tcPr>
            <w:tcW w:w="8900" w:type="dxa"/>
            <w:vAlign w:val="bottom"/>
            <w:tcBorders>
              <w:bottom w:val="single" w:sz="8" w:color="auto"/>
              <w:right w:val="single" w:sz="8" w:color="auto"/>
            </w:tcBorders>
          </w:tcPr>
          <w:p>
            <w:pPr>
              <w:spacing w:after="0"/>
              <w:rPr>
                <w:sz w:val="19"/>
                <w:szCs w:val="19"/>
                <w:color w:val="auto"/>
              </w:rPr>
            </w:pPr>
          </w:p>
        </w:tc>
      </w:tr>
      <w:tr>
        <w:trPr>
          <w:trHeight w:val="427"/>
        </w:trPr>
        <w:tc>
          <w:tcPr>
            <w:tcW w:w="2520" w:type="dxa"/>
            <w:vAlign w:val="bottom"/>
          </w:tcPr>
          <w:p>
            <w:pPr>
              <w:spacing w:after="0"/>
              <w:rPr>
                <w:sz w:val="24"/>
                <w:szCs w:val="24"/>
                <w:color w:val="auto"/>
              </w:rPr>
            </w:pPr>
          </w:p>
        </w:tc>
        <w:tc>
          <w:tcPr>
            <w:tcW w:w="8900" w:type="dxa"/>
            <w:vAlign w:val="bottom"/>
          </w:tcPr>
          <w:p>
            <w:pPr>
              <w:ind w:left="3080"/>
              <w:spacing w:after="0"/>
              <w:rPr>
                <w:sz w:val="20"/>
                <w:szCs w:val="20"/>
                <w:color w:val="auto"/>
              </w:rPr>
            </w:pPr>
            <w:r>
              <w:rPr>
                <w:rFonts w:ascii="Arial" w:cs="Arial" w:eastAsia="Arial" w:hAnsi="Arial"/>
                <w:sz w:val="18"/>
                <w:szCs w:val="18"/>
                <w:color w:val="auto"/>
              </w:rPr>
              <w:t>S-3</w:t>
            </w:r>
          </w:p>
        </w:tc>
      </w:tr>
      <w:tr>
        <w:trPr>
          <w:trHeight w:val="228"/>
        </w:trPr>
        <w:tc>
          <w:tcPr>
            <w:tcW w:w="2520" w:type="dxa"/>
            <w:vAlign w:val="bottom"/>
            <w:tcBorders>
              <w:bottom w:val="single" w:sz="8" w:color="808080"/>
            </w:tcBorders>
          </w:tcPr>
          <w:p>
            <w:pPr>
              <w:spacing w:after="0"/>
              <w:rPr>
                <w:sz w:val="19"/>
                <w:szCs w:val="19"/>
                <w:color w:val="auto"/>
              </w:rPr>
            </w:pPr>
          </w:p>
        </w:tc>
        <w:tc>
          <w:tcPr>
            <w:tcW w:w="8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4" w:lineRule="auto"/>
        <w:rPr>
          <w:rFonts w:ascii="Arial" w:cs="Arial" w:eastAsia="Arial" w:hAnsi="Arial"/>
          <w:sz w:val="16"/>
          <w:szCs w:val="16"/>
          <w:color w:val="0000EE"/>
        </w:rPr>
      </w:pPr>
      <w:r>
        <w:rPr>
          <w:rFonts w:ascii="Arial" w:cs="Arial" w:eastAsia="Arial" w:hAnsi="Arial"/>
          <w:sz w:val="16"/>
          <w:szCs w:val="16"/>
          <w:color w:val="auto"/>
        </w:rPr>
        <w:t xml:space="preserve">Before making an investment in the common units offered hereby, you should carefully consider the risk factors included in Item 1A. "Risk Factors" of our </w:t>
      </w:r>
      <w:hyperlink r:id="rId17">
        <w:r>
          <w:rPr>
            <w:rFonts w:ascii="Arial" w:cs="Arial" w:eastAsia="Arial" w:hAnsi="Arial"/>
            <w:sz w:val="16"/>
            <w:szCs w:val="16"/>
            <w:u w:val="single" w:color="auto"/>
            <w:color w:val="0000EE"/>
          </w:rPr>
          <w:t>Annual Report on Form 10-K for the fiscal year ended December 31, 2018 (File No. 001-14569)</w:t>
        </w:r>
        <w:r>
          <w:rPr>
            <w:rFonts w:ascii="Arial" w:cs="Arial" w:eastAsia="Arial" w:hAnsi="Arial"/>
            <w:sz w:val="16"/>
            <w:szCs w:val="16"/>
            <w:color w:val="0000EE"/>
          </w:rPr>
          <w:t xml:space="preserve"> </w:t>
        </w:r>
      </w:hyperlink>
      <w:r>
        <w:rPr>
          <w:rFonts w:ascii="Arial" w:cs="Arial" w:eastAsia="Arial" w:hAnsi="Arial"/>
          <w:sz w:val="16"/>
          <w:szCs w:val="16"/>
          <w:color w:val="000000"/>
        </w:rPr>
        <w:t>and</w:t>
      </w:r>
      <w:r>
        <w:rPr>
          <w:rFonts w:ascii="Arial" w:cs="Arial" w:eastAsia="Arial" w:hAnsi="Arial"/>
          <w:sz w:val="16"/>
          <w:szCs w:val="16"/>
          <w:color w:val="0000EE"/>
        </w:rPr>
        <w:t xml:space="preserve"> </w:t>
      </w:r>
      <w:r>
        <w:rPr>
          <w:rFonts w:ascii="Arial" w:cs="Arial" w:eastAsia="Arial" w:hAnsi="Arial"/>
          <w:sz w:val="16"/>
          <w:szCs w:val="16"/>
          <w:color w:val="000000"/>
        </w:rPr>
        <w:t>in any subsequent</w:t>
      </w:r>
      <w:r>
        <w:rPr>
          <w:rFonts w:ascii="Arial" w:cs="Arial" w:eastAsia="Arial" w:hAnsi="Arial"/>
          <w:sz w:val="16"/>
          <w:szCs w:val="16"/>
          <w:color w:val="0000EE"/>
        </w:rPr>
        <w:t xml:space="preserve"> </w:t>
      </w:r>
      <w:hyperlink r:id="rId18">
        <w:r>
          <w:rPr>
            <w:rFonts w:ascii="Arial" w:cs="Arial" w:eastAsia="Arial" w:hAnsi="Arial"/>
            <w:sz w:val="16"/>
            <w:szCs w:val="16"/>
            <w:u w:val="single" w:color="auto"/>
            <w:color w:val="0000EE"/>
          </w:rPr>
          <w:t xml:space="preserve">quarterly report on Form 10-Q, </w:t>
        </w:r>
      </w:hyperlink>
      <w:r>
        <w:rPr>
          <w:rFonts w:ascii="Arial" w:cs="Arial" w:eastAsia="Arial" w:hAnsi="Arial"/>
          <w:sz w:val="16"/>
          <w:szCs w:val="16"/>
          <w:color w:val="000000"/>
        </w:rPr>
        <w:t>which</w:t>
      </w:r>
      <w:r>
        <w:rPr>
          <w:rFonts w:ascii="Arial" w:cs="Arial" w:eastAsia="Arial" w:hAnsi="Arial"/>
          <w:sz w:val="16"/>
          <w:szCs w:val="16"/>
          <w:color w:val="0000EE"/>
        </w:rPr>
        <w:t xml:space="preserve"> </w:t>
      </w:r>
      <w:r>
        <w:rPr>
          <w:rFonts w:ascii="Arial" w:cs="Arial" w:eastAsia="Arial" w:hAnsi="Arial"/>
          <w:sz w:val="16"/>
          <w:szCs w:val="16"/>
          <w:color w:val="000000"/>
        </w:rPr>
        <w:t>are</w:t>
      </w:r>
      <w:r>
        <w:rPr>
          <w:rFonts w:ascii="Arial" w:cs="Arial" w:eastAsia="Arial" w:hAnsi="Arial"/>
          <w:sz w:val="16"/>
          <w:szCs w:val="16"/>
          <w:color w:val="0000EE"/>
        </w:rPr>
        <w:t xml:space="preserve"> </w:t>
      </w:r>
      <w:r>
        <w:rPr>
          <w:rFonts w:ascii="Arial" w:cs="Arial" w:eastAsia="Arial" w:hAnsi="Arial"/>
          <w:sz w:val="16"/>
          <w:szCs w:val="16"/>
          <w:color w:val="000000"/>
        </w:rPr>
        <w:t>incorporated by reference herein, together with all of the other information included in, or incorporated by reference into, this prospectus supplement and the accompanying base prospectus. If any of these risks were to occur, our business, financial condition or results of operations could be materially adversely affected. In such case, the trading price of our common units could decline, and you could lose all or part of your investment.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will not receive any of the proceeds from the sale of common units by the selling unitholder in this offering. We will pay certain expenses, other than underwriting discounts and commissions, associated with the sale of common units to be offered by the selling unitholder under this prospectus supplement.</w:t>
      </w:r>
    </w:p>
    <w:p>
      <w:pPr>
        <w:spacing w:after="0" w:line="13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SELLING UNITHOLDER</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following table sets forth the number common units beneficially owned by the selling unitholder prior to this offering, the number of common units to be offered for sale by the selling unitholder in this offering, the number of common units to be beneficially owned by the selling unitholder after completion of this offering and the percentage of our issued and outstanding common units beneficially owned by the selling unitholder prior to this offering and to be beneficially owned after the completion of this offering.</w:t>
      </w:r>
    </w:p>
    <w:p>
      <w:pPr>
        <w:spacing w:after="0" w:line="197"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Beneficial ownership of units is determined under the rules of the SEC and generally includes any units over which a person exercises sole or shared voting or investment power. Percentage of beneficial ownership is based on 728,028,576 common units issued and outstanding as of September 16, 2019.</w:t>
      </w:r>
    </w:p>
    <w:p>
      <w:pPr>
        <w:spacing w:after="0" w:line="139"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Except as indicated in footnotes to this table, we believe that the unitholder named in this table has sole voting and investment power with respect to all common units shown to be beneficially owned by it, based on information provided to us by such unitholder.</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 Units</w:t>
            </w:r>
          </w:p>
        </w:tc>
        <w:tc>
          <w:tcPr>
            <w:tcW w:w="16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Common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 Units</w:t>
            </w:r>
          </w:p>
        </w:tc>
        <w:tc>
          <w:tcPr>
            <w:tcW w:w="16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Common Units</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be</w:t>
            </w:r>
          </w:p>
        </w:tc>
        <w:tc>
          <w:tcPr>
            <w:tcW w:w="16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 Units</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Prior</w:t>
            </w:r>
          </w:p>
        </w:tc>
        <w:tc>
          <w:tcPr>
            <w:tcW w:w="16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Owned Prior</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Offered</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After</w:t>
            </w:r>
          </w:p>
        </w:tc>
        <w:tc>
          <w:tcPr>
            <w:tcW w:w="16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Owned After</w:t>
            </w:r>
          </w:p>
        </w:tc>
        <w:tc>
          <w:tcPr>
            <w:tcW w:w="0" w:type="dxa"/>
            <w:vAlign w:val="bottom"/>
          </w:tcPr>
          <w:p>
            <w:pPr>
              <w:spacing w:after="0"/>
              <w:rPr>
                <w:sz w:val="1"/>
                <w:szCs w:val="1"/>
                <w:color w:val="auto"/>
              </w:rPr>
            </w:pPr>
          </w:p>
        </w:tc>
      </w:tr>
      <w:tr>
        <w:trPr>
          <w:trHeight w:val="161"/>
        </w:trPr>
        <w:tc>
          <w:tcPr>
            <w:tcW w:w="2960" w:type="dxa"/>
            <w:vAlign w:val="bottom"/>
            <w:gridSpan w:val="4"/>
          </w:tcPr>
          <w:p>
            <w:pPr>
              <w:spacing w:after="0"/>
              <w:rPr>
                <w:sz w:val="20"/>
                <w:szCs w:val="20"/>
                <w:color w:val="auto"/>
              </w:rPr>
            </w:pPr>
            <w:r>
              <w:rPr>
                <w:rFonts w:ascii="Arial" w:cs="Arial" w:eastAsia="Arial" w:hAnsi="Arial"/>
                <w:sz w:val="14"/>
                <w:szCs w:val="14"/>
                <w:b w:val="1"/>
                <w:bCs w:val="1"/>
                <w:color w:val="auto"/>
              </w:rPr>
              <w:t>Selling Unitholder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to the Offering(2)</w:t>
            </w:r>
          </w:p>
        </w:tc>
        <w:tc>
          <w:tcPr>
            <w:tcW w:w="1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to the Offering</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Hereby(3)</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Offering(4)</w:t>
            </w: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Oxy Holding Company (Pipeline), Inc.</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29,977,890</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14,977,890</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40" w:hanging="531"/>
        <w:spacing w:after="0" w:line="288" w:lineRule="auto"/>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Oxy Holding Company (Pipeline), Inc. is an indirect wholly owned subsidiary of Occidental Petroleum Corporation. The voting and disposition of any common units held by Oxy Holding Company (Pipeline), Inc. is controlled by the board of directors of Occidental Petroleum Company. Pursuant to the Third Amended and Restated Limited Liability Company Agreement of PAGP GP, as amended (the "PAGP GP LLC Agreement"), Oxy Holding Company (Pipeline), Inc. will have the right to designate a director to PAGP GP's board of directors for as long as it owns at least a 10% Qualifying Interest (as that term is defined in the PAGP GP LLC Agreement). Oscar K. Brown currently serves as Oxy Holding Company (Pipeline), Inc.'s designee to the PAGP GP board. If Oxy Holding Company (Pipeline), Inc. sells all of the common units and/or Class A shares that are offered in the concurrent offerings, it will lose its board designation right, and, pursuant to the PAGP GP LLC Agreement, Oxy Holding Company (Pipeline), Inc.'s designee will automatically cease to be a member of PAGP GP's board of directors effective upon closing of the concurrent offerings.</w:t>
      </w:r>
    </w:p>
    <w:p>
      <w:pPr>
        <w:spacing w:after="0" w:line="200" w:lineRule="exact"/>
        <w:rPr>
          <w:rFonts w:ascii="Arial" w:cs="Arial" w:eastAsia="Arial" w:hAnsi="Arial"/>
          <w:sz w:val="16"/>
          <w:szCs w:val="16"/>
          <w:color w:val="auto"/>
        </w:rPr>
      </w:pPr>
    </w:p>
    <w:p>
      <w:pPr>
        <w:ind w:left="1680" w:right="140" w:hanging="531"/>
        <w:spacing w:after="0" w:line="268" w:lineRule="auto"/>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Assumes the redemption of an equivalent number of AAP units, PAGP Class B shares and general partner units for common units to be sold in this offering.</w:t>
      </w:r>
    </w:p>
    <w:p>
      <w:pPr>
        <w:spacing w:after="0" w:line="199" w:lineRule="exact"/>
        <w:rPr>
          <w:rFonts w:ascii="Arial" w:cs="Arial" w:eastAsia="Arial" w:hAnsi="Arial"/>
          <w:sz w:val="18"/>
          <w:szCs w:val="18"/>
          <w:color w:val="auto"/>
        </w:rPr>
      </w:pPr>
    </w:p>
    <w:p>
      <w:pPr>
        <w:ind w:left="1680" w:right="500" w:hanging="531"/>
        <w:spacing w:after="0" w:line="268" w:lineRule="auto"/>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14,977,890 common units offered in this offering, the selling unitholder is offering 15,000,000 Class A shares of Plains GP Holdings, L.P. in the concurrent offering.</w:t>
      </w:r>
    </w:p>
    <w:p>
      <w:pPr>
        <w:spacing w:after="0" w:line="199" w:lineRule="exact"/>
        <w:rPr>
          <w:rFonts w:ascii="Arial" w:cs="Arial" w:eastAsia="Arial" w:hAnsi="Arial"/>
          <w:sz w:val="18"/>
          <w:szCs w:val="18"/>
          <w:color w:val="auto"/>
        </w:rPr>
      </w:pPr>
    </w:p>
    <w:p>
      <w:pPr>
        <w:ind w:left="1680" w:hanging="531"/>
        <w:spacing w:after="0" w:line="259" w:lineRule="auto"/>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Following the completion of this offering and the concurrent offering by the selling unitholder of 15,000,000 Class A shares of Plains GP Holdings, L.P., the selling unitholder will no longer beneficially own any AAP units, PAGP Class B shares or general partner units that may be redeemed for common units.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w:t>
      </w:r>
    </w:p>
    <w:p>
      <w:pPr>
        <w:spacing w:after="0" w:line="170" w:lineRule="exact"/>
        <w:rPr>
          <w:sz w:val="20"/>
          <w:szCs w:val="20"/>
          <w:color w:val="auto"/>
        </w:rPr>
      </w:pPr>
    </w:p>
    <w:p>
      <w:pPr>
        <w:jc w:val="both"/>
        <w:ind w:firstLine="348"/>
        <w:spacing w:after="0" w:line="335" w:lineRule="auto"/>
        <w:rPr>
          <w:sz w:val="20"/>
          <w:szCs w:val="20"/>
          <w:color w:val="auto"/>
        </w:rPr>
      </w:pPr>
      <w:r>
        <w:rPr>
          <w:rFonts w:ascii="Arial" w:cs="Arial" w:eastAsia="Arial" w:hAnsi="Arial"/>
          <w:sz w:val="15"/>
          <w:szCs w:val="15"/>
          <w:color w:val="auto"/>
        </w:rPr>
        <w:t>This discussion supersedes the discussion under "Material U.S. Federal Income Tax Consequences" in the accompanying base prospectus. Additionally, this discussion should be read in conjunction with the risk factors included under the caption "Tax Risks to Common Unitholders" in our Annual Report on Form 10-K for the year ended December 31, 2018, and any tax-related risk factors included in any of our Quarterly Reports on Forms 10-Q filed after such Annual Report.</w:t>
      </w:r>
    </w:p>
    <w:p>
      <w:pPr>
        <w:spacing w:after="0" w:line="142"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Legal conclusions contained in this section, unless otherwise noted, are the opinion of Vinson &amp; Elkins L.L.P. and are based on the accuracy of representations made by us to them for this purpose. However, this section does not address all federal income tax matters that may affect us or our unitholders, such as the application of the alternative minimum tax. This section also does not address local taxes, state taxes, non-U.S. taxes, or other taxes that may be applicable, except to the limited extent that such tax considerations are addressed below under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w:t>
      </w:r>
    </w:p>
    <w:p>
      <w:pPr>
        <w:spacing w:after="0" w:line="17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b w:val="1"/>
          <w:bCs w:val="1"/>
          <w:i w:val="1"/>
          <w:iCs w:val="1"/>
          <w:color w:val="auto"/>
        </w:rPr>
        <w:t>Accordingly, we encourage each prospective unitholder to consult the unitholder's own tax advisor in analyzing the federal, state, local and non-U.S. tax consequences particular to that unitholder resulting from ownership or disposition of our units and potential changes in applicable tax laws.</w:t>
      </w:r>
    </w:p>
    <w:p>
      <w:pPr>
        <w:spacing w:after="0" w:line="139"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No ruling has been or will be requested from the Internal Revenue Service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reasons described below, Vinson &amp; Elkins L.L.P. has not rendered an opinion with respect to the following federal income tax issues:</w:t>
      </w:r>
    </w:p>
    <w:p>
      <w:pPr>
        <w:spacing w:after="0" w:line="262" w:lineRule="exact"/>
        <w:rPr>
          <w:sz w:val="20"/>
          <w:szCs w:val="20"/>
          <w:color w:val="auto"/>
        </w:rPr>
      </w:pPr>
    </w:p>
    <w:p>
      <w:pPr>
        <w:ind w:left="1080" w:right="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treatment of a unitholder whose units are the subject of a securities loan (e.g., a loan to a short seller to cover a short sale of units) (please read "—Tax Consequences of Unit Ownership—Treatment of Securities Loans");</w:t>
      </w:r>
    </w:p>
    <w:p>
      <w:pPr>
        <w:spacing w:after="0" w:line="21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our monthly convention for allocating taxable income and losses is permitted by existing Treasury Regulations (please read "— Disposition of Units—Allocations Between Transferors and Transferees");</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our method for taking into account Section 743 adjustments is sustainable in certain cases (please read "—Tax Consequences of Unit Ownership—Section 754 Election" and "—Disposition of Units—Uniformity of Units");</w:t>
      </w:r>
    </w:p>
    <w:p>
      <w:pPr>
        <w:spacing w:after="0" w:line="199" w:lineRule="exact"/>
        <w:rPr>
          <w:rFonts w:ascii="Arial" w:cs="Arial" w:eastAsia="Arial" w:hAnsi="Arial"/>
          <w:sz w:val="18"/>
          <w:szCs w:val="18"/>
          <w:color w:val="auto"/>
        </w:rPr>
      </w:pPr>
    </w:p>
    <w:p>
      <w:pPr>
        <w:jc w:val="both"/>
        <w:ind w:left="1080" w:right="32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our use of simplifying conventions for making adjustments to "book" basis and relevant allocations is permitted by existing Treasury Regulations (please read "—Tax Consequences of Unit Ownership—Allocation of Income, Gain, Loss and Deduction" and "—Uniformity of Units"); and</w:t>
      </w:r>
    </w:p>
    <w:p>
      <w:pPr>
        <w:spacing w:after="0" w:line="221" w:lineRule="exact"/>
        <w:rPr>
          <w:rFonts w:ascii="Arial" w:cs="Arial" w:eastAsia="Arial" w:hAnsi="Arial"/>
          <w:sz w:val="18"/>
          <w:szCs w:val="18"/>
          <w:color w:val="auto"/>
        </w:rPr>
      </w:pPr>
    </w:p>
    <w:p>
      <w:pPr>
        <w:ind w:left="1080" w:right="9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our allocations of income, gain, loss and deduction will be given effect for federal income tax purposes (please read "—Tax Consequences of Unit Ownership—Allocation of Income, Gain, Loss and Deduction").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expect to be treated as a partnership for federal income tax purposes and, therefore, subject to the discussion below under "—Administrative Matters— 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"—Tax Consequences of Unit Ownership—Treatment of Distributions" and "—Disposition of Units".</w:t>
      </w:r>
    </w:p>
    <w:p>
      <w:pPr>
        <w:spacing w:after="0" w:line="17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 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w:t>
      </w:r>
    </w:p>
    <w:p>
      <w:pPr>
        <w:spacing w:after="0" w:line="172"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Based upon the Code, existing Treasury Regulations, published revenue rulings and court decisions and the representations described below, Vinson &amp; Elkins L.L.P. is of the opinion that we will be treated as a partnership for federal income tax purposes and that each of our operating subsidiaries,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194" w:lineRule="exact"/>
        <w:rPr>
          <w:sz w:val="20"/>
          <w:szCs w:val="20"/>
          <w:color w:val="auto"/>
        </w:rPr>
      </w:pPr>
    </w:p>
    <w:p>
      <w:pPr>
        <w:ind w:left="540" w:right="180" w:firstLine="359"/>
        <w:spacing w:after="0" w:line="268" w:lineRule="auto"/>
        <w:tabs>
          <w:tab w:leader="none" w:pos="1218" w:val="left"/>
        </w:tabs>
        <w:numPr>
          <w:ilvl w:val="0"/>
          <w:numId w:val="6"/>
        </w:numPr>
        <w:rPr>
          <w:rFonts w:ascii="Arial" w:cs="Arial" w:eastAsia="Arial" w:hAnsi="Arial"/>
          <w:sz w:val="18"/>
          <w:szCs w:val="18"/>
          <w:color w:val="auto"/>
        </w:rPr>
      </w:pPr>
      <w:r>
        <w:rPr>
          <w:rFonts w:ascii="Arial" w:cs="Arial" w:eastAsia="Arial" w:hAnsi="Arial"/>
          <w:sz w:val="18"/>
          <w:szCs w:val="18"/>
          <w:color w:val="auto"/>
        </w:rPr>
        <w:t>Neither we nor any of our partnership or limited liability company operating subsidiaries has elected or will elect to be treated as a corporation for federal income tax purposes;</w:t>
      </w:r>
    </w:p>
    <w:p>
      <w:pPr>
        <w:spacing w:after="0" w:line="185" w:lineRule="exact"/>
        <w:rPr>
          <w:rFonts w:ascii="Arial" w:cs="Arial" w:eastAsia="Arial" w:hAnsi="Arial"/>
          <w:sz w:val="18"/>
          <w:szCs w:val="18"/>
          <w:color w:val="auto"/>
        </w:rPr>
      </w:pPr>
    </w:p>
    <w:p>
      <w:pPr>
        <w:ind w:left="540" w:right="20" w:firstLine="359"/>
        <w:spacing w:after="0" w:line="332" w:lineRule="auto"/>
        <w:tabs>
          <w:tab w:leader="none" w:pos="1228"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39" w:lineRule="exact"/>
        <w:rPr>
          <w:rFonts w:ascii="Arial" w:cs="Arial" w:eastAsia="Arial" w:hAnsi="Arial"/>
          <w:sz w:val="16"/>
          <w:szCs w:val="16"/>
          <w:color w:val="auto"/>
        </w:rPr>
      </w:pPr>
    </w:p>
    <w:p>
      <w:pPr>
        <w:ind w:left="540" w:right="80" w:firstLine="359"/>
        <w:spacing w:after="0" w:line="259" w:lineRule="auto"/>
        <w:tabs>
          <w:tab w:leader="none" w:pos="1218"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by our unitholders or us so long as the aggregate amount of our liabilities does not exceed the adjusted tax basis of our assets. Thereafter, we would be treated as an association taxable as a corporation for federal income tax purposes.</w:t>
      </w:r>
    </w:p>
    <w:p>
      <w:pPr>
        <w:spacing w:after="0" w:line="17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have proposed and considered substantive changes to the existing federal income tax laws that would affect publicly traded partnerships. One such legislative proposal would have eliminated the Qualifying Income Exception upon which we rely for our treatment as a partnership for federal income tax purposes.</w:t>
      </w:r>
    </w:p>
    <w:p>
      <w:pPr>
        <w:spacing w:after="0" w:line="16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addition, on January 24, 2017, final regulations regarding which activities give rise to qualifying income (the "Final Regulations") within the meaning of Section 7704 of the Code were published in the Federal Register. The Final Regulations are effective as of January 19, 2017, and apply to taxable years beginning on or after January 19, 2017. We do not believe the Final Regulations affect our ability to qualify as a publicly traded partnership.</w:t>
      </w:r>
    </w:p>
    <w:p>
      <w:pPr>
        <w:spacing w:after="0" w:line="16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16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taxation as a corporation would materially reduce the cash available for distribution to unitholders and thus would likely substantially reduce the value of our units. Any distribution made to a unitholder at a time when we are treated as a corporation would be (i) a taxable dividend to the extent of our current or accumulated earnings and profits, then (ii) a nontaxable return of capital to the extent of the unitholder's adjusted tax basis in its units (determined separately for each unit), and thereafter (iii) taxable capital gain.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remainder of this discussion is based on the opinion of Vinson &amp; Elkins L.L.P. that we will be treated as a partnership for federal income tax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161"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pacing w:after="0" w:line="170"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"—Tax Consequences of Unit Ownership—Treatment of Securities Loans."</w:t>
      </w:r>
    </w:p>
    <w:p>
      <w:pPr>
        <w:spacing w:after="0" w:line="186"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 unitholder who is not treated as a partner in us as described above is urged to consult its own tax advisors with respect to the tax consequences applicable to such unitholder under its particular circumstances.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Subject to the discussion below under "—Entity-Level Collections of Unitholder Taxes" and "—Administrative Matters—Information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225" w:lineRule="exact"/>
        <w:rPr>
          <w:sz w:val="20"/>
          <w:szCs w:val="20"/>
          <w:color w:val="auto"/>
        </w:rPr>
      </w:pPr>
    </w:p>
    <w:p>
      <w:pPr>
        <w:ind w:right="100" w:firstLine="341"/>
        <w:spacing w:after="0" w:line="286" w:lineRule="auto"/>
        <w:rPr>
          <w:sz w:val="20"/>
          <w:szCs w:val="20"/>
          <w:color w:val="auto"/>
        </w:rPr>
      </w:pPr>
      <w:r>
        <w:rPr>
          <w:rFonts w:ascii="Arial" w:cs="Arial" w:eastAsia="Arial" w:hAnsi="Arial"/>
          <w:sz w:val="16"/>
          <w:szCs w:val="16"/>
          <w:color w:val="auto"/>
        </w:rPr>
        <w:t>A unitholder's tax basis in its units initially will be the amount paid or treated as paid for those units increased by the unitholder's initial allocable share of our liabilities. That basis generally will be (i) increased by the unitholder's share of our income and any increases in such unitholder's share of our liabilities, and</w:t>
      </w:r>
    </w:p>
    <w:p>
      <w:pPr>
        <w:ind w:right="560" w:firstLine="8"/>
        <w:spacing w:after="0" w:line="323" w:lineRule="auto"/>
        <w:tabs>
          <w:tab w:leader="none" w:pos="258" w:val="left"/>
        </w:tabs>
        <w:numPr>
          <w:ilvl w:val="0"/>
          <w:numId w:val="7"/>
        </w:numPr>
        <w:rPr>
          <w:rFonts w:ascii="Arial" w:cs="Arial" w:eastAsia="Arial" w:hAnsi="Arial"/>
          <w:sz w:val="16"/>
          <w:szCs w:val="16"/>
          <w:color w:val="auto"/>
        </w:rPr>
      </w:pPr>
      <w:r>
        <w:rPr>
          <w:rFonts w:ascii="Arial" w:cs="Arial" w:eastAsia="Arial" w:hAnsi="Arial"/>
          <w:sz w:val="16"/>
          <w:szCs w:val="16"/>
          <w:color w:val="auto"/>
        </w:rPr>
        <w:t>decreased, but not below zero, by the amount of all distributions to the unitholder, the unitholder's share of our losses, any decreases in its share of our liabilities, and the amount of any excess business interest allocated to the unitholder. The IRS has ruled that a partner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who acquires interests in a partnership in separate transactions must combine those interests and maintain a single adjusted tax basis for all of those interests.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"—Disposition of Units."</w:t>
      </w:r>
    </w:p>
    <w:p>
      <w:pPr>
        <w:spacing w:after="0" w:line="194"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"—Disposition of Units."</w:t>
      </w:r>
    </w:p>
    <w:p>
      <w:pPr>
        <w:spacing w:after="0" w:line="170" w:lineRule="exact"/>
        <w:rPr>
          <w:sz w:val="20"/>
          <w:szCs w:val="20"/>
          <w:color w:val="auto"/>
        </w:rPr>
      </w:pPr>
    </w:p>
    <w:p>
      <w:pPr>
        <w:ind w:right="100" w:firstLine="341"/>
        <w:spacing w:after="0" w:line="302" w:lineRule="auto"/>
        <w:rPr>
          <w:sz w:val="20"/>
          <w:szCs w:val="20"/>
          <w:color w:val="auto"/>
        </w:rPr>
      </w:pPr>
      <w:r>
        <w:rPr>
          <w:rFonts w:ascii="Arial" w:cs="Arial" w:eastAsia="Arial" w:hAnsi="Arial"/>
          <w:sz w:val="15"/>
          <w:szCs w:val="15"/>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w:t>
      </w:r>
    </w:p>
    <w:p>
      <w:pPr>
        <w:spacing w:after="0" w:line="2" w:lineRule="exact"/>
        <w:rPr>
          <w:sz w:val="20"/>
          <w:szCs w:val="20"/>
          <w:color w:val="auto"/>
        </w:rPr>
      </w:pPr>
    </w:p>
    <w:p>
      <w:pPr>
        <w:ind w:right="480" w:firstLine="8"/>
        <w:spacing w:after="0" w:line="261"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non-pro rata portion of that distribution over (2) the unitholder's tax basis (typically zero) in the Section 751 Assets deemed to be relinquished in the exchange.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225"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 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62"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addition to the basis and at risk limitations, passive activity loss limitations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For taxpayers other than corporations in taxable years beginning after December 31, 2017, and before January 1, 2026,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and in the case of taxable years beginning before January 1, 2022, any deduction allowable for depreciation, amortization, or depletion. This limitation is first applied at the 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172"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certain limitations and adjustments to a unitholder's basis in its units, this excess business interest may be carried forward and deducted by a unitholder in a future taxable year. Further, a unitholder's basis in his or her units will generally be increased by the amount of any excess business interest upon a disposition of such units.</w:t>
      </w:r>
    </w:p>
    <w:p>
      <w:pPr>
        <w:spacing w:after="0" w:line="194"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In addition to this limitation on the deductibility of a partnership's business interest, the deductibility of a non-corporate taxpayer's "investment interest expense" is generally limited to the amount of that taxpayer's "net investment income." Investment interest expense includes:</w:t>
      </w:r>
    </w:p>
    <w:p>
      <w:pPr>
        <w:spacing w:after="0" w:line="153"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248"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"—Administrative Matters—Information Returns and Audit Procedures." Each unitholder is urged to consult its tax advisor to determine the consequences to them of any tax payment we make on its behalf.</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225"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 above) to the unitholder who was allocated the deduction giving rise to that recapture income in order to minimize the recognition of ordinary income by other unitholders.</w:t>
      </w:r>
    </w:p>
    <w:p>
      <w:pPr>
        <w:spacing w:after="0" w:line="172"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It may not be administratively feasible to make the relevant adjustments to "book" basis and the relevant Section 704(c) allocations separately each time we issue units, particularly in the case of small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or frequent unit issuances. If that is the case, we may use simplifying conventions to make those adjustments and allocations, which may include the aggregation of certain issuances of units. Our counsel, Vinson &amp; Elkins, L.L.P., is unable to opine as to the validity of such conventions.</w:t>
      </w:r>
    </w:p>
    <w:p>
      <w:pPr>
        <w:spacing w:after="0" w:line="139"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225"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197"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"—Disposition of Units—Recognition of Gain or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Rates</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w:t>
      </w:r>
    </w:p>
    <w:p>
      <w:pPr>
        <w:spacing w:after="0" w:line="194"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(without taking into account the 20% deduction discussed below).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For taxable years beginning after December 31, 2017 and ending on or before December 31, 2025, an individual unitholder is entitled to a deduction equal to 20% of his or her allocable share of our "qualified business income." For purposes of this deduction, our "qualified business income" is equal to the sum of:</w:t>
      </w:r>
    </w:p>
    <w:p>
      <w:pPr>
        <w:spacing w:after="0" w:line="153" w:lineRule="exact"/>
        <w:rPr>
          <w:sz w:val="20"/>
          <w:szCs w:val="20"/>
          <w:color w:val="auto"/>
        </w:rPr>
      </w:pPr>
    </w:p>
    <w:p>
      <w:pPr>
        <w:ind w:left="1080" w:right="22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net amount of our U.S. items of income, gain, deduction, and loss to the extent such items are included or allowed in the determination of taxable income for the year, excluding, however, certain specified types of passive investment income (such as capital gains and dividends) and certain payments made to the unitholder for services rendered to the Partnership; and</w:t>
      </w:r>
    </w:p>
    <w:p>
      <w:pPr>
        <w:spacing w:after="0" w:line="221"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gain recognized upon a disposition of our units to the extent such gain is attributable to Section 751 Assets, such as depreciation recapture and our "inventory items," and is thus treated as ordinary income under Section 751 of the Code.</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income attributable to our Canadian business operations is not considered effectively connected to our U.S. business, and as a result our unitholders will not be entitled to a deduction equal to 20% of his or her allocable share of such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ind w:right="160" w:firstLine="348"/>
        <w:spacing w:after="0" w:line="253" w:lineRule="auto"/>
        <w:rPr>
          <w:sz w:val="20"/>
          <w:szCs w:val="20"/>
          <w:color w:val="auto"/>
        </w:rPr>
      </w:pPr>
      <w:r>
        <w:rPr>
          <w:rFonts w:ascii="Arial" w:cs="Arial" w:eastAsia="Arial" w:hAnsi="Arial"/>
          <w:sz w:val="18"/>
          <w:szCs w:val="18"/>
          <w:color w:val="auto"/>
        </w:rPr>
        <w:t>We have made the election permitted by Section 754 of the Code that permits us to adjust the tax basis in each of our assets as to specific purchasers of our units under Section 743(b) of the Code to reflect the unit purchase price upon subsequent purchases of units.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 (1) its share of the tax basis in our assets as to all unitholders and (2) its Section 743(b) adjustment to that tax basis (which may be positive or negative).</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certain limitations, a Section 743(b) adjustment may create additional depreciable basis that is eligible for bonus depreciation under</w:t>
      </w:r>
    </w:p>
    <w:p>
      <w:pPr>
        <w:spacing w:after="0" w:line="38"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w:t>
      </w:r>
    </w:p>
    <w:p>
      <w:pPr>
        <w:spacing w:after="0" w:line="163"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Under our partnership agreement, we are authorized to take a position to preserve the uniformity 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"—Uniformity of Units."</w:t>
      </w:r>
    </w:p>
    <w:p>
      <w:pPr>
        <w:spacing w:after="0" w:line="170"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to preserve the uniformity of units due to the lack of controlling authority. Because a unitholder's adjusted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 challenge to such treatment were sustained, the gain from the sale of units may be increased without the benefit of additional deductions.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calculations involved in the Section 754 election are complex and are made on the basis of assumptions as to the value of our assets and other matters. The IRS could seek to reallocate some or all of any Section 743(b) adjustment we allocated to our depreciable assets to goodwill or nondepreciable assets. Goodwill, as an intangible asset, is generally amortizable over a longer period of time or under a less accelerated method than certain of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"—Disposition of Units— Allocations Between Transferors and Transferees."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225" w:lineRule="exact"/>
        <w:rPr>
          <w:sz w:val="20"/>
          <w:szCs w:val="20"/>
          <w:color w:val="auto"/>
        </w:rPr>
      </w:pPr>
    </w:p>
    <w:p>
      <w:pPr>
        <w:ind w:right="340" w:firstLine="348"/>
        <w:spacing w:after="0" w:line="291" w:lineRule="auto"/>
        <w:rPr>
          <w:sz w:val="20"/>
          <w:szCs w:val="20"/>
          <w:color w:val="auto"/>
        </w:rPr>
      </w:pPr>
      <w:r>
        <w:rPr>
          <w:rFonts w:ascii="Arial" w:cs="Arial" w:eastAsia="Arial" w:hAnsi="Arial"/>
          <w:sz w:val="16"/>
          <w:szCs w:val="16"/>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"—Tax Consequences of Unit Ownership—Allocation of Income, Gain, Loss and Deduction" and "—Disposition of Units—Recognition of Gain or Loss."</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 Disposition of Units—Recognition of Gain or Loss."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allowed a first-year bonus depreciation deduction equal to 100% of the adjusted basis of certain depreciable property acquired and placed in service after September 27, 2017 and before January 1, 2023.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 Under a transition rule, we can also elect to apply a 50% bonus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depreciation deduction instead of the 100% deduction for our first taxable year ending after September 27,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Tax Basis of Each of Our Properties</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w:t>
      </w:r>
    </w:p>
    <w:p>
      <w:pPr>
        <w:spacing w:after="0" w:line="170"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7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purposes of determining the holding period of the units transferred. A unitholder electing to use the actual holding period of any unit transferred must consistently use that identification method for all subsequent sales or exchanges of our units. A unitholder considering the purchase of additional units or a sale or exchange of units purchased in separate transactions is urged to consult its tax advisor as to the possible consequences of this ruling and application of the Treasury Regulations.</w:t>
      </w:r>
    </w:p>
    <w:p>
      <w:pPr>
        <w:spacing w:after="0" w:line="19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8"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"—Tax Consequences of Unit Ownership—Treatment of Securities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225"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74" w:lineRule="exact"/>
        <w:rPr>
          <w:sz w:val="20"/>
          <w:szCs w:val="20"/>
          <w:color w:val="auto"/>
        </w:rPr>
      </w:pPr>
    </w:p>
    <w:p>
      <w:pPr>
        <w:ind w:right="200" w:firstLine="341"/>
        <w:spacing w:after="0" w:line="291" w:lineRule="auto"/>
        <w:rPr>
          <w:sz w:val="20"/>
          <w:szCs w:val="20"/>
          <w:color w:val="auto"/>
        </w:rPr>
      </w:pPr>
      <w:r>
        <w:rPr>
          <w:rFonts w:ascii="Arial" w:cs="Arial" w:eastAsia="Arial" w:hAnsi="Arial"/>
          <w:sz w:val="16"/>
          <w:szCs w:val="16"/>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w:t>
      </w:r>
    </w:p>
    <w:p>
      <w:pPr>
        <w:spacing w:after="0" w:line="174" w:lineRule="exact"/>
        <w:rPr>
          <w:sz w:val="20"/>
          <w:szCs w:val="20"/>
          <w:color w:val="auto"/>
        </w:rPr>
      </w:pPr>
    </w:p>
    <w:p>
      <w:pPr>
        <w:jc w:val="both"/>
        <w:ind w:right="280" w:firstLine="341"/>
        <w:spacing w:after="0" w:line="306" w:lineRule="auto"/>
        <w:rPr>
          <w:sz w:val="20"/>
          <w:szCs w:val="20"/>
          <w:color w:val="auto"/>
        </w:rPr>
      </w:pPr>
      <w:r>
        <w:rPr>
          <w:rFonts w:ascii="Arial" w:cs="Arial" w:eastAsia="Arial" w:hAnsi="Arial"/>
          <w:sz w:val="16"/>
          <w:szCs w:val="16"/>
          <w:color w:val="auto"/>
        </w:rPr>
        <w:t>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225"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"—Tax Consequences of Unit Ownership—Section 754 Election."</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197"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 unitholder's adjusted tax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and "—Tax Consequences of Unit Ownership —Section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w:t>
      </w:r>
    </w:p>
    <w:p>
      <w:pPr>
        <w:spacing w:after="0" w:line="198"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In addition, as described above at "—Tax Consequences of Unit Ownership—Allocation of Income, Gain, Loss and Deduction," if we aggregate multiple issuances of units for purposes of making adjustments to "book" basis and related tax allocations, to ensure the uniformity of our units, we will treat each of 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Employee benefit plans and most other tax-exempt organizations, including IRAs and other retirement plans, are subject to federal income tax on unrelated business taxable income. Virtually all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of our income will be unrelated business taxable income and will be taxable to a tax-exempt unitholder. Tax-exempt unitholders with more than one unrelated trade or business (including by attribution from the Partnership to the extent it is engaged in one or more unrelated trade or business) are required to separately compute their unrelated business taxable income with respect to each unrelated trade or business (including for purposes of determining any net operating loss deduction). As a result, it may not be possible for tax-exempt unitholders to utilize losses from an investment in the Partnership to offset unrelated business taxable income from another unrelated trade or business and vice versa.</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 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W-8BEN-E (or other applicable or successor form) in order to obtain credit for these withholding taxes.</w:t>
      </w:r>
    </w:p>
    <w:p>
      <w:pPr>
        <w:spacing w:after="0" w:line="17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Gain realized by a Non-U.S. Unitholder from the sale of its interest in a partnership that is engaged in a trade or business in the United States will be considered to 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 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w:t>
      </w:r>
    </w:p>
    <w:p>
      <w:pPr>
        <w:spacing w:after="0" w:line="17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Moreover, the transferee of an interest in a partnership that is engaged in a U.S. trade or business is generally required to withhold 10% of the amount realized by the transferor unless the transferor certifies that it is not a foreign person, and we are required to deduct and withhold from the transferee amounts that should have been withheld by the transferees but were not withheld. Because the "amount realized" includes a partner's share of the partnership's liabilities, 10% of the amount realized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could exceed the total cash purchase price for the units. For this and other reasons, the IRS has suspended the application of this withholding rule to open market transfers of interest in publicly traded partnerships, pending promulgation of regulations that address the amount to be withheld, the reporting necessary to determine such amount and the appropriate party to withhold such amounts, but it is not clear if or when such regulations will be issued.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9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170"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then our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 These rules are not applicable for taxable years beginning on or prior to December 31, 2017. Congress has proposed changes to the Bipartisan Budget Act, and we anticipate that amendments may be made. Accordingly, the manner in which these rules may apply to us in the future is uncertain.</w:t>
      </w:r>
    </w:p>
    <w:p>
      <w:pPr>
        <w:spacing w:after="0" w:line="172"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Additionally, pursuant to the Bipartisan Budget Act of 2015, the Code will no longer require that we designate a Tax Matters Partner. Instead, for taxable years beginning after December 31, 2017, we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will be required to designate a partner, or other person, with a substantial presence in the United States as the partnership representative ("Partnership Representative"). The Partnership Representative will have the sole authority to act on our behalf for purposes of, among other things, federal income tax audits and judicial review of administrative adjustments by the IRS. If we do not make such a designation, the IRS can select any person as the Partnership Representative. We currently anticipate that we will designate our general partner as the Partnership Representative. Further, any actions taken by us or by the Partnership Representative on our behalf with respect to, among other things, federal income tax audits and judicial review of administrative adjustments by the IRS, will be binding on us and all of our unitholders.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Withholding taxes may apply to certain types of payments made to "foreign financial institutions" (as specially defined in the Code) and certain other non-U.S. entities. Specifically, a 30% withholding tax may be imposed on withholdable payments, including interest, dividends and other fixed or determinable annual or periodic gains, profits and income from sources within the United States ("FDAP Income") paid to a foreign financial institution or to a "non-financial foreign entity" (as specially defined in the Code), unless (i) 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While withholdable payments would have originally included payments of gross proceeds from the sale or other disposition of any property of a type which could produce interest or dividends from sources within the United States ("Gross Proceeds") on or after January 1, 2019, recently proposed Treasury Regulations provide that such payments of Gross Proceeds do not constitute withholdable payments. Taxpayers may rely generally on these proposed Treasury Regulations until they are revoked or final Treasury Regulations are issued.</w:t>
      </w:r>
    </w:p>
    <w:p>
      <w:pPr>
        <w:spacing w:after="0" w:line="17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9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To the extent we have FDAP Income that is not treated as effectively connected with a U.S. trade or business (please read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 income, pursuant to the rules described above. Each prospective unitholder should consult its own tax advisors regarding the potential application of these withholding provisions to its investment in our units.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a non-U.S. person;</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20" w:hanging="532"/>
        <w:spacing w:after="0"/>
        <w:tabs>
          <w:tab w:leader="none" w:pos="16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 non-U.S. government, an international organization or any wholly-owned agency or instrumentality of either of the foregoing; or</w:t>
      </w:r>
    </w:p>
    <w:p>
      <w:pPr>
        <w:spacing w:after="0" w:line="275" w:lineRule="exact"/>
        <w:rPr>
          <w:rFonts w:ascii="Arial" w:cs="Arial" w:eastAsia="Arial" w:hAnsi="Arial"/>
          <w:sz w:val="16"/>
          <w:szCs w:val="16"/>
          <w:color w:val="auto"/>
        </w:rPr>
      </w:pPr>
    </w:p>
    <w:p>
      <w:pPr>
        <w:ind w:left="1620" w:hanging="532"/>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w:t>
      </w:r>
    </w:p>
    <w:p>
      <w:pPr>
        <w:spacing w:after="0" w:line="198"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It is the responsibility of each unitholder to investigate the legal and tax consequences, under the laws of pertinent jurisdictions, of its investment in us.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strongly recommend that each prospective unitholder consult, and depend upon, its own tax counsel or other advisor with regard to those matters.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Further, it is the responsibility of each unitholder to file all state, local and non-U.S., as well as federal tax returns that may be required of it. Vinson &amp;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Elkins L.L.P. has not rendered an opinion on the state, local, alternative minimum tax or non-U.S. tax consequences of an investment in us.</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Subject to the terms and conditions set forth in an underwriting agreement among us, the selling unitholder and Barclays Capital Inc. (the "underwriter"), the selling unitholder has agreed to sell to the underwriter and the underwriter has agreed to purchase all of the common units included in this offering.</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 to purchase the common units included in this offering are subject to approval of legal matters by counsel and to other conditions. Under the terms of the underwriting agreement, the underwriter is committed to purchase all of the common units.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Commissions and Discounts</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300" w:type="dxa"/>
            <w:vAlign w:val="bottom"/>
            <w:gridSpan w:val="2"/>
          </w:tcPr>
          <w:p>
            <w:pPr>
              <w:ind w:left="360"/>
              <w:spacing w:after="0"/>
              <w:rPr>
                <w:sz w:val="20"/>
                <w:szCs w:val="20"/>
                <w:color w:val="auto"/>
              </w:rPr>
            </w:pPr>
            <w:r>
              <w:rPr>
                <w:rFonts w:ascii="Arial" w:cs="Arial" w:eastAsia="Arial" w:hAnsi="Arial"/>
                <w:sz w:val="18"/>
                <w:szCs w:val="18"/>
                <w:color w:val="auto"/>
                <w:w w:val="94"/>
              </w:rPr>
              <w:t>The following table summarizes the underwriting discount the selling unitholder will pay to the underwriter.</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Per unit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w w:val="92"/>
              </w:rPr>
              <w:t>3,145,357</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180" w:firstLine="348"/>
        <w:spacing w:after="0" w:line="306" w:lineRule="auto"/>
        <w:rPr>
          <w:sz w:val="20"/>
          <w:szCs w:val="20"/>
          <w:color w:val="auto"/>
        </w:rPr>
      </w:pPr>
      <w:r>
        <w:rPr>
          <w:rFonts w:ascii="Arial" w:cs="Arial" w:eastAsia="Arial" w:hAnsi="Arial"/>
          <w:sz w:val="16"/>
          <w:szCs w:val="16"/>
          <w:color w:val="auto"/>
        </w:rPr>
        <w:t>The underwriter proposes to offer some of the common units directly to the public at the public offering price set forth on the cover page of this prospectus and some of the common units to dealers at the public offering price less a concession not to exceed $0.10 per common unit. If all of the common units are not sold at the initial offering price, the underwriter may change the public offering price and the other selling terms.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w:t>
      </w:r>
    </w:p>
    <w:p>
      <w:pPr>
        <w:spacing w:after="0" w:line="231" w:lineRule="exact"/>
        <w:rPr>
          <w:sz w:val="20"/>
          <w:szCs w:val="20"/>
          <w:color w:val="auto"/>
        </w:rPr>
      </w:pPr>
    </w:p>
    <w:p>
      <w:pPr>
        <w:ind w:right="60" w:firstLine="348"/>
        <w:spacing w:after="0" w:line="302" w:lineRule="auto"/>
        <w:rPr>
          <w:sz w:val="20"/>
          <w:szCs w:val="20"/>
          <w:color w:val="auto"/>
        </w:rPr>
      </w:pPr>
      <w:r>
        <w:rPr>
          <w:rFonts w:ascii="Arial" w:cs="Arial" w:eastAsia="Arial" w:hAnsi="Arial"/>
          <w:sz w:val="15"/>
          <w:szCs w:val="15"/>
          <w:color w:val="auto"/>
        </w:rPr>
        <w:t xml:space="preserve">We have agreed that, for a period of 30 days from the date of this prospectus supplement, we will not, without the prior written consent of the underwriter, offer, sell, contract to sell, pledge or otherwise dispose of any common units, PAGP Class A shares or any securities convertible into, or exercisable or exchangeable for or that represent the right to receive common units, PAGP Class A shares or any securities that are senior to or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common units or PAGP Class A shares, including the grant of any options or warrants to purchase common units or PAGP Class A shares. This agreement also will not apply to</w:t>
      </w:r>
    </w:p>
    <w:p>
      <w:pPr>
        <w:spacing w:after="0" w:line="3" w:lineRule="exact"/>
        <w:rPr>
          <w:sz w:val="20"/>
          <w:szCs w:val="20"/>
          <w:color w:val="auto"/>
        </w:rPr>
      </w:pPr>
    </w:p>
    <w:p>
      <w:pPr>
        <w:ind w:right="40" w:firstLine="8"/>
        <w:spacing w:after="0" w:line="310" w:lineRule="auto"/>
        <w:tabs>
          <w:tab w:leader="none" w:pos="210" w:val="left"/>
        </w:tabs>
        <w:numPr>
          <w:ilvl w:val="0"/>
          <w:numId w:val="14"/>
        </w:numPr>
        <w:rPr>
          <w:rFonts w:ascii="Arial" w:cs="Arial" w:eastAsia="Arial" w:hAnsi="Arial"/>
          <w:sz w:val="15"/>
          <w:szCs w:val="15"/>
          <w:color w:val="auto"/>
        </w:rPr>
      </w:pPr>
      <w:r>
        <w:rPr>
          <w:rFonts w:ascii="Arial" w:cs="Arial" w:eastAsia="Arial" w:hAnsi="Arial"/>
          <w:sz w:val="15"/>
          <w:szCs w:val="15"/>
          <w:color w:val="auto"/>
        </w:rPr>
        <w:t>grants under existing employee benefit plans (including long-term incentive plans adopted by PAGP GP, Plains AAP, L.P. or GP LLC), (ii) issuances of common units, PAGP Class A shares or any securities convertible or exchangeable into common units or PAGP Class A shares as payment of any part of the purchase price in connection with acquisitions by us and our affiliates or any third parties (with any transferees in such acquisitions agreeing to be bound by the lock-up agreement for the remainder of the term) or (iii) issuances or deliveries of common units or PAGP Class A shares in connection with the conversion, vesting or exercise of securities (including long-term incentive plan awards and the right of holders of AAP Class A units to exchange such AAP Class A Units and PAGP Class B shares for Class A shares of PAGP or redeem such AAP Class A units and PAGP Class B shares for our common units) currently outstanding. The underwriter, in its sole discretion, may release any of the common units or PAGP Class A shares subject to this lock-up agreement at any time without notice.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units are listed on the NYSE under the symbol "PAA."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Stabilizations, Short Positions and Penalty Bids</w:t>
      </w:r>
    </w:p>
    <w:p>
      <w:pPr>
        <w:spacing w:after="0" w:line="23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In connection with the offering, the underwriter may purchase and sell common units in the open market. These transactions may include short sales, syndicate covering transactions and stabilizing transactions. Short sales involve syndicate sales of common units in excess of the number of common units to be purchased by the underwriter in the offering, which creates a syndicate short position. "Covered" short sales are sales of common units made in an amount up to the number of common units represented by the underwriter's option to purchase additional common units. In determining the source of common units to close out the covered syndicate short position, the underwriter will consider, among other things, the price of common units available for purchase in the open market as compared to the price at which it may purchase units through the option to purchase additional common units. Transactions to close out the covered syndicate short position involve either purchases of the common units in the open market after the distribution has been completed or the exercise of the option to purchase additional common units. The underwriter may also make "naked" short sales of common units in excess of the option to purchase additional common units. The underwriter must close out any naked short position by purchasing common units in the open market. A naked short position is more likely to be created if the underwriter is concerned that there may be downward pressure on the price of the common units in the open market after pricing that could adversely affect investors who purchase in the offering. Stabilizing transactions consist of bids for or purchases of common units in the open market while the offering is in progress.</w:t>
      </w:r>
    </w:p>
    <w:p>
      <w:pPr>
        <w:spacing w:after="0" w:line="178" w:lineRule="exact"/>
        <w:rPr>
          <w:sz w:val="20"/>
          <w:szCs w:val="20"/>
          <w:color w:val="auto"/>
        </w:rPr>
      </w:pPr>
    </w:p>
    <w:p>
      <w:pPr>
        <w:ind w:right="420" w:firstLine="348"/>
        <w:spacing w:after="0" w:line="370" w:lineRule="auto"/>
        <w:rPr>
          <w:sz w:val="20"/>
          <w:szCs w:val="20"/>
          <w:color w:val="auto"/>
        </w:rPr>
      </w:pPr>
      <w:r>
        <w:rPr>
          <w:rFonts w:ascii="Arial" w:cs="Arial" w:eastAsia="Arial" w:hAnsi="Arial"/>
          <w:sz w:val="15"/>
          <w:szCs w:val="15"/>
          <w:color w:val="auto"/>
        </w:rPr>
        <w:t>The underwriter also may impose a penalty bid. Penalty bids permit the underwriter to reclaim a selling concession from a syndicate member when the underwriter repurchases common units originally sold by that syndicate member in order to cover syndicate short positions or make stabilizing purchases.</w:t>
      </w:r>
    </w:p>
    <w:p>
      <w:pPr>
        <w:spacing w:after="0" w:line="116"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Any of these activities may have the effect of preventing or slowing a decline in the market price of the common units. They may also cause the price of the common units to be higher than the price that would otherwise exist in the open market in the absence of these transactions. The underwriter may conduct these transactions on the NYSE or in the over-the-counter market, or otherwise. If the underwriter commences any of these transactions, it may discontinue them at any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Expenses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estimate that our total expenses of this offering, excluding underwriting discounts and commissions, will be approximately $285,000.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affiliate of the underwriter is a lender under PAA's senior unsecured revolving credit facility.</w:t>
      </w:r>
    </w:p>
    <w:p>
      <w:pPr>
        <w:spacing w:after="0" w:line="225"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underwriter and its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addition, in the ordinary course of their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the underwriter or its affiliates has a lending relationship with us, they may hedge their credit exposure to us consistent with their customary risk management policies. The underwriter and its affiliates may also make investment recommendations and/or publish or express independent research views in respect of such securities or financial instruments and may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 or recommend to clients that they acquire, long and/or short positions in such securities and instruments.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ind w:right="480" w:firstLine="348"/>
        <w:spacing w:after="0" w:line="298" w:lineRule="auto"/>
        <w:rPr>
          <w:sz w:val="20"/>
          <w:szCs w:val="20"/>
          <w:color w:val="auto"/>
        </w:rPr>
      </w:pPr>
      <w:r>
        <w:rPr>
          <w:rFonts w:ascii="Arial" w:cs="Arial" w:eastAsia="Arial" w:hAnsi="Arial"/>
          <w:sz w:val="16"/>
          <w:szCs w:val="16"/>
          <w:color w:val="auto"/>
        </w:rPr>
        <w:t>This prospectus supplement and the accompanying base prospectus in electronic format may be made available on the website maintained by the underwriter. The underwriter may agree to allocate a number of common units for sale to their online brokerage account holders. The common units will be allocated to the underwriter, which may make Internet distributions on the same basis as other allocations. In addition, common units may be sold by the underwriter to securities dealers who resell common units to online brokerage account holders.</w:t>
      </w:r>
    </w:p>
    <w:p>
      <w:pPr>
        <w:spacing w:after="0" w:line="16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Other than this prospectus supplement and the accompanying base prospectus in electronic format, information contained in any website maintained by the underwriter is not part of this prospectus supplement or the accompanying base prospectus or registration statement of which the accompanying base prospectus forms a part, has not been endorsed by us and should not be relied on by investors in deciding whether to purchase common units. The underwriter is not responsible for information contained in websites that it does not maintain.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We have agreed to indemnify the underwriter and the selling unitholder against certain liabilities, including liabilities under the Securities Act of 1933, as amended, or to contribute to payments the underwriter may be required to make because of any of those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common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common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common units which are or are intended to be disposed of only to persons outside Hong Kong or only to "professional investors" within the meaning of the Securities and Futures Ordinance (Cap. 571, Laws of Hong Kong) and any rules made thereunder.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common units offered in this prospectus supplement have not been and will not be registered under the Financial Instruments and Exchange Law of Japan (the "Financial Instruments and Exchange Law"), and the underwriter has agreed that it will not offer or sell any common units,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requirements of Japanese law.</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right="20" w:firstLine="348"/>
        <w:spacing w:after="0" w:line="314" w:lineRule="auto"/>
        <w:rPr>
          <w:sz w:val="20"/>
          <w:szCs w:val="20"/>
          <w:color w:val="auto"/>
        </w:rPr>
      </w:pPr>
      <w:r>
        <w:rPr>
          <w:rFonts w:ascii="Arial" w:cs="Arial" w:eastAsia="Arial" w:hAnsi="Arial"/>
          <w:sz w:val="15"/>
          <w:szCs w:val="15"/>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common units may not be circulated or distributed, nor may the common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 the in the SFA.</w:t>
      </w:r>
    </w:p>
    <w:p>
      <w:pPr>
        <w:spacing w:after="0" w:line="15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Where the common units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common units, debentures and units of common units and debentures of that corporation or the beneficiaries' rights and interest in that trust shall not be transferable for six months after that corporation or that trust has acquired the common units under Section 275 except: (1) to an institutional investor under Section 274 of the SFA or to a relevant person, or any person pursuant to Section 275(1A), and in accordance with the conditions, specified in Section 275 of the SFA; (2) where no consideration is or will be given for the transfer; or (3) by operation of law.</w:t>
      </w:r>
    </w:p>
    <w:p>
      <w:pPr>
        <w:spacing w:after="0" w:line="172" w:lineRule="exact"/>
        <w:rPr>
          <w:sz w:val="20"/>
          <w:szCs w:val="20"/>
          <w:color w:val="auto"/>
        </w:rPr>
      </w:pPr>
    </w:p>
    <w:p>
      <w:pPr>
        <w:ind w:right="380" w:firstLine="351"/>
        <w:spacing w:after="0" w:line="298" w:lineRule="auto"/>
        <w:rPr>
          <w:sz w:val="20"/>
          <w:szCs w:val="20"/>
          <w:color w:val="auto"/>
        </w:rPr>
      </w:pPr>
      <w:r>
        <w:rPr>
          <w:rFonts w:ascii="Arial" w:cs="Arial" w:eastAsia="Arial" w:hAnsi="Arial"/>
          <w:sz w:val="16"/>
          <w:szCs w:val="16"/>
          <w:color w:val="auto"/>
        </w:rPr>
        <w:t>Solely for the purposes of its obligations pursuant to Sections 309B(1)(a) and 309B(1) of the SFA, we have determined, and hereby notify all relevant persons (as defined in Section 309A of the SFA) that the common units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validity of the common units offered in this prospectus supplement will be passed upon for us by Vinson &amp; Elkins L.L.P., Houston, Texas. Certain legal matters will be passed upon for the underwriter by Baker Botts L.L.P., Houston, Texas. Certain legal matters will be passed upon for the selling unitholder by Latham &amp; Watkins LLP, Houston, Texas.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17">
        <w:r>
          <w:rPr>
            <w:rFonts w:ascii="Arial" w:cs="Arial" w:eastAsia="Arial" w:hAnsi="Arial"/>
            <w:sz w:val="18"/>
            <w:szCs w:val="18"/>
            <w:color w:val="auto"/>
          </w:rPr>
          <w:t xml:space="preserve">Report on Internal Control over Financial Reporting) incorporated in this Prospectus Supplement by reference to the </w:t>
        </w:r>
        <w:r>
          <w:rPr>
            <w:rFonts w:ascii="Arial" w:cs="Arial" w:eastAsia="Arial" w:hAnsi="Arial"/>
            <w:sz w:val="18"/>
            <w:szCs w:val="18"/>
            <w:u w:val="single" w:color="auto"/>
            <w:color w:val="0000EE"/>
          </w:rPr>
          <w:t>Annual Report on Form 10-K for the year</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ended December 31, 2018</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w:t>
        </w:r>
      </w:hyperlink>
      <w:r>
        <w:rPr>
          <w:rFonts w:ascii="Arial" w:cs="Arial" w:eastAsia="Arial" w:hAnsi="Arial"/>
          <w:sz w:val="18"/>
          <w:szCs w:val="18"/>
          <w:color w:val="0000EE"/>
        </w:rPr>
        <w:t xml:space="preserve">firm, </w:t>
      </w:r>
      <w:r>
        <w:rPr>
          <w:rFonts w:ascii="Arial" w:cs="Arial" w:eastAsia="Arial" w:hAnsi="Arial"/>
          <w:sz w:val="18"/>
          <w:szCs w:val="18"/>
          <w:color w:val="000000"/>
        </w:rPr>
        <w:t>given on the authority of said firm as experts in auditing and accounting.</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are "incorporating by reference" into this prospectus supplement information we file with the SEC. This procedure means that we can disclose important information to you by referring you to documents filed with the SEC. The information we incorporate by reference is deemed to be part of this prospectus supplement and later information that we file with the SEC will automatically update and supersede this information.</w:t>
      </w:r>
    </w:p>
    <w:p>
      <w:pPr>
        <w:spacing w:after="0" w:line="16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Sections 13(a), 13(c), 14 or 15(d) of the Exchange Act (excluding any information furnished and not filed pursuant to any Current Report on Form 8-K) until the offering and sale of the common units contemplated by this prospectus supplement are complete:</w:t>
      </w:r>
    </w:p>
    <w:p>
      <w:pPr>
        <w:spacing w:after="0" w:line="208" w:lineRule="exact"/>
        <w:rPr>
          <w:sz w:val="20"/>
          <w:szCs w:val="20"/>
          <w:color w:val="auto"/>
        </w:rPr>
      </w:pPr>
    </w:p>
    <w:p>
      <w:pPr>
        <w:ind w:left="1080" w:right="40" w:hanging="532"/>
        <w:spacing w:after="0" w:line="268" w:lineRule="auto"/>
        <w:tabs>
          <w:tab w:leader="none" w:pos="1080" w:val="left"/>
        </w:tabs>
        <w:numPr>
          <w:ilvl w:val="0"/>
          <w:numId w:val="15"/>
        </w:numPr>
        <w:rPr>
          <w:rFonts w:ascii="Arial" w:cs="Arial" w:eastAsia="Arial" w:hAnsi="Arial"/>
          <w:sz w:val="18"/>
          <w:szCs w:val="18"/>
          <w:color w:val="0000EE"/>
        </w:rPr>
      </w:pPr>
      <w:hyperlink r:id="rId17">
        <w:r>
          <w:rPr>
            <w:rFonts w:ascii="Arial" w:cs="Arial" w:eastAsia="Arial" w:hAnsi="Arial"/>
            <w:sz w:val="18"/>
            <w:szCs w:val="18"/>
            <w:u w:val="single" w:color="auto"/>
            <w:color w:val="0000EE"/>
          </w:rPr>
          <w:t>Annual Report on Form 10-K for the fiscal year ended December 31, 2018</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including information specifically incorporated by reference from our</w:t>
      </w:r>
      <w:r>
        <w:rPr>
          <w:rFonts w:ascii="Arial" w:cs="Arial" w:eastAsia="Arial" w:hAnsi="Arial"/>
          <w:sz w:val="18"/>
          <w:szCs w:val="18"/>
          <w:color w:val="0000EE"/>
        </w:rPr>
        <w:t xml:space="preserve"> </w:t>
      </w:r>
      <w:hyperlink r:id="rId51">
        <w:r>
          <w:rPr>
            <w:rFonts w:ascii="Arial" w:cs="Arial" w:eastAsia="Arial" w:hAnsi="Arial"/>
            <w:sz w:val="18"/>
            <w:szCs w:val="18"/>
            <w:u w:val="single" w:color="auto"/>
            <w:color w:val="0000EE"/>
          </w:rPr>
          <w:t>Proxy Statement for our 2019 Annual Meeting</w:t>
        </w:r>
      </w:hyperlink>
      <w:r>
        <w:rPr>
          <w:rFonts w:ascii="Arial" w:cs="Arial" w:eastAsia="Arial" w:hAnsi="Arial"/>
          <w:sz w:val="18"/>
          <w:szCs w:val="18"/>
          <w:color w:val="000000"/>
        </w:rPr>
        <w:t>;</w:t>
      </w:r>
    </w:p>
    <w:p>
      <w:pPr>
        <w:spacing w:after="0" w:line="212" w:lineRule="exact"/>
        <w:rPr>
          <w:rFonts w:ascii="Arial" w:cs="Arial" w:eastAsia="Arial" w:hAnsi="Arial"/>
          <w:sz w:val="18"/>
          <w:szCs w:val="18"/>
          <w:color w:val="0000EE"/>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quarterly periods ended </w:t>
      </w:r>
      <w:hyperlink r:id="rId23">
        <w:r>
          <w:rPr>
            <w:rFonts w:ascii="Arial" w:cs="Arial" w:eastAsia="Arial" w:hAnsi="Arial"/>
            <w:sz w:val="18"/>
            <w:szCs w:val="18"/>
            <w:u w:val="single" w:color="auto"/>
            <w:color w:val="0000EE"/>
          </w:rPr>
          <w:t>March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8">
        <w:r>
          <w:rPr>
            <w:rFonts w:ascii="Arial" w:cs="Arial" w:eastAsia="Arial" w:hAnsi="Arial"/>
            <w:sz w:val="18"/>
            <w:szCs w:val="18"/>
            <w:u w:val="single" w:color="auto"/>
            <w:color w:val="0000EE"/>
          </w:rPr>
          <w:t>June 30, 2019</w:t>
        </w:r>
      </w:hyperlink>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on </w:t>
      </w:r>
      <w:hyperlink r:id="rId52">
        <w:r>
          <w:rPr>
            <w:rFonts w:ascii="Arial" w:cs="Arial" w:eastAsia="Arial" w:hAnsi="Arial"/>
            <w:sz w:val="18"/>
            <w:szCs w:val="18"/>
            <w:u w:val="single" w:color="auto"/>
            <w:color w:val="0000EE"/>
          </w:rPr>
          <w:t>January 4, 2019</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February 25, 2019</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EE"/>
          </w:rPr>
          <w:t>May 17, 2019</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EE"/>
          </w:rPr>
          <w:t>May 30, 2019</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August 21, 2019</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EE"/>
          </w:rPr>
          <w:t>September 11, 2019</w:t>
        </w:r>
      </w:hyperlink>
      <w:r>
        <w:rPr>
          <w:rFonts w:ascii="Arial" w:cs="Arial" w:eastAsia="Arial" w:hAnsi="Arial"/>
          <w:sz w:val="18"/>
          <w:szCs w:val="18"/>
          <w:color w:val="auto"/>
        </w:rPr>
        <w:t xml:space="preserve"> and </w:t>
      </w:r>
      <w:hyperlink r:id="rId58">
        <w:r>
          <w:rPr>
            <w:rFonts w:ascii="Arial" w:cs="Arial" w:eastAsia="Arial" w:hAnsi="Arial"/>
            <w:sz w:val="18"/>
            <w:szCs w:val="18"/>
            <w:u w:val="single" w:color="auto"/>
            <w:color w:val="0000EE"/>
          </w:rPr>
          <w:t>September 17, 2019</w:t>
        </w:r>
      </w:hyperlink>
      <w:r>
        <w:rPr>
          <w:rFonts w:ascii="Arial" w:cs="Arial" w:eastAsia="Arial" w:hAnsi="Arial"/>
          <w:sz w:val="18"/>
          <w:szCs w:val="18"/>
          <w:color w:val="auto"/>
        </w:rPr>
        <w:t>; and</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5"/>
        </w:numPr>
        <w:rPr>
          <w:rFonts w:ascii="Arial" w:cs="Arial" w:eastAsia="Arial" w:hAnsi="Arial"/>
          <w:sz w:val="18"/>
          <w:szCs w:val="18"/>
          <w:color w:val="0000EE"/>
        </w:rPr>
      </w:pPr>
      <w:hyperlink r:id="rId59">
        <w:r>
          <w:rPr>
            <w:rFonts w:ascii="Arial" w:cs="Arial" w:eastAsia="Arial" w:hAnsi="Arial"/>
            <w:sz w:val="18"/>
            <w:szCs w:val="18"/>
            <w:u w:val="single" w:color="auto"/>
            <w:color w:val="0000EE"/>
          </w:rPr>
          <w:t>the description of our common units contained in our Registration Statement on Form 8-A/A, filed on November 16, 2016, and any subsequent</w:t>
        </w:r>
      </w:hyperlink>
      <w:r>
        <w:rPr>
          <w:rFonts w:ascii="Arial" w:cs="Arial" w:eastAsia="Arial" w:hAnsi="Arial"/>
          <w:sz w:val="18"/>
          <w:szCs w:val="18"/>
          <w:u w:val="single" w:color="auto"/>
          <w:color w:val="0000EE"/>
        </w:rPr>
        <w:t xml:space="preserve"> </w:t>
      </w:r>
      <w:hyperlink r:id="rId59">
        <w:r>
          <w:rPr>
            <w:rFonts w:ascii="Arial" w:cs="Arial" w:eastAsia="Arial" w:hAnsi="Arial"/>
            <w:sz w:val="18"/>
            <w:szCs w:val="18"/>
            <w:u w:val="single" w:color="auto"/>
            <w:color w:val="0000EE"/>
          </w:rPr>
          <w:t>amendment or report filed for the purpose of updating such description</w:t>
        </w:r>
        <w:r>
          <w:rPr>
            <w:rFonts w:ascii="Arial" w:cs="Arial" w:eastAsia="Arial" w:hAnsi="Arial"/>
            <w:sz w:val="18"/>
            <w:szCs w:val="18"/>
            <w:color w:val="000000"/>
          </w:rPr>
          <w:t>.</w:t>
        </w:r>
      </w:hyperlink>
    </w:p>
    <w:p>
      <w:pPr>
        <w:spacing w:after="0" w:line="186" w:lineRule="exact"/>
        <w:rPr>
          <w:rFonts w:ascii="Arial" w:cs="Arial" w:eastAsia="Arial" w:hAnsi="Arial"/>
          <w:sz w:val="18"/>
          <w:szCs w:val="18"/>
          <w:color w:val="auto"/>
        </w:rPr>
      </w:pPr>
    </w:p>
    <w:p>
      <w:pPr>
        <w:ind w:right="520" w:firstLine="345"/>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86"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Plains All American Pipeline, L.P.</w:t>
      </w:r>
    </w:p>
    <w:p>
      <w:pPr>
        <w:spacing w:after="0" w:line="15"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Investor Relations</w:t>
      </w:r>
    </w:p>
    <w:p>
      <w:pPr>
        <w:spacing w:after="0" w:line="9"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333 Clay Street, Suite 1600</w:t>
      </w:r>
    </w:p>
    <w:p>
      <w:pPr>
        <w:spacing w:after="0" w:line="9"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(713) 646-4100</w:t>
      </w:r>
    </w:p>
    <w:p>
      <w:pPr>
        <w:spacing w:after="0" w:line="219" w:lineRule="exact"/>
        <w:rPr>
          <w:rFonts w:ascii="Arial" w:cs="Arial" w:eastAsia="Arial" w:hAnsi="Arial"/>
          <w:sz w:val="18"/>
          <w:szCs w:val="18"/>
          <w:color w:val="auto"/>
        </w:rPr>
      </w:pPr>
    </w:p>
    <w:p>
      <w:pPr>
        <w:ind w:right="340" w:firstLine="348"/>
        <w:spacing w:after="0" w:line="268" w:lineRule="auto"/>
        <w:rPr>
          <w:sz w:val="20"/>
          <w:szCs w:val="20"/>
          <w:color w:val="auto"/>
        </w:rPr>
      </w:pPr>
      <w:r>
        <w:rPr>
          <w:rFonts w:ascii="Arial" w:cs="Arial" w:eastAsia="Arial" w:hAnsi="Arial"/>
          <w:sz w:val="18"/>
          <w:szCs w:val="18"/>
          <w:color w:val="auto"/>
        </w:rPr>
        <w:t>The SEC maintains a website that contains reports, proxy and information statements, and other information regarding us. The SEC's website address is www.sec.gov.</w:t>
      </w:r>
    </w:p>
    <w:p>
      <w:pPr>
        <w:spacing w:after="0" w:line="186"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S-28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143,936,001 Common Units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244"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This prospectus relates to up to 143,936,001 common units representing limited partner interests of Plains All American Pipeline, L.P. that the selling unitholders named in this prospectus may from time to time, in one or more offerings, offer and sell. For a detailed discussion of the selling unitholders, please read "Selling Unitholders."</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selling unitholders may offer and sell these common units to or through one or more underwriters, dealers or agents, or directly to investors, in amounts, at prices and on terms to be determined by market conditions and other factors at the time of the offering. This prospectus describes only the general terms of these common units and the general manner of offering these common units by the selling unitholders. We may file one or more prospectus supplements that may describe the specific manner in which the selling unitholders will offer the common units and also may add, update or change information contained in this prospectus.</w:t>
      </w:r>
    </w:p>
    <w:p>
      <w:pPr>
        <w:spacing w:after="0" w:line="197" w:lineRule="exact"/>
        <w:rPr>
          <w:sz w:val="20"/>
          <w:szCs w:val="20"/>
          <w:color w:val="auto"/>
        </w:rPr>
      </w:pPr>
    </w:p>
    <w:p>
      <w:pPr>
        <w:jc w:val="both"/>
        <w:ind w:right="180" w:firstLine="345"/>
        <w:spacing w:after="0" w:line="259" w:lineRule="auto"/>
        <w:rPr>
          <w:sz w:val="20"/>
          <w:szCs w:val="20"/>
          <w:color w:val="auto"/>
        </w:rPr>
      </w:pPr>
      <w:r>
        <w:rPr>
          <w:rFonts w:ascii="Arial" w:cs="Arial" w:eastAsia="Arial" w:hAnsi="Arial"/>
          <w:sz w:val="18"/>
          <w:szCs w:val="18"/>
          <w:color w:val="auto"/>
        </w:rPr>
        <w:t>You should read this prospectus and any applicable prospectus supplement and the documents incorporated by reference herein or therein carefully before you invest in any of our common units. You should also read the documents we have referred you to in the "Where You Can Find More Information" section of this prospectus for information about us, including our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units are listed on the New York Stock Exchange ("NYSE") under the symbol "PAA."</w:t>
      </w:r>
    </w:p>
    <w:p>
      <w:pPr>
        <w:spacing w:after="0" w:line="206" w:lineRule="exact"/>
        <w:rPr>
          <w:sz w:val="20"/>
          <w:szCs w:val="20"/>
          <w:color w:val="auto"/>
        </w:rPr>
      </w:pPr>
    </w:p>
    <w:p>
      <w:pPr>
        <w:ind w:right="160" w:firstLine="351"/>
        <w:spacing w:after="0" w:line="301" w:lineRule="auto"/>
        <w:rPr>
          <w:sz w:val="20"/>
          <w:szCs w:val="20"/>
          <w:color w:val="auto"/>
        </w:rPr>
      </w:pPr>
      <w:r>
        <w:rPr>
          <w:rFonts w:ascii="Arial" w:cs="Arial" w:eastAsia="Arial" w:hAnsi="Arial"/>
          <w:sz w:val="19"/>
          <w:szCs w:val="19"/>
          <w:b w:val="1"/>
          <w:bCs w:val="1"/>
          <w:color w:val="auto"/>
        </w:rPr>
        <w:t>Limited partnerships are inherently different than corporations, and investing in our common units involves a high degree of risk. You should carefully consider the risks relating to investing in our common units and each of the other risk factors described under "Risk Factors" on page 8 of this prospectus before you make an investment in our common units.</w:t>
      </w:r>
    </w:p>
    <w:p>
      <w:pPr>
        <w:spacing w:after="0" w:line="136" w:lineRule="exact"/>
        <w:rPr>
          <w:sz w:val="20"/>
          <w:szCs w:val="20"/>
          <w:color w:val="auto"/>
        </w:rPr>
      </w:pPr>
    </w:p>
    <w:p>
      <w:pPr>
        <w:ind w:right="28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 common units or determined if this prospectus is truthful or complete. Any representation to the contrary is a criminal offense.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December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468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Table of Contents</w:t>
              </w:r>
            </w:hyperlink>
          </w:p>
        </w:tc>
        <w:tc>
          <w:tcPr>
            <w:tcW w:w="5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40" w:type="dxa"/>
            <w:vAlign w:val="bottom"/>
            <w:gridSpan w:val="3"/>
          </w:tcPr>
          <w:p>
            <w:pPr>
              <w:jc w:val="right"/>
              <w:ind w:right="3392"/>
              <w:spacing w:after="0"/>
              <w:rPr>
                <w:sz w:val="20"/>
                <w:szCs w:val="20"/>
                <w:color w:val="auto"/>
              </w:rPr>
            </w:pPr>
            <w:r>
              <w:rPr>
                <w:rFonts w:ascii="Arial" w:cs="Arial" w:eastAsia="Arial" w:hAnsi="Arial"/>
                <w:sz w:val="18"/>
                <w:szCs w:val="18"/>
                <w:b w:val="1"/>
                <w:bCs w:val="1"/>
                <w:color w:val="auto"/>
                <w:w w:val="99"/>
              </w:rPr>
              <w:t>TABLE OF CONTENTS</w:t>
            </w:r>
          </w:p>
        </w:tc>
      </w:tr>
      <w:tr>
        <w:trPr>
          <w:trHeight w:val="394"/>
        </w:trPr>
        <w:tc>
          <w:tcPr>
            <w:tcW w:w="1140" w:type="dxa"/>
            <w:vAlign w:val="bottom"/>
          </w:tcPr>
          <w:p>
            <w:pPr>
              <w:spacing w:after="0"/>
              <w:rPr>
                <w:sz w:val="24"/>
                <w:szCs w:val="24"/>
                <w:color w:val="auto"/>
              </w:rPr>
            </w:pPr>
          </w:p>
        </w:tc>
        <w:tc>
          <w:tcPr>
            <w:tcW w:w="354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544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Where You Can Find More Information</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w:t>
              </w:r>
            </w:hyperlink>
          </w:p>
        </w:tc>
      </w:tr>
      <w:tr>
        <w:trPr>
          <w:trHeight w:val="196"/>
        </w:trPr>
        <w:tc>
          <w:tcPr>
            <w:tcW w:w="114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740" w:type="dxa"/>
            <w:vAlign w:val="bottom"/>
            <w:gridSpan w:val="4"/>
          </w:tcPr>
          <w:p>
            <w:pPr>
              <w:spacing w:after="0"/>
              <w:rPr>
                <w:sz w:val="17"/>
                <w:szCs w:val="17"/>
                <w:color w:val="auto"/>
              </w:rPr>
            </w:pPr>
          </w:p>
        </w:tc>
        <w:tc>
          <w:tcPr>
            <w:tcW w:w="534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4</w:t>
              </w:r>
            </w:hyperlink>
          </w:p>
        </w:tc>
      </w:tr>
      <w:tr>
        <w:trPr>
          <w:trHeight w:val="196"/>
        </w:trPr>
        <w:tc>
          <w:tcPr>
            <w:tcW w:w="1140" w:type="dxa"/>
            <w:vAlign w:val="bottom"/>
          </w:tcPr>
          <w:p>
            <w:pPr>
              <w:spacing w:after="0"/>
              <w:rPr>
                <w:sz w:val="17"/>
                <w:szCs w:val="17"/>
                <w:color w:val="auto"/>
              </w:rPr>
            </w:pPr>
          </w:p>
        </w:tc>
        <w:tc>
          <w:tcPr>
            <w:tcW w:w="29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About Plains All American Pipeline, L.P.</w:t>
              </w:r>
            </w:hyperlink>
          </w:p>
        </w:tc>
        <w:tc>
          <w:tcPr>
            <w:tcW w:w="600" w:type="dxa"/>
            <w:vAlign w:val="bottom"/>
            <w:gridSpan w:val="3"/>
          </w:tcPr>
          <w:p>
            <w:pPr>
              <w:spacing w:after="0"/>
              <w:rPr>
                <w:sz w:val="17"/>
                <w:szCs w:val="17"/>
                <w:color w:val="auto"/>
              </w:rPr>
            </w:pPr>
          </w:p>
        </w:tc>
        <w:tc>
          <w:tcPr>
            <w:tcW w:w="53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6</w:t>
              </w:r>
            </w:hyperlink>
          </w:p>
        </w:tc>
      </w:tr>
      <w:tr>
        <w:trPr>
          <w:trHeight w:val="196"/>
        </w:trPr>
        <w:tc>
          <w:tcPr>
            <w:tcW w:w="114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Risk Factors</w:t>
              </w:r>
            </w:hyperlink>
          </w:p>
        </w:tc>
        <w:tc>
          <w:tcPr>
            <w:tcW w:w="2640" w:type="dxa"/>
            <w:vAlign w:val="bottom"/>
            <w:gridSpan w:val="13"/>
          </w:tcPr>
          <w:p>
            <w:pPr>
              <w:spacing w:after="0"/>
              <w:rPr>
                <w:sz w:val="17"/>
                <w:szCs w:val="17"/>
                <w:color w:val="auto"/>
              </w:rPr>
            </w:pPr>
          </w:p>
        </w:tc>
        <w:tc>
          <w:tcPr>
            <w:tcW w:w="53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8</w:t>
              </w:r>
            </w:hyperlink>
          </w:p>
        </w:tc>
      </w:tr>
      <w:tr>
        <w:trPr>
          <w:trHeight w:val="196"/>
        </w:trPr>
        <w:tc>
          <w:tcPr>
            <w:tcW w:w="1140" w:type="dxa"/>
            <w:vAlign w:val="bottom"/>
          </w:tcPr>
          <w:p>
            <w:pPr>
              <w:spacing w:after="0"/>
              <w:rPr>
                <w:sz w:val="17"/>
                <w:szCs w:val="17"/>
                <w:color w:val="auto"/>
              </w:rPr>
            </w:pPr>
          </w:p>
        </w:tc>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43">
              <w:r>
                <w:rPr>
                  <w:rFonts w:ascii="Arial" w:cs="Arial" w:eastAsia="Arial" w:hAnsi="Arial"/>
                  <w:sz w:val="18"/>
                  <w:szCs w:val="18"/>
                  <w:color w:val="0000EE"/>
                  <w:w w:val="85"/>
                </w:rPr>
                <w:t>Use of Proceeds</w:t>
              </w:r>
            </w:hyperlink>
          </w:p>
        </w:tc>
        <w:tc>
          <w:tcPr>
            <w:tcW w:w="2380" w:type="dxa"/>
            <w:vAlign w:val="bottom"/>
            <w:gridSpan w:val="11"/>
          </w:tcPr>
          <w:p>
            <w:pPr>
              <w:spacing w:after="0"/>
              <w:rPr>
                <w:sz w:val="17"/>
                <w:szCs w:val="17"/>
                <w:color w:val="auto"/>
              </w:rPr>
            </w:pPr>
          </w:p>
        </w:tc>
        <w:tc>
          <w:tcPr>
            <w:tcW w:w="53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9</w:t>
              </w:r>
            </w:hyperlink>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Description of Our Common Units</w:t>
              </w:r>
            </w:hyperlink>
          </w:p>
        </w:tc>
        <w:tc>
          <w:tcPr>
            <w:tcW w:w="1080" w:type="dxa"/>
            <w:vAlign w:val="bottom"/>
            <w:gridSpan w:val="5"/>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3540" w:type="dxa"/>
            <w:vAlign w:val="bottom"/>
            <w:gridSpan w:val="1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Cash Distribution Policy</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13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6"/>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Our Partnership Agreement</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16</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Material U.S. Federal Income Tax Consequences</w:t>
              </w:r>
            </w:hyperlink>
          </w:p>
        </w:tc>
        <w:tc>
          <w:tcPr>
            <w:tcW w:w="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19</w:t>
              </w:r>
            </w:hyperlink>
          </w:p>
        </w:tc>
      </w:tr>
      <w:tr>
        <w:trPr>
          <w:trHeight w:val="196"/>
        </w:trPr>
        <w:tc>
          <w:tcPr>
            <w:tcW w:w="1140" w:type="dxa"/>
            <w:vAlign w:val="bottom"/>
          </w:tcPr>
          <w:p>
            <w:pPr>
              <w:spacing w:after="0"/>
              <w:rPr>
                <w:sz w:val="17"/>
                <w:szCs w:val="17"/>
                <w:color w:val="auto"/>
              </w:rPr>
            </w:pPr>
          </w:p>
        </w:tc>
        <w:tc>
          <w:tcPr>
            <w:tcW w:w="13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Selling Unitholders</w:t>
              </w:r>
            </w:hyperlink>
          </w:p>
        </w:tc>
        <w:tc>
          <w:tcPr>
            <w:tcW w:w="2160" w:type="dxa"/>
            <w:vAlign w:val="bottom"/>
            <w:gridSpan w:val="10"/>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34</w:t>
              </w:r>
            </w:hyperlink>
          </w:p>
        </w:tc>
      </w:tr>
      <w:tr>
        <w:trPr>
          <w:trHeight w:val="196"/>
        </w:trPr>
        <w:tc>
          <w:tcPr>
            <w:tcW w:w="1140" w:type="dxa"/>
            <w:vAlign w:val="bottom"/>
          </w:tcPr>
          <w:p>
            <w:pPr>
              <w:spacing w:after="0"/>
              <w:rPr>
                <w:sz w:val="17"/>
                <w:szCs w:val="17"/>
                <w:color w:val="auto"/>
              </w:rPr>
            </w:pPr>
          </w:p>
        </w:tc>
        <w:tc>
          <w:tcPr>
            <w:tcW w:w="3540" w:type="dxa"/>
            <w:vAlign w:val="bottom"/>
            <w:gridSpan w:val="1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Plan of Distribution</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37</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Legal Matters</w:t>
              </w:r>
            </w:hyperlink>
          </w:p>
        </w:tc>
        <w:tc>
          <w:tcPr>
            <w:tcW w:w="2140" w:type="dxa"/>
            <w:vAlign w:val="bottom"/>
            <w:gridSpan w:val="9"/>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39</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Experts</w:t>
              </w:r>
            </w:hyperlink>
          </w:p>
        </w:tc>
        <w:tc>
          <w:tcPr>
            <w:tcW w:w="2560" w:type="dxa"/>
            <w:vAlign w:val="bottom"/>
            <w:gridSpan w:val="12"/>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39</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186" w:lineRule="exact"/>
        <w:rPr>
          <w:sz w:val="20"/>
          <w:szCs w:val="20"/>
          <w:color w:val="auto"/>
        </w:rPr>
      </w:pPr>
    </w:p>
    <w:p>
      <w:pPr>
        <w:ind w:right="140" w:firstLine="351"/>
        <w:spacing w:after="0" w:line="258" w:lineRule="auto"/>
        <w:rPr>
          <w:sz w:val="20"/>
          <w:szCs w:val="20"/>
          <w:color w:val="auto"/>
        </w:rPr>
      </w:pPr>
      <w:r>
        <w:rPr>
          <w:rFonts w:ascii="Arial" w:cs="Arial" w:eastAsia="Arial" w:hAnsi="Arial"/>
          <w:sz w:val="18"/>
          <w:szCs w:val="18"/>
          <w:b w:val="1"/>
          <w:bCs w:val="1"/>
          <w:color w:val="auto"/>
        </w:rPr>
        <w:t>You should not assume that the information contained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and prospects may have changed since those dates.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This prospectus is part of a registration statement on Form S-3 that we filed with the SEC utilizing a "shelf" registration process. Under this shelf registration process, the selling unitholders may over time, in one or more offerings, offer and sell up to 143,936,001 of our common units.</w:t>
      </w:r>
    </w:p>
    <w:p>
      <w:pPr>
        <w:spacing w:after="0" w:line="186"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We may file one or more prospectus supplements that may describe the specific manner in which the selling unitholders will offer the common units and may also add, update or change information in this prospectus. If there is any inconsistency between the information in this prospectus and any prospectus supplement, you should rely on the information in such prospectus supplement.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including all such documents we may file with the SEC after the date of the initial registration statement and prior to the effectiveness of the registration statement, until all offerings under this registration statement are completed:</w:t>
      </w:r>
    </w:p>
    <w:p>
      <w:pPr>
        <w:spacing w:after="0" w:line="211"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Annual Report on Form 10-K for the year ended December 31, 2015, filed on February 25, 2016</w:t>
        </w:r>
      </w:hyperlink>
    </w:p>
    <w:p>
      <w:pPr>
        <w:spacing w:after="0" w:line="252"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16"/>
        </w:numPr>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Quarterly Report on Form 10-Q for the quarter ended March 31, 2016, filed on May 10, 2016;</w:t>
        </w:r>
      </w:hyperlink>
    </w:p>
    <w:p>
      <w:pPr>
        <w:spacing w:after="0" w:line="238"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16"/>
        </w:numPr>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Quarterly Report on Form 10-Q for the quarter ended June 30, 2016, filed on August 8, 2016;</w:t>
        </w:r>
      </w:hyperlink>
    </w:p>
    <w:p>
      <w:pPr>
        <w:spacing w:after="0" w:line="238"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16"/>
        </w:numPr>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Quarterly Report on Form 10-Q for the quarter ended September 30, 2016, filed on November 8, 2016;</w:t>
        </w:r>
      </w:hyperlink>
    </w:p>
    <w:p>
      <w:pPr>
        <w:spacing w:after="0" w:line="252" w:lineRule="exact"/>
        <w:rPr>
          <w:rFonts w:ascii="Arial" w:cs="Arial" w:eastAsia="Arial" w:hAnsi="Arial"/>
          <w:sz w:val="18"/>
          <w:szCs w:val="18"/>
          <w:u w:val="single" w:color="auto"/>
          <w:color w:val="0000EE"/>
        </w:rPr>
      </w:pPr>
    </w:p>
    <w:p>
      <w:pPr>
        <w:ind w:left="1080" w:right="500" w:hanging="532"/>
        <w:spacing w:after="0" w:line="268" w:lineRule="auto"/>
        <w:tabs>
          <w:tab w:leader="none" w:pos="1080" w:val="left"/>
        </w:tabs>
        <w:numPr>
          <w:ilvl w:val="0"/>
          <w:numId w:val="16"/>
        </w:numPr>
        <w:rPr>
          <w:rFonts w:ascii="Arial" w:cs="Arial" w:eastAsia="Arial" w:hAnsi="Arial"/>
          <w:sz w:val="18"/>
          <w:szCs w:val="18"/>
          <w:color w:val="0000EE"/>
        </w:rPr>
      </w:pPr>
      <w:r>
        <w:rPr>
          <w:rFonts w:ascii="Arial" w:cs="Arial" w:eastAsia="Arial" w:hAnsi="Arial"/>
          <w:sz w:val="18"/>
          <w:szCs w:val="18"/>
          <w:color w:val="auto"/>
        </w:rPr>
        <w:t xml:space="preserve">Current Reports on Form 8-K, filed on </w:t>
      </w:r>
      <w:hyperlink r:id="rId68">
        <w:r>
          <w:rPr>
            <w:rFonts w:ascii="Arial" w:cs="Arial" w:eastAsia="Arial" w:hAnsi="Arial"/>
            <w:sz w:val="18"/>
            <w:szCs w:val="18"/>
            <w:u w:val="single" w:color="auto"/>
            <w:color w:val="0000EE"/>
          </w:rPr>
          <w:t>January 19, 2016</w:t>
        </w:r>
      </w:hyperlink>
      <w:r>
        <w:rPr>
          <w:rFonts w:ascii="Arial" w:cs="Arial" w:eastAsia="Arial" w:hAnsi="Arial"/>
          <w:sz w:val="18"/>
          <w:szCs w:val="18"/>
          <w:color w:val="auto"/>
        </w:rPr>
        <w:t xml:space="preserve">, </w:t>
      </w:r>
      <w:hyperlink r:id="rId69">
        <w:r>
          <w:rPr>
            <w:rFonts w:ascii="Arial" w:cs="Arial" w:eastAsia="Arial" w:hAnsi="Arial"/>
            <w:sz w:val="18"/>
            <w:szCs w:val="18"/>
            <w:u w:val="single" w:color="auto"/>
            <w:color w:val="0000EE"/>
          </w:rPr>
          <w:t>February 2, 2016</w:t>
        </w:r>
      </w:hyperlink>
      <w:r>
        <w:rPr>
          <w:rFonts w:ascii="Arial" w:cs="Arial" w:eastAsia="Arial" w:hAnsi="Arial"/>
          <w:sz w:val="18"/>
          <w:szCs w:val="18"/>
          <w:color w:val="auto"/>
        </w:rPr>
        <w:t xml:space="preserve">, </w:t>
      </w:r>
      <w:hyperlink r:id="rId70">
        <w:r>
          <w:rPr>
            <w:rFonts w:ascii="Arial" w:cs="Arial" w:eastAsia="Arial" w:hAnsi="Arial"/>
            <w:sz w:val="18"/>
            <w:szCs w:val="18"/>
            <w:u w:val="single" w:color="auto"/>
            <w:color w:val="0000EE"/>
          </w:rPr>
          <w:t xml:space="preserve">May 18, 2016, </w:t>
        </w:r>
      </w:hyperlink>
      <w:hyperlink r:id="rId71">
        <w:r>
          <w:rPr>
            <w:rFonts w:ascii="Arial" w:cs="Arial" w:eastAsia="Arial" w:hAnsi="Arial"/>
            <w:sz w:val="18"/>
            <w:szCs w:val="18"/>
            <w:u w:val="single" w:color="auto"/>
            <w:color w:val="auto"/>
          </w:rPr>
          <w:t xml:space="preserve">July </w:t>
        </w:r>
        <w:r>
          <w:rPr>
            <w:rFonts w:ascii="Arial" w:cs="Arial" w:eastAsia="Arial" w:hAnsi="Arial"/>
            <w:sz w:val="18"/>
            <w:szCs w:val="18"/>
            <w:u w:val="single" w:color="auto"/>
            <w:color w:val="0000EE"/>
          </w:rPr>
          <w:t>14, 2016</w:t>
        </w:r>
      </w:hyperlink>
      <w:r>
        <w:rPr>
          <w:rFonts w:ascii="Arial" w:cs="Arial" w:eastAsia="Arial" w:hAnsi="Arial"/>
          <w:sz w:val="18"/>
          <w:szCs w:val="18"/>
          <w:color w:val="auto"/>
        </w:rPr>
        <w:t xml:space="preserve">, </w:t>
      </w:r>
      <w:hyperlink r:id="rId72">
        <w:r>
          <w:rPr>
            <w:rFonts w:ascii="Arial" w:cs="Arial" w:eastAsia="Arial" w:hAnsi="Arial"/>
            <w:sz w:val="18"/>
            <w:szCs w:val="18"/>
            <w:u w:val="single" w:color="auto"/>
            <w:color w:val="0000EE"/>
          </w:rPr>
          <w:t>August 9, 2016</w:t>
        </w:r>
      </w:hyperlink>
      <w:r>
        <w:rPr>
          <w:rFonts w:ascii="Arial" w:cs="Arial" w:eastAsia="Arial" w:hAnsi="Arial"/>
          <w:sz w:val="18"/>
          <w:szCs w:val="18"/>
          <w:color w:val="auto"/>
        </w:rPr>
        <w:t xml:space="preserve">, </w:t>
      </w:r>
      <w:hyperlink r:id="rId73">
        <w:r>
          <w:rPr>
            <w:rFonts w:ascii="Arial" w:cs="Arial" w:eastAsia="Arial" w:hAnsi="Arial"/>
            <w:sz w:val="18"/>
            <w:szCs w:val="18"/>
            <w:u w:val="single" w:color="auto"/>
            <w:color w:val="0000EE"/>
          </w:rPr>
          <w:t>August 17, 2016</w:t>
        </w:r>
      </w:hyperlink>
      <w:r>
        <w:rPr>
          <w:rFonts w:ascii="Arial" w:cs="Arial" w:eastAsia="Arial" w:hAnsi="Arial"/>
          <w:sz w:val="18"/>
          <w:szCs w:val="18"/>
          <w:color w:val="auto"/>
        </w:rPr>
        <w:t xml:space="preserve">, </w:t>
      </w:r>
      <w:hyperlink r:id="rId74">
        <w:r>
          <w:rPr>
            <w:rFonts w:ascii="Arial" w:cs="Arial" w:eastAsia="Arial" w:hAnsi="Arial"/>
            <w:sz w:val="18"/>
            <w:szCs w:val="18"/>
            <w:u w:val="single" w:color="auto"/>
            <w:color w:val="0000EE"/>
          </w:rPr>
          <w:t>August 31, 2016</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5">
        <w:r>
          <w:rPr>
            <w:rFonts w:ascii="Arial" w:cs="Arial" w:eastAsia="Arial" w:hAnsi="Arial"/>
            <w:sz w:val="18"/>
            <w:szCs w:val="18"/>
            <w:u w:val="single" w:color="auto"/>
            <w:color w:val="0000EE"/>
          </w:rPr>
          <w:t xml:space="preserve">November 18, 2016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76">
        <w:r>
          <w:rPr>
            <w:rFonts w:ascii="Arial" w:cs="Arial" w:eastAsia="Arial" w:hAnsi="Arial"/>
            <w:sz w:val="18"/>
            <w:szCs w:val="18"/>
            <w:u w:val="single" w:color="auto"/>
            <w:color w:val="0000EE"/>
          </w:rPr>
          <w:t>November 21, 2016</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199" w:lineRule="exact"/>
        <w:rPr>
          <w:rFonts w:ascii="Arial" w:cs="Arial" w:eastAsia="Arial" w:hAnsi="Arial"/>
          <w:sz w:val="18"/>
          <w:szCs w:val="18"/>
          <w:color w:val="0000EE"/>
        </w:rPr>
      </w:pPr>
    </w:p>
    <w:p>
      <w:pPr>
        <w:ind w:left="1080" w:right="120" w:hanging="532"/>
        <w:spacing w:after="0" w:line="268" w:lineRule="auto"/>
        <w:tabs>
          <w:tab w:leader="none" w:pos="1080" w:val="left"/>
        </w:tabs>
        <w:numPr>
          <w:ilvl w:val="0"/>
          <w:numId w:val="16"/>
        </w:numPr>
        <w:rPr>
          <w:rFonts w:ascii="Arial" w:cs="Arial" w:eastAsia="Arial" w:hAnsi="Arial"/>
          <w:sz w:val="18"/>
          <w:szCs w:val="18"/>
          <w:u w:val="single" w:color="auto"/>
          <w:color w:val="0000EE"/>
        </w:rPr>
      </w:pPr>
      <w:hyperlink r:id="rId59">
        <w:r>
          <w:rPr>
            <w:rFonts w:ascii="Arial" w:cs="Arial" w:eastAsia="Arial" w:hAnsi="Arial"/>
            <w:sz w:val="18"/>
            <w:szCs w:val="18"/>
            <w:u w:val="single" w:color="auto"/>
            <w:color w:val="0000EE"/>
          </w:rPr>
          <w:t>the description of our common units contained in our Form 8-A/A dated November 16, 2016 and any subsequent amendment thereto filed for the</w:t>
        </w:r>
      </w:hyperlink>
      <w:r>
        <w:rPr>
          <w:rFonts w:ascii="Arial" w:cs="Arial" w:eastAsia="Arial" w:hAnsi="Arial"/>
          <w:sz w:val="18"/>
          <w:szCs w:val="18"/>
          <w:u w:val="single" w:color="auto"/>
          <w:color w:val="0000EE"/>
        </w:rPr>
        <w:t xml:space="preserve"> </w:t>
      </w:r>
      <w:hyperlink r:id="rId59">
        <w:r>
          <w:rPr>
            <w:rFonts w:ascii="Arial" w:cs="Arial" w:eastAsia="Arial" w:hAnsi="Arial"/>
            <w:sz w:val="18"/>
            <w:szCs w:val="18"/>
            <w:u w:val="single" w:color="auto"/>
            <w:color w:val="0000EE"/>
          </w:rPr>
          <w:t>purpose of updating such description.</w:t>
        </w:r>
      </w:hyperlink>
    </w:p>
    <w:p>
      <w:pPr>
        <w:spacing w:after="0" w:line="186" w:lineRule="exact"/>
        <w:rPr>
          <w:rFonts w:ascii="Arial" w:cs="Arial" w:eastAsia="Arial" w:hAnsi="Arial"/>
          <w:sz w:val="18"/>
          <w:szCs w:val="18"/>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9" w:lineRule="exact"/>
        <w:rPr>
          <w:rFonts w:ascii="Arial" w:cs="Arial" w:eastAsia="Arial" w:hAnsi="Arial"/>
          <w:sz w:val="18"/>
          <w:szCs w:val="18"/>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p>
    <w:p>
      <w:pPr>
        <w:spacing w:after="0" w:line="194" w:lineRule="exact"/>
        <w:rPr>
          <w:rFonts w:ascii="Arial" w:cs="Arial" w:eastAsia="Arial" w:hAnsi="Arial"/>
          <w:sz w:val="18"/>
          <w:szCs w:val="18"/>
          <w:color w:val="auto"/>
        </w:rPr>
      </w:pPr>
    </w:p>
    <w:p>
      <w:pPr>
        <w:ind w:right="200" w:firstLine="348"/>
        <w:spacing w:after="0" w:line="256" w:lineRule="auto"/>
        <w:rPr>
          <w:sz w:val="20"/>
          <w:szCs w:val="20"/>
          <w:color w:val="auto"/>
        </w:rPr>
      </w:pPr>
      <w:r>
        <w:rPr>
          <w:rFonts w:ascii="Arial" w:cs="Arial" w:eastAsia="Arial" w:hAnsi="Arial"/>
          <w:sz w:val="18"/>
          <w:szCs w:val="18"/>
          <w:color w:val="auto"/>
        </w:rPr>
        <w:t xml:space="preserve">We also make available free of charge on our website at </w:t>
      </w:r>
      <w:r>
        <w:rPr>
          <w:rFonts w:ascii="Arial" w:cs="Arial" w:eastAsia="Arial" w:hAnsi="Arial"/>
          <w:sz w:val="18"/>
          <w:szCs w:val="18"/>
          <w:i w:val="1"/>
          <w:iCs w:val="1"/>
          <w:color w:val="auto"/>
        </w:rPr>
        <w:t>ir.paalp.com</w:t>
      </w:r>
      <w:r>
        <w:rPr>
          <w:rFonts w:ascii="Arial" w:cs="Arial" w:eastAsia="Arial" w:hAnsi="Arial"/>
          <w:sz w:val="18"/>
          <w:szCs w:val="18"/>
          <w:color w:val="auto"/>
        </w:rPr>
        <w:t xml:space="preserve">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19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hanging="532"/>
        <w:spacing w:after="0" w:line="306"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or other event, including attacks on our electronic and computer systems;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ind w:firstLine="351"/>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Other factors described herein or incorporated by reference, or factors that are unknown or unpredictable, could also have a material adverse effect on future </w:t>
      </w:r>
      <w:hyperlink r:id="rId64">
        <w:r>
          <w:rPr>
            <w:rFonts w:ascii="Arial" w:cs="Arial" w:eastAsia="Arial" w:hAnsi="Arial"/>
            <w:sz w:val="18"/>
            <w:szCs w:val="18"/>
            <w:color w:val="auto"/>
          </w:rPr>
          <w:t xml:space="preserve">results. Please read "Risk Factors" beginning on page 8 of this prospectus and in Item 1A. "Risk Factors" in our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64">
        <w:r>
          <w:rPr>
            <w:rFonts w:ascii="Arial" w:cs="Arial" w:eastAsia="Arial" w:hAnsi="Arial"/>
            <w:sz w:val="18"/>
            <w:szCs w:val="18"/>
            <w:u w:val="single" w:color="auto"/>
            <w:color w:val="0000EE"/>
          </w:rPr>
          <w:t>December 31, 2015 (File No. 001-14569)</w:t>
        </w:r>
        <w:r>
          <w:rPr>
            <w:rFonts w:ascii="Arial" w:cs="Arial" w:eastAsia="Arial" w:hAnsi="Arial"/>
            <w:sz w:val="18"/>
            <w:szCs w:val="18"/>
            <w:color w:val="000000"/>
          </w:rPr>
          <w:t>, which is incorporated into this prospectus by reference. Except as required by applicable securities laws, we do not</w:t>
        </w:r>
      </w:hyperlink>
      <w:r>
        <w:rPr>
          <w:rFonts w:ascii="Arial" w:cs="Arial" w:eastAsia="Arial" w:hAnsi="Arial"/>
          <w:sz w:val="18"/>
          <w:szCs w:val="18"/>
          <w:color w:val="0000EE"/>
        </w:rPr>
        <w:t xml:space="preserve"> </w:t>
      </w:r>
      <w:r>
        <w:rPr>
          <w:rFonts w:ascii="Arial" w:cs="Arial" w:eastAsia="Arial" w:hAnsi="Arial"/>
          <w:sz w:val="18"/>
          <w:szCs w:val="18"/>
          <w:color w:val="000000"/>
        </w:rPr>
        <w:t>intend to update these forward-looking statements and information.</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are a Delaware limited partnership formed in 1998. Our operations are conducted directly and indirectly through our primary operating subsidiaries. We own and operate midstream energy infrastructure and provide logistics services for crude oil, natural gas liquids ("NGL"), natural gas and refined products.</w:t>
      </w:r>
    </w:p>
    <w:p>
      <w:pPr>
        <w:spacing w:after="0" w:line="139"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Acquisition and Investment Activities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2"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From time to time, we may also sell assets that we regard as non-core or that we believe might be a better fit with the business or assets of a third-party buyer.</w:t>
      </w:r>
    </w:p>
    <w:p>
      <w:pPr>
        <w:spacing w:after="0" w:line="186"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Although we expect the acquisitions and investments we make to be accretive in the long term, we can provide no assurance that our expectations will ultimately be realized.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Texas 77002 and our telephone number is (713) 646-4100. We maintain a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that provides information about our business and operations. We make our periodic and current reports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On November 15, 2016, the transactions contemplated by the Simplification Agreement dated July 11, 2016 (the "Simplification Agreement"), by and among us, PAGP, PAGP GP, AAP, GP LLC and PAA GP (collectively, the "Plains Entities"), closed. The transactions included the following:</w:t>
      </w:r>
    </w:p>
    <w:p>
      <w:pPr>
        <w:spacing w:after="0" w:line="153"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conversion of PAA GP's 2% general partner interest in us into a non-economic general partner interest (the "GP Conversion");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redemption by us (the "IDR Redemption") of all of the incentive distribution rights in PAA held by AAP (the "IDRs");</w:t>
      </w:r>
    </w:p>
    <w:p>
      <w:pPr>
        <w:spacing w:after="0" w:line="238"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consideration for the GP Conversion and IDR Redemption, (i) the assumption by us of all outstanding indebtedness and obligations under AAP's Second Amended and Restated Credit Agreement (approximately $642 million) and (ii) issuance by us to AAP of 244,707,926 common units;</w:t>
      </w:r>
    </w:p>
    <w:p>
      <w:pPr>
        <w:spacing w:after="0" w:line="207"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implementation of a unified governance structure for the Plains Entities that eliminated the board of directors of GP LLC and resulted in a single board, the board of directors of PAGP GP, being responsible for the management of PAGP, AAP and PAA;</w:t>
      </w:r>
    </w:p>
    <w:p>
      <w:pPr>
        <w:spacing w:after="0" w:line="166" w:lineRule="exact"/>
        <w:rPr>
          <w:rFonts w:ascii="Arial" w:cs="Arial" w:eastAsia="Arial" w:hAnsi="Arial"/>
          <w:sz w:val="16"/>
          <w:szCs w:val="16"/>
          <w:color w:val="auto"/>
        </w:rPr>
      </w:pPr>
    </w:p>
    <w:p>
      <w:pPr>
        <w:ind w:left="1080" w:right="20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division of the board of directors of PAGP GP into three classes and the acceleration of the date on which our preferred and common unitholders (other than AAP), together with PAGP's Class A and Class B shareholders, will begin to participate in the election of directors on an annual basis, with the first such election expected to occur in 2018;</w:t>
      </w:r>
    </w:p>
    <w:p>
      <w:pPr>
        <w:spacing w:after="0" w:line="207"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creation of a right, subject to certain limitations for the holders (excluding PAGP and GP LLC) of the Class A units of AAP ("AAP Units") to cause AAP to redeem such AAP Units in exchange for an equal number of our common units held by AAP, and the granting of resale registration rights with respect to such common units;</w:t>
      </w:r>
    </w:p>
    <w:p>
      <w:pPr>
        <w:spacing w:after="0" w:line="207"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effectuation of certain reverse stock splits to adjust the outstanding equity of PAGP, PAGP GP and AAP so that the number of outstanding PAGP Class A shares (the "Class A shares") equals the number of outstanding AAP Class A Units held by PAGP and the number of our outstanding common units held by AAP that are attributable to PAGP; accordingly, each split-adjusted Class A share represents indirect ownership of one PAA Common Unit;</w:t>
      </w:r>
    </w:p>
    <w:p>
      <w:pPr>
        <w:spacing w:after="0" w:line="224" w:lineRule="exact"/>
        <w:rPr>
          <w:rFonts w:ascii="Arial" w:cs="Arial" w:eastAsia="Arial" w:hAnsi="Arial"/>
          <w:sz w:val="18"/>
          <w:szCs w:val="18"/>
          <w:color w:val="auto"/>
        </w:rPr>
      </w:pPr>
    </w:p>
    <w:p>
      <w:pPr>
        <w:ind w:left="1080" w:right="60" w:hanging="532"/>
        <w:spacing w:after="0" w:line="323" w:lineRule="auto"/>
        <w:tabs>
          <w:tab w:leader="none" w:pos="10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entry into an omnibus agreement (the "Omnibus Agreement") designed to promote economic alignment between PAGP's Class A shareholders and our common unitholders through, among other measures, maintenance of a one-to-one relationship between the number of outstanding Class A shares and the number of our common units that PAGP indirectly owns through AAP. The Omnibus Agreement also requires PAA to bear the costs and expenses of the Plains Entities, other than income tax expenses of PAGP and its subsidiaries (excluding us and our subsidiaries);</w:t>
      </w:r>
    </w:p>
    <w:p>
      <w:pPr>
        <w:spacing w:after="0" w:line="165" w:lineRule="exact"/>
        <w:rPr>
          <w:rFonts w:ascii="Arial" w:cs="Arial" w:eastAsia="Arial" w:hAnsi="Arial"/>
          <w:sz w:val="15"/>
          <w:szCs w:val="15"/>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amendment and restatement of the governing documents of the Plains Entities, to give effect to the foregoing;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several other miscellaneous matters.</w:t>
      </w:r>
    </w:p>
    <w:p>
      <w:pPr>
        <w:spacing w:after="0" w:line="225" w:lineRule="exact"/>
        <w:rPr>
          <w:sz w:val="20"/>
          <w:szCs w:val="20"/>
          <w:color w:val="auto"/>
        </w:rPr>
      </w:pPr>
    </w:p>
    <w:p>
      <w:pPr>
        <w:ind w:right="120" w:firstLine="351"/>
        <w:spacing w:after="0" w:line="259" w:lineRule="auto"/>
        <w:rPr>
          <w:rFonts w:ascii="Arial" w:cs="Arial" w:eastAsia="Arial" w:hAnsi="Arial"/>
          <w:sz w:val="18"/>
          <w:szCs w:val="18"/>
          <w:color w:val="0000EE"/>
        </w:rPr>
      </w:pPr>
      <w:r>
        <w:rPr>
          <w:rFonts w:ascii="Arial" w:cs="Arial" w:eastAsia="Arial" w:hAnsi="Arial"/>
          <w:sz w:val="18"/>
          <w:szCs w:val="18"/>
          <w:color w:val="auto"/>
        </w:rPr>
        <w:t xml:space="preserve">For additional information about us please refer to the documents set forth under "Where You Can Find More Information" in this prospectus, including our </w:t>
      </w:r>
      <w:hyperlink r:id="rId64">
        <w:r>
          <w:rPr>
            <w:rFonts w:ascii="Arial" w:cs="Arial" w:eastAsia="Arial" w:hAnsi="Arial"/>
            <w:sz w:val="18"/>
            <w:szCs w:val="18"/>
            <w:u w:val="single" w:color="auto"/>
            <w:color w:val="0000EE"/>
          </w:rPr>
          <w:t>Annual Report on Form 10-K for the fiscal year ended December 31, 2015</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color w:val="000000"/>
        </w:rPr>
        <w:t>our</w:t>
      </w:r>
      <w:r>
        <w:rPr>
          <w:rFonts w:ascii="Arial" w:cs="Arial" w:eastAsia="Arial" w:hAnsi="Arial"/>
          <w:sz w:val="18"/>
          <w:szCs w:val="18"/>
          <w:color w:val="0000EE"/>
        </w:rPr>
        <w:t xml:space="preserve"> </w:t>
      </w:r>
      <w:hyperlink r:id="rId67">
        <w:r>
          <w:rPr>
            <w:rFonts w:ascii="Arial" w:cs="Arial" w:eastAsia="Arial" w:hAnsi="Arial"/>
            <w:sz w:val="18"/>
            <w:szCs w:val="18"/>
            <w:u w:val="single" w:color="auto"/>
            <w:color w:val="0000EE"/>
          </w:rPr>
          <w:t>Quarterly Report on Form 10-Q for the quarter ended September 30, 2016</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each of which is incorporated by reference herein.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314" w:lineRule="auto"/>
        <w:rPr>
          <w:rFonts w:ascii="Arial" w:cs="Arial" w:eastAsia="Arial" w:hAnsi="Arial"/>
          <w:sz w:val="15"/>
          <w:szCs w:val="15"/>
          <w:color w:val="auto"/>
        </w:rPr>
      </w:pPr>
      <w:r>
        <w:rPr>
          <w:rFonts w:ascii="Arial" w:cs="Arial" w:eastAsia="Arial" w:hAnsi="Arial"/>
          <w:sz w:val="15"/>
          <w:szCs w:val="15"/>
          <w:color w:val="auto"/>
        </w:rPr>
        <w:t xml:space="preserve">An investment in our common units involves a high degree of risk. Before you invest in our common units, you should carefully consider the risk factors included in Item 1A. "Risk Factors" in our </w:t>
      </w:r>
      <w:hyperlink r:id="rId64">
        <w:r>
          <w:rPr>
            <w:rFonts w:ascii="Arial" w:cs="Arial" w:eastAsia="Arial" w:hAnsi="Arial"/>
            <w:sz w:val="15"/>
            <w:szCs w:val="15"/>
            <w:u w:val="single" w:color="auto"/>
            <w:color w:val="0000EE"/>
          </w:rPr>
          <w:t>Annual Report on Form 10-K for the year ended December 31, 2015 (File No. 001-14569)</w:t>
        </w:r>
      </w:hyperlink>
      <w:r>
        <w:rPr>
          <w:rFonts w:ascii="Arial" w:cs="Arial" w:eastAsia="Arial" w:hAnsi="Arial"/>
          <w:sz w:val="15"/>
          <w:szCs w:val="15"/>
          <w:color w:val="auto"/>
        </w:rPr>
        <w:t>, which is incorporated into this prospectus by reference, together with all of the other information included in this prospectus, any prospectus supplement and the documents we incorporate by reference, in evaluating an investment in our common units. If any of these risks were to occur, our business, financial condition or results of operations could be materially adversely affected. In such case, the trading price of our common units could decline and you could lose all or part of your investment. When we offer and sell any securities pursuant to a prospectus supplement, we may include additional risk factors relevant to such securities in the prospectus supplement.</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will not receive any of the proceeds from the sale of common units by the selling unitholders in any offering. We will cause the selling unitholders to pay certain expenses, pro rata, including underwriting discounts and commissions, associated with the sale of common units by the selling unitholder.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COMMON UNITS</w:t>
      </w:r>
    </w:p>
    <w:p>
      <w:pPr>
        <w:spacing w:after="0" w:line="231"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unitholders.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Beginning in 2018, PAGP will hold an annual meeting of shareholders for the election of "eligible PAGP GP directors," which will include all directors of PAGP GP's board with expiring terms other than (i) any director subject to designation, (ii) PAGP GP's chief executive officer and (iii) any director subject to appointment by the holders of PAA's Series A Preferred Units. In connection with the closing of the transactions contemplated by the Simplification Agreement, PAGP created a new class of non-economic limited partner interests, designated as Class C shares, and issued 477,648,826 Class C shares to us. The number of Class C shares issued to us equals the sum of the number of (i) our outstanding common units, excluding common units held by AAP, and (ii) common units that would be issued to holders of Series A Preferred Units assuming conversion, in each case, as of November 15, 2016. The Class C shares are non-economic shares that will provide us, as the sole holder, the right to vote in elections of eligible PAGP GP directors together with the holders of PAGP's Class A and Class B shares. Voting at any such shareholder meetings will be non-cumulative.</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PAGP GP's board of directors is divided into three classes of directors such that each class is comprised of one designated director and two independent directors. As provided in PAGP GP's limited liability company agreement, the CEO of PAGP GP is an automatic member (and Chairman) of PAGP GP's board of directors and therefore will not be included in a class. In addition, any director subject to appointment by the holders of PAA's Series A Convertible Preferred Units (as described below under "—Cash Distribution Policy—Series A Convertible Preferred Units") will not be included in a class. Each class of directors will serve a three-year term.</w:t>
      </w:r>
    </w:p>
    <w:p>
      <w:pPr>
        <w:spacing w:after="0" w:line="19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Beginning in 2018, we will hold an annual meeting of our limited partners in advance of PAGP's annual meeting of its limited partners. The purpose of our annual meeting will be to allow our limited partners (other than AAP) to cast a "pass-through vote," instructing us how to vote the Class C shares that we own in such election of eligible PAGP directors. We will vote (or refrain from voting) our Class C shares for the election of eligible PAGP GP directors in the same proportion as the votes received from or withheld by our limited partners. At our annual meeting, common units held by AAP will not be voted and will not be counted for purposes of determining whether a quorum exists.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Except as described below under "—Limited Liability," the common units will be fully paid, and unitholders will not be required to make additional capital contributions to us.</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Each purchaser of common units must execute a transfer application whereby the purchaser requests admission as a substituted limited partner and makes representations and agrees to provisions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86"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Subject to certain limitations, each holder of AAP's Class A units (other than PAGP and GP LLC) has the right (a "Redemption Right") to cause AAP to redeem any or all of such holder's AAP Units in exchange for the distribution of an equivalent number of our common units held by AAP. In connection with any such redemption, the redeeming holder will transfer Class A units to AAP and a corresponding number of Class B shares and PAGP's company units (if any), in each case, to PAGP. The Class A units transferred to AAP will be cancelled, the Class B shares transferred to PAGP will be cancelled and the company units transferred to PAGP will remain outstanding and increase PAGP's ownership percentage in PAGP GP.</w:t>
      </w:r>
    </w:p>
    <w:p>
      <w:pPr>
        <w:spacing w:after="0" w:line="170"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As long as PAGP's Class A shares are publicly traded, a holder of vested AAP management units will be entitled to convert his or her AAP management units into AAP Class A units and a like number of Class B shares based on a conversion ratio of approximately 0.941 AAP Class A units and Class B shares for each AAP management unit. Following any such conversion, the holder will have Redemption Rights as a holder of AAP's Class A units. Holders of AAP management units who convert such units into AAP Class A units and Class B shares will not receive general partner units and thus will not need to include any general partner units in a transfer or the exercise of their Redemption Right.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distribution was in violation of the Delaware Act is liable to the limited partnership for the amount of the distribution for three years from the date of the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70"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97"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6"/>
          <w:szCs w:val="16"/>
          <w:color w:val="auto"/>
        </w:rPr>
        <w:t>We will distribute to our unitholders, on a quarterly basis, all of our available cash in the manner described below.</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Definition of Available Cash. </w:t>
      </w:r>
      <w:r>
        <w:rPr>
          <w:rFonts w:ascii="Arial" w:cs="Arial" w:eastAsia="Arial" w:hAnsi="Arial"/>
          <w:sz w:val="18"/>
          <w:szCs w:val="18"/>
          <w:color w:val="auto"/>
        </w:rPr>
        <w:t>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Cash distributions to our unitholders will be characterized as either operating surplus or capital surplus. We distribute available cash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surplus differently than available cash from capital surplus. See "—Quarterly Distributions of Available Cash."</w:t>
      </w:r>
    </w:p>
    <w:p>
      <w:pPr>
        <w:spacing w:after="0" w:line="139"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i w:val="1"/>
          <w:iCs w:val="1"/>
          <w:color w:val="auto"/>
        </w:rPr>
        <w:t>Definition of Operating Surplus.</w:t>
      </w:r>
      <w:r>
        <w:rPr>
          <w:sz w:val="20"/>
          <w:szCs w:val="20"/>
          <w:color w:val="auto"/>
        </w:rPr>
        <w:tab/>
      </w:r>
      <w:r>
        <w:rPr>
          <w:rFonts w:ascii="Arial" w:cs="Arial" w:eastAsia="Arial" w:hAnsi="Arial"/>
          <w:sz w:val="15"/>
          <w:szCs w:val="15"/>
          <w:color w:val="auto"/>
        </w:rPr>
        <w:t>Operating surplus refers generally to:</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238" w:lineRule="exact"/>
        <w:rPr>
          <w:rFonts w:ascii="Arial" w:cs="Arial" w:eastAsia="Arial" w:hAnsi="Arial"/>
          <w:sz w:val="18"/>
          <w:szCs w:val="18"/>
          <w:color w:val="auto"/>
        </w:rPr>
      </w:pPr>
    </w:p>
    <w:p>
      <w:pPr>
        <w:ind w:left="1080" w:right="48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39"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Definition of Capital Surplus.</w:t>
      </w:r>
      <w:r>
        <w:rPr>
          <w:sz w:val="20"/>
          <w:szCs w:val="20"/>
          <w:color w:val="auto"/>
        </w:rPr>
        <w:tab/>
      </w:r>
      <w:r>
        <w:rPr>
          <w:rFonts w:ascii="Arial" w:cs="Arial" w:eastAsia="Arial" w:hAnsi="Arial"/>
          <w:sz w:val="16"/>
          <w:szCs w:val="16"/>
          <w:color w:val="auto"/>
        </w:rPr>
        <w:t>Capital surplus will generally be generated only by:</w:t>
      </w:r>
    </w:p>
    <w:p>
      <w:pPr>
        <w:spacing w:after="0" w:line="252"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248"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can issue additional common units or other equity securities for consideration and under terms and conditions approved by our general partner in its sole discretion and without the approval of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unitholders. We may fund acquisitions through the issuance of additional common units or other equity securities.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Units</w:t>
      </w:r>
    </w:p>
    <w:p>
      <w:pPr>
        <w:spacing w:after="0" w:line="231"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On January 28, 2016, we completed a private placement of 61,030,127 Series A Convertible Preferred Units representing limited partner interests in us (the "preferred units") for a cash purchase price of $26.25 per unit (the "Issue Price"). The preferred units rank senior to all classes or series of equity securities in us with respect to distribution rights and rights upon liquidation. The holders of the preferred units will receive quarterly distributions, subject to customary anti-dilution adjustments, equal to an annual rate of 8% of the Issue Price ($2.10 per unit annualized). With respect to any quarter ending on or prior to December 31, 2017 (the "Initial Distribution Period"), we may elect to pay distributions on the preferred units in additional preferred units, in cash or a combination of both. With respect to any quarter ending after the Initial Distribution Period, we must pay distributions on preferred units in cash. For a period of 30 days following</w:t>
      </w:r>
    </w:p>
    <w:p>
      <w:pPr>
        <w:spacing w:after="0" w:line="1" w:lineRule="exact"/>
        <w:rPr>
          <w:sz w:val="20"/>
          <w:szCs w:val="20"/>
          <w:color w:val="auto"/>
        </w:rPr>
      </w:pPr>
    </w:p>
    <w:p>
      <w:pPr>
        <w:ind w:right="40" w:firstLine="8"/>
        <w:spacing w:after="0" w:line="252" w:lineRule="auto"/>
        <w:tabs>
          <w:tab w:leader="none" w:pos="2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fifth anniversary of the issue date of the preferred units and (b) each subsequent anniversary of the issue date, the holders of preferred units, acting by majority vote, may make a one-time election to reset the preferred unit distribution rate to equal the then applicable rate of ten-year U.S. Treasury Securities plus 5.85% (the "Distribution Rate Reset"). If the holders of preferred units have exercised the Distribution Rate Reset, then, at any time following 30 days after the sixth anniversary of the issue date of the preferred units, we may redeem all or any portion of the outstanding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201" w:lineRule="exact"/>
        <w:rPr>
          <w:sz w:val="20"/>
          <w:szCs w:val="20"/>
          <w:color w:val="auto"/>
        </w:rPr>
      </w:pPr>
    </w:p>
    <w:p>
      <w:pPr>
        <w:ind w:right="120" w:firstLine="348"/>
        <w:spacing w:after="0" w:line="286" w:lineRule="auto"/>
        <w:rPr>
          <w:sz w:val="20"/>
          <w:szCs w:val="20"/>
          <w:color w:val="auto"/>
        </w:rPr>
      </w:pPr>
      <w:r>
        <w:rPr>
          <w:rFonts w:ascii="Arial" w:cs="Arial" w:eastAsia="Arial" w:hAnsi="Arial"/>
          <w:sz w:val="16"/>
          <w:szCs w:val="16"/>
          <w:color w:val="auto"/>
        </w:rPr>
        <w:t>The holders of preferred units may convert their preferred units, generally on a one-for-one basis and subject to customary anti-dilution adjustments, at any time after the second anniversary of the issuance date (or prior to a liquidation), in whole or in part, so long as any partial conversion is not for less than</w:t>
      </w:r>
    </w:p>
    <w:p>
      <w:pPr>
        <w:ind w:right="60"/>
        <w:spacing w:after="0" w:line="288" w:lineRule="auto"/>
        <w:rPr>
          <w:sz w:val="20"/>
          <w:szCs w:val="20"/>
          <w:color w:val="auto"/>
        </w:rPr>
      </w:pPr>
      <w:r>
        <w:rPr>
          <w:rFonts w:ascii="Arial" w:cs="Arial" w:eastAsia="Arial" w:hAnsi="Arial"/>
          <w:sz w:val="16"/>
          <w:szCs w:val="16"/>
          <w:color w:val="auto"/>
        </w:rPr>
        <w:t>$100 million (calculated based on the closing price of our common units on the trading day immediately prior to the notice of conversion) or such lesser amount, if such conversion relates to all of a holder's remaining preferred units. We may convert the preferred units at any time (but not more often than once per quarter) after the third anniversary of the issuance date,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preferred units. The preferred units will vote on an as-converted basis with our common units and will have certain other class voting rights with respect to any amendment to our partnership agreement that would adversely affect any rights, preferences or privileges of the preferred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23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After making distributions to holders of outstanding preferred units, we will make quarterly distributions to our common unitholders prior to our liquidation in an amount equal to 100% of our available cash for that quarter. We expect to make distributions of all available cash within 45 days after the end of each quarter to holders of record on the applicable record date.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231" w:lineRule="exact"/>
        <w:rPr>
          <w:sz w:val="20"/>
          <w:szCs w:val="20"/>
          <w:color w:val="auto"/>
        </w:rPr>
      </w:pPr>
    </w:p>
    <w:p>
      <w:pPr>
        <w:ind w:right="380" w:firstLine="348"/>
        <w:spacing w:after="0" w:line="370" w:lineRule="auto"/>
        <w:rPr>
          <w:sz w:val="20"/>
          <w:szCs w:val="20"/>
          <w:color w:val="auto"/>
        </w:rPr>
      </w:pPr>
      <w:r>
        <w:rPr>
          <w:rFonts w:ascii="Arial" w:cs="Arial" w:eastAsia="Arial" w:hAnsi="Arial"/>
          <w:sz w:val="15"/>
          <w:szCs w:val="15"/>
          <w:color w:val="auto"/>
        </w:rPr>
        <w:t>We will make distributions of available cash from operating surplus to all unitholders, pro rata until we distribute an aggregate amount of available cash equal to the aggregate operating surplus generated by the Partnership from the time of our IPO through the end of the quarter in respect of such distribution.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ind w:left="360"/>
        <w:spacing w:after="0"/>
        <w:tabs>
          <w:tab w:leader="none" w:pos="4380" w:val="left"/>
        </w:tabs>
        <w:rPr>
          <w:sz w:val="20"/>
          <w:szCs w:val="20"/>
          <w:color w:val="auto"/>
        </w:rPr>
      </w:pPr>
      <w:r>
        <w:rPr>
          <w:rFonts w:ascii="Arial" w:cs="Arial" w:eastAsia="Arial" w:hAnsi="Arial"/>
          <w:sz w:val="18"/>
          <w:szCs w:val="18"/>
          <w:i w:val="1"/>
          <w:iCs w:val="1"/>
          <w:color w:val="auto"/>
        </w:rPr>
        <w:t>How Distributions from Capital Surplus Will Be Made.</w:t>
      </w:r>
      <w:r>
        <w:rPr>
          <w:sz w:val="20"/>
          <w:szCs w:val="20"/>
          <w:color w:val="auto"/>
        </w:rPr>
        <w:tab/>
      </w:r>
      <w:r>
        <w:rPr>
          <w:rFonts w:ascii="Arial" w:cs="Arial" w:eastAsia="Arial" w:hAnsi="Arial"/>
          <w:sz w:val="16"/>
          <w:szCs w:val="16"/>
          <w:color w:val="auto"/>
        </w:rPr>
        <w:t>We will make distributions of available cash from capital surplus in the following manner:</w:t>
      </w:r>
    </w:p>
    <w:p>
      <w:pPr>
        <w:spacing w:after="0" w:line="239" w:lineRule="exact"/>
        <w:rPr>
          <w:sz w:val="20"/>
          <w:szCs w:val="20"/>
          <w:color w:val="auto"/>
        </w:rPr>
      </w:pPr>
    </w:p>
    <w:p>
      <w:pPr>
        <w:ind w:left="10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First, 100% to all unitholders, pro rata, until we distribute available cash from capital surplus in an aggregate amount per common unit equal to the initial public offering price;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231"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If we dissolve and liquidate, we will sell our assets or otherwise dispose of our assets and we will adjust the partners' capital account balances to show any resulting gain or loss. We will apply the proceeds of liquidation (i) first to the payment of our creditors in the order of priority provided in our partnership agreement and by law (ii) second to the holders of outstanding preferred units in accordance with the adjusted capital account balances, and, (iii) thereafter, distribute to the unitholders and the general partner in accordance with their adjusted capital account balances.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19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U.S. Federal Income Tax Consequences;"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1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6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common units will not have preemptive rights to acquire additional common units or other partnership interests in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97"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97"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13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208"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252" w:lineRule="exact"/>
        <w:rPr>
          <w:rFonts w:ascii="Arial" w:cs="Arial" w:eastAsia="Arial" w:hAnsi="Arial"/>
          <w:sz w:val="18"/>
          <w:szCs w:val="18"/>
          <w:color w:val="auto"/>
        </w:rPr>
      </w:pPr>
    </w:p>
    <w:p>
      <w:pPr>
        <w:ind w:left="5620" w:right="2140" w:hanging="5072"/>
        <w:spacing w:after="0" w:line="519" w:lineRule="auto"/>
        <w:tabs>
          <w:tab w:leader="none" w:pos="108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next, to all holders of preferred units in accordance with the positive balance in their respective capital accounts; and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finally to all partners in accordance with the positive balance in their respective capital accounts.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some circumstances and subject to some limitations, the liquidator may defer liquidation or distribution of our assets for a reasonable period of time.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213" w:lineRule="exact"/>
        <w:rPr>
          <w:sz w:val="20"/>
          <w:szCs w:val="20"/>
          <w:color w:val="auto"/>
        </w:rPr>
      </w:pPr>
    </w:p>
    <w:p>
      <w:pPr>
        <w:ind w:left="1080" w:right="3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If at any time our general partner and its affiliates (other than, with respect to the of preferred units, such affiliates that originally purchased the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70"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260" w:firstLine="348"/>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70" w:lineRule="exact"/>
        <w:rPr>
          <w:sz w:val="20"/>
          <w:szCs w:val="20"/>
          <w:color w:val="auto"/>
        </w:rPr>
      </w:pPr>
    </w:p>
    <w:p>
      <w:pPr>
        <w:ind w:right="100" w:firstLine="351"/>
        <w:spacing w:after="0" w:line="287" w:lineRule="auto"/>
        <w:rPr>
          <w:sz w:val="20"/>
          <w:szCs w:val="20"/>
          <w:color w:val="auto"/>
        </w:rPr>
      </w:pPr>
      <w:r>
        <w:rPr>
          <w:rFonts w:ascii="Arial" w:cs="Arial" w:eastAsia="Arial" w:hAnsi="Arial"/>
          <w:sz w:val="16"/>
          <w:szCs w:val="16"/>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and does not describe the application of the alternative minimum tax that may be applicable to certain unitholders. Furthermore, this section focuses on unitholders who are individual citizens or residents of the United States (for federal income tax purposes), who have the U.S. dollar as their functional currency, who use the calendar year as their taxable year,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Arial" w:cs="Arial" w:eastAsia="Arial" w:hAnsi="Arial"/>
          <w:sz w:val="16"/>
          <w:szCs w:val="16"/>
          <w:b w:val="1"/>
          <w:bCs w:val="1"/>
          <w:i w:val="1"/>
          <w:iCs w:val="1"/>
          <w:color w:val="auto"/>
        </w:rPr>
        <w:t>Accordingly, we encourage each unitholder to consult the unitholder's own tax advisor in analyzing the U.S. federal,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 local and non-U.S. tax consequences particular to that unitholder resulting from ownership or disposition of units and potential changes in applicable tax laws</w:t>
      </w:r>
      <w:r>
        <w:rPr>
          <w:rFonts w:ascii="Arial" w:cs="Arial" w:eastAsia="Arial" w:hAnsi="Arial"/>
          <w:sz w:val="16"/>
          <w:szCs w:val="16"/>
          <w:color w:val="auto"/>
        </w:rPr>
        <w:t>.</w:t>
      </w:r>
    </w:p>
    <w:p>
      <w:pPr>
        <w:spacing w:after="0" w:line="17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relying on opinions and advice of Vinson &amp; Elkins L.L.P. with respect to the matters described herein. An opinion of counsel represents only that counsel's best legal judgment and does not bind the Internal Revenue Service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7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"—Tax Consequences of Unit Ownership—Treatment of Securities Loans"); (2) whether our monthly convention for allocating taxable income and losses is permitted by existing Treasury Regulations (please read "—Disposition of Units—Allocations Between Transferors and Transferees"); and (3) whether our method for taking into account Section 743 adjustments is sustainable in certain cases (please read "—Tax Consequences of Unit Ownership—Section 754 Election" and "— Uniformity of Units").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225"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We expect to be treated as a partnership for U.S. federal income tax purposes and, therefore, generally will not be liable for entity-level federal income taxes. Instead, as described below, each of our unitholders will take into account its respective share of our items of income, gain, loss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94"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Section 7704 of the Code generally provides that publicly traded partnerships will be treated as corporations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201" w:lineRule="exact"/>
        <w:rPr>
          <w:sz w:val="20"/>
          <w:szCs w:val="20"/>
          <w:color w:val="auto"/>
        </w:rPr>
      </w:pPr>
    </w:p>
    <w:p>
      <w:pPr>
        <w:jc w:val="both"/>
        <w:ind w:right="460" w:firstLine="351"/>
        <w:spacing w:after="0" w:line="256" w:lineRule="auto"/>
        <w:rPr>
          <w:sz w:val="20"/>
          <w:szCs w:val="20"/>
          <w:color w:val="auto"/>
        </w:rPr>
      </w:pPr>
      <w:r>
        <w:rPr>
          <w:rFonts w:ascii="Arial" w:cs="Arial" w:eastAsia="Arial" w:hAnsi="Arial"/>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97" w:lineRule="exact"/>
        <w:rPr>
          <w:sz w:val="20"/>
          <w:szCs w:val="20"/>
          <w:color w:val="auto"/>
        </w:rPr>
      </w:pPr>
    </w:p>
    <w:p>
      <w:pPr>
        <w:ind w:left="1220" w:hanging="321"/>
        <w:spacing w:after="0"/>
        <w:tabs>
          <w:tab w:leader="none" w:pos="1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Neither we nor any of our partnership or limited liability company subsidiaries has elected to be treated as a corporation for federal income tax</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218" w:lineRule="exact"/>
        <w:rPr>
          <w:rFonts w:ascii="Arial" w:cs="Arial" w:eastAsia="Arial" w:hAnsi="Arial"/>
          <w:sz w:val="16"/>
          <w:szCs w:val="16"/>
          <w:color w:val="auto"/>
        </w:rPr>
      </w:pPr>
    </w:p>
    <w:p>
      <w:pPr>
        <w:ind w:left="540" w:firstLine="359"/>
        <w:spacing w:after="0" w:line="332" w:lineRule="auto"/>
        <w:tabs>
          <w:tab w:leader="none" w:pos="1228"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39" w:lineRule="exact"/>
        <w:rPr>
          <w:rFonts w:ascii="Arial" w:cs="Arial" w:eastAsia="Arial" w:hAnsi="Arial"/>
          <w:sz w:val="16"/>
          <w:szCs w:val="16"/>
          <w:color w:val="auto"/>
        </w:rPr>
      </w:pPr>
    </w:p>
    <w:p>
      <w:pPr>
        <w:ind w:left="540" w:right="220" w:firstLine="359"/>
        <w:spacing w:after="0" w:line="259" w:lineRule="auto"/>
        <w:tabs>
          <w:tab w:leader="none" w:pos="12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74"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present U.S. federal income tax treatment of publicly traded partnerships, including us, or an investment in our common units may be modified by administrative, legislative or judicial interpretation at any time. For example, from time to time, members of the U.S. Congress and the President propose and consider substantive changes to the existing federal income tax laws that affect publicly traded partnerships, including the elimination of the Qualifying Income Exception upon which we rely for our treatment as a partnership for federal income tax purposes.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the IRS has issued proposed regulations regarding qualifying income under Section 7704(d)(1)(E) of the Code (the "Proposed Regulations"). We do not believe the Proposed Regulations affect our ability to qualify as a publicly traded partnership. However, there are no assurances that final regulations will not include changes that interpret Section 7704(d)(1)(E) in a manner that is contrary to the Proposed Regulations, which could modify the amount of our gross income that we are able to treat as qualifying income for the purposes of the Qualifying Income Exception. We are unable to predict whether any such changes will ultimately be enacted. However, it is possible that a change in law could affect us and may be applied retroactively. Any such changes could negatively impact the value of an investment in our common units.</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units, and thereafter (iii) taxable capital gain.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remainder of this discussion is based on the opinion of Vinson &amp; Elkins L.L.P. that we will be treated as a partnership for federal income tax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208"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8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98"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"—Tax Consequences of Unit Ownership—Treatment of Securities Loans." Unitholders who are not treated as partners in us as described above are urged to consult their own tax advisors with respect to the tax consequences applicable to them under the circumstances.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Subject to the discussion below under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without regard to whether we make cash distributions to such unitholder. Consequently, we may allocate income to a unitholder even if that unitholder has not received a cash distribution.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225" w:lineRule="exact"/>
        <w:rPr>
          <w:sz w:val="20"/>
          <w:szCs w:val="20"/>
          <w:color w:val="auto"/>
        </w:rPr>
      </w:pPr>
    </w:p>
    <w:p>
      <w:pPr>
        <w:ind w:right="180" w:firstLine="341"/>
        <w:spacing w:after="0" w:line="255" w:lineRule="auto"/>
        <w:rPr>
          <w:sz w:val="20"/>
          <w:szCs w:val="20"/>
          <w:color w:val="auto"/>
        </w:rPr>
      </w:pPr>
      <w:r>
        <w:rPr>
          <w:rFonts w:ascii="Arial" w:cs="Arial" w:eastAsia="Arial" w:hAnsi="Arial"/>
          <w:sz w:val="18"/>
          <w:szCs w:val="18"/>
          <w:color w:val="auto"/>
        </w:rPr>
        <w:t>A unitholder's tax basis in its units initially will be the amount paid for those units increased by the unitholder's initial share of our liabilities. That basis generally will be (i) increased by the unitholder's share of our income and any increases in such unitholder's share of our liabilities, and (ii) decreased, but not below zero, by the amount of all distributions to the unitholder, the unitholder's share of our losses, and any decreases in the unitholder's share of our liabilities. The IRS has ruled that a partner who acquires interests in a partnership in separate transactions must combine those interests and maintain a single adjusted tax basis for all of those interests.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"—Disposition of Units."</w:t>
      </w:r>
    </w:p>
    <w:p>
      <w:pPr>
        <w:spacing w:after="0" w:line="139"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Any reduction in a unitholder's share of our liabilities will be treated as a distribution by us of cash to that unitholder. A decrease in a unitholder's percentage interest in us because of our issuance of additional units may decrease the unitholder's share of our nonrecourse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97"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 non-pro rata distribution of money or property (including a deemed distribution as a result of the reduction in a unitholder's share of our liabilities as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an allocable portion of the non-pro rata distribution. This latter deemed exchange generally will result in the unitholder's realization of ordinary income in an amount equal to the excess of (1) the non-pro rata portion of that distribution over (2) the unitholder's tax basis (generally zero) in the Section 751 Assets deemed to be relinquished in the exchange.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97"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w:t>
      </w:r>
    </w:p>
    <w:p>
      <w:pPr>
        <w:spacing w:after="0" w:line="16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Consequently, any passive losses we generate will be available to offset only passive income generated by us.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deductibility of a non-corporate taxpayer's "investment interest expense" generally is limited to the amount of that taxpayer's "net investment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 interest expense includes:</w:t>
      </w:r>
    </w:p>
    <w:p>
      <w:pPr>
        <w:spacing w:after="0" w:line="232"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248"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(if applicable) or gains attributable to the disposition of property held for investment. A unitholder's share of a publicly traded partnership's portfolio income and, according to the IRS, net passive income will be treated as investment income for purposes of the investment interest expense limitation.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If we are required or elect under applicable law to pay any federal, state, local or non-U.S. tax on behalf of any current or former unitholder, we are authorized to pay those taxes and treat the payment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a distribution of cash to the relevant unitholder. If the payment is made on behalf of a unitholder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items of income, gain, loss and deduction will be allocated among our unitholders in accordance with their percentage interests in us.</w:t>
      </w:r>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Specified items of our income, gain, loss and deduction will be allocated under Section 704(c) of the Code (or the principles of Section 704(c) of the Code) to account for any difference between the tax basis and fair market value of our assets at the time such assets are contributed to us and at the time of any subsequent offering of our units (a "Book-Tax Disparity"). As a result, the U.S. federal income tax burden associated with any Book-Tax Disparity immediately prior to an offering generally will be borne by our partners holding interests in us prior to such offering.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198"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An allocation of items of our income, gain, loss or deduction, other than an allocation required by the Code to eliminate a Book-Tax Disparity, will generally be given effect for U.S. federal income tax purposes in determining a partner's share of an item of income, gain, loss or deduction only if the allocation has "substantial economic effect." In any other case, a partner's share of an item will be determined on the basis of the partner's interest in us, which will be determined by taking into account all the facts and circumstances, including (i) his relative contributions to us, (ii) the interests of all the partners in profits and losses, (iii) the interest of all the partners in cash flow and (iv) the rights of all the partners to distributions of capital upon liquidation. Vinson &amp; Elkins L.L.P. is of the opinion that, with the exception of the issues described in "—Section 754 Election" and "—Disposition of Units—Allocations Between Transferors and Transferees," allocations under our partnership agreement will be given effect for U.S. federal income tax purposes in determining a partner's share of an item of income, gain, loss, or deduction.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225" w:lineRule="exact"/>
        <w:rPr>
          <w:sz w:val="20"/>
          <w:szCs w:val="20"/>
          <w:color w:val="auto"/>
        </w:rPr>
      </w:pPr>
    </w:p>
    <w:p>
      <w:pPr>
        <w:jc w:val="both"/>
        <w:ind w:right="120" w:firstLine="341"/>
        <w:spacing w:after="0" w:line="298" w:lineRule="auto"/>
        <w:rPr>
          <w:sz w:val="20"/>
          <w:szCs w:val="20"/>
          <w:color w:val="auto"/>
        </w:rPr>
      </w:pPr>
      <w:r>
        <w:rPr>
          <w:rFonts w:ascii="Arial" w:cs="Arial" w:eastAsia="Arial" w:hAnsi="Arial"/>
          <w:sz w:val="16"/>
          <w:szCs w:val="16"/>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167"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brokers from borrowing and lending their units. The IRS has announced that it is studying issues relating to the tax treatment of short sales of partnership interests. Please read "—Disposition of Units—Recognition of Gain or Loss."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Rates</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39.6% and 20%, respectively. These rates are subject to change by new legislation at any time.</w:t>
      </w:r>
    </w:p>
    <w:p>
      <w:pPr>
        <w:spacing w:after="0" w:line="19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addition, a 3.8% net investment income tax applies to certain net investment income earned by individuals, estates and trusts. For these purposes, net investment income generally includes a common unitholder's allocable share of our income and gain realized by a common unitholder from a sale of units. In the case of an individual, the tax will be imposed on the lesser of (i) the common unitholder's net investment income from all investments and (ii) the amount by which the common unitholder's modified adjusted gross income exceeds $250,000 (if the unitholder is married and filing jointly or a surviving spouse), $125,000 (if married filing separately) or $200,000 (if the unitholder is unmarried or in any other case). In the case of an estate or trust, the tax will be imposed on the lesser of (i) undistributed net investment income and (ii) the excess adjusted gross income over the dollar amount at which the highest income tax bracket applicable to an estate or trust begins.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jc w:val="both"/>
        <w:ind w:right="140" w:firstLine="348"/>
        <w:spacing w:after="0" w:line="298" w:lineRule="auto"/>
        <w:rPr>
          <w:sz w:val="20"/>
          <w:szCs w:val="20"/>
          <w:color w:val="auto"/>
        </w:rPr>
      </w:pPr>
      <w:r>
        <w:rPr>
          <w:rFonts w:ascii="Arial" w:cs="Arial" w:eastAsia="Arial" w:hAnsi="Arial"/>
          <w:sz w:val="16"/>
          <w:szCs w:val="16"/>
          <w:color w:val="auto"/>
        </w:rPr>
        <w:t>We have made the election permitted by Section 754 of the Code ("Section 754 Election") that permits us to adjust the tax bases in our assets as to specific purchasers of our units under Section 743(b) of the Code ("Section 743(b) Adjustment").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w:t>
      </w:r>
    </w:p>
    <w:p>
      <w:pPr>
        <w:spacing w:after="0" w:line="167"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Under our partnership agreement, we are authorized to take a position to preserve the uniformity of units even if that position is not consistent with applicable Treasury Regulations. A literal application of Treasury Regulations governing a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"—Uniformity of Units."</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 challenge to such treatment were sustained, the gain from the sale of units may be increased without the benefit of additional deductions.</w:t>
      </w:r>
    </w:p>
    <w:p>
      <w:pPr>
        <w:spacing w:after="0" w:line="197" w:lineRule="exact"/>
        <w:rPr>
          <w:sz w:val="20"/>
          <w:szCs w:val="20"/>
          <w:color w:val="auto"/>
        </w:rPr>
      </w:pPr>
    </w:p>
    <w:p>
      <w:pPr>
        <w:ind w:right="340" w:firstLine="348"/>
        <w:spacing w:after="0" w:line="298"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goodwill or nondepreciable assets. Goodwill, as an intangible asset, is generally nonamortizable; however, if amortizable, it is amortizable over a longer period of time or under a less accelerated method than our tangible assets. We cannot assure any unitholder that the determinations we make will not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Section 754 Election not been revoked.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"—Disposition of Units—Allocations Between Transferors and Transferees."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tax basis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"—Tax Consequences of Unit Ownership—Allocation of Income, Gain, Loss and Deduction" and "— Disposition of Units—Recognition of Gain or Loss."</w:t>
      </w:r>
    </w:p>
    <w:p>
      <w:pPr>
        <w:spacing w:after="0" w:line="17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Tax Basis of Our Properties</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federal income tax consequences of the ownership and disposition of units will depend in part on our estimates of the relative fair market values and the initial tax basis of our assets. Although we may from time to time consult with professional appraisers regarding valuation matters, we will make many of the relative fair market value and tax basis estimates and determinations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7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For purposes of calculating gain or loss on the sale of units, the unitholder's adjusted tax basis will be adjusted by its allocable share of our income or loss in respect of its units for the year of the sale. Furthermore, as described above, the IRS has ruled that a partner who acquires interests in a partnership in separate transactions must combine those interests and maintain a single adjusted tax basis for all of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74"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8"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5620" w:right="3140" w:hanging="5072"/>
        <w:spacing w:after="0" w:line="519" w:lineRule="auto"/>
        <w:tabs>
          <w:tab w:leader="none" w:pos="1082"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Although simplifying conventions are contemplated by the Code and most publicly traded partnerships use similar simplifying conventions, the use of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method may not be permitted under existing Treasury Regulations. Recently, however, the Department of the Treasury and the IRS issued final Treasury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Regulations pursuant to which a publicly traded partnership may use a similar monthly simplifying convention to allocate tax items among transferor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transferee unitholders. Nonetheless, the regulations do not specifically authorize the use of the proration method we have adopted. Accordingly, Vinson &amp;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Elkins L.L.P. is unable to opine on the validity of this method of allocating income and deductions between transferee and transferor unitholders. If this method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allowed under the final Treasury Regulations, or only applies to transfers of less than all of the unitholder's interest, our taxable income or losses could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reallocated among our unitholders. We are authorized to revise our method of allocation between transferee and transferor unitholders, as well as among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unitholders whose interests vary during a taxable year, to conform to a method permitted under the Treasury Regulations.</w:t>
      </w:r>
    </w:p>
    <w:p>
      <w:pPr>
        <w:spacing w:after="0" w:line="219"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225"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Constructive Termination</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will be considered to have "constructively" terminated as a partnership for U.S.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year may result in more than twelve months of our taxable income or loss being includable in such unitholder's taxable income for the year of termination.</w:t>
      </w:r>
    </w:p>
    <w:p>
      <w:pPr>
        <w:spacing w:after="0" w:line="248"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 constructively terminated partnership to provide a single Schedule K-1 for the calendar year in which a termination occurs. Following a constructive termination, we would be required to make new tax elections, including a new Section 754 Election, and the termination would result in a deferral of our deductions for depreciation. A termination could also result in penalties if we were unable to determine that the termination had occurred.</w:t>
      </w:r>
    </w:p>
    <w:p>
      <w:pPr>
        <w:spacing w:after="0" w:line="170"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Moreover, a termination may either accelerate the application of, or subject us to, any tax legislation enacted before the termination that would not otherwise have been applied to us as a continuing, as opposed to a terminating, partnership.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Because we cannot match transferors and transferees of units and for other reasons, we must maintain uniformity of the economic and tax characteristics of the units to a purchaser of these units. In the absence of uniformity, we may be unable to completely comply with a number of U.S. federal income tax requirements. Any non-uniformity could have a negative impact on the value of the units. Please read "—Tax Consequences of Unit Ownership—Allocation of Income, Gain, Loss and Deduction—Section 754 Election."</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197"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above and "—Tax Consequences of Unit Ownership —Allocation of Income, Gain, Loss and Deduction—Section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Ownership of units by employee benefit plans and other tax-exempt organizations as well as by non-resident alien individuals, non-U.S. corporations and other non-U.S. persons (collectively, "Non-U.S. Unitholders") raises issues unique to those investors and, as described below, may have substantially adverse tax consequences to them. Prospective unitholders that are tax-exempt entities or Non-U.S. Unitholders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Non-U.S. Unitholders are taxed by the United States on income effectively connected with the conduct of a U.S. trade or business ("effectively connected income") and on certain types of U.S.-source non-effectively connected income (such as dividends), and unless exempted or further limited by an income tax treaty, will be considered to be engaged in business in the United States because of their ownership of our units. Furthermore, is it probable that they will be deemed to conduct such activities through permanent establishments in the United States within the meaning of applicable tax treaties. Consequently, they will be required to file federal tax returns to report their share of our income, gain, loss or deduction and pay federal income tax on their share of our net income or gain. Moreover, under rules applicable to publicly traded partnerships, distributions to Non-U.S. Unitholders are subject to withholding at the highest applicable effective tax rate. Each Non-U.S. Unitholder must obtain a taxpayer identification number from the IRS and submit that number to our transfer agent on a Form W-8BEN, W-8BEN-E, or applicable substitute form in order to obtain credit for these withholding taxes.</w:t>
      </w:r>
    </w:p>
    <w:p>
      <w:pPr>
        <w:spacing w:after="0" w:line="172"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addition, because a Non-U.S. Unitholder classified as a corporation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to the extent reflected in the corporation's effectively connected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gain recognized by a non-U.S. person from the sale of its interest in a partnership that is engaged in a trade or business in the United States will be considered to be effectively connected with a U.S. trade or business. Thus, part or all of a Non-U.S. Unitholder's gain from the sale or other disposition of its units may be treated as effectively connected with a unitholder's indirect U.S. trade or business constituted by its investment in us. Moreover, under the Foreign Investment in Real Property Tax Act, a Non-U.S. Unitholder generally will be subject to federal income tax upon the sale or disposition of a unit if (i) it owned (directly or indirectly constructively applying certain attribution rules) more than 5% of our units at any time during the five-year period ending on the date of such disposition and (ii) 50% or more of the fair market value of our worldwide real property interests and our other assets used or held for use in a trade or business consisted of U.S. real property interests (which include U.S. real estate, including land, improvements, certain associated personal property, and interests in certain entities holding U.S. real estate) at any time during the shorter of the period during which such unitholder held the units or the 5-year period ending on the date of disposition. More than 50% of our assets may consist of U.S. real property interests. Therefore, Non-U.S. Unitholders may be subject to federal income tax on gain from the sale or disposition of their units.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assure our unitholders that those positions will yield a result that conforms to all of the requirements of the Code, Treasury Regulations or administrative interpretations of the IRS.</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IRS may audit our U.S.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Tax Matters Partner has made and will make elections on our behalf and on behalf of common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in that action.</w:t>
      </w:r>
    </w:p>
    <w:p>
      <w:pPr>
        <w:spacing w:after="0" w:line="172"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Audit Rules for Tax Years Beginning After December 31, 2017</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Recently enacted legislation, for taxable years beginning after December 31, 2017, changes the audit procedures for large partnerships and in certain circumstances would permit the IRS to assess and collect taxes (including any applicable penalties and interest) resulting from partnership-level federal income tax audits directly from us in the year in which the audit is completed. If we are required to make payments of taxes, penalties and interest resulting from audit adjustments, our cash available for distribution to our unitholders might be substantially reduced. Pursuant to this new legislation, we are required to designate an eligible person to act as the "Partnership Representative" with exclusive authority to act on our behalf in connection with federal income tax audits, requests by us for administrative adjustments, and any judicial proceedings arising in connection with those matters. Actions taken by the Partnership Representative will be binding on us and all of our unitholders. We anticipate that our general partner or its designee will act as the Partnership Representative.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25" w:lineRule="exact"/>
        <w:rPr>
          <w:sz w:val="20"/>
          <w:szCs w:val="20"/>
          <w:color w:val="auto"/>
        </w:rPr>
      </w:pPr>
    </w:p>
    <w:p>
      <w:pPr>
        <w:ind w:left="5620" w:right="3480" w:hanging="4721"/>
        <w:spacing w:after="0" w:line="519" w:lineRule="auto"/>
        <w:tabs>
          <w:tab w:leader="none" w:pos="12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40" w:hanging="341"/>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25" w:lineRule="exact"/>
        <w:rPr>
          <w:rFonts w:ascii="Arial" w:cs="Arial" w:eastAsia="Arial" w:hAnsi="Arial"/>
          <w:sz w:val="18"/>
          <w:szCs w:val="18"/>
          <w:color w:val="auto"/>
        </w:rPr>
      </w:pPr>
    </w:p>
    <w:p>
      <w:pPr>
        <w:ind w:left="1760" w:hanging="320"/>
        <w:spacing w:after="0"/>
        <w:tabs>
          <w:tab w:leader="none" w:pos="17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 non-U.S. government, an international organization or any wholly owned agency or instrumentality of either of the foregoing; or</w:t>
      </w:r>
    </w:p>
    <w:p>
      <w:pPr>
        <w:spacing w:after="0" w:line="248" w:lineRule="exact"/>
        <w:rPr>
          <w:rFonts w:ascii="Arial" w:cs="Arial" w:eastAsia="Arial" w:hAnsi="Arial"/>
          <w:sz w:val="16"/>
          <w:szCs w:val="16"/>
          <w:color w:val="auto"/>
        </w:rPr>
      </w:pPr>
    </w:p>
    <w:p>
      <w:pPr>
        <w:ind w:left="1760" w:hanging="320"/>
        <w:spacing w:after="0"/>
        <w:tabs>
          <w:tab w:leader="none" w:pos="17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25" w:lineRule="exact"/>
        <w:rPr>
          <w:rFonts w:ascii="Arial" w:cs="Arial" w:eastAsia="Arial" w:hAnsi="Arial"/>
          <w:sz w:val="18"/>
          <w:szCs w:val="18"/>
          <w:color w:val="auto"/>
        </w:rPr>
      </w:pPr>
    </w:p>
    <w:p>
      <w:pPr>
        <w:ind w:left="540" w:right="80" w:firstLine="359"/>
        <w:spacing w:after="0" w:line="268" w:lineRule="auto"/>
        <w:tabs>
          <w:tab w:leader="none" w:pos="12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Brokers and financial institutions are required to furnish additional information, including whether they are U.S. persons and specific information on units they acquire, hold or transfer for their own account. A penalty of $250 per failure, up to a maximum of $3 million per calendar year, is imposed by the Code for failure to report that information to us. The nominee is required to supply the beneficial owner of the units with the information furnished to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174" w:lineRule="exact"/>
        <w:rPr>
          <w:sz w:val="20"/>
          <w:szCs w:val="20"/>
          <w:color w:val="auto"/>
        </w:rPr>
      </w:pPr>
    </w:p>
    <w:p>
      <w:pPr>
        <w:ind w:right="200" w:firstLine="341"/>
        <w:spacing w:after="0" w:line="289" w:lineRule="auto"/>
        <w:rPr>
          <w:sz w:val="20"/>
          <w:szCs w:val="20"/>
          <w:color w:val="auto"/>
        </w:rPr>
      </w:pPr>
      <w:r>
        <w:rPr>
          <w:rFonts w:ascii="Arial" w:cs="Arial" w:eastAsia="Arial" w:hAnsi="Arial"/>
          <w:sz w:val="16"/>
          <w:szCs w:val="16"/>
          <w:color w:val="auto"/>
        </w:rPr>
        <w:t>Although you may not be required to file a return and pay taxes in some jurisdictions because your income from that jurisdiction falls below the filing and payment requirement, you will be required to file income tax returns and to pay income taxes in many of these jurisdictions in which we do business or own property and may be subject to penalties for failure to comply with those requirements, even if you do not live in those jurisdictions. In some jurisdictions, tax losses may not produce a tax benefit in the year incurred and also may not be available to offset income in subsequent taxable years.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read "—Tax Consequences of Unit Ownership—Entity-Level</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Collections." Based on current law and our estimate of our future operations, our general partner anticipates that any amounts required to be withheld will not be material.</w:t>
      </w:r>
    </w:p>
    <w:p>
      <w:pPr>
        <w:spacing w:after="0" w:line="180"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UNITHOLDERS</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are registering the offering of 143,936,001 common units that were issued to AAP pursuant to the Simplification Agreement. Pursuant to the Eighth Amended and Restated Limited Partnership of AAP (the "AAP Partnership Agreement"), the beneficial owners of Class A units of AAP ("AAP Units") listed in the table below have the right, subject to certain limitations, to cause AAP to redeem any or all of their Class A units and distribute to such beneficial owner, for each Class A unit redeemed, one common unit (a "Redemption Right").</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AAP Partnership Agreement generally restricts, subject to certain exceptions, each holder of AAP Units (other than PAGP and GP LLC, which have not been granted Redemption Rights) from exercising its Redemption Rights with respect to approximately 22% of its AAP Units until November 15, 2017. Greg Armstrong and Harry Pefanis, our general partner's Chief Executive Officer and Chief Operating Officer, respectively, will be restricted from directly or indirectly (through PAA Management, L.P.) exercising their respective Redemption Rights with respect to 100% of their AAP Units during the same period. These restrictions are designed to reduce, but not eliminate, the risk that any redemptions during the first twelve months following the closing of the transactions contemplated by the Simplification Agreement, combined with public trading of our common units, will cause a technical tax termination of us.</w:t>
      </w:r>
    </w:p>
    <w:p>
      <w:pPr>
        <w:spacing w:after="0" w:line="174"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No offer or sale may occur unless the registration statement that includes this prospectus has been declared effective by the SEC and remains effective at the time such selling unitholder offers or sells common units. We are required, under certain circumstances, to update, supplement or amend this prospectus to reflect material developments in our business, financial position and results of operations and may do so by an amendment to this prospectus, a prospectus supplement or a future filing with the SEC incorporated by reference in this prospectus.</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Each of Oxy Holding Company (Pipeline), Inc., EMG Investment, LLC ("EMG") and KAFU Holdings, L.P. ("KAFU") are entitled to appoint one member of the board of directors of PAGP GP pursuant to PAGP GP's limited liability company agreement.</w:t>
      </w:r>
    </w:p>
    <w:p>
      <w:pPr>
        <w:spacing w:after="0" w:line="186" w:lineRule="exact"/>
        <w:rPr>
          <w:sz w:val="20"/>
          <w:szCs w:val="20"/>
          <w:color w:val="auto"/>
        </w:rPr>
      </w:pPr>
    </w:p>
    <w:p>
      <w:pPr>
        <w:ind w:right="180" w:firstLine="348"/>
        <w:spacing w:after="0" w:line="310" w:lineRule="auto"/>
        <w:rPr>
          <w:sz w:val="20"/>
          <w:szCs w:val="20"/>
          <w:color w:val="auto"/>
        </w:rPr>
      </w:pPr>
      <w:r>
        <w:rPr>
          <w:rFonts w:ascii="Arial" w:cs="Arial" w:eastAsia="Arial" w:hAnsi="Arial"/>
          <w:sz w:val="15"/>
          <w:szCs w:val="15"/>
          <w:color w:val="auto"/>
        </w:rPr>
        <w:t>The following table sets forth information relating to the selling unitholders as of November 15, 2016 based on information supplied to us by the selling unitholders on or prior to that date. We have not sought to verify such information. Information concerning the selling unitholders may change over time and selling unitholders may be added; if necessary, we will supplement this prospectus accordingly. Except as set forth below, none of the selling unitholders is a broker-dealer registered under Section 15 of the Exchange Act or an affiliate of a broker-dealer registered under Section 15 of the Exchange Act. The selling unitholders may hold or acquire at any time common units in addition to those offered by this prospectus and may have acquired additional common units since the date on which the information reflected herein was provided to us. In addition, the selling unitholders may have sold, transferred or otherwise disposed of some or all of their common units since the date on which the information reflected herein was provided to us and may in the future sell, transfer or otherwise dispose of some or all of their common units in private placement transactions exempt from or not subject to the registration requirements of the Securities Act.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November 15, 2016, there were an aggregate of 657,967,899 common units outstanding.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 of</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Common</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Units</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Units</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Units to be</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Units 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Prior</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Owned Prior</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the</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to the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 Offered</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Owned After</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Owned After</w:t>
            </w:r>
          </w:p>
        </w:tc>
        <w:tc>
          <w:tcPr>
            <w:tcW w:w="0" w:type="dxa"/>
            <w:vAlign w:val="bottom"/>
          </w:tcPr>
          <w:p>
            <w:pPr>
              <w:spacing w:after="0"/>
              <w:rPr>
                <w:sz w:val="1"/>
                <w:szCs w:val="1"/>
                <w:color w:val="auto"/>
              </w:rPr>
            </w:pPr>
          </w:p>
        </w:tc>
      </w:tr>
      <w:tr>
        <w:trPr>
          <w:trHeight w:val="161"/>
        </w:trPr>
        <w:tc>
          <w:tcPr>
            <w:tcW w:w="3520" w:type="dxa"/>
            <w:vAlign w:val="bottom"/>
            <w:gridSpan w:val="4"/>
          </w:tcPr>
          <w:p>
            <w:pPr>
              <w:spacing w:after="0"/>
              <w:rPr>
                <w:sz w:val="20"/>
                <w:szCs w:val="20"/>
                <w:color w:val="auto"/>
              </w:rPr>
            </w:pPr>
            <w:r>
              <w:rPr>
                <w:rFonts w:ascii="Arial" w:cs="Arial" w:eastAsia="Arial" w:hAnsi="Arial"/>
                <w:sz w:val="14"/>
                <w:szCs w:val="14"/>
                <w:b w:val="1"/>
                <w:bCs w:val="1"/>
                <w:color w:val="auto"/>
              </w:rPr>
              <w:t>Selling Unitholders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Offering</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Hereby</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Plains AAP, L.P</w:t>
            </w: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244,707,926</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3,409,371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241,298,555</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AAP Class A Unitholders</w:t>
            </w: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Oxy Holding Company (Pipeline), Inc.(1)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29,977,890</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29,977,890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EMG Investment, LLC(2)</w:t>
            </w:r>
          </w:p>
        </w:tc>
        <w:tc>
          <w:tcPr>
            <w:tcW w:w="1000" w:type="dxa"/>
            <w:vAlign w:val="bottom"/>
          </w:tcPr>
          <w:p>
            <w:pPr>
              <w:jc w:val="right"/>
              <w:spacing w:after="0"/>
              <w:rPr>
                <w:sz w:val="20"/>
                <w:szCs w:val="20"/>
                <w:color w:val="auto"/>
              </w:rPr>
            </w:pPr>
            <w:r>
              <w:rPr>
                <w:rFonts w:ascii="Arial" w:cs="Arial" w:eastAsia="Arial" w:hAnsi="Arial"/>
                <w:sz w:val="18"/>
                <w:szCs w:val="18"/>
                <w:color w:val="auto"/>
              </w:rPr>
              <w:t>45,632,121</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c>
          <w:tcPr>
            <w:tcW w:w="960" w:type="dxa"/>
            <w:vAlign w:val="bottom"/>
          </w:tcPr>
          <w:p>
            <w:pPr>
              <w:jc w:val="right"/>
              <w:spacing w:after="0"/>
              <w:rPr>
                <w:sz w:val="20"/>
                <w:szCs w:val="20"/>
                <w:color w:val="auto"/>
              </w:rPr>
            </w:pPr>
            <w:r>
              <w:rPr>
                <w:rFonts w:ascii="Arial" w:cs="Arial" w:eastAsia="Arial" w:hAnsi="Arial"/>
                <w:sz w:val="18"/>
                <w:szCs w:val="18"/>
                <w:color w:val="auto"/>
              </w:rPr>
              <w:t>45,632,121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KAFU Holdings, L.P.(3)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1,241,167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1,241,167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KAFU Holdings (QP), L.P.(3)</w:t>
            </w:r>
          </w:p>
        </w:tc>
        <w:tc>
          <w:tcPr>
            <w:tcW w:w="1000" w:type="dxa"/>
            <w:vAlign w:val="bottom"/>
          </w:tcPr>
          <w:p>
            <w:pPr>
              <w:jc w:val="right"/>
              <w:spacing w:after="0"/>
              <w:rPr>
                <w:sz w:val="20"/>
                <w:szCs w:val="20"/>
                <w:color w:val="auto"/>
              </w:rPr>
            </w:pPr>
            <w:r>
              <w:rPr>
                <w:rFonts w:ascii="Arial" w:cs="Arial" w:eastAsia="Arial" w:hAnsi="Arial"/>
                <w:sz w:val="18"/>
                <w:szCs w:val="18"/>
                <w:color w:val="auto"/>
              </w:rPr>
              <w:t>24,334,917</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960" w:type="dxa"/>
            <w:vAlign w:val="bottom"/>
          </w:tcPr>
          <w:p>
            <w:pPr>
              <w:jc w:val="right"/>
              <w:spacing w:after="0"/>
              <w:rPr>
                <w:sz w:val="20"/>
                <w:szCs w:val="20"/>
                <w:color w:val="auto"/>
              </w:rPr>
            </w:pPr>
            <w:r>
              <w:rPr>
                <w:rFonts w:ascii="Arial" w:cs="Arial" w:eastAsia="Arial" w:hAnsi="Arial"/>
                <w:sz w:val="18"/>
                <w:szCs w:val="18"/>
                <w:color w:val="auto"/>
              </w:rPr>
              <w:t>24,334,917</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KAFU Holdings II, L.P.(3)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2,551,869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2,551,869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Kayne Anderson MLP Investment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3"/>
          </w:tcPr>
          <w:p>
            <w:pPr>
              <w:ind w:left="340"/>
              <w:spacing w:after="0"/>
              <w:rPr>
                <w:sz w:val="20"/>
                <w:szCs w:val="20"/>
                <w:color w:val="auto"/>
              </w:rPr>
            </w:pPr>
            <w:r>
              <w:rPr>
                <w:rFonts w:ascii="Arial" w:cs="Arial" w:eastAsia="Arial" w:hAnsi="Arial"/>
                <w:sz w:val="18"/>
                <w:szCs w:val="18"/>
                <w:color w:val="auto"/>
              </w:rPr>
              <w:t>Company(4)</w:t>
            </w:r>
          </w:p>
        </w:tc>
        <w:tc>
          <w:tcPr>
            <w:tcW w:w="1000" w:type="dxa"/>
            <w:vAlign w:val="bottom"/>
          </w:tcPr>
          <w:p>
            <w:pPr>
              <w:jc w:val="right"/>
              <w:spacing w:after="0"/>
              <w:rPr>
                <w:sz w:val="20"/>
                <w:szCs w:val="20"/>
                <w:color w:val="auto"/>
              </w:rPr>
            </w:pPr>
            <w:r>
              <w:rPr>
                <w:rFonts w:ascii="Arial" w:cs="Arial" w:eastAsia="Arial" w:hAnsi="Arial"/>
                <w:sz w:val="18"/>
                <w:szCs w:val="18"/>
                <w:color w:val="auto"/>
              </w:rPr>
              <w:t>10,034,775</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960" w:type="dxa"/>
            <w:vAlign w:val="bottom"/>
          </w:tcPr>
          <w:p>
            <w:pPr>
              <w:jc w:val="right"/>
              <w:spacing w:after="0"/>
              <w:rPr>
                <w:sz w:val="20"/>
                <w:szCs w:val="20"/>
                <w:color w:val="auto"/>
              </w:rPr>
            </w:pPr>
            <w:r>
              <w:rPr>
                <w:rFonts w:ascii="Arial" w:cs="Arial" w:eastAsia="Arial" w:hAnsi="Arial"/>
                <w:sz w:val="18"/>
                <w:szCs w:val="18"/>
                <w:color w:val="auto"/>
              </w:rPr>
              <w:t>1,277,539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8,757,236</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Kayne Anderson Energy Development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Company(4)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700,261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344,729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355,532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Kayne Anderson Midstream/Energy</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3"/>
          </w:tcPr>
          <w:p>
            <w:pPr>
              <w:ind w:left="340"/>
              <w:spacing w:after="0"/>
              <w:rPr>
                <w:sz w:val="20"/>
                <w:szCs w:val="20"/>
                <w:color w:val="auto"/>
              </w:rPr>
            </w:pPr>
            <w:r>
              <w:rPr>
                <w:rFonts w:ascii="Arial" w:cs="Arial" w:eastAsia="Arial" w:hAnsi="Arial"/>
                <w:sz w:val="18"/>
                <w:szCs w:val="18"/>
                <w:color w:val="auto"/>
              </w:rPr>
              <w:t>Fund, Inc.(4)</w:t>
            </w:r>
          </w:p>
        </w:tc>
        <w:tc>
          <w:tcPr>
            <w:tcW w:w="1000" w:type="dxa"/>
            <w:vAlign w:val="bottom"/>
          </w:tcPr>
          <w:p>
            <w:pPr>
              <w:jc w:val="right"/>
              <w:spacing w:after="0"/>
              <w:rPr>
                <w:sz w:val="20"/>
                <w:szCs w:val="20"/>
                <w:color w:val="auto"/>
              </w:rPr>
            </w:pPr>
            <w:r>
              <w:rPr>
                <w:rFonts w:ascii="Arial" w:cs="Arial" w:eastAsia="Arial" w:hAnsi="Arial"/>
                <w:sz w:val="18"/>
                <w:szCs w:val="18"/>
                <w:color w:val="auto"/>
              </w:rPr>
              <w:t>689,558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689,558</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PAA Management, L.P.(5)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8,199,844</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8,199,844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Mark E. Strome Living Trust</w:t>
            </w:r>
          </w:p>
        </w:tc>
        <w:tc>
          <w:tcPr>
            <w:tcW w:w="1000" w:type="dxa"/>
            <w:vAlign w:val="bottom"/>
          </w:tcPr>
          <w:p>
            <w:pPr>
              <w:jc w:val="right"/>
              <w:spacing w:after="0"/>
              <w:rPr>
                <w:sz w:val="20"/>
                <w:szCs w:val="20"/>
                <w:color w:val="auto"/>
              </w:rPr>
            </w:pPr>
            <w:r>
              <w:rPr>
                <w:rFonts w:ascii="Arial" w:cs="Arial" w:eastAsia="Arial" w:hAnsi="Arial"/>
                <w:sz w:val="18"/>
                <w:szCs w:val="18"/>
                <w:color w:val="auto"/>
              </w:rPr>
              <w:t>4,469,717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4,469,717</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Strome PAA, L.P.</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2,369,290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2,369,290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Lynx Holdings I, LLC(6)</w:t>
            </w:r>
          </w:p>
        </w:tc>
        <w:tc>
          <w:tcPr>
            <w:tcW w:w="1000" w:type="dxa"/>
            <w:vAlign w:val="bottom"/>
          </w:tcPr>
          <w:p>
            <w:pPr>
              <w:jc w:val="right"/>
              <w:spacing w:after="0"/>
              <w:rPr>
                <w:sz w:val="20"/>
                <w:szCs w:val="20"/>
                <w:color w:val="auto"/>
              </w:rPr>
            </w:pPr>
            <w:r>
              <w:rPr>
                <w:rFonts w:ascii="Arial" w:cs="Arial" w:eastAsia="Arial" w:hAnsi="Arial"/>
                <w:sz w:val="18"/>
                <w:szCs w:val="18"/>
                <w:color w:val="auto"/>
              </w:rPr>
              <w:t>3,714,140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3,183,216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530,924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Windy, L.L.C.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6,723,860</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6,723,860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Greg Armstrong(7)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5,193,280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3,685,409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1,507,871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Harry Pefanis(8)</w:t>
            </w:r>
          </w:p>
        </w:tc>
        <w:tc>
          <w:tcPr>
            <w:tcW w:w="1000" w:type="dxa"/>
            <w:vAlign w:val="bottom"/>
          </w:tcPr>
          <w:p>
            <w:pPr>
              <w:jc w:val="right"/>
              <w:spacing w:after="0"/>
              <w:rPr>
                <w:sz w:val="20"/>
                <w:szCs w:val="20"/>
                <w:color w:val="auto"/>
              </w:rPr>
            </w:pPr>
            <w:r>
              <w:rPr>
                <w:rFonts w:ascii="Arial" w:cs="Arial" w:eastAsia="Arial" w:hAnsi="Arial"/>
                <w:sz w:val="18"/>
                <w:szCs w:val="18"/>
                <w:color w:val="auto"/>
              </w:rPr>
              <w:t>3,434,844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2,587,312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847,532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Other Current and Former Officers as a</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Group</w:t>
            </w:r>
            <w:r>
              <w:rPr>
                <w:rFonts w:ascii="Arial" w:cs="Arial" w:eastAsia="Arial" w:hAnsi="Arial"/>
                <w:sz w:val="18"/>
                <w:szCs w:val="18"/>
                <w:color w:val="auto"/>
              </w:rPr>
              <w:t>(9)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2,593,649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2,142,734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450,915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Miscellaneous Investors</w:t>
            </w:r>
            <w:r>
              <w:rPr>
                <w:rFonts w:ascii="Arial" w:cs="Arial" w:eastAsia="Arial" w:hAnsi="Arial"/>
                <w:sz w:val="18"/>
                <w:szCs w:val="18"/>
                <w:color w:val="auto"/>
              </w:rPr>
              <w:t>(10)</w:t>
            </w:r>
          </w:p>
        </w:tc>
        <w:tc>
          <w:tcPr>
            <w:tcW w:w="1000" w:type="dxa"/>
            <w:vAlign w:val="bottom"/>
          </w:tcPr>
          <w:p>
            <w:pPr>
              <w:jc w:val="right"/>
              <w:spacing w:after="0"/>
              <w:rPr>
                <w:sz w:val="20"/>
                <w:szCs w:val="20"/>
                <w:color w:val="auto"/>
              </w:rPr>
            </w:pPr>
            <w:r>
              <w:rPr>
                <w:rFonts w:ascii="Arial" w:cs="Arial" w:eastAsia="Arial" w:hAnsi="Arial"/>
                <w:sz w:val="18"/>
                <w:szCs w:val="18"/>
                <w:color w:val="auto"/>
              </w:rPr>
              <w:t>1,126,192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1,115,458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10,734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ind w:left="1680" w:right="360" w:hanging="531"/>
        <w:spacing w:after="0" w:line="318" w:lineRule="auto"/>
        <w:tabs>
          <w:tab w:leader="none" w:pos="16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selling unitholder is an indirect wholly owned subsidiary of Occidental Petroleum Corporation ("Occidental"). The voting and disposition of any common units held by the selling unitholder is controlled by the board of directors of Occidental. The board of directors of Occidental, which acts by majority approval, consists of twelve members. Each of the members of Occidental's board of directors disclaims beneficial ownership of any of our common units held by the selling unitholder. In addition, Mr. Bernard (Ben) Figlock, Occidental's Vice President and Treasurer, currently serves on the board of directors of PAGP GP as Occidental's designee.</w:t>
      </w:r>
    </w:p>
    <w:p>
      <w:pPr>
        <w:spacing w:after="0" w:line="167" w:lineRule="exact"/>
        <w:rPr>
          <w:rFonts w:ascii="Arial" w:cs="Arial" w:eastAsia="Arial" w:hAnsi="Arial"/>
          <w:sz w:val="15"/>
          <w:szCs w:val="15"/>
          <w:color w:val="auto"/>
        </w:rPr>
      </w:pPr>
    </w:p>
    <w:p>
      <w:pPr>
        <w:ind w:left="1680" w:right="460" w:hanging="531"/>
        <w:spacing w:after="0" w:line="268" w:lineRule="auto"/>
        <w:tabs>
          <w:tab w:leader="none" w:pos="1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John T. Raymond is the Chief Executive Officer of the manager of the selling unitholder. Mr. Raymond also serves on the board of directors of PAA GP Holdings LLC as EMG's designee.</w:t>
      </w:r>
    </w:p>
    <w:p>
      <w:pPr>
        <w:spacing w:after="0" w:line="199" w:lineRule="exact"/>
        <w:rPr>
          <w:rFonts w:ascii="Arial" w:cs="Arial" w:eastAsia="Arial" w:hAnsi="Arial"/>
          <w:sz w:val="18"/>
          <w:szCs w:val="18"/>
          <w:color w:val="auto"/>
        </w:rPr>
      </w:pPr>
    </w:p>
    <w:p>
      <w:pPr>
        <w:ind w:left="1680" w:hanging="531"/>
        <w:spacing w:after="0" w:line="255" w:lineRule="auto"/>
        <w:tabs>
          <w:tab w:leader="none" w:pos="1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Representatives of the selling unitholder have advised us that the selling unitholder is an affiliate of a U.S. registered broker-dealer; however, the selling unitholder acquired the common units in the ordinary course of business and, at the time of the acquisition, had no agreements or understandings, directly or indirectly, with any party to distribute the common units held by the selling unitholder. Richard A. Kayne is the controlling owner of the manager of the selling unitholder, and Robert Sinnott is the co-chair of the managing member of the manager of, and the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portfolio manager of, the selling unitholder. In addition, Mr. Sinnott serves on the board of directors of PAGP GP as KAFU's designee.</w:t>
      </w:r>
    </w:p>
    <w:p>
      <w:pPr>
        <w:spacing w:after="0" w:line="262" w:lineRule="exact"/>
        <w:rPr>
          <w:sz w:val="20"/>
          <w:szCs w:val="20"/>
          <w:color w:val="auto"/>
        </w:rPr>
      </w:pPr>
    </w:p>
    <w:p>
      <w:pPr>
        <w:ind w:left="1680" w:hanging="531"/>
        <w:spacing w:after="0" w:line="291" w:lineRule="auto"/>
        <w:tabs>
          <w:tab w:leader="none" w:pos="1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Representatives of the selling unitholder have advised us that the selling unitholder is an affiliate of a U.S. registered broker-dealer; however, the selling unitholder acquired the common units in the ordinary course of business and, at the time of the acquisition, had no agreements or understandings, directly or indirectly, with any party to distribute the common units held by the selling unitholder. Kevin McCarthy is the chairman and chief executive officer of the selling unitholder, Jim Baker is president of the selling unitholder and John C. Frey is the portfolio manager of the selling unitholder. Robert Sinnott is the co-chair of the managing member of the manager the selling unitholder. In addition, Mr. Sinnott serves on the board of directors of PAGP GP as KAFU's designee.</w:t>
      </w:r>
    </w:p>
    <w:p>
      <w:pPr>
        <w:spacing w:after="0" w:line="201" w:lineRule="exact"/>
        <w:rPr>
          <w:rFonts w:ascii="Arial" w:cs="Arial" w:eastAsia="Arial" w:hAnsi="Arial"/>
          <w:sz w:val="16"/>
          <w:szCs w:val="16"/>
          <w:color w:val="auto"/>
        </w:rPr>
      </w:pPr>
    </w:p>
    <w:p>
      <w:pPr>
        <w:ind w:left="1680" w:hanging="531"/>
        <w:spacing w:after="0" w:line="294" w:lineRule="auto"/>
        <w:tabs>
          <w:tab w:leader="none" w:pos="1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board of directors of the general partner of the selling unitholder, which acts by majority approval, controls the selling unitholder, with the exception of certain decisions (including the exercise of voting and dispositive power over the common units held by the selling unitholder), which decisions are subject to approval by a majority in interest of the members of the selling unitholder's general partner. The members of the board of directors are Greg L. Armstrong, Harry N. Pefanis and Phil D. Kramer; these individuals own or have voting rights with respect to over 50% of the member interest in selling unitholder's general partner.</w:t>
      </w:r>
    </w:p>
    <w:p>
      <w:pPr>
        <w:spacing w:after="0" w:line="183" w:lineRule="exact"/>
        <w:rPr>
          <w:rFonts w:ascii="Arial" w:cs="Arial" w:eastAsia="Arial" w:hAnsi="Arial"/>
          <w:sz w:val="16"/>
          <w:szCs w:val="16"/>
          <w:color w:val="auto"/>
        </w:rPr>
      </w:pPr>
    </w:p>
    <w:p>
      <w:pPr>
        <w:ind w:left="1680" w:right="940" w:hanging="531"/>
        <w:spacing w:after="0" w:line="268" w:lineRule="auto"/>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John T. Raymond is the sole member of the selling unitholder. Mr. Raymond also serves on the board of directors of PAA GP Holdings LLC as EMG's designee.</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Armstrong is the Chairman of the board of directors of PAGP GP and Chief Executive Officer of GP LLC.</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Pefanis is the President and Chief Operating Officer of GP LLC.</w:t>
      </w:r>
    </w:p>
    <w:p>
      <w:pPr>
        <w:spacing w:after="0" w:line="238" w:lineRule="exact"/>
        <w:rPr>
          <w:rFonts w:ascii="Arial" w:cs="Arial" w:eastAsia="Arial" w:hAnsi="Arial"/>
          <w:sz w:val="18"/>
          <w:szCs w:val="18"/>
          <w:color w:val="auto"/>
        </w:rPr>
      </w:pPr>
    </w:p>
    <w:p>
      <w:pPr>
        <w:ind w:left="1680" w:right="20" w:hanging="531"/>
        <w:spacing w:after="0" w:line="259" w:lineRule="auto"/>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seven persons not otherwise listed above that collectively own approximately 0.39% of the common units. All of the selling unitholders in this group are current or former officers and employees of GP LLC or of Plains Midstream Canada ULC, our wholly owned subsidiary.</w:t>
      </w:r>
    </w:p>
    <w:p>
      <w:pPr>
        <w:spacing w:after="0" w:line="207" w:lineRule="exact"/>
        <w:rPr>
          <w:rFonts w:ascii="Arial" w:cs="Arial" w:eastAsia="Arial" w:hAnsi="Arial"/>
          <w:sz w:val="18"/>
          <w:szCs w:val="18"/>
          <w:color w:val="auto"/>
        </w:rPr>
      </w:pPr>
    </w:p>
    <w:p>
      <w:pPr>
        <w:ind w:left="1680" w:right="160" w:hanging="531"/>
        <w:spacing w:after="0" w:line="268" w:lineRule="auto"/>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five selling unitholders not otherwise listed above that collectively own approximately 0.17% of the common units. The selling unitholders consist of long-term legacy investors, none of whom are our employees.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event a prospectus supplement is used to reflect the sale of common units hereunder, it will set forth, with respect to the selling unitholders:</w:t>
      </w:r>
    </w:p>
    <w:p>
      <w:pPr>
        <w:spacing w:after="0" w:line="275"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name of the selling unitholders;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nature of the position, office or other material relationship which the selling unitholders will have had within the prior three years with us or any of our affiliates;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common units owned by the selling unitholders prior to the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of common units to be offered for the selling unitholders' account; and</w:t>
      </w:r>
    </w:p>
    <w:p>
      <w:pPr>
        <w:spacing w:after="0" w:line="238"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and (if one percent or more) the percentage of common units to be owned by the selling unitholders after the completion of the offering.</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expenses incurred with the registration of the common units owned by the selling unitholders will be borne by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registering the common units offered by this prospectus on behalf of the selling unitholders. As used in this prospectus, "selling unitholders" includes partners, pledgees, donees (including charitable organizations), transferees or other successors-in-interest selling common units received from any selling shareholder identified in this prospectus after the date of this prospectus.</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Subject to certain restrictions on transfer that may be applicable to the selling unitholders, the selling unitholders intend to offer and sell the common units offered by this prospectus by one or more of, or a combination of, the following methods:</w:t>
      </w:r>
    </w:p>
    <w:p>
      <w:pPr>
        <w:spacing w:after="0" w:line="19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common units as principal and thereafter resell the common units from time to time: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offering price per common unit will be determined from time to time by the selling unitholders in connection with, and at the time of, the sale by such selling unitholders. The selling unitholders may price the common units at:</w:t>
      </w:r>
    </w:p>
    <w:p>
      <w:pPr>
        <w:spacing w:after="0" w:line="213"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prices related to the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In addition, the selling unitholders may from time to time sell common units in compliance with Rule 144 under the Securities Act, if available, or pursuant to other available exemptions from the registration requirements under the Securities Act, rather than pursuant to this prospectus. The selling unitholders may be required by the securities laws of certain states to offer and sell the common units only through registered or licensed brokers or dealers.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selling unitholders may act independently of us in making decisions with respect to the timing, manner and size of each of their sales.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selling unitholders may authorize underwriters acting as their agent to offer and sell common units upon the terms and conditions as are set forth in an applicable prospectus supplement. In connection with the sale of these common units, underwriters may be deemed to have received compensation from the selling unitholders in the form of underwriting discounts or commissions and may also receive commissions from purchasers of common units for whom they may act as agent or to whom they sell as principals, or both. Underwriters may sell common units to or through dealers. Dealers may receive compensation in the form of discounts, concessions or commissions from the underwriters and/or commissions from the purchasers for whom they may act as agent or to whom they sell as principals, or both. A member firm of the NYSE may be engaged to act as the agent of the selling unitholders in the sale of common units.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firstLine="341"/>
        <w:spacing w:after="0" w:line="294" w:lineRule="auto"/>
        <w:rPr>
          <w:sz w:val="20"/>
          <w:szCs w:val="20"/>
          <w:color w:val="auto"/>
        </w:rPr>
      </w:pPr>
      <w:r>
        <w:rPr>
          <w:rFonts w:ascii="Arial" w:cs="Arial" w:eastAsia="Arial" w:hAnsi="Arial"/>
          <w:sz w:val="16"/>
          <w:szCs w:val="16"/>
          <w:color w:val="auto"/>
        </w:rPr>
        <w:t>As of the date of this prospectus, the selling unitholders have not engaged any underwriter, broker, dealer or agent in connection with the offer and sale of common units pursuant to this prospectus by the selling unitholders. To the extent required, the names of the specific managing underwriter or underwriters, if any, as well as other important information, will be set forth in an applicable prospectus supplement. In that event, any underwriting compensation paid by the selling unitholders to underwriters or agents in connection with the offering of these common units, and any discounts, concessions or commissions allowed by underwriters to participating dealers, will be set forth in the applicable prospectus supplement.</w:t>
      </w:r>
    </w:p>
    <w:p>
      <w:pPr>
        <w:spacing w:after="0" w:line="170"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Broker-dealers may also receive compensation in the form of underwriting discounts or commissions and may receive commissions from purchasers of the common units for whom they may act as agents. If any broker-dealer purchases the common units as principal, it may effect resales of the common units from time to time to or through other broker-dealers, and other broker-dealers may receive compensation in the form of concessions or commissions from the purchasers of common units for whom they may act as agents.</w:t>
      </w:r>
    </w:p>
    <w:p>
      <w:pPr>
        <w:spacing w:after="0" w:line="197"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We will pay the costs and expenses related to the registration and offering of the common units offered hereby. We will not pay any underwriting fees, discounts and selling commissions (and similar fees or arrangements associated therewith) allocable to each selling unitholder's sale of its respective common units; these expenses will be paid by the selling unitholders.</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agreed to indemnify the selling unitholders against certain liabilities to which they may become subject in connection with the sale of the common units owned by the selling unitholders and registered under this prospectus, including liabilities arising under the Securities Act. We may indemnify underwriters, brokers, dealers and agents against specific liabilities to which they may become subject in connection with the sale of the common units owned by the selling unitholders and registered under this prospectus, including liabilities under the Securities Act.</w:t>
      </w:r>
    </w:p>
    <w:p>
      <w:pPr>
        <w:spacing w:after="0" w:line="16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Any underwriters, brokers, dealers and agents who participate in any sale of the common units may also engage in transactions with, or perform services for, us or our affiliates in the ordinary course of their businesses.</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offerings under this shelf registration statement and in compliance with applicable law, underwriters, brokers or dealers may engage in transactions which stabilize or maintain the market price of the common units at levels above those that might otherwise prevail in the open market. Specifically, underwriters, brokers or dealers may overallot in connection with offerings, creating a short position in the common units for their own accounts. For the purpose of covering a syndicate short position or stabilizing the price of the common units, the underwriters, brokers or dealers may place bids for the common units or effect purchases of the common units in the open market. Finally, the underwriters may impose a penalty whereby selling concessions allowed to syndicate members or other brokers or dealers for distribution of the common units in offerings may be reclaimed by the syndicate if the syndicate repurchases the previously distributed common units in transactions to cover short positions, in stabilization transactions or otherwise. These activities may stabilize, maintain or otherwise affect the market price of the common units, which may be higher than the price that might otherwise prevail in the open market, and, if commenced, may be discontinued at any time.</w:t>
      </w:r>
    </w:p>
    <w:p>
      <w:pPr>
        <w:spacing w:after="0" w:line="174"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common units in respect of which this prospectus is delivered will be set forth in the accompanying prospectus supplement.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validity of the common units will be passed upon for us by Vinson &amp; Elkins L.L.P., Houston, Texas. If certain legal matters in connection with an offering of the common units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2015 have been so incorporated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3" w:name="page74"/>
    <w:bookmarkEnd w:id="73"/>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24662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624840</wp:posOffset>
            </wp:positionV>
            <wp:extent cx="1620520" cy="4889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1620520" cy="48895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14,977,890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174625</wp:posOffset>
            </wp:positionV>
            <wp:extent cx="18954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PROSPECTUS SUPPLEMENT</w:t>
      </w:r>
    </w:p>
    <w:p>
      <w:pPr>
        <w:spacing w:after="0" w:line="23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120"/>
        <w:spacing w:after="0"/>
        <w:rPr>
          <w:sz w:val="20"/>
          <w:szCs w:val="20"/>
          <w:color w:val="auto"/>
        </w:rPr>
      </w:pPr>
      <w:r>
        <w:rPr>
          <w:rFonts w:ascii="Arial" w:cs="Arial" w:eastAsia="Arial" w:hAnsi="Arial"/>
          <w:sz w:val="32"/>
          <w:szCs w:val="32"/>
          <w:b w:val="1"/>
          <w:bCs w:val="1"/>
          <w:color w:val="auto"/>
        </w:rPr>
        <w:t>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527685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1)"/>
      <w:numFmt w:val="lowerRoman"/>
      <w:start w:val="2"/>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lvl w:ilvl="1">
      <w:lvlJc w:val="left"/>
      <w:lvlText w:val="•"/>
      <w:numFmt w:val="bullet"/>
      <w:start w:val="1"/>
    </w:lvl>
  </w:abstractNum>
  <w:abstractNum w:abstractNumId="13">
    <w:nsid w:val="71F32454"/>
    <w:multiLevelType w:val="hybridMultilevel"/>
    <w:lvl w:ilvl="0">
      <w:lvlJc w:val="left"/>
      <w:lvlText w:val="(%1)"/>
      <w:numFmt w:val="lowerRoman"/>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2"/>
    </w:lvl>
    <w:lvl w:ilvl="1">
      <w:lvlJc w:val="left"/>
      <w:lvlText w:val="(%2)"/>
      <w:numFmt w:val="lowerLetter"/>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4"/>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lvl w:ilvl="1">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77" Type="http://schemas.openxmlformats.org/officeDocument/2006/relationships/image" Target="media/image45.png"/><Relationship Id="rId78" Type="http://schemas.openxmlformats.org/officeDocument/2006/relationships/image" Target="media/image46.png"/><Relationship Id="rId79" Type="http://schemas.openxmlformats.org/officeDocument/2006/relationships/image" Target="media/image47.png"/><Relationship Id="rId80" Type="http://schemas.openxmlformats.org/officeDocument/2006/relationships/image" Target="media/image48.png"/><Relationship Id="rId81" Type="http://schemas.openxmlformats.org/officeDocument/2006/relationships/image" Target="media/image49.png"/><Relationship Id="rId82" Type="http://schemas.openxmlformats.org/officeDocument/2006/relationships/image" Target="media/image50.png"/><Relationship Id="rId83" Type="http://schemas.openxmlformats.org/officeDocument/2006/relationships/image" Target="media/image51.png"/><Relationship Id="rId84" Type="http://schemas.openxmlformats.org/officeDocument/2006/relationships/image" Target="media/image52.png"/><Relationship Id="rId85" Type="http://schemas.openxmlformats.org/officeDocument/2006/relationships/image" Target="media/image53.png"/><Relationship Id="rId86" Type="http://schemas.openxmlformats.org/officeDocument/2006/relationships/image" Target="media/image54.png"/><Relationship Id="rId87" Type="http://schemas.openxmlformats.org/officeDocument/2006/relationships/image" Target="media/image55.png"/><Relationship Id="rId88" Type="http://schemas.openxmlformats.org/officeDocument/2006/relationships/image" Target="media/image56.png"/><Relationship Id="rId89" Type="http://schemas.openxmlformats.org/officeDocument/2006/relationships/image" Target="media/image57.png"/><Relationship Id="rId90" Type="http://schemas.openxmlformats.org/officeDocument/2006/relationships/image" Target="media/image58.png"/><Relationship Id="rId91" Type="http://schemas.openxmlformats.org/officeDocument/2006/relationships/image" Target="media/image59.png"/><Relationship Id="rId92" Type="http://schemas.openxmlformats.org/officeDocument/2006/relationships/image" Target="media/image60.png"/><Relationship Id="rId93" Type="http://schemas.openxmlformats.org/officeDocument/2006/relationships/image" Target="media/image61.png"/><Relationship Id="rId94" Type="http://schemas.openxmlformats.org/officeDocument/2006/relationships/image" Target="media/image62.png"/><Relationship Id="rId95" Type="http://schemas.openxmlformats.org/officeDocument/2006/relationships/image" Target="media/image63.png"/><Relationship Id="rId96" Type="http://schemas.openxmlformats.org/officeDocument/2006/relationships/image" Target="media/image64.png"/><Relationship Id="rId97" Type="http://schemas.openxmlformats.org/officeDocument/2006/relationships/image" Target="media/image65.png"/><Relationship Id="rId98"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jpe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7" Type="http://schemas.openxmlformats.org/officeDocument/2006/relationships/hyperlink" Target="http://www.sec.gov/Archives/edgar/data/1070423/000107042319000004/paa201810-k.htm" TargetMode="External"/><Relationship Id="rId18" Type="http://schemas.openxmlformats.org/officeDocument/2006/relationships/hyperlink" Target="http://www.sec.gov/Archives/edgar/data/1070423/000107042319000010/0001070423-19-000010-index.htm" TargetMode="External"/><Relationship Id="rId23" Type="http://schemas.openxmlformats.org/officeDocument/2006/relationships/hyperlink" Target="http://www.sec.gov/Archives/edgar/data/1070423/000107042319000007/paaq1201910-q.htm" TargetMode="External"/><Relationship Id="rId51" Type="http://schemas.openxmlformats.org/officeDocument/2006/relationships/hyperlink" Target="http://www.sec.gov/Archives/edgar/data/1070423/000104746919002133/a2238334zdef14a.htm" TargetMode="External"/><Relationship Id="rId52" Type="http://schemas.openxmlformats.org/officeDocument/2006/relationships/hyperlink" Target="http://www.sec.gov/Archives/edgar/data/1070423/000110465919000815/a19-1275_18k.htm" TargetMode="External"/><Relationship Id="rId53" Type="http://schemas.openxmlformats.org/officeDocument/2006/relationships/hyperlink" Target="http://www.sec.gov/Archives/edgar/data/1070423/000110465919010373/a19-5369_18k.htm" TargetMode="External"/><Relationship Id="rId54" Type="http://schemas.openxmlformats.org/officeDocument/2006/relationships/hyperlink" Target="http://www.sec.gov/Archives/edgar/data/1070423/000110465919030041/a19-10135_18k.htm" TargetMode="External"/><Relationship Id="rId55" Type="http://schemas.openxmlformats.org/officeDocument/2006/relationships/hyperlink" Target="http://www.sec.gov/Archives/edgar/data/1070423/000110465919032810/a19-10856_18k.htm" TargetMode="External"/><Relationship Id="rId56" Type="http://schemas.openxmlformats.org/officeDocument/2006/relationships/hyperlink" Target="http://www.sec.gov/Archives/edgar/data/1070423/000141057819000871/0001410578-19-000871-index.htm" TargetMode="External"/><Relationship Id="rId57" Type="http://schemas.openxmlformats.org/officeDocument/2006/relationships/hyperlink" Target="http://www.sec.gov/Archives/edgar/data/1070423/000141057819001182/0001410578-19-001182-index.htm" TargetMode="External"/><Relationship Id="rId58" Type="http://schemas.openxmlformats.org/officeDocument/2006/relationships/hyperlink" Target="http://www.sec.gov/Archives/edgar/data/1070423/000141057819001281/0001410578-19-001281-index.htm" TargetMode="External"/><Relationship Id="rId59" Type="http://schemas.openxmlformats.org/officeDocument/2006/relationships/hyperlink" Target="http://www.sec.gov/Archives/edgar/data/1070423/000110465916157335/a16-21667_38a12ba.htm" TargetMode="External"/><Relationship Id="rId64" Type="http://schemas.openxmlformats.org/officeDocument/2006/relationships/hyperlink" Target="http://www.sec.gov/Archives/edgar/data/1070423/000110465916100030/a15-24557_110k.htm" TargetMode="External"/><Relationship Id="rId65" Type="http://schemas.openxmlformats.org/officeDocument/2006/relationships/hyperlink" Target="http://www.sec.gov/Archives/edgar/data/1070423/000110465916119394/a16-7065_110q.htm" TargetMode="External"/><Relationship Id="rId66" Type="http://schemas.openxmlformats.org/officeDocument/2006/relationships/hyperlink" Target="http://www.sec.gov/Archives/edgar/data/1070423/000110465916137855/a16-11473_110q.htm" TargetMode="External"/><Relationship Id="rId67" Type="http://schemas.openxmlformats.org/officeDocument/2006/relationships/hyperlink" Target="http://www.sec.gov/Archives/edgar/data/1070423/000107042316000004/paa0930201610-q.htm" TargetMode="External"/><Relationship Id="rId68" Type="http://schemas.openxmlformats.org/officeDocument/2006/relationships/hyperlink" Target="http://www.sec.gov/Archives/edgar/data/1070423/000110465916090452/a16-1904_18k.htm" TargetMode="External"/><Relationship Id="rId69" Type="http://schemas.openxmlformats.org/officeDocument/2006/relationships/hyperlink" Target="http://www.sec.gov/Archives/edgar/data/1070423/000110465916093299/a16-3362_18k.htm" TargetMode="External"/><Relationship Id="rId70" Type="http://schemas.openxmlformats.org/officeDocument/2006/relationships/hyperlink" Target="http://www.sec.gov/Archives/edgar/data/1070423/000110465916121818/a16-11686_18k.htm" TargetMode="External"/><Relationship Id="rId71" Type="http://schemas.openxmlformats.org/officeDocument/2006/relationships/hyperlink" Target="http://www.sec.gov/Archives/edgar/data/1070423/000110465916132668/a16-14925_18k.htm" TargetMode="External"/><Relationship Id="rId72" Type="http://schemas.openxmlformats.org/officeDocument/2006/relationships/hyperlink" Target="http://www.sec.gov/Archives/edgar/data/1070423/000110465916138135/a16-16402_18k.htm" TargetMode="External"/><Relationship Id="rId73" Type="http://schemas.openxmlformats.org/officeDocument/2006/relationships/hyperlink" Target="http://www.sec.gov/Archives/edgar/data/1070423/000110465916140243/a16-16900_18k.htm" TargetMode="External"/><Relationship Id="rId74" Type="http://schemas.openxmlformats.org/officeDocument/2006/relationships/hyperlink" Target="http://www.sec.gov/Archives/edgar/data/1070423/000110465916142281/a16-17767_18k.htm" TargetMode="External"/><Relationship Id="rId75" Type="http://schemas.openxmlformats.org/officeDocument/2006/relationships/hyperlink" Target="http://www.sec.gov/Archives/edgar/data/1070423/000110465916158123/a16-21894_18k.htm" TargetMode="External"/><Relationship Id="rId76" Type="http://schemas.openxmlformats.org/officeDocument/2006/relationships/hyperlink" Target="http://www.sec.gov/Archives/edgar/data/1070423/000110465916158355/a16-21841_1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2019-11-29T04:57:42Z</dcterms:created>
  <dcterms:modified xsi:type="dcterms:W3CDTF">2019-11-29T04:57:42Z</dcterms:modified>
</cp:coreProperties>
</file>