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1" w:lineRule="exact"/>
        <w:rPr>
          <w:sz w:val="24"/>
          <w:szCs w:val="24"/>
          <w:color w:val="auto"/>
        </w:rPr>
      </w:pPr>
    </w:p>
    <w:p>
      <w:pPr>
        <w:jc w:val="center"/>
        <w:ind w:right="-800"/>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SECURITIES AND EXCHANGE COMMISSION</w:t>
      </w:r>
    </w:p>
    <w:p>
      <w:pPr>
        <w:spacing w:after="0" w:line="23"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Washington, D.C. 20549</w:t>
      </w:r>
      <w:r>
        <w:rPr>
          <w:rFonts w:ascii="Times New Roman" w:cs="Times New Roman" w:eastAsia="Times New Roman" w:hAnsi="Times New Roman"/>
          <w:sz w:val="21"/>
          <w:szCs w:val="21"/>
          <w:color w:val="auto"/>
        </w:rPr>
        <w:t>​</w:t>
      </w:r>
    </w:p>
    <w:p>
      <w:pPr>
        <w:spacing w:after="0" w:line="207" w:lineRule="exact"/>
        <w:rPr>
          <w:sz w:val="24"/>
          <w:szCs w:val="24"/>
          <w:color w:val="auto"/>
        </w:rPr>
      </w:pPr>
    </w:p>
    <w:p>
      <w:pPr>
        <w:jc w:val="center"/>
        <w:ind w:right="-860"/>
        <w:spacing w:after="0"/>
        <w:rPr>
          <w:sz w:val="20"/>
          <w:szCs w:val="20"/>
          <w:color w:val="auto"/>
        </w:rPr>
      </w:pPr>
      <w:r>
        <w:rPr>
          <w:rFonts w:ascii="Arial" w:cs="Arial" w:eastAsia="Arial" w:hAnsi="Arial"/>
          <w:sz w:val="25"/>
          <w:szCs w:val="25"/>
          <w:b w:val="1"/>
          <w:bCs w:val="1"/>
          <w:color w:val="auto"/>
        </w:rPr>
        <w:t>SCHEDULE 14A</w:t>
      </w:r>
    </w:p>
    <w:p>
      <w:pPr>
        <w:spacing w:after="0" w:line="218"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54" w:lineRule="exact"/>
        <w:rPr>
          <w:sz w:val="24"/>
          <w:szCs w:val="24"/>
          <w:color w:val="auto"/>
        </w:rPr>
      </w:pPr>
    </w:p>
    <w:p>
      <w:pPr>
        <w:ind w:left="500"/>
        <w:spacing w:after="0" w:line="196" w:lineRule="exact"/>
        <w:tabs>
          <w:tab w:leader="none" w:pos="2320" w:val="left"/>
        </w:tabs>
        <w:rPr>
          <w:sz w:val="20"/>
          <w:szCs w:val="20"/>
          <w:color w:val="auto"/>
        </w:rPr>
      </w:pPr>
      <w:r>
        <w:rPr>
          <w:rFonts w:ascii="Arial" w:cs="Arial" w:eastAsia="Arial" w:hAnsi="Arial"/>
          <w:sz w:val="17"/>
          <w:szCs w:val="17"/>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102" w:lineRule="exact"/>
        <w:rPr>
          <w:sz w:val="24"/>
          <w:szCs w:val="24"/>
          <w:color w:val="auto"/>
        </w:rPr>
      </w:pPr>
    </w:p>
    <w:p>
      <w:pPr>
        <w:ind w:left="500"/>
        <w:spacing w:after="0" w:line="196" w:lineRule="exact"/>
        <w:tabs>
          <w:tab w:leader="none" w:pos="3720" w:val="left"/>
        </w:tabs>
        <w:rPr>
          <w:sz w:val="20"/>
          <w:szCs w:val="20"/>
          <w:color w:val="auto"/>
        </w:rPr>
      </w:pPr>
      <w:r>
        <w:rPr>
          <w:rFonts w:ascii="Arial" w:cs="Arial" w:eastAsia="Arial" w:hAnsi="Arial"/>
          <w:sz w:val="17"/>
          <w:szCs w:val="17"/>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129" w:lineRule="exact"/>
        <w:rPr>
          <w:sz w:val="24"/>
          <w:szCs w:val="24"/>
          <w:color w:val="auto"/>
        </w:rPr>
      </w:pPr>
    </w:p>
    <w:p>
      <w:pPr>
        <w:ind w:left="500"/>
        <w:spacing w:after="0"/>
        <w:rPr>
          <w:sz w:val="20"/>
          <w:szCs w:val="20"/>
          <w:color w:val="auto"/>
        </w:rPr>
      </w:pPr>
      <w:r>
        <w:rPr>
          <w:rFonts w:ascii="Arial" w:cs="Arial" w:eastAsia="Arial" w:hAnsi="Arial"/>
          <w:sz w:val="17"/>
          <w:szCs w:val="17"/>
          <w:color w:val="auto"/>
        </w:rPr>
        <w:t>Check the appropriate box:</w:t>
      </w:r>
    </w:p>
    <w:p>
      <w:pPr>
        <w:spacing w:after="0" w:line="102" w:lineRule="exact"/>
        <w:rPr>
          <w:sz w:val="24"/>
          <w:szCs w:val="24"/>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73" w:lineRule="exact"/>
        <w:rPr>
          <w:rFonts w:ascii="MS PGothic" w:cs="MS PGothic" w:eastAsia="MS PGothic" w:hAnsi="MS PGothic"/>
          <w:sz w:val="17"/>
          <w:szCs w:val="17"/>
          <w:color w:val="auto"/>
        </w:rPr>
      </w:pPr>
    </w:p>
    <w:p>
      <w:pPr>
        <w:ind w:left="50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129"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211" w:lineRule="exact"/>
        <w:rPr>
          <w:sz w:val="24"/>
          <w:szCs w:val="24"/>
          <w:color w:val="auto"/>
        </w:rPr>
      </w:pPr>
    </w:p>
    <w:p>
      <w:pPr>
        <w:ind w:left="3500"/>
        <w:spacing w:after="0"/>
        <w:rPr>
          <w:sz w:val="20"/>
          <w:szCs w:val="20"/>
          <w:color w:val="auto"/>
        </w:rPr>
      </w:pPr>
      <w:r>
        <w:rPr>
          <w:rFonts w:ascii="Arial" w:cs="Arial" w:eastAsia="Arial" w:hAnsi="Arial"/>
          <w:sz w:val="29"/>
          <w:szCs w:val="29"/>
          <w:b w:val="1"/>
          <w:bCs w:val="1"/>
          <w:color w:val="auto"/>
        </w:rPr>
        <w:t>PLAINS GP HOLDINGS, L.P.</w:t>
      </w:r>
    </w:p>
    <w:p>
      <w:pPr>
        <w:spacing w:after="0" w:line="38" w:lineRule="exact"/>
        <w:rPr>
          <w:sz w:val="24"/>
          <w:szCs w:val="24"/>
          <w:color w:val="auto"/>
        </w:rPr>
      </w:pPr>
    </w:p>
    <w:p>
      <w:pPr>
        <w:ind w:left="3860"/>
        <w:spacing w:after="0"/>
        <w:rPr>
          <w:sz w:val="20"/>
          <w:szCs w:val="20"/>
          <w:color w:val="auto"/>
        </w:rPr>
      </w:pPr>
      <w:r>
        <w:rPr>
          <w:rFonts w:ascii="Arial" w:cs="Arial" w:eastAsia="Arial" w:hAnsi="Arial"/>
          <w:sz w:val="14"/>
          <w:szCs w:val="14"/>
          <w:color w:val="auto"/>
        </w:rPr>
        <w:t>(Name of Registrant as Specified In Its Charter)</w:t>
      </w:r>
      <w:r>
        <w:rPr>
          <w:rFonts w:ascii="Times New Roman" w:cs="Times New Roman" w:eastAsia="Times New Roman" w:hAnsi="Times New Roman"/>
          <w:sz w:val="28"/>
          <w:szCs w:val="2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-196215</wp:posOffset>
            </wp:positionV>
            <wp:extent cx="6189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197485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324" w:lineRule="exact"/>
        <w:rPr>
          <w:sz w:val="24"/>
          <w:szCs w:val="24"/>
          <w:color w:val="auto"/>
        </w:rPr>
      </w:pPr>
    </w:p>
    <w:p>
      <w:pPr>
        <w:ind w:left="3100"/>
        <w:spacing w:after="0"/>
        <w:rPr>
          <w:sz w:val="20"/>
          <w:szCs w:val="20"/>
          <w:color w:val="auto"/>
        </w:rPr>
      </w:pPr>
      <w:r>
        <w:rPr>
          <w:rFonts w:ascii="Arial" w:cs="Arial" w:eastAsia="Arial" w:hAnsi="Arial"/>
          <w:sz w:val="14"/>
          <w:szCs w:val="14"/>
          <w:color w:val="auto"/>
        </w:rPr>
        <w:t>(Name of Person(s) Filing Proxy Statement, if other than the Registrant)</w:t>
      </w:r>
      <w:r>
        <w:rPr>
          <w:rFonts w:ascii="Times New Roman" w:cs="Times New Roman" w:eastAsia="Times New Roman" w:hAnsi="Times New Roman"/>
          <w:sz w:val="17"/>
          <w:szCs w:val="17"/>
          <w:color w:val="auto"/>
        </w:rPr>
        <w:t>​</w:t>
      </w:r>
    </w:p>
    <w:p>
      <w:pPr>
        <w:spacing w:after="0" w:line="208" w:lineRule="exact"/>
        <w:rPr>
          <w:sz w:val="24"/>
          <w:szCs w:val="24"/>
          <w:color w:val="auto"/>
        </w:rPr>
      </w:pPr>
    </w:p>
    <w:p>
      <w:pPr>
        <w:ind w:left="500"/>
        <w:spacing w:after="0"/>
        <w:rPr>
          <w:sz w:val="20"/>
          <w:szCs w:val="20"/>
          <w:color w:val="auto"/>
        </w:rPr>
      </w:pPr>
      <w:r>
        <w:rPr>
          <w:rFonts w:ascii="Arial" w:cs="Arial" w:eastAsia="Arial" w:hAnsi="Arial"/>
          <w:sz w:val="17"/>
          <w:szCs w:val="17"/>
          <w:color w:val="auto"/>
        </w:rPr>
        <w:t>Payment of Filing Fee (Check the appropriate box):</w:t>
      </w:r>
    </w:p>
    <w:p>
      <w:pPr>
        <w:spacing w:after="0" w:line="102" w:lineRule="exact"/>
        <w:rPr>
          <w:sz w:val="24"/>
          <w:szCs w:val="24"/>
          <w:color w:val="auto"/>
        </w:rPr>
      </w:pPr>
    </w:p>
    <w:p>
      <w:pPr>
        <w:ind w:left="860" w:hanging="368"/>
        <w:spacing w:after="0"/>
        <w:tabs>
          <w:tab w:leader="none" w:pos="8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02" w:lineRule="exact"/>
        <w:rPr>
          <w:sz w:val="24"/>
          <w:szCs w:val="24"/>
          <w:color w:val="auto"/>
        </w:rPr>
      </w:pPr>
    </w:p>
    <w:p>
      <w:pPr>
        <w:ind w:left="860" w:hanging="368"/>
        <w:spacing w:after="0"/>
        <w:tabs>
          <w:tab w:leader="none" w:pos="8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3665220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509905</wp:posOffset>
            </wp:positionV>
            <wp:extent cx="1988820" cy="43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8882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April 14, 2023</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Fellow Plains Investors,</w:t>
      </w:r>
    </w:p>
    <w:p>
      <w:pPr>
        <w:spacing w:after="0" w:line="63"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8"/>
          <w:szCs w:val="18"/>
          <w:color w:val="auto"/>
        </w:rPr>
        <w:t>We are grateful for your investment in Plains, and we are pleased to invite you to join us for our May 24, 2023 annual meeting.</w:t>
      </w:r>
    </w:p>
    <w:p>
      <w:pPr>
        <w:spacing w:after="0" w:line="5" w:lineRule="exact"/>
        <w:rPr>
          <w:sz w:val="20"/>
          <w:szCs w:val="20"/>
          <w:color w:val="auto"/>
        </w:rPr>
      </w:pPr>
    </w:p>
    <w:p>
      <w:pPr>
        <w:ind w:left="1260" w:right="659" w:firstLine="360"/>
        <w:spacing w:after="0" w:line="251" w:lineRule="auto"/>
        <w:rPr>
          <w:sz w:val="20"/>
          <w:szCs w:val="20"/>
          <w:color w:val="auto"/>
        </w:rPr>
      </w:pPr>
      <w:r>
        <w:rPr>
          <w:rFonts w:ascii="Arial" w:cs="Arial" w:eastAsia="Arial" w:hAnsi="Arial"/>
          <w:sz w:val="17"/>
          <w:szCs w:val="17"/>
          <w:color w:val="auto"/>
        </w:rPr>
        <w:t>2022 represented a critical inflection point for Plains. We exited the year in a position of financial strength and well positioned to continue delivering strong operating and financial results. Throughout</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year, we executed on our goals and initiatives in a dynamic macro environment.</w:t>
      </w:r>
    </w:p>
    <w:p>
      <w:pPr>
        <w:spacing w:after="0" w:line="4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integrated business model, flexible asset base and strong execution allowed us to capture</w:t>
      </w:r>
    </w:p>
    <w:p>
      <w:pPr>
        <w:spacing w:after="0" w:line="14" w:lineRule="exact"/>
        <w:rPr>
          <w:sz w:val="20"/>
          <w:szCs w:val="20"/>
          <w:color w:val="auto"/>
        </w:rPr>
      </w:pPr>
    </w:p>
    <w:p>
      <w:pPr>
        <w:ind w:left="1260" w:right="499"/>
        <w:spacing w:after="0" w:line="226" w:lineRule="auto"/>
        <w:rPr>
          <w:sz w:val="20"/>
          <w:szCs w:val="20"/>
          <w:color w:val="auto"/>
        </w:rPr>
      </w:pPr>
      <w:r>
        <w:rPr>
          <w:rFonts w:ascii="Arial" w:cs="Arial" w:eastAsia="Arial" w:hAnsi="Arial"/>
          <w:sz w:val="18"/>
          <w:szCs w:val="18"/>
          <w:color w:val="auto"/>
        </w:rPr>
        <w:t>increasing volumes from production growth and capitalize on commercial opportunities. As a result, we exceeded our financial guidance while also achieving record health, safety and environmental</w:t>
      </w:r>
    </w:p>
    <w:p>
      <w:pPr>
        <w:spacing w:after="0" w:line="2" w:lineRule="exact"/>
        <w:rPr>
          <w:sz w:val="20"/>
          <w:szCs w:val="20"/>
          <w:color w:val="auto"/>
        </w:rPr>
      </w:pPr>
    </w:p>
    <w:p>
      <w:pPr>
        <w:ind w:left="1260" w:right="559"/>
        <w:spacing w:after="0" w:line="250" w:lineRule="auto"/>
        <w:rPr>
          <w:sz w:val="20"/>
          <w:szCs w:val="20"/>
          <w:color w:val="auto"/>
        </w:rPr>
      </w:pPr>
      <w:r>
        <w:rPr>
          <w:rFonts w:ascii="Arial" w:cs="Arial" w:eastAsia="Arial" w:hAnsi="Arial"/>
          <w:sz w:val="18"/>
          <w:szCs w:val="18"/>
          <w:color w:val="auto"/>
        </w:rPr>
        <w:t>performance by meeting or exceeding 20% reduction targets in our key metrics. Overall achievements from 2022 include:</w:t>
      </w:r>
    </w:p>
    <w:p>
      <w:pPr>
        <w:spacing w:after="0" w:line="50" w:lineRule="exact"/>
        <w:rPr>
          <w:sz w:val="20"/>
          <w:szCs w:val="20"/>
          <w:color w:val="auto"/>
        </w:rPr>
      </w:pPr>
    </w:p>
    <w:p>
      <w:pPr>
        <w:jc w:val="both"/>
        <w:ind w:left="1800" w:right="679" w:hanging="180"/>
        <w:spacing w:after="0" w:line="25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Delivered $2.51 billion in Adjusted EBITDA attributable to PAA and Implied Distributable Cash Flow per Common Unit and Common Unit Equivalent of $2.26, exceeding our initial February targets of $2.2 billion and $2.00, respectively;</w:t>
      </w:r>
    </w:p>
    <w:p>
      <w:pPr>
        <w:spacing w:after="0" w:line="1" w:lineRule="exact"/>
        <w:rPr>
          <w:rFonts w:ascii="Arial" w:cs="Arial" w:eastAsia="Arial" w:hAnsi="Arial"/>
          <w:sz w:val="18"/>
          <w:szCs w:val="18"/>
          <w:color w:val="auto"/>
        </w:rPr>
      </w:pPr>
    </w:p>
    <w:p>
      <w:pPr>
        <w:ind w:left="1800" w:right="479" w:hanging="180"/>
        <w:spacing w:after="0" w:line="250"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$1.61 billion in Free Cash Flow, returned approximately $658 million to common equity holders via distributions and unit repurchases, invested approximately $500 million of investment and maintenance capital, repaid $774 million of total debt and achieved a year-end leverage ratio (total debt/adjusted EBITDA) of 3.7x approximately one year earlier than originally planned;</w:t>
      </w:r>
    </w:p>
    <w:p>
      <w:pPr>
        <w:spacing w:after="0" w:line="1" w:lineRule="exact"/>
        <w:rPr>
          <w:rFonts w:ascii="Arial" w:cs="Arial" w:eastAsia="Arial" w:hAnsi="Arial"/>
          <w:sz w:val="18"/>
          <w:szCs w:val="18"/>
          <w:color w:val="auto"/>
        </w:rPr>
      </w:pPr>
    </w:p>
    <w:p>
      <w:pPr>
        <w:ind w:left="1800" w:right="1159" w:hanging="180"/>
        <w:spacing w:after="0" w:line="250"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 and/or announced several win-win strategic transactions, all of which further optimized our asset base and streamlined our operations; and</w:t>
      </w:r>
    </w:p>
    <w:p>
      <w:pPr>
        <w:ind w:left="1800" w:right="959" w:hanging="180"/>
        <w:spacing w:after="0" w:line="266"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multi-year capital allocation framework prioritizing Free Cash Flow generation, financial flexibility and targeting increasing return of capital to equity holders.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we look ahead, we remain constructive on the long-term fundamentals that underpin our</w:t>
      </w:r>
    </w:p>
    <w:p>
      <w:pPr>
        <w:spacing w:after="0" w:line="14" w:lineRule="exact"/>
        <w:rPr>
          <w:sz w:val="20"/>
          <w:szCs w:val="20"/>
          <w:color w:val="auto"/>
        </w:rPr>
      </w:pPr>
    </w:p>
    <w:p>
      <w:pPr>
        <w:ind w:left="1260" w:right="599"/>
        <w:spacing w:after="0"/>
        <w:rPr>
          <w:sz w:val="20"/>
          <w:szCs w:val="20"/>
          <w:color w:val="auto"/>
        </w:rPr>
      </w:pPr>
      <w:r>
        <w:rPr>
          <w:rFonts w:ascii="Arial" w:cs="Arial" w:eastAsia="Arial" w:hAnsi="Arial"/>
          <w:sz w:val="17"/>
          <w:szCs w:val="17"/>
          <w:color w:val="auto"/>
        </w:rPr>
        <w:t>business and the need for North American energy, with recent events serving as a reminder that all forms of energy are needed to satisfy growing global energy demand. Underlying supply and demand</w:t>
      </w:r>
    </w:p>
    <w:p>
      <w:pPr>
        <w:ind w:left="1260"/>
        <w:spacing w:after="0" w:line="235" w:lineRule="auto"/>
        <w:rPr>
          <w:sz w:val="20"/>
          <w:szCs w:val="20"/>
          <w:color w:val="auto"/>
        </w:rPr>
      </w:pPr>
      <w:r>
        <w:rPr>
          <w:rFonts w:ascii="Arial" w:cs="Arial" w:eastAsia="Arial" w:hAnsi="Arial"/>
          <w:sz w:val="18"/>
          <w:szCs w:val="18"/>
          <w:color w:val="auto"/>
        </w:rPr>
        <w:t>fundamentals, together with realistic assumptions regarding the growth of various sources of energy,</w:t>
      </w:r>
    </w:p>
    <w:p>
      <w:pPr>
        <w:ind w:left="1260" w:right="559"/>
        <w:spacing w:after="0" w:line="226" w:lineRule="auto"/>
        <w:rPr>
          <w:sz w:val="20"/>
          <w:szCs w:val="20"/>
          <w:color w:val="auto"/>
        </w:rPr>
      </w:pPr>
      <w:r>
        <w:rPr>
          <w:rFonts w:ascii="Arial" w:cs="Arial" w:eastAsia="Arial" w:hAnsi="Arial"/>
          <w:sz w:val="18"/>
          <w:szCs w:val="18"/>
          <w:color w:val="auto"/>
        </w:rPr>
        <w:t>support our belief that hydrocarbons will remain an essential part of the world economy for decades to come. Energy from hydrocarbons will play a key role in supporting a growing global population,</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reducing poverty, extending longevity and improving overall quality of life.</w:t>
      </w:r>
    </w:p>
    <w:p>
      <w:pPr>
        <w:spacing w:after="0" w:line="4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our network of strategically located North American midstream assets and our focus on the</w:t>
      </w:r>
    </w:p>
    <w:p>
      <w:pPr>
        <w:spacing w:after="0" w:line="14" w:lineRule="exact"/>
        <w:rPr>
          <w:sz w:val="20"/>
          <w:szCs w:val="20"/>
          <w:color w:val="auto"/>
        </w:rPr>
      </w:pPr>
    </w:p>
    <w:p>
      <w:pPr>
        <w:ind w:left="1260" w:right="479"/>
        <w:spacing w:after="0" w:line="226" w:lineRule="auto"/>
        <w:rPr>
          <w:sz w:val="20"/>
          <w:szCs w:val="20"/>
          <w:color w:val="auto"/>
        </w:rPr>
      </w:pPr>
      <w:r>
        <w:rPr>
          <w:rFonts w:ascii="Arial" w:cs="Arial" w:eastAsia="Arial" w:hAnsi="Arial"/>
          <w:sz w:val="18"/>
          <w:szCs w:val="18"/>
          <w:color w:val="auto"/>
        </w:rPr>
        <w:t>long-term positioning and optimization of our business, we believe we are very well positioned to play a critical role in the delivery of energy across North America and globally. As we do so, we will remain</w:t>
      </w:r>
    </w:p>
    <w:p>
      <w:pPr>
        <w:ind w:left="1260"/>
        <w:spacing w:after="0" w:line="236" w:lineRule="auto"/>
        <w:rPr>
          <w:sz w:val="20"/>
          <w:szCs w:val="20"/>
          <w:color w:val="auto"/>
        </w:rPr>
      </w:pPr>
      <w:r>
        <w:rPr>
          <w:rFonts w:ascii="Arial" w:cs="Arial" w:eastAsia="Arial" w:hAnsi="Arial"/>
          <w:sz w:val="18"/>
          <w:szCs w:val="18"/>
          <w:color w:val="auto"/>
        </w:rPr>
        <w:t>focused on generating meaningful multi-year free cash flow and maintaining a balanced approach to</w:t>
      </w:r>
    </w:p>
    <w:p>
      <w:pPr>
        <w:spacing w:after="0" w:line="1" w:lineRule="exact"/>
        <w:rPr>
          <w:sz w:val="20"/>
          <w:szCs w:val="20"/>
          <w:color w:val="auto"/>
        </w:rPr>
      </w:pPr>
    </w:p>
    <w:p>
      <w:pPr>
        <w:ind w:left="1260" w:right="459"/>
        <w:spacing w:after="0"/>
        <w:rPr>
          <w:sz w:val="20"/>
          <w:szCs w:val="20"/>
          <w:color w:val="auto"/>
        </w:rPr>
      </w:pPr>
      <w:r>
        <w:rPr>
          <w:rFonts w:ascii="Arial" w:cs="Arial" w:eastAsia="Arial" w:hAnsi="Arial"/>
          <w:sz w:val="17"/>
          <w:szCs w:val="17"/>
          <w:color w:val="auto"/>
        </w:rPr>
        <w:t>capital allocation that includes debt reduction and increasing returns of capital to equity holders through distribution increases and opportunistic repurchases. We believe the execution of our plan will deliver</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strong performance and enhanced value for our investors over the long term.</w:t>
      </w:r>
    </w:p>
    <w:p>
      <w:pPr>
        <w:spacing w:after="0" w:line="45" w:lineRule="exact"/>
        <w:rPr>
          <w:sz w:val="20"/>
          <w:szCs w:val="20"/>
          <w:color w:val="auto"/>
        </w:rPr>
      </w:pPr>
    </w:p>
    <w:p>
      <w:pPr>
        <w:ind w:left="1260" w:right="519" w:firstLine="360"/>
        <w:spacing w:after="0" w:line="271" w:lineRule="auto"/>
        <w:rPr>
          <w:sz w:val="20"/>
          <w:szCs w:val="20"/>
          <w:color w:val="auto"/>
        </w:rPr>
      </w:pPr>
      <w:r>
        <w:rPr>
          <w:rFonts w:ascii="Arial" w:cs="Arial" w:eastAsia="Arial" w:hAnsi="Arial"/>
          <w:sz w:val="18"/>
          <w:szCs w:val="18"/>
          <w:color w:val="auto"/>
        </w:rPr>
        <w:t>We appreciate your continued investment and support and we look forward to your participation in our 2023 annual meeting in May.</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69215</wp:posOffset>
            </wp:positionV>
            <wp:extent cx="1054100" cy="402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41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Willie Chiang</w:t>
      </w:r>
    </w:p>
    <w:p>
      <w:pPr>
        <w:spacing w:after="0" w:line="14"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Chairman of the Board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1142365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509905</wp:posOffset>
            </wp:positionV>
            <wp:extent cx="1988820" cy="436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8882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920"/>
        <w:spacing w:after="0"/>
        <w:rPr>
          <w:sz w:val="20"/>
          <w:szCs w:val="20"/>
          <w:color w:val="auto"/>
        </w:rPr>
      </w:pPr>
      <w:r>
        <w:rPr>
          <w:rFonts w:ascii="Arial" w:cs="Arial" w:eastAsia="Arial" w:hAnsi="Arial"/>
          <w:sz w:val="25"/>
          <w:szCs w:val="25"/>
          <w:b w:val="1"/>
          <w:bCs w:val="1"/>
          <w:color w:val="auto"/>
        </w:rPr>
        <w:t>Plains GP Holdings, L.P.</w:t>
      </w:r>
    </w:p>
    <w:p>
      <w:pPr>
        <w:spacing w:after="0" w:line="3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333 Clay Street, Suite 1600</w:t>
      </w:r>
    </w:p>
    <w:p>
      <w:pPr>
        <w:ind w:left="4420"/>
        <w:spacing w:after="0"/>
        <w:rPr>
          <w:sz w:val="20"/>
          <w:szCs w:val="20"/>
          <w:color w:val="auto"/>
        </w:rPr>
      </w:pPr>
      <w:r>
        <w:rPr>
          <w:rFonts w:ascii="Arial" w:cs="Arial" w:eastAsia="Arial" w:hAnsi="Arial"/>
          <w:sz w:val="18"/>
          <w:szCs w:val="18"/>
          <w:b w:val="1"/>
          <w:bCs w:val="1"/>
          <w:color w:val="auto"/>
        </w:rPr>
        <w:t>Houston, Texas 77002</w:t>
      </w:r>
      <w:r>
        <w:rPr>
          <w:rFonts w:ascii="Times New Roman" w:cs="Times New Roman" w:eastAsia="Times New Roman" w:hAnsi="Times New Roman"/>
          <w:sz w:val="25"/>
          <w:szCs w:val="2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216535</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To Be Held On May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220345</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holders of Class A, Class B and Class C shares of Plains GP Holdings, L.P.:</w:t>
      </w:r>
    </w:p>
    <w:p>
      <w:pPr>
        <w:spacing w:after="0" w:line="15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2023 Annual Meeting (the “PAGP Annual Meeting”) of the Class A, Class B and Class C shareholders (collectively, our “Shareholders”) of Plains GP Holdings, L.P. will be held on May 24, 2023, at 10:30 a.m. Central Time, in the Texas Room located on the 19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Three Allen Center, 333 Clay Street, Houston, Texas 77002. At the PAGP Annual Meeting, our Shareholders will consider and vote on the following matters:</w:t>
      </w:r>
    </w:p>
    <w:p>
      <w:pPr>
        <w:spacing w:after="0" w:line="116" w:lineRule="exact"/>
        <w:rPr>
          <w:sz w:val="20"/>
          <w:szCs w:val="20"/>
          <w:color w:val="auto"/>
        </w:rPr>
      </w:pPr>
    </w:p>
    <w:p>
      <w:pPr>
        <w:ind w:left="1980" w:right="699" w:hanging="360"/>
        <w:spacing w:after="0" w:line="28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four Class I directors to serve on the board of directors (the “Board”) of PAA GP Holdings LLC until the 2026 annual meeting;</w:t>
      </w:r>
    </w:p>
    <w:p>
      <w:pPr>
        <w:spacing w:after="0" w:line="85" w:lineRule="exact"/>
        <w:rPr>
          <w:rFonts w:ascii="Arial" w:cs="Arial" w:eastAsia="Arial" w:hAnsi="Arial"/>
          <w:sz w:val="18"/>
          <w:szCs w:val="18"/>
          <w:color w:val="auto"/>
        </w:rPr>
      </w:pPr>
    </w:p>
    <w:p>
      <w:pPr>
        <w:ind w:left="1980" w:right="639" w:hanging="360"/>
        <w:spacing w:after="0" w:line="268"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our and Plains All American Pipeline, L.P.’s (“PAA”) independent registered public accounting firm for the fiscal year ending December 31, 2023;</w:t>
      </w:r>
    </w:p>
    <w:p>
      <w:pPr>
        <w:spacing w:after="0" w:line="103" w:lineRule="exact"/>
        <w:rPr>
          <w:rFonts w:ascii="Arial" w:cs="Arial" w:eastAsia="Arial" w:hAnsi="Arial"/>
          <w:sz w:val="18"/>
          <w:szCs w:val="18"/>
          <w:color w:val="auto"/>
        </w:rPr>
      </w:pPr>
    </w:p>
    <w:p>
      <w:pPr>
        <w:ind w:left="1980" w:right="1299" w:hanging="360"/>
        <w:spacing w:after="0" w:line="28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on a non-binding advisory basis, of our 2022 named executive officer compensation; and</w:t>
      </w:r>
    </w:p>
    <w:p>
      <w:pPr>
        <w:spacing w:after="0" w:line="71" w:lineRule="exact"/>
        <w:rPr>
          <w:rFonts w:ascii="Arial" w:cs="Arial" w:eastAsia="Arial" w:hAnsi="Arial"/>
          <w:sz w:val="18"/>
          <w:szCs w:val="18"/>
          <w:color w:val="auto"/>
        </w:rPr>
      </w:pPr>
    </w:p>
    <w:p>
      <w:pPr>
        <w:ind w:left="1980" w:right="519" w:hanging="360"/>
        <w:spacing w:after="0" w:line="28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proposal to transact such other business as may properly come before the PAGP Annual Meeting and any adjournment or postponement thereof.</w:t>
      </w:r>
    </w:p>
    <w:p>
      <w:pPr>
        <w:spacing w:after="0" w:line="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The Board unanimously recommends that our Shareholders vote “FOR” proposals 1, 2 and</w:t>
      </w:r>
    </w:p>
    <w:p>
      <w:pPr>
        <w:spacing w:after="0" w:line="27" w:lineRule="exact"/>
        <w:rPr>
          <w:sz w:val="20"/>
          <w:szCs w:val="20"/>
          <w:color w:val="auto"/>
        </w:rPr>
      </w:pPr>
    </w:p>
    <w:p>
      <w:pPr>
        <w:ind w:left="1260" w:right="419"/>
        <w:spacing w:after="0" w:line="306" w:lineRule="auto"/>
        <w:tabs>
          <w:tab w:leader="none" w:pos="1459"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Additional information regarding these proposals is included in the attached proxy statement. See “Information About the PAA and PAGP Annual Meetings” below for more information.</w:t>
      </w:r>
    </w:p>
    <w:p>
      <w:pPr>
        <w:spacing w:after="0" w:line="64" w:lineRule="exact"/>
        <w:rPr>
          <w:sz w:val="20"/>
          <w:szCs w:val="20"/>
          <w:color w:val="auto"/>
        </w:rPr>
      </w:pPr>
    </w:p>
    <w:p>
      <w:pPr>
        <w:jc w:val="both"/>
        <w:ind w:left="1260" w:right="719" w:firstLine="360"/>
        <w:spacing w:after="0" w:line="262" w:lineRule="auto"/>
        <w:rPr>
          <w:sz w:val="20"/>
          <w:szCs w:val="20"/>
          <w:color w:val="auto"/>
        </w:rPr>
      </w:pPr>
      <w:r>
        <w:rPr>
          <w:rFonts w:ascii="Arial" w:cs="Arial" w:eastAsia="Arial" w:hAnsi="Arial"/>
          <w:sz w:val="18"/>
          <w:szCs w:val="18"/>
          <w:color w:val="auto"/>
        </w:rPr>
        <w:t>Shareholders as of the close of business on March 27, 2023 (the “Record Date”) are entitled to receive notice of and to vote at the PAGP Annual Meeting and any postponements or adjournments thereof. A list of Shareholders entitled to vote is on file at our principal offices, 333 Clay Street, Suite 1600, Houston, Texas 77002.</w:t>
      </w:r>
    </w:p>
    <w:p>
      <w:pPr>
        <w:spacing w:after="0" w:line="95" w:lineRule="exact"/>
        <w:rPr>
          <w:sz w:val="20"/>
          <w:szCs w:val="20"/>
          <w:color w:val="auto"/>
        </w:rPr>
      </w:pPr>
    </w:p>
    <w:p>
      <w:pPr>
        <w:ind w:left="1260" w:right="439" w:firstLine="360"/>
        <w:spacing w:after="0" w:line="274" w:lineRule="auto"/>
        <w:rPr>
          <w:sz w:val="20"/>
          <w:szCs w:val="20"/>
          <w:color w:val="auto"/>
        </w:rPr>
      </w:pPr>
      <w:r>
        <w:rPr>
          <w:rFonts w:ascii="Arial" w:cs="Arial" w:eastAsia="Arial" w:hAnsi="Arial"/>
          <w:sz w:val="17"/>
          <w:szCs w:val="17"/>
          <w:b w:val="1"/>
          <w:bCs w:val="1"/>
          <w:color w:val="auto"/>
        </w:rPr>
        <w:t xml:space="preserve">Your vote is very important. </w:t>
      </w:r>
      <w:r>
        <w:rPr>
          <w:rFonts w:ascii="Arial" w:cs="Arial" w:eastAsia="Arial" w:hAnsi="Arial"/>
          <w:sz w:val="17"/>
          <w:szCs w:val="17"/>
          <w:color w:val="auto"/>
        </w:rPr>
        <w:t>Whether or not you plan to attend the PAGP Annual Meeting, please</w:t>
      </w:r>
      <w:r>
        <w:rPr>
          <w:rFonts w:ascii="Arial" w:cs="Arial" w:eastAsia="Arial" w:hAnsi="Arial"/>
          <w:sz w:val="17"/>
          <w:szCs w:val="17"/>
          <w:b w:val="1"/>
          <w:bCs w:val="1"/>
          <w:color w:val="auto"/>
        </w:rPr>
        <w:t xml:space="preserve"> </w:t>
      </w:r>
      <w:r>
        <w:rPr>
          <w:rFonts w:ascii="Arial" w:cs="Arial" w:eastAsia="Arial" w:hAnsi="Arial"/>
          <w:sz w:val="17"/>
          <w:szCs w:val="17"/>
          <w:color w:val="auto"/>
        </w:rPr>
        <w:t>cast your vote by following the Internet or telephone voting instructions on the proxy card. You may also vote by completing, signing and dating the accompanying proxy card and returning it promptly in the postage-prepaid envelope provided. See “Questions and Answers About the PAGP Annual Meeting —  How do I vote?” in the attached proxy statement for more details. Returning the proxy card or voting on the Internet or by telephone does not deprive you of your right to attend the PAGP Annual Meeting and to vote your shares for the matters to be acted upon at the PAGP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1227455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Order of the Board of Directors of</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PAA GP Holdings LLC, general partner of</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126365</wp:posOffset>
            </wp:positionV>
            <wp:extent cx="1645920" cy="360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Richard McGee</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Executive Vice President, General Counsel and</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Secretary</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Houston, Texas</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14, 2023</w:t>
      </w:r>
    </w:p>
    <w:p>
      <w:pPr>
        <w:spacing w:after="0" w:line="165" w:lineRule="exact"/>
        <w:rPr>
          <w:sz w:val="20"/>
          <w:szCs w:val="20"/>
          <w:color w:val="auto"/>
        </w:rPr>
      </w:pPr>
    </w:p>
    <w:tbl>
      <w:tblPr>
        <w:tblLayout w:type="fixed"/>
        <w:tblInd w:w="1270" w:type="dxa"/>
        <w:tblCellMar>
          <w:top w:w="0" w:type="dxa"/>
          <w:left w:w="0" w:type="dxa"/>
          <w:bottom w:w="0" w:type="dxa"/>
          <w:right w:w="0" w:type="dxa"/>
        </w:tblCellMar>
      </w:tblPr>
      <w:tr>
        <w:trPr>
          <w:trHeight w:val="278"/>
        </w:trPr>
        <w:tc>
          <w:tcPr>
            <w:tcW w:w="2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7960" w:type="dxa"/>
            <w:vAlign w:val="bottom"/>
            <w:tcBorders>
              <w:top w:val="single" w:sz="8" w:color="auto"/>
              <w:right w:val="single" w:sz="8" w:color="auto"/>
            </w:tcBorders>
          </w:tcPr>
          <w:p>
            <w:pPr>
              <w:jc w:val="center"/>
              <w:ind w:right="234"/>
              <w:spacing w:after="0"/>
              <w:rPr>
                <w:sz w:val="20"/>
                <w:szCs w:val="20"/>
                <w:color w:val="auto"/>
              </w:rPr>
            </w:pPr>
            <w:r>
              <w:rPr>
                <w:rFonts w:ascii="Arial" w:cs="Arial" w:eastAsia="Arial" w:hAnsi="Arial"/>
                <w:sz w:val="18"/>
                <w:szCs w:val="18"/>
                <w:b w:val="1"/>
                <w:bCs w:val="1"/>
                <w:color w:val="auto"/>
                <w:w w:val="96"/>
              </w:rPr>
              <w:t>IMPORTANT NOTICE REGARDING THE AVAILABILITY OF</w:t>
            </w:r>
          </w:p>
        </w:tc>
      </w:tr>
      <w:tr>
        <w:trPr>
          <w:trHeight w:val="216"/>
        </w:trPr>
        <w:tc>
          <w:tcPr>
            <w:tcW w:w="2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jc w:val="center"/>
              <w:ind w:right="254"/>
              <w:spacing w:after="0"/>
              <w:rPr>
                <w:sz w:val="20"/>
                <w:szCs w:val="20"/>
                <w:color w:val="auto"/>
              </w:rPr>
            </w:pPr>
            <w:r>
              <w:rPr>
                <w:rFonts w:ascii="Arial" w:cs="Arial" w:eastAsia="Arial" w:hAnsi="Arial"/>
                <w:sz w:val="18"/>
                <w:szCs w:val="18"/>
                <w:b w:val="1"/>
                <w:bCs w:val="1"/>
                <w:color w:val="auto"/>
                <w:w w:val="97"/>
              </w:rPr>
              <w:t>PROXY MATERIALS FOR THE ANNUAL MEETING OF SHAREHOLDERS</w:t>
            </w:r>
          </w:p>
        </w:tc>
      </w:tr>
      <w:tr>
        <w:trPr>
          <w:trHeight w:val="247"/>
        </w:trPr>
        <w:tc>
          <w:tcPr>
            <w:tcW w:w="260" w:type="dxa"/>
            <w:vAlign w:val="bottom"/>
            <w:tcBorders>
              <w:left w:val="single" w:sz="8" w:color="auto"/>
            </w:tcBorders>
          </w:tcPr>
          <w:p>
            <w:pPr>
              <w:spacing w:after="0"/>
              <w:rPr>
                <w:sz w:val="21"/>
                <w:szCs w:val="21"/>
                <w:color w:val="auto"/>
              </w:rPr>
            </w:pPr>
          </w:p>
        </w:tc>
        <w:tc>
          <w:tcPr>
            <w:tcW w:w="7960" w:type="dxa"/>
            <w:vAlign w:val="bottom"/>
            <w:tcBorders>
              <w:right w:val="single" w:sz="8" w:color="auto"/>
            </w:tcBorders>
          </w:tcPr>
          <w:p>
            <w:pPr>
              <w:jc w:val="center"/>
              <w:ind w:right="194"/>
              <w:spacing w:after="0"/>
              <w:rPr>
                <w:sz w:val="20"/>
                <w:szCs w:val="20"/>
                <w:color w:val="auto"/>
              </w:rPr>
            </w:pPr>
            <w:r>
              <w:rPr>
                <w:rFonts w:ascii="Arial" w:cs="Arial" w:eastAsia="Arial" w:hAnsi="Arial"/>
                <w:sz w:val="18"/>
                <w:szCs w:val="18"/>
                <w:b w:val="1"/>
                <w:bCs w:val="1"/>
                <w:color w:val="auto"/>
                <w:w w:val="96"/>
              </w:rPr>
              <w:t>TO BE HELD ON MAY 24, 2023</w:t>
            </w:r>
          </w:p>
        </w:tc>
      </w:tr>
      <w:tr>
        <w:trPr>
          <w:trHeight w:val="231"/>
        </w:trPr>
        <w:tc>
          <w:tcPr>
            <w:tcW w:w="2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jc w:val="center"/>
              <w:ind w:right="234"/>
              <w:spacing w:after="0"/>
              <w:rPr>
                <w:sz w:val="20"/>
                <w:szCs w:val="20"/>
                <w:color w:val="auto"/>
              </w:rPr>
            </w:pPr>
            <w:r>
              <w:rPr>
                <w:rFonts w:ascii="Arial" w:cs="Arial" w:eastAsia="Arial" w:hAnsi="Arial"/>
                <w:sz w:val="16"/>
                <w:szCs w:val="16"/>
                <w:b w:val="1"/>
                <w:bCs w:val="1"/>
                <w:color w:val="auto"/>
              </w:rPr>
              <w:t>The Notice of Annual Meeting, the proxy statement for the Annual Meeting and our 2022 Annual</w:t>
            </w:r>
          </w:p>
        </w:tc>
      </w:tr>
      <w:tr>
        <w:trPr>
          <w:trHeight w:val="203"/>
        </w:trPr>
        <w:tc>
          <w:tcPr>
            <w:tcW w:w="260" w:type="dxa"/>
            <w:vAlign w:val="bottom"/>
            <w:tcBorders>
              <w:left w:val="single" w:sz="8" w:color="auto"/>
              <w:bottom w:val="single" w:sz="8" w:color="auto"/>
            </w:tcBorders>
          </w:tcPr>
          <w:p>
            <w:pPr>
              <w:spacing w:after="0"/>
              <w:rPr>
                <w:sz w:val="17"/>
                <w:szCs w:val="17"/>
                <w:color w:val="auto"/>
              </w:rPr>
            </w:pPr>
          </w:p>
        </w:tc>
        <w:tc>
          <w:tcPr>
            <w:tcW w:w="7960" w:type="dxa"/>
            <w:vAlign w:val="bottom"/>
            <w:tcBorders>
              <w:bottom w:val="single" w:sz="8" w:color="auto"/>
              <w:right w:val="single" w:sz="8" w:color="auto"/>
            </w:tcBorders>
          </w:tcPr>
          <w:p>
            <w:pPr>
              <w:jc w:val="center"/>
              <w:ind w:right="214"/>
              <w:spacing w:after="0"/>
              <w:rPr>
                <w:sz w:val="20"/>
                <w:szCs w:val="20"/>
                <w:color w:val="auto"/>
              </w:rPr>
            </w:pPr>
            <w:r>
              <w:rPr>
                <w:rFonts w:ascii="Arial" w:cs="Arial" w:eastAsia="Arial" w:hAnsi="Arial"/>
                <w:sz w:val="16"/>
                <w:szCs w:val="16"/>
                <w:b w:val="1"/>
                <w:bCs w:val="1"/>
                <w:color w:val="auto"/>
              </w:rPr>
              <w:t>Report are available at http://www.astproxyportal.com/ast/21140/.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5464810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260" w:type="dxa"/>
        <w:tblCellMar>
          <w:top w:w="0" w:type="dxa"/>
          <w:left w:w="0" w:type="dxa"/>
          <w:bottom w:w="0" w:type="dxa"/>
          <w:right w:w="0" w:type="dxa"/>
        </w:tblCellMar>
      </w:tblPr>
      <w:tr>
        <w:trPr>
          <w:trHeight w:val="247"/>
        </w:trPr>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60" w:type="dxa"/>
            <w:vAlign w:val="bottom"/>
            <w:gridSpan w:val="14"/>
          </w:tcPr>
          <w:p>
            <w:pPr>
              <w:ind w:left="660"/>
              <w:spacing w:after="0"/>
              <w:rPr>
                <w:sz w:val="20"/>
                <w:szCs w:val="20"/>
                <w:color w:val="auto"/>
              </w:rPr>
            </w:pPr>
            <w:r>
              <w:rPr>
                <w:rFonts w:ascii="Arial" w:cs="Arial" w:eastAsia="Arial" w:hAnsi="Arial"/>
                <w:sz w:val="18"/>
                <w:szCs w:val="18"/>
                <w:b w:val="1"/>
                <w:bCs w:val="1"/>
                <w:color w:val="auto"/>
              </w:rPr>
              <w:t>TABLE OF CONTENTS</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760" w:type="dxa"/>
            <w:vAlign w:val="bottom"/>
            <w:gridSpan w:val="21"/>
            <w:shd w:val="clear" w:color="auto" w:fill="CCEEFF"/>
          </w:tcPr>
          <w:p>
            <w:pPr>
              <w:spacing w:after="0" w:line="162" w:lineRule="exact"/>
              <w:rPr>
                <w:sz w:val="20"/>
                <w:szCs w:val="20"/>
                <w:color w:val="auto"/>
              </w:rPr>
            </w:pPr>
            <w:r>
              <w:rPr>
                <w:rFonts w:ascii="Arial" w:cs="Arial" w:eastAsia="Arial" w:hAnsi="Arial"/>
                <w:sz w:val="18"/>
                <w:szCs w:val="18"/>
                <w:color w:val="0000EE"/>
              </w:rPr>
              <w:t>GENERAL INFORMATION ABOUT THE PLAINS GP HOLDINGS, L.P. ANNUAL MEETING</w:t>
            </w:r>
          </w:p>
        </w:tc>
        <w:tc>
          <w:tcPr>
            <w:tcW w:w="4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8"/>
                <w:szCs w:val="18"/>
                <w:color w:val="0000EE"/>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9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21"/>
          </w:tcPr>
          <w:p>
            <w:pPr>
              <w:spacing w:after="0"/>
              <w:rPr>
                <w:sz w:val="20"/>
                <w:szCs w:val="20"/>
                <w:color w:val="auto"/>
              </w:rPr>
            </w:pPr>
            <w:r>
              <w:rPr>
                <w:rFonts w:ascii="Arial" w:cs="Arial" w:eastAsia="Arial" w:hAnsi="Arial"/>
                <w:sz w:val="18"/>
                <w:szCs w:val="18"/>
                <w:color w:val="0000EE"/>
              </w:rPr>
              <w:t>INFORMATION ABOUT THE PAA AND PAGP ANNUAL MEETINGS</w:t>
            </w: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0000EE"/>
              </w:rPr>
              <w:t>1</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21"/>
            <w:shd w:val="clear" w:color="auto" w:fill="CCEEFF"/>
          </w:tcPr>
          <w:p>
            <w:pPr>
              <w:spacing w:after="0"/>
              <w:rPr>
                <w:sz w:val="20"/>
                <w:szCs w:val="20"/>
                <w:color w:val="auto"/>
              </w:rPr>
            </w:pPr>
            <w:r>
              <w:rPr>
                <w:rFonts w:ascii="Arial" w:cs="Arial" w:eastAsia="Arial" w:hAnsi="Arial"/>
                <w:sz w:val="18"/>
                <w:szCs w:val="18"/>
                <w:color w:val="0000EE"/>
              </w:rPr>
              <w:t>QUESTIONS AND ANSWERS ABOUT THE PAGP ANNUAL MEETING</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9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21"/>
          </w:tcPr>
          <w:p>
            <w:pPr>
              <w:spacing w:after="0"/>
              <w:rPr>
                <w:sz w:val="20"/>
                <w:szCs w:val="20"/>
                <w:color w:val="auto"/>
              </w:rPr>
            </w:pPr>
            <w:r>
              <w:rPr>
                <w:rFonts w:ascii="Arial" w:cs="Arial" w:eastAsia="Arial" w:hAnsi="Arial"/>
                <w:sz w:val="18"/>
                <w:szCs w:val="18"/>
                <w:color w:val="0000EE"/>
              </w:rPr>
              <w:t>CORPORATE GOVERNANCE AND RELATED MATTERS</w:t>
            </w: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0000EE"/>
              </w:rPr>
              <w:t>7</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21"/>
            <w:shd w:val="clear" w:color="auto" w:fill="CCEEFF"/>
          </w:tcPr>
          <w:p>
            <w:pPr>
              <w:spacing w:after="0"/>
              <w:rPr>
                <w:sz w:val="20"/>
                <w:szCs w:val="20"/>
                <w:color w:val="auto"/>
              </w:rPr>
            </w:pPr>
            <w:r>
              <w:rPr>
                <w:rFonts w:ascii="Arial" w:cs="Arial" w:eastAsia="Arial" w:hAnsi="Arial"/>
                <w:sz w:val="18"/>
                <w:szCs w:val="18"/>
                <w:color w:val="0000EE"/>
              </w:rPr>
              <w:t>PROPOSAL 1 – ELECTION OF CLASS I DIRECTORS</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9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21"/>
          </w:tcPr>
          <w:p>
            <w:pPr>
              <w:spacing w:after="0"/>
              <w:rPr>
                <w:sz w:val="20"/>
                <w:szCs w:val="20"/>
                <w:color w:val="auto"/>
              </w:rPr>
            </w:pPr>
            <w:r>
              <w:rPr>
                <w:rFonts w:ascii="Arial" w:cs="Arial" w:eastAsia="Arial" w:hAnsi="Arial"/>
                <w:sz w:val="18"/>
                <w:szCs w:val="18"/>
                <w:color w:val="0000EE"/>
              </w:rPr>
              <w:t>EXECUTIVE OFFICERS</w:t>
            </w: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0000EE"/>
              </w:rPr>
              <w:t>26</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21"/>
            <w:shd w:val="clear" w:color="auto" w:fill="CCEEFF"/>
          </w:tcPr>
          <w:p>
            <w:pPr>
              <w:spacing w:after="0"/>
              <w:rPr>
                <w:sz w:val="20"/>
                <w:szCs w:val="20"/>
                <w:color w:val="auto"/>
              </w:rPr>
            </w:pPr>
            <w:r>
              <w:rPr>
                <w:rFonts w:ascii="Arial" w:cs="Arial" w:eastAsia="Arial" w:hAnsi="Arial"/>
                <w:sz w:val="18"/>
                <w:szCs w:val="18"/>
                <w:color w:val="0000EE"/>
              </w:rPr>
              <w:t>EXECUTIVE COMPENSATION</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21"/>
          </w:tcPr>
          <w:p>
            <w:pPr>
              <w:spacing w:after="0"/>
              <w:rPr>
                <w:sz w:val="20"/>
                <w:szCs w:val="20"/>
                <w:color w:val="auto"/>
              </w:rPr>
            </w:pPr>
            <w:r>
              <w:rPr>
                <w:rFonts w:ascii="Arial" w:cs="Arial" w:eastAsia="Arial" w:hAnsi="Arial"/>
                <w:sz w:val="18"/>
                <w:szCs w:val="18"/>
                <w:color w:val="0000EE"/>
              </w:rPr>
              <w:t>SECURITY OWNERSHIP OF CERTAIN BENEFICIAL OWNERS AND MANAGEMENT</w:t>
            </w: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0000EE"/>
              </w:rPr>
              <w:t>66</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21"/>
            <w:shd w:val="clear" w:color="auto" w:fill="CCEEFF"/>
          </w:tcPr>
          <w:p>
            <w:pPr>
              <w:spacing w:after="0"/>
              <w:rPr>
                <w:sz w:val="20"/>
                <w:szCs w:val="20"/>
                <w:color w:val="auto"/>
              </w:rPr>
            </w:pPr>
            <w:r>
              <w:rPr>
                <w:rFonts w:ascii="Arial" w:cs="Arial" w:eastAsia="Arial" w:hAnsi="Arial"/>
                <w:sz w:val="18"/>
                <w:szCs w:val="18"/>
                <w:color w:val="0000EE"/>
              </w:rPr>
              <w:t>EQUITY COMPENSATION PLAN INFORMATION TABLE</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9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21"/>
          </w:tcPr>
          <w:p>
            <w:pPr>
              <w:spacing w:after="0"/>
              <w:rPr>
                <w:sz w:val="20"/>
                <w:szCs w:val="20"/>
                <w:color w:val="auto"/>
              </w:rPr>
            </w:pPr>
            <w:r>
              <w:rPr>
                <w:rFonts w:ascii="Arial" w:cs="Arial" w:eastAsia="Arial" w:hAnsi="Arial"/>
                <w:sz w:val="18"/>
                <w:szCs w:val="18"/>
                <w:color w:val="0000EE"/>
              </w:rPr>
              <w:t>CERTAIN RELATIONSHIPS AND RELATED TRANSACTIONS</w:t>
            </w: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0000EE"/>
              </w:rPr>
              <w:t>70</w:t>
            </w:r>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21"/>
            <w:shd w:val="clear" w:color="auto" w:fill="CCEEFF"/>
          </w:tcPr>
          <w:p>
            <w:pPr>
              <w:spacing w:after="0"/>
              <w:rPr>
                <w:sz w:val="20"/>
                <w:szCs w:val="20"/>
                <w:color w:val="auto"/>
              </w:rPr>
            </w:pPr>
            <w:r>
              <w:rPr>
                <w:rFonts w:ascii="Arial" w:cs="Arial" w:eastAsia="Arial" w:hAnsi="Arial"/>
                <w:sz w:val="18"/>
                <w:szCs w:val="18"/>
                <w:color w:val="0000EE"/>
              </w:rPr>
              <w:t>REPORT OF THE AUDIT COMMITTEE</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21"/>
          </w:tcPr>
          <w:p>
            <w:pPr>
              <w:spacing w:after="0"/>
              <w:rPr>
                <w:sz w:val="20"/>
                <w:szCs w:val="20"/>
                <w:color w:val="auto"/>
              </w:rPr>
            </w:pPr>
            <w:r>
              <w:rPr>
                <w:rFonts w:ascii="Arial" w:cs="Arial" w:eastAsia="Arial" w:hAnsi="Arial"/>
                <w:sz w:val="18"/>
                <w:szCs w:val="18"/>
                <w:color w:val="0000EE"/>
              </w:rPr>
              <w:t>PRINCIPAL ACCOUNTANT FEES AND SERVICES</w:t>
            </w: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0000EE"/>
              </w:rPr>
              <w:t>75</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7760" w:type="dxa"/>
            <w:vAlign w:val="bottom"/>
            <w:tcBorders>
              <w:bottom w:val="single" w:sz="8" w:color="0000EE"/>
            </w:tcBorders>
            <w:gridSpan w:val="21"/>
            <w:shd w:val="clear" w:color="auto" w:fill="CCEEFF"/>
          </w:tcPr>
          <w:p>
            <w:pPr>
              <w:spacing w:after="0"/>
              <w:rPr>
                <w:sz w:val="20"/>
                <w:szCs w:val="20"/>
                <w:color w:val="auto"/>
              </w:rPr>
            </w:pPr>
            <w:r>
              <w:rPr>
                <w:rFonts w:ascii="Arial" w:cs="Arial" w:eastAsia="Arial" w:hAnsi="Arial"/>
                <w:sz w:val="18"/>
                <w:szCs w:val="18"/>
                <w:color w:val="0000EE"/>
                <w:w w:val="99"/>
              </w:rPr>
              <w:t>PROPOSAL 2 – RATIFICATION OF APPOINTMENT OF INDEPENDENT REGISTERED PUBLIC</w:t>
            </w:r>
          </w:p>
        </w:tc>
        <w:tc>
          <w:tcPr>
            <w:tcW w:w="44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0000EE"/>
              </w:rPr>
              <w:t>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7580" w:type="dxa"/>
            <w:vAlign w:val="bottom"/>
            <w:gridSpan w:val="20"/>
            <w:shd w:val="clear" w:color="auto" w:fill="CCEEFF"/>
          </w:tcPr>
          <w:p>
            <w:pPr>
              <w:spacing w:after="0" w:line="196" w:lineRule="exact"/>
              <w:rPr>
                <w:sz w:val="20"/>
                <w:szCs w:val="20"/>
                <w:color w:val="auto"/>
              </w:rPr>
            </w:pPr>
            <w:r>
              <w:rPr>
                <w:rFonts w:ascii="Arial" w:cs="Arial" w:eastAsia="Arial" w:hAnsi="Arial"/>
                <w:sz w:val="18"/>
                <w:szCs w:val="18"/>
                <w:color w:val="0000EE"/>
              </w:rPr>
              <w:t>ACCOUNTING FIRM</w:t>
            </w:r>
          </w:p>
        </w:tc>
        <w:tc>
          <w:tcPr>
            <w:tcW w:w="440" w:type="dxa"/>
            <w:vAlign w:val="bottom"/>
            <w:gridSpan w:val="3"/>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8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0000EE"/>
            </w:tcBorders>
            <w:shd w:val="clear" w:color="auto" w:fill="CCEEFF"/>
          </w:tcPr>
          <w:p>
            <w:pPr>
              <w:spacing w:after="0"/>
              <w:rPr>
                <w:sz w:val="7"/>
                <w:szCs w:val="7"/>
                <w:color w:val="auto"/>
              </w:rPr>
            </w:pPr>
          </w:p>
        </w:tc>
        <w:tc>
          <w:tcPr>
            <w:tcW w:w="88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9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66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9"/>
              </w:rPr>
              <w:t>PROPOSAL 3 – ADVISORY VOTE TO APPROVE OUR 2022 NAMED EXECUTIVE</w:t>
            </w:r>
          </w:p>
        </w:tc>
        <w:tc>
          <w:tcPr>
            <w:tcW w:w="1080" w:type="dxa"/>
            <w:vAlign w:val="bottom"/>
            <w:gridSpan w:val="4"/>
          </w:tcPr>
          <w:p>
            <w:pPr>
              <w:spacing w:after="0"/>
              <w:rPr>
                <w:sz w:val="24"/>
                <w:szCs w:val="24"/>
                <w:color w:val="auto"/>
              </w:rPr>
            </w:pPr>
          </w:p>
        </w:tc>
        <w:tc>
          <w:tcPr>
            <w:tcW w:w="4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EE"/>
              </w:rPr>
              <w:t>77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580" w:type="dxa"/>
            <w:vAlign w:val="bottom"/>
            <w:gridSpan w:val="20"/>
          </w:tcPr>
          <w:p>
            <w:pPr>
              <w:spacing w:after="0" w:line="196" w:lineRule="exact"/>
              <w:rPr>
                <w:sz w:val="20"/>
                <w:szCs w:val="20"/>
                <w:color w:val="auto"/>
              </w:rPr>
            </w:pPr>
            <w:r>
              <w:rPr>
                <w:rFonts w:ascii="Arial" w:cs="Arial" w:eastAsia="Arial" w:hAnsi="Arial"/>
                <w:sz w:val="18"/>
                <w:szCs w:val="18"/>
                <w:color w:val="0000EE"/>
              </w:rPr>
              <w:t>OFFICER COMPENSATION</w:t>
            </w:r>
          </w:p>
        </w:tc>
        <w:tc>
          <w:tcPr>
            <w:tcW w:w="4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820" w:type="dxa"/>
            <w:vAlign w:val="bottom"/>
            <w:tcBorders>
              <w:top w:val="single" w:sz="8" w:color="0000EE"/>
            </w:tcBorders>
          </w:tcPr>
          <w:p>
            <w:pPr>
              <w:spacing w:after="0"/>
              <w:rPr>
                <w:sz w:val="7"/>
                <w:szCs w:val="7"/>
                <w:color w:val="auto"/>
              </w:rPr>
            </w:pPr>
          </w:p>
        </w:tc>
        <w:tc>
          <w:tcPr>
            <w:tcW w:w="88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7760" w:type="dxa"/>
            <w:vAlign w:val="bottom"/>
            <w:gridSpan w:val="21"/>
            <w:shd w:val="clear" w:color="auto" w:fill="CCEEFF"/>
          </w:tcPr>
          <w:p>
            <w:pPr>
              <w:spacing w:after="0"/>
              <w:rPr>
                <w:sz w:val="20"/>
                <w:szCs w:val="20"/>
                <w:color w:val="auto"/>
              </w:rPr>
            </w:pPr>
            <w:r>
              <w:rPr>
                <w:rFonts w:ascii="Arial" w:cs="Arial" w:eastAsia="Arial" w:hAnsi="Arial"/>
                <w:sz w:val="18"/>
                <w:szCs w:val="18"/>
                <w:color w:val="0000EE"/>
              </w:rPr>
              <w:t>OTHER MATTERS FOR THE PAGP ANNUAL MEETING</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9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730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9"/>
              </w:rPr>
              <w:t>DIRECTOR NOMINATIONS AND SHAREHOLDER PROPOSALS FOR THE 2024 ANNUAL</w:t>
            </w:r>
          </w:p>
        </w:tc>
        <w:tc>
          <w:tcPr>
            <w:tcW w:w="460" w:type="dxa"/>
            <w:vAlign w:val="bottom"/>
          </w:tcPr>
          <w:p>
            <w:pPr>
              <w:spacing w:after="0"/>
              <w:rPr>
                <w:sz w:val="24"/>
                <w:szCs w:val="24"/>
                <w:color w:val="auto"/>
              </w:rPr>
            </w:pPr>
          </w:p>
        </w:tc>
        <w:tc>
          <w:tcPr>
            <w:tcW w:w="4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EE"/>
              </w:rPr>
              <w:t>78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580" w:type="dxa"/>
            <w:vAlign w:val="bottom"/>
            <w:gridSpan w:val="20"/>
          </w:tcPr>
          <w:p>
            <w:pPr>
              <w:spacing w:after="0" w:line="196" w:lineRule="exact"/>
              <w:rPr>
                <w:sz w:val="20"/>
                <w:szCs w:val="20"/>
                <w:color w:val="auto"/>
              </w:rPr>
            </w:pPr>
            <w:r>
              <w:rPr>
                <w:rFonts w:ascii="Arial" w:cs="Arial" w:eastAsia="Arial" w:hAnsi="Arial"/>
                <w:sz w:val="18"/>
                <w:szCs w:val="18"/>
                <w:color w:val="0000EE"/>
              </w:rPr>
              <w:t>MEETING</w:t>
            </w:r>
          </w:p>
        </w:tc>
        <w:tc>
          <w:tcPr>
            <w:tcW w:w="4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820" w:type="dxa"/>
            <w:vAlign w:val="bottom"/>
            <w:tcBorders>
              <w:top w:val="single" w:sz="8" w:color="0000EE"/>
            </w:tcBorders>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7760" w:type="dxa"/>
            <w:vAlign w:val="bottom"/>
            <w:gridSpan w:val="21"/>
            <w:shd w:val="clear" w:color="auto" w:fill="CCEEFF"/>
          </w:tcPr>
          <w:p>
            <w:pPr>
              <w:spacing w:after="0"/>
              <w:rPr>
                <w:sz w:val="20"/>
                <w:szCs w:val="20"/>
                <w:color w:val="auto"/>
              </w:rPr>
            </w:pPr>
            <w:r>
              <w:rPr>
                <w:rFonts w:ascii="Arial" w:cs="Arial" w:eastAsia="Arial" w:hAnsi="Arial"/>
                <w:sz w:val="18"/>
                <w:szCs w:val="18"/>
                <w:color w:val="0000EE"/>
              </w:rPr>
              <w:t>HOUSEHOLDING MATTERS</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840"/>
        <w:spacing w:after="0"/>
        <w:rPr>
          <w:sz w:val="20"/>
          <w:szCs w:val="20"/>
          <w:color w:val="auto"/>
        </w:rPr>
      </w:pPr>
      <w:r>
        <w:rPr>
          <w:rFonts w:ascii="Arial" w:cs="Arial" w:eastAsia="Arial" w:hAnsi="Arial"/>
          <w:sz w:val="25"/>
          <w:szCs w:val="25"/>
          <w:b w:val="1"/>
          <w:bCs w:val="1"/>
          <w:color w:val="auto"/>
        </w:rPr>
        <w:t>PLAINS GP HOLDINGS, L.P.</w:t>
      </w:r>
    </w:p>
    <w:p>
      <w:pPr>
        <w:spacing w:after="0" w:line="222" w:lineRule="exact"/>
        <w:rPr>
          <w:sz w:val="20"/>
          <w:szCs w:val="20"/>
          <w:color w:val="auto"/>
        </w:rPr>
      </w:pPr>
    </w:p>
    <w:p>
      <w:pPr>
        <w:jc w:val="center"/>
        <w:ind w:right="-840"/>
        <w:spacing w:after="0"/>
        <w:rPr>
          <w:sz w:val="20"/>
          <w:szCs w:val="20"/>
          <w:color w:val="auto"/>
        </w:rPr>
      </w:pPr>
      <w:r>
        <w:rPr>
          <w:rFonts w:ascii="Arial" w:cs="Arial" w:eastAsia="Arial" w:hAnsi="Arial"/>
          <w:sz w:val="22"/>
          <w:szCs w:val="22"/>
          <w:b w:val="1"/>
          <w:bCs w:val="1"/>
          <w:color w:val="auto"/>
        </w:rPr>
        <w:t>PROXY STATEMENT</w:t>
      </w:r>
    </w:p>
    <w:p>
      <w:pPr>
        <w:spacing w:after="0" w:line="4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For</w:t>
      </w:r>
    </w:p>
    <w:p>
      <w:pPr>
        <w:spacing w:after="0" w:line="2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2023 Annual Meeting of Shareholders To Be Held On May 24, 2023</w:t>
      </w:r>
    </w:p>
    <w:p>
      <w:pPr>
        <w:spacing w:after="0" w:line="20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GENERAL INFORMATION ABOUT THE PLAINS GP HOLDINGS, L.P.</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ANNUAL MEETING</w:t>
      </w:r>
    </w:p>
    <w:p>
      <w:pPr>
        <w:spacing w:after="0" w:line="140"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The board of directors (the “Board”) of PAA GP Holdings LLC (“PAGP GP” or our “general partner”), is soliciting proxies to be voted on behalf of our Class A, Class B and Class C shareholders (collectively, our “Shareholders”) at the 2023 annual meeting of Shareholders (the “PAGP Annual Meeting”). This proxy statement is being furnished to you in connection with the solicitation of proxies by and on behalf of the Board for use at the PAGP Annual Meeting and includes information about the matters to be voted upon at the PAGP Annual Meeting. The PAGP Annual Meeting will be held on May 24, 2023, at 10:30 a.m. Central Time, in the Texas Room located on the 19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Three Allen Center, 333 Clay Street, Houston, Texas 77002. References to “PAGP,” “we,” “us,” “our,” “ours” and similar terms refer to Plains GP Holdings, L.P.</w:t>
      </w:r>
    </w:p>
    <w:p>
      <w:pPr>
        <w:spacing w:after="0" w:line="113" w:lineRule="exact"/>
        <w:rPr>
          <w:sz w:val="20"/>
          <w:szCs w:val="20"/>
          <w:color w:val="auto"/>
        </w:rPr>
      </w:pPr>
    </w:p>
    <w:p>
      <w:pPr>
        <w:jc w:val="both"/>
        <w:ind w:left="1260" w:right="579" w:firstLine="360"/>
        <w:spacing w:after="0" w:line="268" w:lineRule="auto"/>
        <w:rPr>
          <w:sz w:val="20"/>
          <w:szCs w:val="20"/>
          <w:color w:val="auto"/>
        </w:rPr>
      </w:pPr>
      <w:r>
        <w:rPr>
          <w:rFonts w:ascii="Arial" w:cs="Arial" w:eastAsia="Arial" w:hAnsi="Arial"/>
          <w:sz w:val="18"/>
          <w:szCs w:val="18"/>
          <w:color w:val="auto"/>
        </w:rPr>
        <w:t>Proxy materials, including the Notice of Annual Meeting, this proxy statement, proxy card and our Annual Report on Form 10-K for the year ended December 31, 2022 (our “2022 Annual Report”), are being mailed to Shareholders beginning on or about April 14, 2023.</w:t>
      </w:r>
    </w:p>
    <w:p>
      <w:pPr>
        <w:spacing w:after="0" w:line="103"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b w:val="1"/>
          <w:bCs w:val="1"/>
          <w:color w:val="auto"/>
        </w:rPr>
        <w:t>We will furnish additional copies of our 2022 Annual Report without charge upon the written request of any record or beneficial owner of our Class A, Class B or Class C shares whose proxy we are soliciting in connection with the PAGP Annual Meeting. Please address requests for additional copies of the 2022 Annual Report to the Investor Relations Department, Plains All American, 333 Clay Street, Suite 1600, Houston, Texas 77002, or email your request to plainsIR@paalp.com.</w:t>
      </w:r>
    </w:p>
    <w:p>
      <w:pPr>
        <w:spacing w:after="0" w:line="172"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INFORMATION ABOUT THE PAA AND PAGP ANNUAL MEETINGS</w:t>
      </w:r>
    </w:p>
    <w:p>
      <w:pPr>
        <w:spacing w:after="0" w:line="158"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At the PAGP Annual Meeting, our Class A, Class B and Class C shareholders will be asked to approve proposals 1, 2 and 3 described below. Each Shareholder will be entitled to one vote for each Class A, Class B and Class C share owned for Proposals 1, 2 and 3. Plains All American Pipeline, L.P. (“PAA”) owns all of the issued and outstanding Class C shares, which serve as a pass-through voting mechanism allowing eligible PAA unitholders to vote indirectly at the PAGP Annual Meeting by instructing PAA how to vote the Class C shares on their behalf.</w:t>
      </w:r>
    </w:p>
    <w:p>
      <w:pPr>
        <w:spacing w:after="0" w:line="101"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8"/>
          <w:szCs w:val="18"/>
          <w:color w:val="auto"/>
        </w:rPr>
        <w:t>In order to obtain voting instructions from its eligible unitholders, PAA will hold an annual meeting (the “PAA Annual Meeting”) immediately prior to the PAGP Annual Meeting. At the PAA Annual Meeting, PAA unitholders (other than Plains AAP, L.P. (“Plains AAP”)) will vote on a pass-through basis on proposals 1, 2 and 3 described below by instructing PAA how to vote the PAGP Class C shares that it owns on such proposals at the PAGP Annual Meeting. PAA will vote (or refrain from voting) the Class C shares at the PAGP Annual Meeting on behalf of and according to the direction of PAA’s unitholders (excluding Plains AAP) with respect to proposals 1, 2 and 3.</w:t>
      </w:r>
    </w:p>
    <w:p>
      <w:pPr>
        <w:spacing w:after="0" w:line="1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pages 8-11 for additional information with respect to our ownership and voting structure.</w:t>
      </w:r>
    </w:p>
    <w:p>
      <w:pPr>
        <w:spacing w:after="0" w:line="22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QUESTIONS AND ANSWERS ABOUT THE PAGP ANNUAL MEETING</w:t>
      </w:r>
    </w:p>
    <w:p>
      <w:pPr>
        <w:spacing w:after="0" w:line="158" w:lineRule="exact"/>
        <w:rPr>
          <w:sz w:val="20"/>
          <w:szCs w:val="20"/>
          <w:color w:val="auto"/>
        </w:rPr>
      </w:pPr>
    </w:p>
    <w:p>
      <w:pPr>
        <w:ind w:left="1260" w:right="799" w:firstLine="360"/>
        <w:spacing w:after="0" w:line="282" w:lineRule="auto"/>
        <w:rPr>
          <w:sz w:val="20"/>
          <w:szCs w:val="20"/>
          <w:color w:val="auto"/>
        </w:rPr>
      </w:pPr>
      <w:r>
        <w:rPr>
          <w:rFonts w:ascii="Arial" w:cs="Arial" w:eastAsia="Arial" w:hAnsi="Arial"/>
          <w:sz w:val="17"/>
          <w:szCs w:val="17"/>
          <w:color w:val="auto"/>
        </w:rPr>
        <w:t>The following questions and answers are intended to briefly address some commonly asked questions regarding the PAGP Annual Meeting. These questions and answers may not address all questions that may be important to you as a Shareholder. Please refer to the additional information contained elsewhere in this proxy statement and the documents referred to in this proxy statement.</w:t>
      </w:r>
    </w:p>
    <w:p>
      <w:pPr>
        <w:spacing w:after="0" w:line="33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the purpose of these proxy materials?</w:t>
      </w:r>
    </w:p>
    <w:p>
      <w:pPr>
        <w:spacing w:after="0" w:line="158" w:lineRule="exact"/>
        <w:rPr>
          <w:sz w:val="20"/>
          <w:szCs w:val="20"/>
          <w:color w:val="auto"/>
        </w:rPr>
      </w:pPr>
    </w:p>
    <w:p>
      <w:pPr>
        <w:ind w:left="1620" w:right="439" w:hanging="360"/>
        <w:spacing w:after="0" w:line="254"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is soliciting your proxy to vote at the PAGP Annual Meeting because you were a Shareholder at the close of business on March 27, 2023, the record date for the PAGP Annual Meeting (the “Record Date”), and you are therefore entitled to receive notice regarding the PAGP Annual Meeting, and to attend and vote at the PAGP Annual Meeting. This proxy statement summarizes the information that you need to know in order to cast your vote at the PAGP Annual Meeting. Your vote is very important and the Board strongly encourages you to exercise your right to vote. You do not need to attend the PAGP Annual Meeting to vote your shares, and we encourage you to vote even if you are unable to attend the PAGP Annual Meeting in person. If you are unable to attend the PAGP Annual Meeting in person, you may vote by Internet, by telephone or by signing and returning the attached proxy card in the envelope provided. See “How do I vote?” below.</w:t>
      </w:r>
    </w:p>
    <w:p>
      <w:pPr>
        <w:spacing w:after="0" w:line="11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the recommendation of the Board?</w:t>
      </w:r>
    </w:p>
    <w:p>
      <w:pPr>
        <w:spacing w:after="0" w:line="158" w:lineRule="exact"/>
        <w:rPr>
          <w:sz w:val="20"/>
          <w:szCs w:val="20"/>
          <w:color w:val="auto"/>
        </w:rPr>
      </w:pPr>
    </w:p>
    <w:p>
      <w:pPr>
        <w:ind w:left="1620" w:hanging="360"/>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Board unanimously recommends that you vote in the following manner:</w:t>
      </w:r>
    </w:p>
    <w:p>
      <w:pPr>
        <w:spacing w:after="0" w:line="117" w:lineRule="exact"/>
        <w:rPr>
          <w:rFonts w:ascii="Arial" w:cs="Arial" w:eastAsia="Arial" w:hAnsi="Arial"/>
          <w:sz w:val="18"/>
          <w:szCs w:val="18"/>
          <w:color w:val="auto"/>
        </w:rPr>
      </w:pPr>
    </w:p>
    <w:p>
      <w:pPr>
        <w:ind w:left="1800" w:right="779" w:hanging="180"/>
        <w:spacing w:after="0" w:line="287" w:lineRule="auto"/>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Willie Chiang, Ellen DeSanctis, Alexandra Pruner and Lawrence</w:t>
      </w:r>
      <w:r>
        <w:rPr>
          <w:rFonts w:ascii="Arial" w:cs="Arial" w:eastAsia="Arial" w:hAnsi="Arial"/>
          <w:sz w:val="18"/>
          <w:szCs w:val="18"/>
          <w:b w:val="1"/>
          <w:bCs w:val="1"/>
          <w:color w:val="auto"/>
        </w:rPr>
        <w:t xml:space="preserve"> </w:t>
      </w:r>
      <w:r>
        <w:rPr>
          <w:rFonts w:ascii="Arial" w:cs="Arial" w:eastAsia="Arial" w:hAnsi="Arial"/>
          <w:sz w:val="18"/>
          <w:szCs w:val="18"/>
          <w:color w:val="auto"/>
        </w:rPr>
        <w:t>Ziemba as a Class I director of the Board to serve until the 2026 annual meeting;</w:t>
      </w:r>
    </w:p>
    <w:p>
      <w:pPr>
        <w:spacing w:after="0" w:line="44" w:lineRule="exact"/>
        <w:rPr>
          <w:rFonts w:ascii="Arial" w:cs="Arial" w:eastAsia="Arial" w:hAnsi="Arial"/>
          <w:sz w:val="18"/>
          <w:szCs w:val="18"/>
          <w:color w:val="auto"/>
        </w:rPr>
      </w:pPr>
    </w:p>
    <w:p>
      <w:pPr>
        <w:ind w:left="1800" w:right="459" w:hanging="180"/>
        <w:spacing w:after="0" w:line="268" w:lineRule="auto"/>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PricewaterhouseCoopers LLP as our and Plains All</w:t>
      </w:r>
      <w:r>
        <w:rPr>
          <w:rFonts w:ascii="Arial" w:cs="Arial" w:eastAsia="Arial" w:hAnsi="Arial"/>
          <w:sz w:val="18"/>
          <w:szCs w:val="18"/>
          <w:b w:val="1"/>
          <w:bCs w:val="1"/>
          <w:color w:val="auto"/>
        </w:rPr>
        <w:t xml:space="preserve"> </w:t>
      </w:r>
      <w:r>
        <w:rPr>
          <w:rFonts w:ascii="Arial" w:cs="Arial" w:eastAsia="Arial" w:hAnsi="Arial"/>
          <w:sz w:val="18"/>
          <w:szCs w:val="18"/>
          <w:color w:val="auto"/>
        </w:rPr>
        <w:t>American Pipeline, L.P.’s independent registered public accounting firm for the fiscal year ending December 31, 2023; and</w:t>
      </w:r>
    </w:p>
    <w:p>
      <w:pPr>
        <w:spacing w:after="0" w:line="62" w:lineRule="exact"/>
        <w:rPr>
          <w:rFonts w:ascii="Arial" w:cs="Arial" w:eastAsia="Arial" w:hAnsi="Arial"/>
          <w:sz w:val="18"/>
          <w:szCs w:val="18"/>
          <w:color w:val="auto"/>
        </w:rPr>
      </w:pPr>
    </w:p>
    <w:p>
      <w:pPr>
        <w:ind w:left="1800" w:right="1119" w:hanging="180"/>
        <w:spacing w:after="0" w:line="287" w:lineRule="auto"/>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on a non-binding advisory basis, of our 2022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w:t>
      </w:r>
    </w:p>
    <w:p>
      <w:pPr>
        <w:spacing w:after="0" w:line="8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When and where is the PAGP Annual Meeting?</w:t>
      </w:r>
    </w:p>
    <w:p>
      <w:pPr>
        <w:spacing w:after="0" w:line="158" w:lineRule="exact"/>
        <w:rPr>
          <w:sz w:val="20"/>
          <w:szCs w:val="20"/>
          <w:color w:val="auto"/>
        </w:rPr>
      </w:pPr>
    </w:p>
    <w:p>
      <w:pPr>
        <w:ind w:left="1620" w:right="459" w:hanging="360"/>
        <w:spacing w:after="0" w:line="259" w:lineRule="auto"/>
        <w:tabs>
          <w:tab w:leader="none" w:pos="1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PAGP Annual Meeting will be held on May 24, 2023, at 10:30 a.m. Central Time, in the Texas Room located on the 19</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of Three Allen Center, 333 Clay Street, Houston, Texas 77002. Only Shareholders of record as of the close of business on March 27, 2023 are entitled to vote and ask questions at the PAGP Annual Meeting. If you are not a Shareholder of record but hold shares in “street name” through a brokerage firm, bank, dealer or other similar organization, trustee, or nominee (generally referred to in this proxy statement as a “broker”), you may attend the PAGP Annual Meeting as a guest. Please note that if you hold shares in “street name” through a broker and desire to vote your shares or ask questions during the PAGP Annual Meeting, you must request and obtain a valid “legal proxy” from your broker and register to attend the PAGP Annual Meeting as a Shareholder with American Stock Transfer &amp; Trust Company, LLC (“AST”).</w:t>
      </w:r>
    </w:p>
    <w:p>
      <w:pPr>
        <w:spacing w:after="0" w:line="99" w:lineRule="exact"/>
        <w:rPr>
          <w:rFonts w:ascii="Arial" w:cs="Arial" w:eastAsia="Arial" w:hAnsi="Arial"/>
          <w:sz w:val="17"/>
          <w:szCs w:val="17"/>
          <w:color w:val="auto"/>
        </w:rPr>
      </w:pPr>
    </w:p>
    <w:p>
      <w:pPr>
        <w:ind w:left="1620" w:right="819"/>
        <w:spacing w:after="0" w:line="287" w:lineRule="auto"/>
        <w:rPr>
          <w:rFonts w:ascii="Arial" w:cs="Arial" w:eastAsia="Arial" w:hAnsi="Arial"/>
          <w:sz w:val="17"/>
          <w:szCs w:val="17"/>
          <w:color w:val="auto"/>
        </w:rPr>
      </w:pPr>
      <w:r>
        <w:rPr>
          <w:rFonts w:ascii="Arial" w:cs="Arial" w:eastAsia="Arial" w:hAnsi="Arial"/>
          <w:sz w:val="18"/>
          <w:szCs w:val="18"/>
          <w:color w:val="auto"/>
        </w:rPr>
        <w:t>Information on who can vote and ask questions during the PAGP Annual Meeting is discussed immediately below.</w:t>
      </w:r>
    </w:p>
    <w:p>
      <w:pPr>
        <w:spacing w:after="0" w:line="8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can vote and ask questions at the PAGP Annual Meeting?</w:t>
      </w:r>
    </w:p>
    <w:p>
      <w:pPr>
        <w:spacing w:after="0" w:line="158" w:lineRule="exact"/>
        <w:rPr>
          <w:sz w:val="20"/>
          <w:szCs w:val="20"/>
          <w:color w:val="auto"/>
        </w:rPr>
      </w:pPr>
    </w:p>
    <w:p>
      <w:pPr>
        <w:ind w:left="1620" w:right="539" w:hanging="360"/>
        <w:spacing w:after="0" w:line="268"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are entitled to vote and ask questions at the PAGP Annual Meeting if you were a Shareholder of record as of the close of business on March 27, 2023, the Record Date for the PAGP Annual Meeting.</w:t>
      </w:r>
    </w:p>
    <w:p>
      <w:pPr>
        <w:spacing w:after="0" w:line="89" w:lineRule="exact"/>
        <w:rPr>
          <w:rFonts w:ascii="Arial" w:cs="Arial" w:eastAsia="Arial" w:hAnsi="Arial"/>
          <w:sz w:val="18"/>
          <w:szCs w:val="18"/>
          <w:color w:val="auto"/>
        </w:rPr>
      </w:pPr>
    </w:p>
    <w:p>
      <w:pPr>
        <w:ind w:left="1620" w:right="499"/>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Shareholder of Record: Shares Registered in Your Name. </w:t>
      </w:r>
      <w:r>
        <w:rPr>
          <w:rFonts w:ascii="Arial" w:cs="Arial" w:eastAsia="Arial" w:hAnsi="Arial"/>
          <w:sz w:val="18"/>
          <w:szCs w:val="18"/>
          <w:color w:val="auto"/>
        </w:rPr>
        <w:t>You are a Shareholder of record if your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shares were registered directly in your name with our transfer agent, AST, at the close of business on March 27, 2023. As a Shareholder of record, you may vote and ask questions during the PAGP Annual Meeting. Whether or not you plan to attend the PAGP Annual Meeting, we urge you to submit a proxy to ensure your vote is counted. </w:t>
      </w:r>
      <w:r>
        <w:rPr>
          <w:rFonts w:ascii="Arial" w:cs="Arial" w:eastAsia="Arial" w:hAnsi="Arial"/>
          <w:sz w:val="18"/>
          <w:szCs w:val="18"/>
          <w:b w:val="1"/>
          <w:bCs w:val="1"/>
          <w:i w:val="1"/>
          <w:iCs w:val="1"/>
          <w:color w:val="auto"/>
        </w:rPr>
        <w:t>See page 3 for detailed instructions on how to</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vote your shares.</w:t>
      </w:r>
    </w:p>
    <w:p>
      <w:pPr>
        <w:spacing w:after="0" w:line="104" w:lineRule="exact"/>
        <w:rPr>
          <w:rFonts w:ascii="Arial" w:cs="Arial" w:eastAsia="Arial" w:hAnsi="Arial"/>
          <w:sz w:val="18"/>
          <w:szCs w:val="18"/>
          <w:color w:val="auto"/>
        </w:rPr>
      </w:pPr>
    </w:p>
    <w:p>
      <w:pPr>
        <w:ind w:left="1620" w:right="539"/>
        <w:spacing w:after="0" w:line="282" w:lineRule="auto"/>
        <w:rPr>
          <w:rFonts w:ascii="Arial" w:cs="Arial" w:eastAsia="Arial" w:hAnsi="Arial"/>
          <w:sz w:val="18"/>
          <w:szCs w:val="18"/>
          <w:color w:val="auto"/>
        </w:rPr>
      </w:pPr>
      <w:r>
        <w:rPr>
          <w:rFonts w:ascii="Arial" w:cs="Arial" w:eastAsia="Arial" w:hAnsi="Arial"/>
          <w:sz w:val="17"/>
          <w:szCs w:val="17"/>
          <w:i w:val="1"/>
          <w:iCs w:val="1"/>
          <w:color w:val="auto"/>
        </w:rPr>
        <w:t xml:space="preserve">Beneficial Owner: Shares Registered in the Name of Broker. </w:t>
      </w:r>
      <w:r>
        <w:rPr>
          <w:rFonts w:ascii="Arial" w:cs="Arial" w:eastAsia="Arial" w:hAnsi="Arial"/>
          <w:sz w:val="17"/>
          <w:szCs w:val="17"/>
          <w:color w:val="auto"/>
        </w:rPr>
        <w:t>If your shares were held in an</w:t>
      </w:r>
      <w:r>
        <w:rPr>
          <w:rFonts w:ascii="Arial" w:cs="Arial" w:eastAsia="Arial" w:hAnsi="Arial"/>
          <w:sz w:val="17"/>
          <w:szCs w:val="17"/>
          <w:i w:val="1"/>
          <w:iCs w:val="1"/>
          <w:color w:val="auto"/>
        </w:rPr>
        <w:t xml:space="preserve"> </w:t>
      </w:r>
      <w:r>
        <w:rPr>
          <w:rFonts w:ascii="Arial" w:cs="Arial" w:eastAsia="Arial" w:hAnsi="Arial"/>
          <w:sz w:val="17"/>
          <w:szCs w:val="17"/>
          <w:color w:val="auto"/>
        </w:rPr>
        <w:t>account at a broker at the close of business on March 27, 2023, then you are the beneficial owner of shares held in “street name” and the broker holding your account is considered to be the Shareholder of record for purposes of voting at the PAGP Annual Meeting. As a beneficial owner,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19"/>
        <w:spacing w:after="0" w:line="265" w:lineRule="auto"/>
        <w:rPr>
          <w:sz w:val="20"/>
          <w:szCs w:val="20"/>
          <w:color w:val="auto"/>
        </w:rPr>
      </w:pPr>
      <w:r>
        <w:rPr>
          <w:rFonts w:ascii="Arial" w:cs="Arial" w:eastAsia="Arial" w:hAnsi="Arial"/>
          <w:sz w:val="17"/>
          <w:szCs w:val="17"/>
          <w:color w:val="auto"/>
        </w:rPr>
        <w:t>you have the right to direct your broker regarding how to vote the shares in your account. You are also invited to attend the PAGP Annual Meeting as a guest. Because you are not the Shareholder of record, you may not vote your shares or ask questions at the PAGP Annual Meeting unless you request and obtain a valid legal proxy from the organization that holds your shares giving you the right to vote the shares and ask questions at the PAGP Annual Meeting. Follow the instructions provided by your broker or bank, or contact your broker or bank to request a legal proxy form.</w:t>
      </w:r>
    </w:p>
    <w:p>
      <w:pPr>
        <w:spacing w:after="0" w:line="95" w:lineRule="exact"/>
        <w:rPr>
          <w:sz w:val="20"/>
          <w:szCs w:val="20"/>
          <w:color w:val="auto"/>
        </w:rPr>
      </w:pPr>
    </w:p>
    <w:p>
      <w:pPr>
        <w:ind w:left="1620" w:right="439"/>
        <w:spacing w:after="0" w:line="247" w:lineRule="auto"/>
        <w:rPr>
          <w:sz w:val="20"/>
          <w:szCs w:val="20"/>
          <w:color w:val="auto"/>
        </w:rPr>
      </w:pPr>
      <w:r>
        <w:rPr>
          <w:rFonts w:ascii="Arial" w:cs="Arial" w:eastAsia="Arial" w:hAnsi="Arial"/>
          <w:sz w:val="18"/>
          <w:szCs w:val="18"/>
          <w:color w:val="auto"/>
        </w:rPr>
        <w:t>After obtaining a valid legal proxy from your broker, bank or other agent, in order to vote and ask questions at the PAGP Annual Meeting, you must register to attend the PAGP Annual Meeting as a Shareholder by submitting to AST proof of your legal proxy reflecting the number of your shares along with your name and email address to AST. Requests for registration should be directed to proxy@astfinancial.com or to facsimile number 718-765-8730. Written requests can be mailed to:</w:t>
      </w:r>
    </w:p>
    <w:p>
      <w:pPr>
        <w:spacing w:after="0" w:line="10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Attn: Proxy Tabulation Department</w:t>
      </w:r>
    </w:p>
    <w:p>
      <w:pPr>
        <w:ind w:left="3780"/>
        <w:spacing w:after="0"/>
        <w:rPr>
          <w:sz w:val="20"/>
          <w:szCs w:val="20"/>
          <w:color w:val="auto"/>
        </w:rPr>
      </w:pPr>
      <w:r>
        <w:rPr>
          <w:rFonts w:ascii="Arial" w:cs="Arial" w:eastAsia="Arial" w:hAnsi="Arial"/>
          <w:sz w:val="18"/>
          <w:szCs w:val="18"/>
          <w:color w:val="auto"/>
        </w:rPr>
        <w:t>6201 15th Avenue | Brooklyn, NY 11219</w:t>
      </w:r>
    </w:p>
    <w:p>
      <w:pPr>
        <w:spacing w:after="0" w:line="126" w:lineRule="exact"/>
        <w:rPr>
          <w:sz w:val="20"/>
          <w:szCs w:val="20"/>
          <w:color w:val="auto"/>
        </w:rPr>
      </w:pPr>
    </w:p>
    <w:p>
      <w:pPr>
        <w:ind w:left="1620" w:right="439"/>
        <w:spacing w:after="0" w:line="271" w:lineRule="auto"/>
        <w:rPr>
          <w:sz w:val="20"/>
          <w:szCs w:val="20"/>
          <w:color w:val="auto"/>
        </w:rPr>
      </w:pPr>
      <w:r>
        <w:rPr>
          <w:rFonts w:ascii="Arial" w:cs="Arial" w:eastAsia="Arial" w:hAnsi="Arial"/>
          <w:sz w:val="18"/>
          <w:szCs w:val="18"/>
          <w:color w:val="auto"/>
        </w:rPr>
        <w:t>Requests for registration must be labeled as “Legal Proxy” and be received no later than 5:00 p.m., Eastern Time, on May 17, 2023.</w:t>
      </w:r>
    </w:p>
    <w:p>
      <w:pPr>
        <w:spacing w:after="0" w:line="86" w:lineRule="exact"/>
        <w:rPr>
          <w:sz w:val="20"/>
          <w:szCs w:val="20"/>
          <w:color w:val="auto"/>
        </w:rPr>
      </w:pPr>
    </w:p>
    <w:p>
      <w:pPr>
        <w:ind w:left="1620" w:right="539"/>
        <w:spacing w:after="0" w:line="261" w:lineRule="auto"/>
        <w:rPr>
          <w:sz w:val="20"/>
          <w:szCs w:val="20"/>
          <w:color w:val="auto"/>
        </w:rPr>
      </w:pPr>
      <w:r>
        <w:rPr>
          <w:rFonts w:ascii="Arial" w:cs="Arial" w:eastAsia="Arial" w:hAnsi="Arial"/>
          <w:sz w:val="18"/>
          <w:szCs w:val="18"/>
          <w:color w:val="auto"/>
        </w:rPr>
        <w:t>You will receive a confirmation of your registration by email after we receive your registration materials. Once registered, you may attend the PAGP Annual Meeting, submit questions and vote your shares during the meeting.</w:t>
      </w:r>
    </w:p>
    <w:p>
      <w:pPr>
        <w:spacing w:after="0" w:line="9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is soliciting my proxy?</w:t>
      </w:r>
    </w:p>
    <w:p>
      <w:pPr>
        <w:spacing w:after="0" w:line="144" w:lineRule="exact"/>
        <w:rPr>
          <w:sz w:val="20"/>
          <w:szCs w:val="20"/>
          <w:color w:val="auto"/>
        </w:rPr>
      </w:pPr>
    </w:p>
    <w:p>
      <w:pPr>
        <w:ind w:left="1620" w:right="499" w:hanging="360"/>
        <w:spacing w:after="0" w:line="28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is sending or otherwise providing you access to this proxy statement in connection with its solicitation of proxies for use at the PAGP Annual Meeting.</w:t>
      </w:r>
    </w:p>
    <w:p>
      <w:pPr>
        <w:spacing w:after="0" w:line="8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is entitled to vote at the PAGP Annual Meeting?</w:t>
      </w:r>
    </w:p>
    <w:p>
      <w:pPr>
        <w:spacing w:after="0" w:line="144" w:lineRule="exact"/>
        <w:rPr>
          <w:sz w:val="20"/>
          <w:szCs w:val="20"/>
          <w:color w:val="auto"/>
        </w:rPr>
      </w:pPr>
    </w:p>
    <w:p>
      <w:pPr>
        <w:ind w:left="1620" w:right="479" w:hanging="360"/>
        <w:spacing w:after="0" w:line="268"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holders of record of our Class A, Class B and Class C shares as of the close of business on the Record Date are entitled to receive notice of the PAGP Annual Meeting and to vote the Class A, Class B and Class C shares that they held on the Record Date at the PAGP Annual Meeting.</w:t>
      </w:r>
    </w:p>
    <w:p>
      <w:pPr>
        <w:spacing w:after="0" w:line="103" w:lineRule="exact"/>
        <w:rPr>
          <w:rFonts w:ascii="Arial" w:cs="Arial" w:eastAsia="Arial" w:hAnsi="Arial"/>
          <w:sz w:val="18"/>
          <w:szCs w:val="18"/>
          <w:color w:val="auto"/>
        </w:rPr>
      </w:pPr>
    </w:p>
    <w:p>
      <w:pPr>
        <w:ind w:left="1620" w:right="519"/>
        <w:spacing w:after="0" w:line="248" w:lineRule="auto"/>
        <w:rPr>
          <w:rFonts w:ascii="Arial" w:cs="Arial" w:eastAsia="Arial" w:hAnsi="Arial"/>
          <w:sz w:val="18"/>
          <w:szCs w:val="18"/>
          <w:color w:val="auto"/>
        </w:rPr>
      </w:pPr>
      <w:r>
        <w:rPr>
          <w:rFonts w:ascii="Arial" w:cs="Arial" w:eastAsia="Arial" w:hAnsi="Arial"/>
          <w:sz w:val="18"/>
          <w:szCs w:val="18"/>
          <w:color w:val="auto"/>
        </w:rPr>
        <w:t>Each Shareholder is entitled to one vote for each Class A, Class B and Class C share owned for proposals 1, 2 and 3. As of March 27, 2023, 194,407,642 Class A shares, 46,594,786 Class B shares and 528,578,046 Class C shares were issued and outstanding and entitled to vote. PAA owns all of the issued and outstanding Class C shares and will vote such shares on a “pass-through” basis on proposals 1, 2 and 3 at the PAGP Annual Meeting on behalf of and according to the direction of its eligible unitholders as determined at the PAA Annual Meeting.</w:t>
      </w:r>
    </w:p>
    <w:p>
      <w:pPr>
        <w:spacing w:after="0" w:line="9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How do I vote?</w:t>
      </w:r>
    </w:p>
    <w:p>
      <w:pPr>
        <w:spacing w:after="0" w:line="158" w:lineRule="exact"/>
        <w:rPr>
          <w:sz w:val="20"/>
          <w:szCs w:val="20"/>
          <w:color w:val="auto"/>
        </w:rPr>
      </w:pPr>
    </w:p>
    <w:p>
      <w:pPr>
        <w:ind w:left="1620" w:right="499" w:hanging="360"/>
        <w:spacing w:after="0" w:line="28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are a Shareholder of record at the close of business on the Record Date, you may vote your shares by any of the following methods:</w:t>
      </w:r>
    </w:p>
    <w:p>
      <w:pPr>
        <w:spacing w:after="0" w:line="44" w:lineRule="exact"/>
        <w:rPr>
          <w:rFonts w:ascii="Arial" w:cs="Arial" w:eastAsia="Arial" w:hAnsi="Arial"/>
          <w:sz w:val="18"/>
          <w:szCs w:val="18"/>
          <w:color w:val="auto"/>
        </w:rPr>
      </w:pPr>
    </w:p>
    <w:p>
      <w:pPr>
        <w:ind w:left="1800" w:right="599" w:hanging="180"/>
        <w:spacing w:after="0" w:line="262"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Voting online before the meeting. </w:t>
      </w:r>
      <w:r>
        <w:rPr>
          <w:rFonts w:ascii="Arial" w:cs="Arial" w:eastAsia="Arial" w:hAnsi="Arial"/>
          <w:sz w:val="18"/>
          <w:szCs w:val="18"/>
          <w:color w:val="auto"/>
        </w:rPr>
        <w:t>You may vote online by visiting the Internet address listed on</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card. Internet voting procedures have been established to verify your identity and to confirm your voting instructions. Please have your proxy card available when you visit the Internet address.</w:t>
      </w:r>
    </w:p>
    <w:p>
      <w:pPr>
        <w:spacing w:after="0" w:line="68" w:lineRule="exact"/>
        <w:rPr>
          <w:rFonts w:ascii="Arial" w:cs="Arial" w:eastAsia="Arial" w:hAnsi="Arial"/>
          <w:sz w:val="18"/>
          <w:szCs w:val="18"/>
          <w:color w:val="auto"/>
        </w:rPr>
      </w:pPr>
    </w:p>
    <w:p>
      <w:pPr>
        <w:ind w:left="1800" w:right="559" w:hanging="180"/>
        <w:spacing w:after="0" w:line="262"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Voting by telephone before the meeting. </w:t>
      </w:r>
      <w:r>
        <w:rPr>
          <w:rFonts w:ascii="Arial" w:cs="Arial" w:eastAsia="Arial" w:hAnsi="Arial"/>
          <w:sz w:val="18"/>
          <w:szCs w:val="18"/>
          <w:color w:val="auto"/>
        </w:rPr>
        <w:t>You may vote by telephone by calling the toll-free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listed on your proxy card. Telephone voting procedures have been established to verify your identity, to allow you to provide proxy voting instructions and to confirm that your instructions were accurately recorded. Please have your proxy card available when you call.</w:t>
      </w:r>
    </w:p>
    <w:p>
      <w:pPr>
        <w:spacing w:after="0" w:line="68" w:lineRule="exact"/>
        <w:rPr>
          <w:rFonts w:ascii="Arial" w:cs="Arial" w:eastAsia="Arial" w:hAnsi="Arial"/>
          <w:sz w:val="18"/>
          <w:szCs w:val="18"/>
          <w:color w:val="auto"/>
        </w:rPr>
      </w:pPr>
    </w:p>
    <w:p>
      <w:pPr>
        <w:ind w:left="1800" w:right="459" w:hanging="180"/>
        <w:spacing w:after="0" w:line="262"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Voting by mail before the meeting. </w:t>
      </w:r>
      <w:r>
        <w:rPr>
          <w:rFonts w:ascii="Arial" w:cs="Arial" w:eastAsia="Arial" w:hAnsi="Arial"/>
          <w:sz w:val="18"/>
          <w:szCs w:val="18"/>
          <w:color w:val="auto"/>
        </w:rPr>
        <w:t>You may vote by mail by returning your completed, signed</w:t>
      </w:r>
      <w:r>
        <w:rPr>
          <w:rFonts w:ascii="Arial" w:cs="Arial" w:eastAsia="Arial" w:hAnsi="Arial"/>
          <w:sz w:val="18"/>
          <w:szCs w:val="18"/>
          <w:i w:val="1"/>
          <w:iCs w:val="1"/>
          <w:color w:val="auto"/>
        </w:rPr>
        <w:t xml:space="preserve"> </w:t>
      </w:r>
      <w:r>
        <w:rPr>
          <w:rFonts w:ascii="Arial" w:cs="Arial" w:eastAsia="Arial" w:hAnsi="Arial"/>
          <w:sz w:val="18"/>
          <w:szCs w:val="18"/>
          <w:color w:val="auto"/>
        </w:rPr>
        <w:t>and dated proxy card in the enclosed postage-paid return envelope. However, in order to ensure that your vote is received in a timely manner, we recommend that you vote online or by telephone as described above.</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419" w:hanging="180"/>
        <w:spacing w:after="0" w:line="255"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Voting during the meeting</w:t>
      </w:r>
      <w:r>
        <w:rPr>
          <w:rFonts w:ascii="Arial" w:cs="Arial" w:eastAsia="Arial" w:hAnsi="Arial"/>
          <w:sz w:val="18"/>
          <w:szCs w:val="18"/>
          <w:color w:val="auto"/>
        </w:rPr>
        <w:t>. If you were a Shareholder of record as of the close of business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Record Date, you may attend the PAGP Annual Meeting, ask questions and vote during the meeting. If you are a beneficial owner of shares held in street name, you must be registered to attend the PAGP Annual Meeting as a Shareholder and must have a valid legal proxy in order to ask questions and vote during the meeting. Please read the “Beneficial Owner: Shares Registered in the Name of Broker” answer under the question “Who can vote and ask questions at the PAGP Annual Meeting?” above for instructions on how to register to attend the PAGP Annual Meeting and obtain a legal proxy.</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Internet and telephone voting will be available to eligible Shareholders 24 hours a day until</w:t>
      </w:r>
    </w:p>
    <w:p>
      <w:pPr>
        <w:spacing w:after="0" w:line="14" w:lineRule="exact"/>
        <w:rPr>
          <w:sz w:val="20"/>
          <w:szCs w:val="20"/>
          <w:color w:val="auto"/>
        </w:rPr>
      </w:pPr>
    </w:p>
    <w:p>
      <w:pPr>
        <w:jc w:val="both"/>
        <w:ind w:left="1620" w:right="499"/>
        <w:spacing w:after="0" w:line="245" w:lineRule="auto"/>
        <w:rPr>
          <w:sz w:val="20"/>
          <w:szCs w:val="20"/>
          <w:color w:val="auto"/>
        </w:rPr>
      </w:pPr>
      <w:r>
        <w:rPr>
          <w:rFonts w:ascii="Arial" w:cs="Arial" w:eastAsia="Arial" w:hAnsi="Arial"/>
          <w:sz w:val="18"/>
          <w:szCs w:val="18"/>
          <w:color w:val="auto"/>
        </w:rPr>
        <w:t>11:59 p.m. Eastern Time on May 23, 2023, the night before the PAGP Annual Meeting. If you use the Internet or the toll-free telephone number to provide your proxy voting instructions, you do not need to mail in your proxy card. If you mail in your proxy card, it must be received by PAGP before the voting polls close at the PAGP Annual Meeting.</w:t>
      </w:r>
    </w:p>
    <w:p>
      <w:pPr>
        <w:spacing w:after="0" w:line="109" w:lineRule="exact"/>
        <w:rPr>
          <w:sz w:val="20"/>
          <w:szCs w:val="20"/>
          <w:color w:val="auto"/>
        </w:rPr>
      </w:pPr>
    </w:p>
    <w:p>
      <w:pPr>
        <w:ind w:left="1620" w:right="479"/>
        <w:spacing w:after="0" w:line="252" w:lineRule="auto"/>
        <w:rPr>
          <w:sz w:val="20"/>
          <w:szCs w:val="20"/>
          <w:color w:val="auto"/>
        </w:rPr>
      </w:pPr>
      <w:r>
        <w:rPr>
          <w:rFonts w:ascii="Arial" w:cs="Arial" w:eastAsia="Arial" w:hAnsi="Arial"/>
          <w:sz w:val="18"/>
          <w:szCs w:val="18"/>
          <w:color w:val="auto"/>
        </w:rPr>
        <w:t>Even if you plan to attend the PAGP Annual Meeting, please vote your shares by proxy in advance of the PAGP Annual Meeting (either online, by telephone or by mail as described above) as soon as possible so that your shares will be represented at the PAGP Annual Meeting if for any reason you are unable to attend.</w:t>
      </w:r>
    </w:p>
    <w:p>
      <w:pPr>
        <w:spacing w:after="0" w:line="10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do I do if I want to change my vote after I have already voted by proxy?</w:t>
      </w:r>
    </w:p>
    <w:p>
      <w:pPr>
        <w:spacing w:after="0" w:line="144" w:lineRule="exact"/>
        <w:rPr>
          <w:sz w:val="20"/>
          <w:szCs w:val="20"/>
          <w:color w:val="auto"/>
        </w:rPr>
      </w:pPr>
    </w:p>
    <w:p>
      <w:pPr>
        <w:ind w:left="1620" w:right="919" w:hanging="360"/>
        <w:spacing w:after="0" w:line="318" w:lineRule="auto"/>
        <w:tabs>
          <w:tab w:leader="none" w:pos="1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you were a Shareholder of record as of the close of business on the Record Date, you may change your vote at any time before the voting polls close at the PAGP Annual Meeting by:</w:t>
      </w:r>
    </w:p>
    <w:p>
      <w:pPr>
        <w:spacing w:after="0" w:line="21" w:lineRule="exact"/>
        <w:rPr>
          <w:rFonts w:ascii="Arial" w:cs="Arial" w:eastAsia="Arial" w:hAnsi="Arial"/>
          <w:sz w:val="17"/>
          <w:szCs w:val="17"/>
          <w:color w:val="auto"/>
        </w:rPr>
      </w:pPr>
    </w:p>
    <w:p>
      <w:pPr>
        <w:ind w:left="1800" w:right="719" w:hanging="180"/>
        <w:spacing w:after="0" w:line="268" w:lineRule="auto"/>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submitting a proxy with new voting instructions using the Internet or telephone voting system (please note that the deadline for voting online or by telephone is 11:59 p.m. Eastern Time on May 23, 2023);</w:t>
      </w:r>
    </w:p>
    <w:p>
      <w:pPr>
        <w:spacing w:after="0" w:line="62" w:lineRule="exact"/>
        <w:rPr>
          <w:rFonts w:ascii="Arial" w:cs="Arial" w:eastAsia="Arial" w:hAnsi="Arial"/>
          <w:sz w:val="18"/>
          <w:szCs w:val="18"/>
          <w:color w:val="auto"/>
        </w:rPr>
      </w:pPr>
    </w:p>
    <w:p>
      <w:pPr>
        <w:ind w:left="1800" w:right="519" w:hanging="180"/>
        <w:spacing w:after="0" w:line="268" w:lineRule="auto"/>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delivering a later-dated, executed proxy card or written notice of revocation of your proxy to American Stock Transfer &amp; Trust Company, LLC, 6201 15th Avenue, Brooklyn, New York 11219 on or prior to the close of business on May 23, 2023; or</w:t>
      </w:r>
    </w:p>
    <w:p>
      <w:pPr>
        <w:spacing w:after="0" w:line="62" w:lineRule="exact"/>
        <w:rPr>
          <w:rFonts w:ascii="Arial" w:cs="Arial" w:eastAsia="Arial" w:hAnsi="Arial"/>
          <w:sz w:val="18"/>
          <w:szCs w:val="18"/>
          <w:color w:val="auto"/>
        </w:rPr>
      </w:pPr>
    </w:p>
    <w:p>
      <w:pPr>
        <w:ind w:left="1800" w:right="419" w:hanging="180"/>
        <w:spacing w:after="0" w:line="268" w:lineRule="auto"/>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attending the PAGP Annual Meeting and voting during the PAGP Annual Meeting pursuant to the instructions above. Please note that attendance at the PAGP Annual Meeting will not by itself (i.e., without also voting) revoke a previously granted proxy.</w:t>
      </w:r>
    </w:p>
    <w:p>
      <w:pPr>
        <w:spacing w:after="0" w:line="90" w:lineRule="exact"/>
        <w:rPr>
          <w:sz w:val="20"/>
          <w:szCs w:val="20"/>
          <w:color w:val="auto"/>
        </w:rPr>
      </w:pPr>
    </w:p>
    <w:p>
      <w:pPr>
        <w:ind w:left="1620" w:right="499"/>
        <w:spacing w:after="0" w:line="266" w:lineRule="auto"/>
        <w:rPr>
          <w:sz w:val="20"/>
          <w:szCs w:val="20"/>
          <w:color w:val="auto"/>
        </w:rPr>
      </w:pPr>
      <w:r>
        <w:rPr>
          <w:rFonts w:ascii="Arial" w:cs="Arial" w:eastAsia="Arial" w:hAnsi="Arial"/>
          <w:sz w:val="17"/>
          <w:szCs w:val="17"/>
          <w:color w:val="auto"/>
        </w:rPr>
        <w:t>If you were a beneficial owner of shares held in street name as of the close of business on the Record Date and you have instructed your broker or other nominee to vote your shares, you must follow the procedure your broker or other nominee provides to change those instructions. You may also vote during the PAGP Annual Meeting if you obtain a legal proxy from your broker or other nominee and register to attend the PAGP Annual Meeting pursuant to the instructions above.</w:t>
      </w:r>
    </w:p>
    <w:p>
      <w:pPr>
        <w:spacing w:after="0" w:line="9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a broker non-vote?</w:t>
      </w:r>
    </w:p>
    <w:p>
      <w:pPr>
        <w:spacing w:after="0" w:line="158" w:lineRule="exact"/>
        <w:rPr>
          <w:sz w:val="20"/>
          <w:szCs w:val="20"/>
          <w:color w:val="auto"/>
        </w:rPr>
      </w:pPr>
    </w:p>
    <w:p>
      <w:pPr>
        <w:ind w:left="1620" w:right="499" w:hanging="360"/>
        <w:spacing w:after="0" w:line="269" w:lineRule="auto"/>
        <w:tabs>
          <w:tab w:leader="none" w:pos="1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broker non-vote occurs when shares held by a broker, bank or other nominee on behalf of a beneficial owner are not voted with respect to a particular matter because the broker lacks discretionary authority to vote the shares and has not received voting instructions from the beneficial owner. Brokers, banks and other nominees only have discretionary authority to vote on routine proposals; they are prohibited from voting on non-routine proposals without instructions from the beneficial owner. The ratification of the independent auditor (Proposal 2) is the only routine matter on which brokers, banks and other nominees may vote in their discretion on behalf of beneficial owners who have not provided voting instructions. The election of directors (Proposal 1) and the advisory vote to approve our 2022 named executive officer compensation (Proposal 3) are non-routine matters. If a broker returns a proxy with a voting choice selected for a routine proposal but with no voting choice selected for a non-routine proposal, the result is a broker non-vote. Broker non-votes are counted as present and entitled to vote for purposes of determining a quorum at the meeting, but are not considered votes cast and will have no impact on non-routine matters. Accordingly, we do not expect there to be any broker non-votes for Proposal 2 and broker non-votes will not be counted as votes either “FOR” or “AGAINST” Proposals 1 and 3.</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constitutes a quorum?</w:t>
      </w:r>
    </w:p>
    <w:p>
      <w:pPr>
        <w:spacing w:after="0" w:line="158" w:lineRule="exact"/>
        <w:rPr>
          <w:sz w:val="20"/>
          <w:szCs w:val="20"/>
          <w:color w:val="auto"/>
        </w:rPr>
      </w:pPr>
    </w:p>
    <w:p>
      <w:pPr>
        <w:ind w:left="1620" w:right="459" w:hanging="360"/>
        <w:spacing w:after="0" w:line="268"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holders of a majority of the outstanding Class A, Class B and Class C shares entitled to vote and represented in person or by proxy, considered together, shall constitute a quorum at the PAGP Annual Meeting.</w:t>
      </w:r>
    </w:p>
    <w:p>
      <w:pPr>
        <w:spacing w:after="0" w:line="103" w:lineRule="exact"/>
        <w:rPr>
          <w:rFonts w:ascii="Arial" w:cs="Arial" w:eastAsia="Arial" w:hAnsi="Arial"/>
          <w:sz w:val="18"/>
          <w:szCs w:val="18"/>
          <w:color w:val="auto"/>
        </w:rPr>
      </w:pPr>
    </w:p>
    <w:p>
      <w:pPr>
        <w:ind w:left="1620" w:right="459"/>
        <w:spacing w:after="0" w:line="287" w:lineRule="auto"/>
        <w:rPr>
          <w:rFonts w:ascii="Arial" w:cs="Arial" w:eastAsia="Arial" w:hAnsi="Arial"/>
          <w:sz w:val="18"/>
          <w:szCs w:val="18"/>
          <w:color w:val="auto"/>
        </w:rPr>
      </w:pPr>
      <w:r>
        <w:rPr>
          <w:rFonts w:ascii="Arial" w:cs="Arial" w:eastAsia="Arial" w:hAnsi="Arial"/>
          <w:sz w:val="18"/>
          <w:szCs w:val="18"/>
          <w:color w:val="auto"/>
        </w:rPr>
        <w:t>Your shares will be counted as present (i.e., entitled to vote and represented in person or by proxy) at the PAGP Annual Meeting if:</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you are present and vote at the meeting; or</w:t>
      </w:r>
    </w:p>
    <w:p>
      <w:pPr>
        <w:spacing w:after="0" w:line="117" w:lineRule="exact"/>
        <w:rPr>
          <w:rFonts w:ascii="Arial" w:cs="Arial" w:eastAsia="Arial" w:hAnsi="Arial"/>
          <w:sz w:val="18"/>
          <w:szCs w:val="18"/>
          <w:color w:val="auto"/>
        </w:rPr>
      </w:pPr>
    </w:p>
    <w:p>
      <w:pPr>
        <w:ind w:left="1800" w:right="479" w:hanging="180"/>
        <w:spacing w:after="0" w:line="287" w:lineRule="auto"/>
        <w:tabs>
          <w:tab w:leader="none" w:pos="1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you, or your broker if you are a beneficial owner of shares held in street name, have submitted a properly executed proxy.</w:t>
      </w:r>
    </w:p>
    <w:p>
      <w:pPr>
        <w:spacing w:after="0" w:line="72" w:lineRule="exact"/>
        <w:rPr>
          <w:sz w:val="20"/>
          <w:szCs w:val="20"/>
          <w:color w:val="auto"/>
        </w:rPr>
      </w:pPr>
    </w:p>
    <w:p>
      <w:pPr>
        <w:ind w:left="1620" w:right="799"/>
        <w:spacing w:after="0" w:line="287" w:lineRule="auto"/>
        <w:rPr>
          <w:sz w:val="20"/>
          <w:szCs w:val="20"/>
          <w:color w:val="auto"/>
        </w:rPr>
      </w:pPr>
      <w:r>
        <w:rPr>
          <w:rFonts w:ascii="Arial" w:cs="Arial" w:eastAsia="Arial" w:hAnsi="Arial"/>
          <w:sz w:val="18"/>
          <w:szCs w:val="18"/>
          <w:color w:val="auto"/>
        </w:rPr>
        <w:t>Executed proxies received but marked as abstentions and broker non-votes will be counted as present for purposes of determining the presence of a quorum.</w:t>
      </w:r>
    </w:p>
    <w:p>
      <w:pPr>
        <w:spacing w:after="0" w:line="85" w:lineRule="exact"/>
        <w:rPr>
          <w:sz w:val="20"/>
          <w:szCs w:val="20"/>
          <w:color w:val="auto"/>
        </w:rPr>
      </w:pPr>
    </w:p>
    <w:p>
      <w:pPr>
        <w:ind w:left="1620" w:right="739" w:hanging="360"/>
        <w:spacing w:after="0" w:line="296" w:lineRule="auto"/>
        <w:tabs>
          <w:tab w:leader="none" w:pos="16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I be voting on and what vote is required to approve the proposals discussed in this proxy statement?</w:t>
      </w:r>
    </w:p>
    <w:p>
      <w:pPr>
        <w:spacing w:after="0" w:line="70" w:lineRule="exact"/>
        <w:rPr>
          <w:sz w:val="20"/>
          <w:szCs w:val="20"/>
          <w:color w:val="auto"/>
        </w:rPr>
      </w:pPr>
    </w:p>
    <w:p>
      <w:pPr>
        <w:ind w:left="1620" w:right="639" w:hanging="360"/>
        <w:spacing w:after="0" w:line="287"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proposals that will be voted upon and the required vote for approval of such proposals is set forth in the following table:</w:t>
      </w:r>
    </w:p>
    <w:p>
      <w:pPr>
        <w:sectPr>
          <w:pgSz w:w="11900" w:h="16838" w:orient="portrait"/>
          <w:cols w:equalWidth="0" w:num="1">
            <w:col w:w="9879"/>
          </w:cols>
          <w:pgMar w:left="580" w:top="97" w:right="1440" w:bottom="1440" w:gutter="0" w:footer="0" w:header="0"/>
        </w:sectPr>
      </w:pPr>
    </w:p>
    <w:p>
      <w:pPr>
        <w:spacing w:after="0" w:line="284"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23495</wp:posOffset>
            </wp:positionV>
            <wp:extent cx="1482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60" w:type="dxa"/>
            <w:vAlign w:val="bottom"/>
          </w:tcPr>
          <w:p>
            <w:pPr>
              <w:ind w:left="800"/>
              <w:spacing w:after="0"/>
              <w:rPr>
                <w:sz w:val="20"/>
                <w:szCs w:val="20"/>
                <w:color w:val="auto"/>
              </w:rPr>
            </w:pPr>
            <w:r>
              <w:rPr>
                <w:rFonts w:ascii="Arial" w:cs="Arial" w:eastAsia="Arial" w:hAnsi="Arial"/>
                <w:sz w:val="14"/>
                <w:szCs w:val="14"/>
                <w:b w:val="1"/>
                <w:bCs w:val="1"/>
                <w:color w:val="auto"/>
              </w:rPr>
              <w:t>Vote Required for Approval of</w:t>
            </w:r>
          </w:p>
        </w:tc>
      </w:tr>
      <w:tr>
        <w:trPr>
          <w:trHeight w:val="211"/>
        </w:trPr>
        <w:tc>
          <w:tcPr>
            <w:tcW w:w="520" w:type="dxa"/>
            <w:vAlign w:val="bottom"/>
          </w:tcPr>
          <w:p>
            <w:pPr>
              <w:spacing w:after="0"/>
              <w:rPr>
                <w:sz w:val="20"/>
                <w:szCs w:val="20"/>
                <w:color w:val="auto"/>
              </w:rPr>
            </w:pPr>
            <w:r>
              <w:rPr>
                <w:rFonts w:ascii="Arial" w:cs="Arial" w:eastAsia="Arial" w:hAnsi="Arial"/>
                <w:sz w:val="14"/>
                <w:szCs w:val="14"/>
                <w:b w:val="1"/>
                <w:bCs w:val="1"/>
                <w:color w:val="auto"/>
              </w:rPr>
              <w:t>​ ​</w:t>
            </w:r>
          </w:p>
        </w:tc>
        <w:tc>
          <w:tcPr>
            <w:tcW w:w="1820" w:type="dxa"/>
            <w:vAlign w:val="bottom"/>
          </w:tcPr>
          <w:p>
            <w:pPr>
              <w:ind w:left="380"/>
              <w:spacing w:after="0"/>
              <w:rPr>
                <w:sz w:val="20"/>
                <w:szCs w:val="20"/>
                <w:color w:val="auto"/>
              </w:rPr>
            </w:pPr>
            <w:r>
              <w:rPr>
                <w:rFonts w:ascii="Arial" w:cs="Arial" w:eastAsia="Arial" w:hAnsi="Arial"/>
                <w:sz w:val="14"/>
                <w:szCs w:val="14"/>
                <w:b w:val="1"/>
                <w:bCs w:val="1"/>
                <w:color w:val="auto"/>
              </w:rPr>
              <w:t>Voting Options</w:t>
            </w:r>
          </w:p>
        </w:tc>
        <w:tc>
          <w:tcPr>
            <w:tcW w:w="3160" w:type="dxa"/>
            <w:vAlign w:val="bottom"/>
          </w:tcPr>
          <w:p>
            <w:pPr>
              <w:ind w:left="400"/>
              <w:spacing w:after="0" w:line="211"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Proposal at the PAGP Annual Meeting</w:t>
            </w:r>
            <w:r>
              <w:rPr>
                <w:rFonts w:ascii="Arial" w:cs="Arial" w:eastAsia="Arial" w:hAnsi="Arial"/>
                <w:sz w:val="24"/>
                <w:szCs w:val="24"/>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-7620</wp:posOffset>
            </wp:positionV>
            <wp:extent cx="33947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280" w:space="720"/>
            <w:col w:w="5879"/>
          </w:cols>
          <w:pgMar w:left="580" w:top="97" w:right="1440" w:bottom="1440" w:gutter="0" w:footer="0" w:header="0"/>
          <w:type w:val="continuous"/>
        </w:sectPr>
      </w:pPr>
    </w:p>
    <w:p>
      <w:pPr>
        <w:spacing w:after="0" w:line="8" w:lineRule="exact"/>
        <w:rPr>
          <w:sz w:val="20"/>
          <w:szCs w:val="20"/>
          <w:color w:val="auto"/>
        </w:rPr>
      </w:pPr>
    </w:p>
    <w:p>
      <w:pPr>
        <w:ind w:left="1960" w:hanging="340"/>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election of four</w:t>
      </w:r>
    </w:p>
    <w:p>
      <w:pPr>
        <w:spacing w:after="0" w:line="27" w:lineRule="exact"/>
        <w:rPr>
          <w:rFonts w:ascii="Arial" w:cs="Arial" w:eastAsia="Arial" w:hAnsi="Arial"/>
          <w:sz w:val="18"/>
          <w:szCs w:val="18"/>
          <w:color w:val="auto"/>
        </w:rPr>
      </w:pPr>
    </w:p>
    <w:p>
      <w:pPr>
        <w:ind w:left="1620" w:right="60"/>
        <w:spacing w:after="0" w:line="258" w:lineRule="auto"/>
        <w:rPr>
          <w:rFonts w:ascii="Arial" w:cs="Arial" w:eastAsia="Arial" w:hAnsi="Arial"/>
          <w:sz w:val="18"/>
          <w:szCs w:val="18"/>
          <w:color w:val="auto"/>
        </w:rPr>
      </w:pPr>
      <w:r>
        <w:rPr>
          <w:rFonts w:ascii="Arial" w:cs="Arial" w:eastAsia="Arial" w:hAnsi="Arial"/>
          <w:sz w:val="18"/>
          <w:szCs w:val="18"/>
          <w:color w:val="auto"/>
        </w:rPr>
        <w:t>Class I directors to serve on the Board until the 2026 annual meeting.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4" w:lineRule="exact"/>
        <w:rPr>
          <w:rFonts w:ascii="Arial" w:cs="Arial" w:eastAsia="Arial" w:hAnsi="Arial"/>
          <w:sz w:val="18"/>
          <w:szCs w:val="18"/>
          <w:color w:val="auto"/>
        </w:rPr>
      </w:pPr>
    </w:p>
    <w:p>
      <w:pPr>
        <w:ind w:left="1620"/>
        <w:spacing w:after="0" w:line="255" w:lineRule="auto"/>
        <w:tabs>
          <w:tab w:leader="none" w:pos="19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PAGP’s and PAA’s independent registered public accounting firm for the fiscal year ending December 31, 2023.</w:t>
      </w:r>
    </w:p>
    <w:p>
      <w:pPr>
        <w:spacing w:after="0" w:line="20" w:lineRule="exact"/>
        <w:rPr>
          <w:sz w:val="20"/>
          <w:szCs w:val="20"/>
          <w:color w:val="auto"/>
        </w:rPr>
      </w:pPr>
      <w:r>
        <w:rPr>
          <w:sz w:val="20"/>
          <w:szCs w:val="20"/>
          <w:color w:val="auto"/>
        </w:rPr>
        <w:br w:type="column"/>
      </w:r>
    </w:p>
    <w:p>
      <w:pPr>
        <w:ind w:left="165" w:hanging="165"/>
        <w:spacing w:after="0" w:line="266" w:lineRule="auto"/>
        <w:tabs>
          <w:tab w:leader="none" w:pos="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 You may vote “FOR”, or you may “WITHHOLD” authority to vote for, all, some or none of the nominees for director.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5" w:lineRule="exact"/>
        <w:rPr>
          <w:rFonts w:ascii="Arial" w:cs="Arial" w:eastAsia="Arial" w:hAnsi="Arial"/>
          <w:sz w:val="18"/>
          <w:szCs w:val="18"/>
          <w:color w:val="auto"/>
        </w:rPr>
      </w:pPr>
    </w:p>
    <w:p>
      <w:pPr>
        <w:ind w:left="165" w:right="20" w:hanging="165"/>
        <w:spacing w:after="0" w:line="244" w:lineRule="auto"/>
        <w:tabs>
          <w:tab w:leader="none" w:pos="84" w:val="left"/>
        </w:tabs>
        <w:numPr>
          <w:ilvl w:val="0"/>
          <w:numId w:val="21"/>
        </w:numPr>
        <w:rPr>
          <w:rFonts w:ascii="Arial" w:cs="Arial" w:eastAsia="Arial" w:hAnsi="Arial"/>
          <w:sz w:val="34"/>
          <w:szCs w:val="34"/>
          <w:color w:val="auto"/>
          <w:vertAlign w:val="superscript"/>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You may vote “FOR” or “AGAINST” the proposal, or you may “ABSTAIN” from voting.</w:t>
      </w:r>
    </w:p>
    <w:p>
      <w:pPr>
        <w:spacing w:after="0" w:line="20" w:lineRule="exact"/>
        <w:rPr>
          <w:sz w:val="20"/>
          <w:szCs w:val="20"/>
          <w:color w:val="auto"/>
        </w:rPr>
      </w:pPr>
      <w:r>
        <w:rPr>
          <w:sz w:val="20"/>
          <w:szCs w:val="20"/>
          <w:color w:val="auto"/>
        </w:rPr>
        <w:br w:type="column"/>
      </w:r>
    </w:p>
    <w:p>
      <w:pPr>
        <w:ind w:left="171" w:right="40" w:hanging="171"/>
        <w:spacing w:after="0" w:line="255" w:lineRule="auto"/>
        <w:tabs>
          <w:tab w:leader="none" w:pos="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Directors will be elected by a plurality of the votes cast, in person or by proxy, by the holders of our Class A, Class B and Class C shares present and entitled to vote, voting as a single class. Broker non-votes are not considered votes cast and will have no effect on the election of directors.</w:t>
      </w:r>
    </w:p>
    <w:p>
      <w:pPr>
        <w:spacing w:after="0" w:line="64" w:lineRule="exact"/>
        <w:rPr>
          <w:rFonts w:ascii="Arial" w:cs="Arial" w:eastAsia="Arial" w:hAnsi="Arial"/>
          <w:sz w:val="18"/>
          <w:szCs w:val="18"/>
          <w:color w:val="auto"/>
        </w:rPr>
      </w:pPr>
    </w:p>
    <w:p>
      <w:pPr>
        <w:ind w:left="171" w:hanging="171"/>
        <w:spacing w:after="0" w:line="245" w:lineRule="auto"/>
        <w:tabs>
          <w:tab w:leader="none" w:pos="90" w:val="left"/>
        </w:tabs>
        <w:numPr>
          <w:ilvl w:val="0"/>
          <w:numId w:val="22"/>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In order for this proposal to be approved, it must receive a majority of the votes cast, in person or by proxy, by the holders of our Class A, Class B and Class C shares present and entitled to vote, voting as a single class. Abstentions will be counted as votes present and entitled to vote and will have the same effect as votes “AGAINST” this proposal. We do not expect there to be any broker non-votes for this proposal.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73" w:lineRule="exact"/>
        <w:rPr>
          <w:sz w:val="20"/>
          <w:szCs w:val="20"/>
          <w:color w:val="auto"/>
        </w:rPr>
      </w:pPr>
    </w:p>
    <w:p>
      <w:pPr>
        <w:sectPr>
          <w:pgSz w:w="11900" w:h="16838" w:orient="portrait"/>
          <w:cols w:equalWidth="0" w:num="4">
            <w:col w:w="3900" w:space="55"/>
            <w:col w:w="2725" w:space="29"/>
            <w:col w:w="2751" w:space="0"/>
            <w:col w:w="4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60" w:type="dxa"/>
            <w:vAlign w:val="bottom"/>
          </w:tcPr>
          <w:p>
            <w:pPr>
              <w:ind w:left="800"/>
              <w:spacing w:after="0"/>
              <w:rPr>
                <w:sz w:val="20"/>
                <w:szCs w:val="20"/>
                <w:color w:val="auto"/>
              </w:rPr>
            </w:pPr>
            <w:r>
              <w:rPr>
                <w:rFonts w:ascii="Arial" w:cs="Arial" w:eastAsia="Arial" w:hAnsi="Arial"/>
                <w:sz w:val="14"/>
                <w:szCs w:val="14"/>
                <w:b w:val="1"/>
                <w:bCs w:val="1"/>
                <w:color w:val="auto"/>
              </w:rPr>
              <w:t>Vote Required for Approval of</w:t>
            </w:r>
          </w:p>
        </w:tc>
      </w:tr>
      <w:tr>
        <w:trPr>
          <w:trHeight w:val="198"/>
        </w:trPr>
        <w:tc>
          <w:tcPr>
            <w:tcW w:w="1500" w:type="dxa"/>
            <w:vAlign w:val="bottom"/>
          </w:tcPr>
          <w:p>
            <w:pPr>
              <w:spacing w:after="0"/>
              <w:rPr>
                <w:sz w:val="20"/>
                <w:szCs w:val="20"/>
                <w:color w:val="auto"/>
              </w:rPr>
            </w:pPr>
            <w:r>
              <w:rPr>
                <w:rFonts w:ascii="Arial" w:cs="Arial" w:eastAsia="Arial" w:hAnsi="Arial"/>
                <w:sz w:val="14"/>
                <w:szCs w:val="14"/>
                <w:b w:val="1"/>
                <w:bCs w:val="1"/>
                <w:color w:val="auto"/>
              </w:rPr>
              <w:t>Proposal</w:t>
            </w:r>
          </w:p>
        </w:tc>
        <w:tc>
          <w:tcPr>
            <w:tcW w:w="1400" w:type="dxa"/>
            <w:vAlign w:val="bottom"/>
          </w:tcPr>
          <w:p>
            <w:pPr>
              <w:ind w:left="880"/>
              <w:spacing w:after="0"/>
              <w:rPr>
                <w:sz w:val="20"/>
                <w:szCs w:val="20"/>
                <w:color w:val="auto"/>
              </w:rPr>
            </w:pPr>
            <w:r>
              <w:rPr>
                <w:rFonts w:ascii="Arial" w:cs="Arial" w:eastAsia="Arial" w:hAnsi="Arial"/>
                <w:sz w:val="14"/>
                <w:szCs w:val="14"/>
                <w:b w:val="1"/>
                <w:bCs w:val="1"/>
                <w:color w:val="auto"/>
              </w:rPr>
              <w:t>​ ​</w:t>
            </w:r>
          </w:p>
        </w:tc>
        <w:tc>
          <w:tcPr>
            <w:tcW w:w="1820" w:type="dxa"/>
            <w:vAlign w:val="bottom"/>
          </w:tcPr>
          <w:p>
            <w:pPr>
              <w:ind w:left="380"/>
              <w:spacing w:after="0"/>
              <w:rPr>
                <w:sz w:val="20"/>
                <w:szCs w:val="20"/>
                <w:color w:val="auto"/>
              </w:rPr>
            </w:pPr>
            <w:r>
              <w:rPr>
                <w:rFonts w:ascii="Arial" w:cs="Arial" w:eastAsia="Arial" w:hAnsi="Arial"/>
                <w:sz w:val="14"/>
                <w:szCs w:val="14"/>
                <w:b w:val="1"/>
                <w:bCs w:val="1"/>
                <w:color w:val="auto"/>
              </w:rPr>
              <w:t>Voting Options</w:t>
            </w:r>
          </w:p>
        </w:tc>
        <w:tc>
          <w:tcPr>
            <w:tcW w:w="3160" w:type="dxa"/>
            <w:vAlign w:val="bottom"/>
          </w:tcPr>
          <w:p>
            <w:pPr>
              <w:ind w:left="40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Proposal at the PAGP Annual Meeting</w:t>
            </w:r>
            <w:r>
              <w:rPr>
                <w:rFonts w:ascii="Arial" w:cs="Arial" w:eastAsia="Arial" w:hAnsi="Arial"/>
                <w:sz w:val="22"/>
                <w:szCs w:val="22"/>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0</wp:posOffset>
            </wp:positionV>
            <wp:extent cx="32315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620"/>
        <w:spacing w:after="0" w:line="262" w:lineRule="auto"/>
        <w:tabs>
          <w:tab w:leader="none" w:pos="19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approval, on a non-binding advisory basis, of our 2022 named executive officer compensation.</w:t>
      </w:r>
    </w:p>
    <w:p>
      <w:pPr>
        <w:spacing w:after="0" w:line="20" w:lineRule="exact"/>
        <w:rPr>
          <w:sz w:val="20"/>
          <w:szCs w:val="20"/>
          <w:color w:val="auto"/>
        </w:rPr>
      </w:pPr>
      <w:r>
        <w:rPr>
          <w:sz w:val="20"/>
          <w:szCs w:val="20"/>
          <w:color w:val="auto"/>
        </w:rPr>
        <w:br w:type="column"/>
      </w:r>
    </w:p>
    <w:p>
      <w:pPr>
        <w:ind w:left="165" w:hanging="165"/>
        <w:spacing w:after="0" w:line="305" w:lineRule="auto"/>
        <w:tabs>
          <w:tab w:leader="none" w:pos="84" w:val="left"/>
        </w:tabs>
        <w:numPr>
          <w:ilvl w:val="0"/>
          <w:numId w:val="24"/>
        </w:numPr>
        <w:rPr>
          <w:rFonts w:ascii="Arial" w:cs="Arial" w:eastAsia="Arial" w:hAnsi="Arial"/>
          <w:sz w:val="17"/>
          <w:szCs w:val="17"/>
          <w:color w:val="auto"/>
        </w:rPr>
      </w:pPr>
      <w:r>
        <w:rPr>
          <w:rFonts w:ascii="Arial" w:cs="Arial" w:eastAsia="Arial" w:hAnsi="Arial"/>
          <w:sz w:val="17"/>
          <w:szCs w:val="17"/>
          <w:color w:val="auto"/>
        </w:rPr>
        <w:t>​ You may vote “FOR” or “AGAINST” the proposal, or you may “ABSTAIN” from voting.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80" w:type="dxa"/>
            <w:vAlign w:val="bottom"/>
          </w:tcPr>
          <w:p>
            <w:pPr>
              <w:spacing w:after="0"/>
              <w:rPr>
                <w:sz w:val="20"/>
                <w:szCs w:val="20"/>
                <w:color w:val="auto"/>
              </w:rPr>
            </w:pPr>
            <w:r>
              <w:rPr>
                <w:rFonts w:ascii="Arial" w:cs="Arial" w:eastAsia="Arial" w:hAnsi="Arial"/>
                <w:sz w:val="18"/>
                <w:szCs w:val="18"/>
                <w:color w:val="auto"/>
              </w:rPr>
              <w:t>​ ​</w:t>
            </w:r>
          </w:p>
        </w:tc>
        <w:tc>
          <w:tcPr>
            <w:tcW w:w="2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order for this non-binding</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1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w w:val="99"/>
              </w:rPr>
              <w:t>proposal to be approved, it must</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receive a majority of the votes</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cast, in person or by proxy, by</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the holders of our Class A,</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Class B and Class C shares</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present and entitled to vote,</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voting as a single class.</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Abstentions will be counted as</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votes present and entitled to</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vote and will have the same</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effect as votes “AGAINST” this</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proposal. Broker non-votes are</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not considered votes cast and</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will have no effect on the</w:t>
            </w:r>
          </w:p>
        </w:tc>
        <w:tc>
          <w:tcPr>
            <w:tcW w:w="60" w:type="dxa"/>
            <w:vAlign w:val="bottom"/>
          </w:tcPr>
          <w:p>
            <w:pPr>
              <w:spacing w:after="0"/>
              <w:rPr>
                <w:sz w:val="18"/>
                <w:szCs w:val="18"/>
                <w:color w:val="auto"/>
              </w:rPr>
            </w:pPr>
          </w:p>
        </w:tc>
      </w:tr>
      <w:tr>
        <w:trPr>
          <w:trHeight w:val="239"/>
        </w:trPr>
        <w:tc>
          <w:tcPr>
            <w:tcW w:w="18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outcome of this proposal.</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3">
            <w:col w:w="3960" w:space="4294967292"/>
            <w:col w:w="2705" w:space="40"/>
            <w:col w:w="3179"/>
          </w:cols>
          <w:pgMar w:left="580" w:top="97" w:right="1440" w:bottom="1440" w:gutter="0" w:footer="0" w:header="0"/>
          <w:type w:val="continuous"/>
        </w:sectPr>
      </w:pPr>
    </w:p>
    <w:p>
      <w:pPr>
        <w:spacing w:after="0" w:line="10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covers the expense of the proxy solicitation?</w:t>
      </w:r>
    </w:p>
    <w:p>
      <w:pPr>
        <w:spacing w:after="0" w:line="144" w:lineRule="exact"/>
        <w:rPr>
          <w:sz w:val="20"/>
          <w:szCs w:val="20"/>
          <w:color w:val="auto"/>
        </w:rPr>
      </w:pPr>
    </w:p>
    <w:p>
      <w:pPr>
        <w:ind w:left="1620" w:right="639" w:hanging="360"/>
        <w:spacing w:after="0" w:line="254"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expense of preparing, printing and mailing this proxy statement and the proxies solicited hereby will be borne by us. In addition to the use of the mail, proxies may be solicited by PAGP GP’s directors and officers, as well as by employees of Plains All American GP LLC (“GP LLC”), without additional remuneration, by mail, phone, fax or in person. We will also request brokerage firms, banks, nominees, custodians and fiduciaries to forward proxy materials to the beneficial owners of our shares as of the close of business on the Record Date and will provide reimbursement for the cost of forwarding the proxy materials in accordance with customary practice. Your cooperation in promptly voting your shares electronically, via the Internet or by telephone, or by signing and returning the enclosed proxy card will help to avoid additional expenses. We have hired Georgeson LLC to solicit proxies for a fee of $10,500 plus reasonable expenses for additional services.</w:t>
      </w:r>
    </w:p>
    <w:p>
      <w:pPr>
        <w:spacing w:after="0" w:line="11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if I do not mark a voting choice for some of the matters listed on my proxy card?</w:t>
      </w:r>
    </w:p>
    <w:p>
      <w:pPr>
        <w:spacing w:after="0" w:line="158" w:lineRule="exact"/>
        <w:rPr>
          <w:sz w:val="20"/>
          <w:szCs w:val="20"/>
          <w:color w:val="auto"/>
        </w:rPr>
      </w:pPr>
    </w:p>
    <w:p>
      <w:pPr>
        <w:ind w:left="1620" w:right="519" w:hanging="360"/>
        <w:spacing w:after="0" w:line="268"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you return a signed proxy card without indicating your voting choice, your shares will be voted in accordance with the Board’s recommendation for each proposal with respect to which a voting choice is not indicated.</w:t>
      </w:r>
    </w:p>
    <w:p>
      <w:pPr>
        <w:spacing w:after="0" w:line="90"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will tabulate and certify the vote?</w:t>
      </w:r>
    </w:p>
    <w:p>
      <w:pPr>
        <w:spacing w:after="0" w:line="158" w:lineRule="exact"/>
        <w:rPr>
          <w:sz w:val="20"/>
          <w:szCs w:val="20"/>
          <w:color w:val="auto"/>
        </w:rPr>
      </w:pPr>
    </w:p>
    <w:p>
      <w:pPr>
        <w:ind w:left="1620" w:right="879" w:hanging="360"/>
        <w:spacing w:after="0" w:line="287"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AST will tabulate and certify the vote, and a representative of AST will act as the independent inspector of elections for the PAGP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2199" w:firstLine="1795"/>
        <w:spacing w:after="0" w:line="406" w:lineRule="auto"/>
        <w:rPr>
          <w:sz w:val="20"/>
          <w:szCs w:val="20"/>
          <w:color w:val="auto"/>
        </w:rPr>
      </w:pPr>
      <w:r>
        <w:rPr>
          <w:rFonts w:ascii="Arial" w:cs="Arial" w:eastAsia="Arial" w:hAnsi="Arial"/>
          <w:sz w:val="18"/>
          <w:szCs w:val="18"/>
          <w:b w:val="1"/>
          <w:bCs w:val="1"/>
          <w:color w:val="auto"/>
        </w:rPr>
        <w:t>CORPORATE GOVERNANCE AND RELATED MATTERS Summary of Recent Changes</w:t>
      </w:r>
    </w:p>
    <w:p>
      <w:pPr>
        <w:spacing w:after="0" w:line="2" w:lineRule="exact"/>
        <w:rPr>
          <w:sz w:val="20"/>
          <w:szCs w:val="20"/>
          <w:color w:val="auto"/>
        </w:rPr>
      </w:pPr>
    </w:p>
    <w:p>
      <w:pPr>
        <w:ind w:left="1260" w:right="599" w:firstLine="360"/>
        <w:spacing w:after="0" w:line="291" w:lineRule="auto"/>
        <w:rPr>
          <w:sz w:val="20"/>
          <w:szCs w:val="20"/>
          <w:color w:val="auto"/>
        </w:rPr>
      </w:pPr>
      <w:r>
        <w:rPr>
          <w:rFonts w:ascii="Arial" w:cs="Arial" w:eastAsia="Arial" w:hAnsi="Arial"/>
          <w:sz w:val="17"/>
          <w:szCs w:val="17"/>
          <w:color w:val="auto"/>
        </w:rPr>
        <w:t>Investors have voiced a preference for certain governance practices, and over the course of the last several years, our board and governance structure has evolved and changed in ways that we believe are meaningfully beneficial to investors. Highlights of some of the key changes are as follows:</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2016</w:t>
      </w:r>
    </w:p>
    <w:p>
      <w:pPr>
        <w:spacing w:after="0" w:line="117" w:lineRule="exact"/>
        <w:rPr>
          <w:sz w:val="20"/>
          <w:szCs w:val="20"/>
          <w:color w:val="auto"/>
        </w:rPr>
      </w:pPr>
    </w:p>
    <w:p>
      <w:pPr>
        <w:ind w:left="1800" w:right="659" w:hanging="180"/>
        <w:spacing w:after="0" w:line="28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Replaced our dual board structure for PAA and PAGP with a unified governance structure that resulted in the Board being solely responsible for the governance of PAA and PAGP;</w:t>
      </w:r>
    </w:p>
    <w:p>
      <w:pPr>
        <w:spacing w:after="0" w:line="44" w:lineRule="exact"/>
        <w:rPr>
          <w:rFonts w:ascii="Arial" w:cs="Arial" w:eastAsia="Arial" w:hAnsi="Arial"/>
          <w:sz w:val="18"/>
          <w:szCs w:val="18"/>
          <w:color w:val="auto"/>
        </w:rPr>
      </w:pPr>
    </w:p>
    <w:p>
      <w:pPr>
        <w:ind w:left="1800" w:right="839" w:hanging="180"/>
        <w:spacing w:after="0" w:line="291" w:lineRule="auto"/>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Amended our governing documents to enfranchise all shareholders of PAGP and all public common unitholders and Series A preferred unitholders of PAA by providing for shareholder elections of directors commencing in 2018 (on a staggered three-year rolling basis);</w:t>
      </w:r>
    </w:p>
    <w:p>
      <w:pPr>
        <w:spacing w:after="0" w:line="5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2017</w:t>
      </w:r>
    </w:p>
    <w:p>
      <w:pPr>
        <w:spacing w:after="0" w:line="117" w:lineRule="exact"/>
        <w:rPr>
          <w:sz w:val="20"/>
          <w:szCs w:val="20"/>
          <w:color w:val="auto"/>
        </w:rPr>
      </w:pPr>
    </w:p>
    <w:p>
      <w:pPr>
        <w:ind w:left="1800" w:right="699" w:hanging="180"/>
        <w:spacing w:after="0" w:line="28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Added Asian American director to the Board (subsequently became Chairman of the Board in January 2020);</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2018</w:t>
      </w:r>
    </w:p>
    <w:p>
      <w:pPr>
        <w:spacing w:after="0" w:line="117" w:lineRule="exact"/>
        <w:rPr>
          <w:sz w:val="20"/>
          <w:szCs w:val="20"/>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Held first annual meeting for the election of directors;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Added new independent female director to the Board;</w:t>
      </w:r>
    </w:p>
    <w:p>
      <w:pPr>
        <w:spacing w:after="0" w:line="130"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u w:val="single" w:color="auto"/>
          <w:color w:val="auto"/>
        </w:rPr>
        <w:t>2019</w:t>
      </w:r>
    </w:p>
    <w:p>
      <w:pPr>
        <w:spacing w:after="0" w:line="117" w:lineRule="exact"/>
        <w:rPr>
          <w:rFonts w:ascii="Arial" w:cs="Arial" w:eastAsia="Arial" w:hAnsi="Arial"/>
          <w:sz w:val="18"/>
          <w:szCs w:val="18"/>
          <w:color w:val="auto"/>
        </w:rPr>
      </w:pPr>
    </w:p>
    <w:p>
      <w:pPr>
        <w:ind w:left="1800" w:right="419" w:hanging="180"/>
        <w:spacing w:after="0" w:line="262"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Amended our governing documents to require that a majority of our Board satisfy applicable stock exchange independence requirements, despite the fact that as a limited partnership we are exempt from such requirements (nine out of 12 (75%) of our current Board members have been assessed by the Board and determined to be independent);</w:t>
      </w:r>
    </w:p>
    <w:p>
      <w:pPr>
        <w:spacing w:after="0" w:line="68" w:lineRule="exact"/>
        <w:rPr>
          <w:rFonts w:ascii="Arial" w:cs="Arial" w:eastAsia="Arial" w:hAnsi="Arial"/>
          <w:sz w:val="18"/>
          <w:szCs w:val="18"/>
          <w:color w:val="auto"/>
        </w:rPr>
      </w:pPr>
    </w:p>
    <w:p>
      <w:pPr>
        <w:ind w:left="1800" w:right="779" w:hanging="180"/>
        <w:spacing w:after="0" w:line="268"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Amended our governing documents to create a strong lead independent director role in connection with the retirement of our former Chairman and the re-combination of the roles of Chairman and CEO;</w:t>
      </w:r>
    </w:p>
    <w:p>
      <w:pPr>
        <w:spacing w:after="0" w:line="62" w:lineRule="exact"/>
        <w:rPr>
          <w:rFonts w:ascii="Arial" w:cs="Arial" w:eastAsia="Arial" w:hAnsi="Arial"/>
          <w:sz w:val="18"/>
          <w:szCs w:val="18"/>
          <w:color w:val="auto"/>
        </w:rPr>
      </w:pPr>
    </w:p>
    <w:p>
      <w:pPr>
        <w:ind w:left="1800" w:right="659" w:hanging="180"/>
        <w:spacing w:after="0" w:line="262"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the assistance of our Governance Committee, initiated a comprehensive board assessment, refreshment and succession planning process that includes a periodic skills and needs assessment, the development and maintenance of a formal board succession plan and annual director performance evaluations;</w:t>
      </w:r>
    </w:p>
    <w:p>
      <w:pPr>
        <w:spacing w:after="0" w:line="9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2020</w:t>
      </w:r>
    </w:p>
    <w:p>
      <w:pPr>
        <w:spacing w:after="0" w:line="117" w:lineRule="exact"/>
        <w:rPr>
          <w:sz w:val="20"/>
          <w:szCs w:val="20"/>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Added new independent director to the Board;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Appointed independent chairman to Compensation Committee;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Adopted Equity Ownership Guidelines and Clawback Policy;</w:t>
      </w:r>
    </w:p>
    <w:p>
      <w:pPr>
        <w:spacing w:after="0" w:line="130"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u w:val="single" w:color="auto"/>
          <w:color w:val="auto"/>
        </w:rPr>
        <w:t>2021</w:t>
      </w:r>
    </w:p>
    <w:p>
      <w:pPr>
        <w:spacing w:after="0" w:line="117" w:lineRule="exact"/>
        <w:rPr>
          <w:rFonts w:ascii="Arial" w:cs="Arial" w:eastAsia="Arial" w:hAnsi="Arial"/>
          <w:sz w:val="18"/>
          <w:szCs w:val="18"/>
          <w:color w:val="auto"/>
        </w:rPr>
      </w:pPr>
    </w:p>
    <w:p>
      <w:pPr>
        <w:ind w:left="1800" w:right="539" w:hanging="180"/>
        <w:spacing w:after="0" w:line="268"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Established a new committee, the Health, Safety, Environmental and Sustainability (“HSES”) Committee, to assist the Board in its oversight of various HSES matters and facilitate the efforts of management to further strengthen our focus on sustainability and ESG matters;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Mandated that the members of all Board committees be independent;</w:t>
      </w:r>
    </w:p>
    <w:p>
      <w:pPr>
        <w:spacing w:after="0" w:line="117" w:lineRule="exact"/>
        <w:rPr>
          <w:rFonts w:ascii="Arial" w:cs="Arial" w:eastAsia="Arial" w:hAnsi="Arial"/>
          <w:sz w:val="18"/>
          <w:szCs w:val="18"/>
          <w:color w:val="auto"/>
        </w:rPr>
      </w:pPr>
    </w:p>
    <w:p>
      <w:pPr>
        <w:ind w:left="1800" w:right="439" w:hanging="180"/>
        <w:spacing w:after="0" w:line="28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Amended our governing documents to increase the number of directors subject to public election by adding the three directors who are current or former members of management;</w:t>
      </w:r>
    </w:p>
    <w:p>
      <w:pPr>
        <w:spacing w:after="0" w:line="44" w:lineRule="exact"/>
        <w:rPr>
          <w:rFonts w:ascii="Arial" w:cs="Arial" w:eastAsia="Arial" w:hAnsi="Arial"/>
          <w:sz w:val="18"/>
          <w:szCs w:val="18"/>
          <w:color w:val="auto"/>
        </w:rPr>
      </w:pPr>
    </w:p>
    <w:p>
      <w:pPr>
        <w:ind w:left="1800" w:right="579" w:hanging="180"/>
        <w:spacing w:after="0" w:line="291" w:lineRule="auto"/>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Amended our governing documents to eliminate the lone remaining legacy director designation right, resulting in all Board members being subject to public election, and all non-management directors serving on the same basis in terms of rights, duties and obligations of directors; and</w:t>
      </w:r>
    </w:p>
    <w:p>
      <w:pPr>
        <w:sectPr>
          <w:pgSz w:w="11900" w:h="16838" w:orient="portrait"/>
          <w:cols w:equalWidth="0" w:num="1">
            <w:col w:w="9879"/>
          </w:cols>
          <w:pgMar w:left="580" w:top="97" w:right="1440" w:bottom="1440" w:gutter="0" w:footer="0" w:header="0"/>
        </w:sectPr>
      </w:pPr>
    </w:p>
    <w:p>
      <w:pPr>
        <w:spacing w:after="0" w:line="328"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2022</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Added new independent female director to the Board.</w:t>
      </w:r>
    </w:p>
    <w:p>
      <w:pPr>
        <w:spacing w:after="0" w:line="15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As described in the summary above, since 2016, the Board has taken numerous meaningful steps to provide PAGP shareholders and PAA unitholders the right to vote for members of the Board. At a special meeting of PAGP shareholders held in November 2016 in connection with our simplification transaction (the “Simplification Transaction”), our shareholders overwhelmingly approved the following changes to our governing documents, among others:</w:t>
      </w:r>
    </w:p>
    <w:p>
      <w:pPr>
        <w:spacing w:after="0" w:line="71" w:lineRule="exact"/>
        <w:rPr>
          <w:sz w:val="20"/>
          <w:szCs w:val="20"/>
          <w:color w:val="auto"/>
        </w:rPr>
      </w:pPr>
    </w:p>
    <w:p>
      <w:pPr>
        <w:ind w:left="1800" w:right="859" w:hanging="180"/>
        <w:spacing w:after="0" w:line="28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implementation of a unified governance structure for PAA and PAGP that resulted in the Board being solely responsible for the governance of PAGP and PAA; and</w:t>
      </w:r>
    </w:p>
    <w:p>
      <w:pPr>
        <w:spacing w:after="0" w:line="44" w:lineRule="exact"/>
        <w:rPr>
          <w:rFonts w:ascii="Arial" w:cs="Arial" w:eastAsia="Arial" w:hAnsi="Arial"/>
          <w:sz w:val="18"/>
          <w:szCs w:val="18"/>
          <w:color w:val="auto"/>
        </w:rPr>
      </w:pPr>
    </w:p>
    <w:p>
      <w:pPr>
        <w:ind w:left="1800" w:right="459" w:hanging="180"/>
        <w:spacing w:after="0" w:line="268"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division of the Board into three classes and the commencement of director elections by class starting in 2018, with the participation and enfranchisement of all shareholders of PAGP and all public common unitholders and Series A preferred unitholders of PAA.</w:t>
      </w:r>
    </w:p>
    <w:p>
      <w:pPr>
        <w:spacing w:after="0" w:line="103"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These features distinguish us from many of our midstream master limited partnership peers. Together with the alignment of interests among investors that was created through the elimination of PAA’s incentive distribution rights in connection with the Simplification Transaction, the Board has put in place an overall governance structure that vastly improves the governance rights of our investors and which we believe is regarded by many as a structure that, together with other factors, produces a degree of alignment with our investors that places us at the top of our master limited partnership peers for the midstream sector regarding governance structure and voting rights. The Board believes that the continued implementation of the modified governance structure as approved by PAGP’s shareholders, together with the governance enhancements made in recent years, is consistent with the desires and expectations of investors in PAA and PAGP.</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Management and Governance</w:t>
      </w:r>
    </w:p>
    <w:p>
      <w:pPr>
        <w:spacing w:after="0" w:line="144" w:lineRule="exact"/>
        <w:rPr>
          <w:sz w:val="20"/>
          <w:szCs w:val="20"/>
          <w:color w:val="auto"/>
        </w:rPr>
      </w:pPr>
    </w:p>
    <w:p>
      <w:pPr>
        <w:ind w:left="1260" w:right="519" w:firstLine="360"/>
        <w:spacing w:after="0" w:line="262" w:lineRule="auto"/>
        <w:rPr>
          <w:sz w:val="20"/>
          <w:szCs w:val="20"/>
          <w:color w:val="auto"/>
        </w:rPr>
      </w:pPr>
      <w:r>
        <w:rPr>
          <w:rFonts w:ascii="Arial" w:cs="Arial" w:eastAsia="Arial" w:hAnsi="Arial"/>
          <w:sz w:val="18"/>
          <w:szCs w:val="18"/>
          <w:color w:val="auto"/>
        </w:rPr>
        <w:t>We own a 100% managing member interest in GP LLC, which owns the non-economic general partner interest in Plains AAP. Plains AAP is the sole member of PAA GP LLC, which holds the non-economic general partner interest in PAA. PAGP GP is our general partner and the Board of PAGP GP has responsibility for managing the business and affairs of PAGP and PAA.</w:t>
      </w:r>
    </w:p>
    <w:p>
      <w:pPr>
        <w:spacing w:after="0" w:line="109"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We do not directly own any operating assets or have any operating activities apart from those conducted by PAA. All of our officers and other personnel necessary for our business to function (to the extent not out-sourced) are employed by GP LLC. All of the officers of our general partner are also officers of GP LLC. Our general partner’s executive officers spend the substantial majority of their time managing the business of PAA, which benefits us as PAA’s performance will determine our success. We estimate that these officers spend less than 10% of their time on our business, as distinct from PAA’s business. The actual time devoted by these officers to managing our business as well as PAA’s will fluctuate as a result of the relative activity level between the two entities.</w:t>
      </w:r>
    </w:p>
    <w:p>
      <w:pPr>
        <w:spacing w:after="0" w:line="117"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Our Shareholders are limited partners and do not directly or indirectly participate in our management or operation. Unlike holders of common stock in a corporation, our shareholders have only limited voting rights on matters affecting our business or governance, subject in all cases to any specific shareholder rights contained in our partnership agreement. In connection with the Simplification Transaction completed in November 2016, we expanded the voting rights of our shareholders to include the election of directors and, in 2018, we began holding annual meetings for this purpose.</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Ownership and Voting Structure</w:t>
      </w:r>
    </w:p>
    <w:p>
      <w:pPr>
        <w:spacing w:after="0" w:line="144" w:lineRule="exact"/>
        <w:rPr>
          <w:sz w:val="20"/>
          <w:szCs w:val="20"/>
          <w:color w:val="auto"/>
        </w:rPr>
      </w:pPr>
    </w:p>
    <w:p>
      <w:pPr>
        <w:ind w:left="1260" w:right="539" w:firstLine="360"/>
        <w:spacing w:after="0" w:line="262" w:lineRule="auto"/>
        <w:rPr>
          <w:sz w:val="20"/>
          <w:szCs w:val="20"/>
          <w:color w:val="auto"/>
        </w:rPr>
      </w:pPr>
      <w:r>
        <w:rPr>
          <w:rFonts w:ascii="Arial" w:cs="Arial" w:eastAsia="Arial" w:hAnsi="Arial"/>
          <w:sz w:val="18"/>
          <w:szCs w:val="18"/>
          <w:color w:val="auto"/>
        </w:rPr>
        <w:t>The Simplification Transaction completed in November 2016 resulted in a structure that includes two public companies (PAA and PAGP) governed by a single Board. The Board is located at our general partner, PAGP GP. The Simplification Transaction also provided that the equity holders of both PAA and PAGP would be afforded the right to vote in the election of directors.</w:t>
      </w:r>
    </w:p>
    <w:p>
      <w:pPr>
        <w:spacing w:after="0" w:line="36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three classes of voting equity, as follows:</w:t>
      </w:r>
    </w:p>
    <w:p>
      <w:pPr>
        <w:spacing w:after="0" w:line="117" w:lineRule="exact"/>
        <w:rPr>
          <w:sz w:val="20"/>
          <w:szCs w:val="20"/>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Class A shares, which are listed on Nasdaq;</w:t>
      </w:r>
    </w:p>
    <w:p>
      <w:pPr>
        <w:spacing w:after="0" w:line="117" w:lineRule="exact"/>
        <w:rPr>
          <w:rFonts w:ascii="Arial" w:cs="Arial" w:eastAsia="Arial" w:hAnsi="Arial"/>
          <w:sz w:val="18"/>
          <w:szCs w:val="18"/>
          <w:color w:val="auto"/>
        </w:rPr>
      </w:pPr>
    </w:p>
    <w:p>
      <w:pPr>
        <w:ind w:left="1800" w:right="539" w:hanging="180"/>
        <w:spacing w:after="0" w:line="28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Class B shares, which represent non-economic limited partner voting interests and are privately held by certain legacy investors and management; and</w:t>
      </w:r>
    </w:p>
    <w:p>
      <w:pPr>
        <w:spacing w:after="0" w:line="44" w:lineRule="exact"/>
        <w:rPr>
          <w:rFonts w:ascii="Arial" w:cs="Arial" w:eastAsia="Arial" w:hAnsi="Arial"/>
          <w:sz w:val="18"/>
          <w:szCs w:val="18"/>
          <w:color w:val="auto"/>
        </w:rPr>
      </w:pPr>
    </w:p>
    <w:p>
      <w:pPr>
        <w:ind w:left="1800" w:right="679" w:hanging="180"/>
        <w:spacing w:after="0" w:line="291" w:lineRule="auto"/>
        <w:tabs>
          <w:tab w:leader="none" w:pos="1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Class C shares, which are also non-economic limited partner voting interests. The Class C shares are held by PAA solely for the purpose of creating a mechanism through which PAA equity holders (other than Plains AAP) can participate in the election of directors of PAGP GP.</w:t>
      </w:r>
    </w:p>
    <w:p>
      <w:pPr>
        <w:spacing w:after="0" w:line="85"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With respect to the election of directors, the Class A, Class B and Class C shares vote together as a single class. PAGP equity holders vote directly at the PAGP Annual Meeting. PAA equity holders (which include holders of PAA’s publicly held Common units and Series A preferred units) vote indirectly by instructing PAA how to vote the Class C shares that it owns on their behalf at the PAGP Annual Meeting. In order to receive voting instructions from PAA voting equity holders, PAA holds its annual meeting immediately prior to the PAGP Annual Meeting. The voting instructions received at the PAA annual meeting are “passed through” by PAA by virtue of its voting of the Class C shares at the PAGP Annual Meeting in accordance with such instructions.</w:t>
      </w:r>
    </w:p>
    <w:p>
      <w:pPr>
        <w:spacing w:after="0" w:line="117" w:lineRule="exact"/>
        <w:rPr>
          <w:sz w:val="20"/>
          <w:szCs w:val="20"/>
          <w:color w:val="auto"/>
        </w:rPr>
      </w:pPr>
    </w:p>
    <w:p>
      <w:pPr>
        <w:ind w:left="1260" w:right="539" w:firstLine="360"/>
        <w:spacing w:after="0" w:line="287" w:lineRule="auto"/>
        <w:rPr>
          <w:sz w:val="20"/>
          <w:szCs w:val="20"/>
          <w:color w:val="auto"/>
        </w:rPr>
      </w:pPr>
      <w:r>
        <w:rPr>
          <w:rFonts w:ascii="Arial" w:cs="Arial" w:eastAsia="Arial" w:hAnsi="Arial"/>
          <w:sz w:val="18"/>
          <w:szCs w:val="18"/>
          <w:color w:val="auto"/>
        </w:rPr>
        <w:t>On a combined basis, as of the Record Date, the voting rights of PAGP and PAA equity holders in connection with the election of directors were allocated as follows:</w:t>
      </w:r>
    </w:p>
    <w:p>
      <w:pPr>
        <w:spacing w:after="0" w:line="131"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360" w:type="dxa"/>
            <w:vAlign w:val="bottom"/>
            <w:tcBorders>
              <w:left w:val="single" w:sz="8" w:color="424E6A"/>
            </w:tcBorders>
            <w:shd w:val="clear" w:color="auto" w:fill="424E6A"/>
          </w:tcPr>
          <w:p>
            <w:pPr>
              <w:spacing w:after="0"/>
              <w:rPr>
                <w:sz w:val="17"/>
                <w:szCs w:val="17"/>
                <w:color w:val="auto"/>
              </w:rPr>
            </w:pPr>
          </w:p>
        </w:tc>
        <w:tc>
          <w:tcPr>
            <w:tcW w:w="5100" w:type="dxa"/>
            <w:vAlign w:val="bottom"/>
            <w:shd w:val="clear" w:color="auto" w:fill="424E6A"/>
          </w:tcPr>
          <w:p>
            <w:pPr>
              <w:spacing w:after="0"/>
              <w:rPr>
                <w:sz w:val="17"/>
                <w:szCs w:val="17"/>
                <w:color w:val="auto"/>
              </w:rPr>
            </w:pPr>
          </w:p>
        </w:tc>
        <w:tc>
          <w:tcPr>
            <w:tcW w:w="14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9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 of</w:t>
            </w:r>
          </w:p>
        </w:tc>
        <w:tc>
          <w:tcPr>
            <w:tcW w:w="16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1320" w:type="dxa"/>
            <w:vAlign w:val="bottom"/>
            <w:tcBorders>
              <w:right w:val="single" w:sz="8" w:color="424E6A"/>
            </w:tcBorders>
            <w:shd w:val="clear" w:color="auto" w:fill="424E6A"/>
          </w:tcPr>
          <w:p>
            <w:pPr>
              <w:spacing w:after="0"/>
              <w:rPr>
                <w:sz w:val="17"/>
                <w:szCs w:val="17"/>
                <w:color w:val="auto"/>
              </w:rPr>
            </w:pPr>
          </w:p>
        </w:tc>
      </w:tr>
      <w:tr>
        <w:trPr>
          <w:trHeight w:val="162"/>
        </w:trPr>
        <w:tc>
          <w:tcPr>
            <w:tcW w:w="360" w:type="dxa"/>
            <w:vAlign w:val="bottom"/>
            <w:tcBorders>
              <w:left w:val="single" w:sz="8" w:color="424E6A"/>
            </w:tcBorders>
            <w:shd w:val="clear" w:color="auto" w:fill="424E6A"/>
          </w:tcPr>
          <w:p>
            <w:pPr>
              <w:spacing w:after="0"/>
              <w:rPr>
                <w:sz w:val="14"/>
                <w:szCs w:val="14"/>
                <w:color w:val="auto"/>
              </w:rPr>
            </w:pPr>
          </w:p>
        </w:tc>
        <w:tc>
          <w:tcPr>
            <w:tcW w:w="510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Overall Voting</w:t>
            </w: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320" w:type="dxa"/>
            <w:vAlign w:val="bottom"/>
            <w:tcBorders>
              <w:right w:val="single" w:sz="8" w:color="424E6A"/>
            </w:tcBorders>
            <w:shd w:val="clear" w:color="auto" w:fill="424E6A"/>
          </w:tcPr>
          <w:p>
            <w:pPr>
              <w:jc w:val="center"/>
              <w:ind w:right="35"/>
              <w:spacing w:after="0"/>
              <w:rPr>
                <w:sz w:val="20"/>
                <w:szCs w:val="20"/>
                <w:color w:val="auto"/>
              </w:rPr>
            </w:pPr>
            <w:r>
              <w:rPr>
                <w:rFonts w:ascii="Arial" w:cs="Arial" w:eastAsia="Arial" w:hAnsi="Arial"/>
                <w:sz w:val="14"/>
                <w:szCs w:val="14"/>
                <w:b w:val="1"/>
                <w:bCs w:val="1"/>
                <w:color w:val="FFFFFF"/>
              </w:rPr>
              <w:t>Number of Voting</w:t>
            </w:r>
          </w:p>
        </w:tc>
      </w:tr>
      <w:tr>
        <w:trPr>
          <w:trHeight w:val="212"/>
        </w:trPr>
        <w:tc>
          <w:tcPr>
            <w:tcW w:w="5460" w:type="dxa"/>
            <w:vAlign w:val="bottom"/>
            <w:tcBorders>
              <w:left w:val="single" w:sz="8" w:color="424E6A"/>
            </w:tcBorders>
            <w:gridSpan w:val="2"/>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Voting Class</w:t>
            </w:r>
          </w:p>
        </w:tc>
        <w:tc>
          <w:tcPr>
            <w:tcW w:w="22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9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Rights</w:t>
            </w:r>
          </w:p>
        </w:tc>
        <w:tc>
          <w:tcPr>
            <w:tcW w:w="24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3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Shares/Units</w:t>
            </w:r>
          </w:p>
        </w:tc>
      </w:tr>
      <w:tr>
        <w:trPr>
          <w:trHeight w:val="256"/>
        </w:trPr>
        <w:tc>
          <w:tcPr>
            <w:tcW w:w="5460" w:type="dxa"/>
            <w:vAlign w:val="bottom"/>
            <w:tcBorders>
              <w:left w:val="single" w:sz="8" w:color="424E6A"/>
              <w:bottom w:val="single" w:sz="8" w:color="424E6A"/>
            </w:tcBorders>
            <w:gridSpan w:val="2"/>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PAGP Class A Shares (Nasdaq: PAGP)</w:t>
            </w:r>
          </w:p>
        </w:tc>
        <w:tc>
          <w:tcPr>
            <w:tcW w:w="14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shd w:val="clear" w:color="auto" w:fill="D9DCE1"/>
          </w:tcPr>
          <w:p>
            <w:pPr>
              <w:ind w:left="26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25.3%</w:t>
            </w: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w w:val="98"/>
              </w:rPr>
              <w:t>194.4 million</w:t>
            </w:r>
          </w:p>
        </w:tc>
      </w:tr>
      <w:tr>
        <w:trPr>
          <w:trHeight w:val="250"/>
        </w:trPr>
        <w:tc>
          <w:tcPr>
            <w:tcW w:w="546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PAGP Class B Shares</w:t>
            </w:r>
          </w:p>
        </w:tc>
        <w:tc>
          <w:tcPr>
            <w:tcW w:w="14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tcPr>
          <w:p>
            <w:pPr>
              <w:ind w:left="2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6.1%</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rPr>
              <w:t>46.6 million</w:t>
            </w:r>
          </w:p>
        </w:tc>
      </w:tr>
      <w:tr>
        <w:trPr>
          <w:trHeight w:val="250"/>
        </w:trPr>
        <w:tc>
          <w:tcPr>
            <w:tcW w:w="546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PAGP Class C Shares</w:t>
            </w:r>
          </w:p>
        </w:tc>
        <w:tc>
          <w:tcPr>
            <w:tcW w:w="14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shd w:val="clear" w:color="auto" w:fill="D9DCE1"/>
          </w:tcPr>
          <w:p>
            <w:pPr>
              <w:ind w:lef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24E6A"/>
              <w:right w:val="single" w:sz="8" w:color="424E6A"/>
            </w:tcBorders>
            <w:shd w:val="clear" w:color="auto" w:fill="D9DCE1"/>
          </w:tcPr>
          <w:p>
            <w:pPr>
              <w:spacing w:after="0"/>
              <w:rPr>
                <w:sz w:val="21"/>
                <w:szCs w:val="21"/>
                <w:color w:val="auto"/>
              </w:rPr>
            </w:pPr>
          </w:p>
        </w:tc>
      </w:tr>
      <w:tr>
        <w:trPr>
          <w:trHeight w:val="245"/>
        </w:trPr>
        <w:tc>
          <w:tcPr>
            <w:tcW w:w="360" w:type="dxa"/>
            <w:vAlign w:val="bottom"/>
            <w:tcBorders>
              <w:left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5100" w:type="dxa"/>
            <w:vAlign w:val="bottom"/>
          </w:tcPr>
          <w:p>
            <w:pPr>
              <w:ind w:left="60"/>
              <w:spacing w:after="0"/>
              <w:rPr>
                <w:sz w:val="20"/>
                <w:szCs w:val="20"/>
                <w:color w:val="auto"/>
              </w:rPr>
            </w:pPr>
            <w:r>
              <w:rPr>
                <w:rFonts w:ascii="Arial" w:cs="Arial" w:eastAsia="Arial" w:hAnsi="Arial"/>
                <w:sz w:val="18"/>
                <w:szCs w:val="18"/>
                <w:color w:val="auto"/>
                <w:w w:val="99"/>
              </w:rPr>
              <w:t>On Behalf of PAA Common Unitholders (excluding Plains AAP)</w:t>
            </w:r>
          </w:p>
        </w:tc>
        <w:tc>
          <w:tcPr>
            <w:tcW w:w="140" w:type="dxa"/>
            <w:vAlign w:val="bottom"/>
            <w:tcBorders>
              <w:right w:val="single" w:sz="8" w:color="424E6A"/>
            </w:tcBorders>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Borders>
              <w:right w:val="single" w:sz="8" w:color="424E6A"/>
            </w:tcBorders>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Borders>
              <w:right w:val="single" w:sz="8" w:color="424E6A"/>
            </w:tcBorders>
          </w:tcPr>
          <w:p>
            <w:pPr>
              <w:spacing w:after="0"/>
              <w:rPr>
                <w:sz w:val="21"/>
                <w:szCs w:val="21"/>
                <w:color w:val="auto"/>
              </w:rPr>
            </w:pPr>
          </w:p>
        </w:tc>
      </w:tr>
      <w:tr>
        <w:trPr>
          <w:trHeight w:val="262"/>
        </w:trPr>
        <w:tc>
          <w:tcPr>
            <w:tcW w:w="3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10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(Nasdaq: PAA)</w:t>
            </w:r>
          </w:p>
        </w:tc>
        <w:tc>
          <w:tcPr>
            <w:tcW w:w="14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tcPr>
          <w:p>
            <w:pPr>
              <w:ind w:left="260"/>
              <w:spacing w:after="0"/>
              <w:rPr>
                <w:sz w:val="20"/>
                <w:szCs w:val="20"/>
                <w:color w:val="auto"/>
              </w:rPr>
            </w:pPr>
            <w:r>
              <w:rPr>
                <w:rFonts w:ascii="Arial" w:cs="Arial" w:eastAsia="Arial" w:hAnsi="Arial"/>
                <w:sz w:val="18"/>
                <w:szCs w:val="18"/>
                <w:color w:val="auto"/>
              </w:rPr>
              <w:t>​ 59.4%</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w w:val="98"/>
              </w:rPr>
              <w:t>457.4 million</w:t>
            </w:r>
          </w:p>
        </w:tc>
      </w:tr>
      <w:tr>
        <w:trPr>
          <w:trHeight w:val="263"/>
        </w:trPr>
        <w:tc>
          <w:tcPr>
            <w:tcW w:w="360" w:type="dxa"/>
            <w:vAlign w:val="bottom"/>
            <w:tcBorders>
              <w:left w:val="single" w:sz="8" w:color="424E6A"/>
              <w:bottom w:val="single" w:sz="8" w:color="424E6A"/>
            </w:tcBorders>
            <w:shd w:val="clear" w:color="auto" w:fill="D9DCE1"/>
          </w:tcPr>
          <w:p>
            <w:pPr>
              <w:jc w:val="right"/>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5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On Behalf of PAA Series A Preferred Unitholders</w:t>
            </w:r>
          </w:p>
        </w:tc>
        <w:tc>
          <w:tcPr>
            <w:tcW w:w="14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shd w:val="clear" w:color="auto" w:fill="D9DCE1"/>
          </w:tcPr>
          <w:p>
            <w:pPr>
              <w:ind w:left="2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9.2%</w:t>
            </w: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71.1 million</w:t>
            </w:r>
          </w:p>
        </w:tc>
      </w:tr>
      <w:tr>
        <w:trPr>
          <w:trHeight w:val="250"/>
        </w:trPr>
        <w:tc>
          <w:tcPr>
            <w:tcW w:w="546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TOTAL</w:t>
            </w:r>
          </w:p>
        </w:tc>
        <w:tc>
          <w:tcPr>
            <w:tcW w:w="14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tcPr>
          <w:p>
            <w:pPr>
              <w:ind w:left="2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100.0%</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w w:val="98"/>
              </w:rPr>
              <w:t>769.5 million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chart further illustrates our ownership structure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1125855</wp:posOffset>
            </wp:positionH>
            <wp:positionV relativeFrom="paragraph">
              <wp:posOffset>146050</wp:posOffset>
            </wp:positionV>
            <wp:extent cx="4568825" cy="4123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68825" cy="412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Considering the overall consolidated ownership and voting structure of PAGP and PAA, the</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following table lists who we believe are the top 10 holders of our voting securities based on combined</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holdings of PAGP Class A Shares, PAGP Class B Shares, PAA Common Units (excluding Plains AAP)</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PAA Series A Preferred Units. These holdings are based on Schedule 13F filings as of</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December 31, 2022 and other publicly available information; the table below does not take into account</w:t>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holdings of investors who are not required to file a Schedule 13F or who do not otherwise publicly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disclose their holdings. It should be noted that Schedule 13F requires certain institutional investment</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managers to report holdings over which they exercise investment discretion (i.e., the power to buy or</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sell securities); such institutional investment managers may or may not also have voting discretion with</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respect to such holdings. (Holdings in 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3040" w:type="dxa"/>
            <w:vAlign w:val="bottom"/>
            <w:tcBorders>
              <w:left w:val="single" w:sz="8" w:color="424E6A"/>
              <w:right w:val="single" w:sz="8" w:color="424E6A"/>
            </w:tcBorders>
            <w:shd w:val="clear" w:color="auto" w:fill="424E6A"/>
          </w:tcPr>
          <w:p>
            <w:pPr>
              <w:spacing w:after="0"/>
              <w:rPr>
                <w:sz w:val="17"/>
                <w:szCs w:val="17"/>
                <w:color w:val="auto"/>
              </w:rPr>
            </w:pPr>
          </w:p>
        </w:tc>
        <w:tc>
          <w:tcPr>
            <w:tcW w:w="140" w:type="dxa"/>
            <w:vAlign w:val="bottom"/>
            <w:shd w:val="clear" w:color="auto" w:fill="424E6A"/>
          </w:tcPr>
          <w:p>
            <w:pPr>
              <w:spacing w:after="0"/>
              <w:rPr>
                <w:sz w:val="17"/>
                <w:szCs w:val="17"/>
                <w:color w:val="auto"/>
              </w:rPr>
            </w:pPr>
          </w:p>
        </w:tc>
        <w:tc>
          <w:tcPr>
            <w:tcW w:w="480" w:type="dxa"/>
            <w:vAlign w:val="bottom"/>
            <w:shd w:val="clear" w:color="auto" w:fill="424E6A"/>
          </w:tcPr>
          <w:p>
            <w:pPr>
              <w:spacing w:after="0"/>
              <w:rPr>
                <w:sz w:val="17"/>
                <w:szCs w:val="17"/>
                <w:color w:val="auto"/>
              </w:rPr>
            </w:pPr>
          </w:p>
        </w:tc>
        <w:tc>
          <w:tcPr>
            <w:tcW w:w="120" w:type="dxa"/>
            <w:vAlign w:val="bottom"/>
            <w:tcBorders>
              <w:right w:val="single" w:sz="8" w:color="424E6A"/>
            </w:tcBorders>
            <w:shd w:val="clear" w:color="auto" w:fill="424E6A"/>
          </w:tcPr>
          <w:p>
            <w:pPr>
              <w:spacing w:after="0"/>
              <w:rPr>
                <w:sz w:val="17"/>
                <w:szCs w:val="17"/>
                <w:color w:val="auto"/>
              </w:rPr>
            </w:pPr>
          </w:p>
        </w:tc>
        <w:tc>
          <w:tcPr>
            <w:tcW w:w="140" w:type="dxa"/>
            <w:vAlign w:val="bottom"/>
            <w:shd w:val="clear" w:color="auto" w:fill="424E6A"/>
          </w:tcPr>
          <w:p>
            <w:pPr>
              <w:spacing w:after="0"/>
              <w:rPr>
                <w:sz w:val="17"/>
                <w:szCs w:val="17"/>
                <w:color w:val="auto"/>
              </w:rPr>
            </w:pPr>
          </w:p>
        </w:tc>
        <w:tc>
          <w:tcPr>
            <w:tcW w:w="600" w:type="dxa"/>
            <w:vAlign w:val="bottom"/>
            <w:tcBorders>
              <w:right w:val="single" w:sz="8" w:color="424E6A"/>
            </w:tcBorders>
            <w:shd w:val="clear" w:color="auto" w:fill="424E6A"/>
          </w:tcPr>
          <w:p>
            <w:pPr>
              <w:spacing w:after="0"/>
              <w:rPr>
                <w:sz w:val="17"/>
                <w:szCs w:val="17"/>
                <w:color w:val="auto"/>
              </w:rPr>
            </w:pPr>
          </w:p>
        </w:tc>
        <w:tc>
          <w:tcPr>
            <w:tcW w:w="220" w:type="dxa"/>
            <w:vAlign w:val="bottom"/>
            <w:shd w:val="clear" w:color="auto" w:fill="424E6A"/>
          </w:tcPr>
          <w:p>
            <w:pPr>
              <w:spacing w:after="0"/>
              <w:rPr>
                <w:sz w:val="17"/>
                <w:szCs w:val="17"/>
                <w:color w:val="auto"/>
              </w:rPr>
            </w:pPr>
          </w:p>
        </w:tc>
        <w:tc>
          <w:tcPr>
            <w:tcW w:w="620" w:type="dxa"/>
            <w:vAlign w:val="bottom"/>
            <w:tcBorders>
              <w:right w:val="single" w:sz="8" w:color="424E6A"/>
            </w:tcBorders>
            <w:shd w:val="clear" w:color="auto" w:fill="424E6A"/>
          </w:tcPr>
          <w:p>
            <w:pPr>
              <w:spacing w:after="0"/>
              <w:rPr>
                <w:sz w:val="17"/>
                <w:szCs w:val="17"/>
                <w:color w:val="auto"/>
              </w:rPr>
            </w:pPr>
          </w:p>
        </w:tc>
        <w:tc>
          <w:tcPr>
            <w:tcW w:w="240" w:type="dxa"/>
            <w:vAlign w:val="bottom"/>
            <w:shd w:val="clear" w:color="auto" w:fill="424E6A"/>
          </w:tcPr>
          <w:p>
            <w:pPr>
              <w:spacing w:after="0"/>
              <w:rPr>
                <w:sz w:val="17"/>
                <w:szCs w:val="17"/>
                <w:color w:val="auto"/>
              </w:rPr>
            </w:pPr>
          </w:p>
        </w:tc>
        <w:tc>
          <w:tcPr>
            <w:tcW w:w="540" w:type="dxa"/>
            <w:vAlign w:val="bottom"/>
            <w:shd w:val="clear" w:color="auto" w:fill="424E6A"/>
          </w:tcPr>
          <w:p>
            <w:pPr>
              <w:jc w:val="center"/>
              <w:ind w:right="107"/>
              <w:spacing w:after="0"/>
              <w:rPr>
                <w:sz w:val="20"/>
                <w:szCs w:val="20"/>
                <w:color w:val="auto"/>
              </w:rPr>
            </w:pPr>
            <w:r>
              <w:rPr>
                <w:rFonts w:ascii="Arial" w:cs="Arial" w:eastAsia="Arial" w:hAnsi="Arial"/>
                <w:sz w:val="14"/>
                <w:szCs w:val="14"/>
                <w:b w:val="1"/>
                <w:bCs w:val="1"/>
                <w:color w:val="FFFFFF"/>
                <w:w w:val="94"/>
              </w:rPr>
              <w:t>PAA</w:t>
            </w:r>
          </w:p>
        </w:tc>
        <w:tc>
          <w:tcPr>
            <w:tcW w:w="120" w:type="dxa"/>
            <w:vAlign w:val="bottom"/>
            <w:tcBorders>
              <w:right w:val="single" w:sz="8" w:color="424E6A"/>
            </w:tcBorders>
            <w:shd w:val="clear" w:color="auto" w:fill="424E6A"/>
          </w:tcPr>
          <w:p>
            <w:pPr>
              <w:spacing w:after="0"/>
              <w:rPr>
                <w:sz w:val="17"/>
                <w:szCs w:val="17"/>
                <w:color w:val="auto"/>
              </w:rPr>
            </w:pPr>
          </w:p>
        </w:tc>
        <w:tc>
          <w:tcPr>
            <w:tcW w:w="680" w:type="dxa"/>
            <w:vAlign w:val="bottom"/>
            <w:shd w:val="clear" w:color="auto" w:fill="424E6A"/>
          </w:tcPr>
          <w:p>
            <w:pPr>
              <w:spacing w:after="0"/>
              <w:rPr>
                <w:sz w:val="17"/>
                <w:szCs w:val="17"/>
                <w:color w:val="auto"/>
              </w:rPr>
            </w:pPr>
          </w:p>
        </w:tc>
        <w:tc>
          <w:tcPr>
            <w:tcW w:w="16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 of</w:t>
            </w:r>
          </w:p>
        </w:tc>
        <w:tc>
          <w:tcPr>
            <w:tcW w:w="120" w:type="dxa"/>
            <w:vAlign w:val="bottom"/>
            <w:tcBorders>
              <w:right w:val="single" w:sz="8" w:color="424E6A"/>
            </w:tcBorders>
            <w:shd w:val="clear" w:color="auto" w:fill="424E6A"/>
          </w:tcPr>
          <w:p>
            <w:pPr>
              <w:spacing w:after="0"/>
              <w:rPr>
                <w:sz w:val="17"/>
                <w:szCs w:val="17"/>
                <w:color w:val="auto"/>
              </w:rPr>
            </w:pPr>
          </w:p>
        </w:tc>
      </w:tr>
      <w:tr>
        <w:trPr>
          <w:trHeight w:val="162"/>
        </w:trPr>
        <w:tc>
          <w:tcPr>
            <w:tcW w:w="3040" w:type="dxa"/>
            <w:vAlign w:val="bottom"/>
            <w:tcBorders>
              <w:left w:val="single" w:sz="8" w:color="424E6A"/>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480" w:type="dxa"/>
            <w:vAlign w:val="bottom"/>
            <w:shd w:val="clear" w:color="auto" w:fill="424E6A"/>
          </w:tcPr>
          <w:p>
            <w:pPr>
              <w:jc w:val="right"/>
              <w:ind w:right="5"/>
              <w:spacing w:after="0"/>
              <w:rPr>
                <w:sz w:val="20"/>
                <w:szCs w:val="20"/>
                <w:color w:val="auto"/>
              </w:rPr>
            </w:pPr>
            <w:r>
              <w:rPr>
                <w:rFonts w:ascii="Arial" w:cs="Arial" w:eastAsia="Arial" w:hAnsi="Arial"/>
                <w:sz w:val="14"/>
                <w:szCs w:val="14"/>
                <w:b w:val="1"/>
                <w:bCs w:val="1"/>
                <w:color w:val="FFFFFF"/>
                <w:w w:val="95"/>
              </w:rPr>
              <w:t>PAGP</w:t>
            </w:r>
          </w:p>
        </w:tc>
        <w:tc>
          <w:tcPr>
            <w:tcW w:w="12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600" w:type="dxa"/>
            <w:vAlign w:val="bottom"/>
            <w:tcBorders>
              <w:right w:val="single" w:sz="8" w:color="424E6A"/>
            </w:tcBorders>
            <w:shd w:val="clear" w:color="auto" w:fill="424E6A"/>
          </w:tcPr>
          <w:p>
            <w:pPr>
              <w:jc w:val="right"/>
              <w:ind w:right="127"/>
              <w:spacing w:after="0"/>
              <w:rPr>
                <w:sz w:val="20"/>
                <w:szCs w:val="20"/>
                <w:color w:val="auto"/>
              </w:rPr>
            </w:pPr>
            <w:r>
              <w:rPr>
                <w:rFonts w:ascii="Arial" w:cs="Arial" w:eastAsia="Arial" w:hAnsi="Arial"/>
                <w:sz w:val="14"/>
                <w:szCs w:val="14"/>
                <w:b w:val="1"/>
                <w:bCs w:val="1"/>
                <w:color w:val="FFFFFF"/>
                <w:w w:val="95"/>
              </w:rPr>
              <w:t>PAGP</w:t>
            </w:r>
          </w:p>
        </w:tc>
        <w:tc>
          <w:tcPr>
            <w:tcW w:w="220" w:type="dxa"/>
            <w:vAlign w:val="bottom"/>
            <w:shd w:val="clear" w:color="auto" w:fill="424E6A"/>
          </w:tcPr>
          <w:p>
            <w:pPr>
              <w:spacing w:after="0"/>
              <w:rPr>
                <w:sz w:val="14"/>
                <w:szCs w:val="14"/>
                <w:color w:val="auto"/>
              </w:rPr>
            </w:pPr>
          </w:p>
        </w:tc>
        <w:tc>
          <w:tcPr>
            <w:tcW w:w="620" w:type="dxa"/>
            <w:vAlign w:val="bottom"/>
            <w:tcBorders>
              <w:right w:val="single" w:sz="8" w:color="424E6A"/>
            </w:tcBorders>
            <w:shd w:val="clear" w:color="auto" w:fill="424E6A"/>
          </w:tcPr>
          <w:p>
            <w:pPr>
              <w:jc w:val="center"/>
              <w:ind w:right="188"/>
              <w:spacing w:after="0"/>
              <w:rPr>
                <w:sz w:val="20"/>
                <w:szCs w:val="20"/>
                <w:color w:val="auto"/>
              </w:rPr>
            </w:pPr>
            <w:r>
              <w:rPr>
                <w:rFonts w:ascii="Arial" w:cs="Arial" w:eastAsia="Arial" w:hAnsi="Arial"/>
                <w:sz w:val="14"/>
                <w:szCs w:val="14"/>
                <w:b w:val="1"/>
                <w:bCs w:val="1"/>
                <w:color w:val="FFFFFF"/>
                <w:w w:val="94"/>
              </w:rPr>
              <w:t>PAA</w:t>
            </w:r>
          </w:p>
        </w:tc>
        <w:tc>
          <w:tcPr>
            <w:tcW w:w="7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Series A</w:t>
            </w:r>
          </w:p>
        </w:tc>
        <w:tc>
          <w:tcPr>
            <w:tcW w:w="120" w:type="dxa"/>
            <w:vAlign w:val="bottom"/>
            <w:tcBorders>
              <w:right w:val="single" w:sz="8" w:color="424E6A"/>
            </w:tcBorders>
            <w:shd w:val="clear" w:color="auto" w:fill="424E6A"/>
          </w:tcPr>
          <w:p>
            <w:pPr>
              <w:spacing w:after="0"/>
              <w:rPr>
                <w:sz w:val="14"/>
                <w:szCs w:val="14"/>
                <w:color w:val="auto"/>
              </w:rPr>
            </w:pPr>
          </w:p>
        </w:tc>
        <w:tc>
          <w:tcPr>
            <w:tcW w:w="68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Consolidated</w:t>
            </w:r>
          </w:p>
        </w:tc>
        <w:tc>
          <w:tcPr>
            <w:tcW w:w="120" w:type="dxa"/>
            <w:vAlign w:val="bottom"/>
            <w:tcBorders>
              <w:right w:val="single" w:sz="8" w:color="424E6A"/>
            </w:tcBorders>
            <w:shd w:val="clear" w:color="auto" w:fill="424E6A"/>
          </w:tcPr>
          <w:p>
            <w:pPr>
              <w:spacing w:after="0"/>
              <w:rPr>
                <w:sz w:val="14"/>
                <w:szCs w:val="14"/>
                <w:color w:val="auto"/>
              </w:rPr>
            </w:pPr>
          </w:p>
        </w:tc>
      </w:tr>
      <w:tr>
        <w:trPr>
          <w:trHeight w:val="162"/>
        </w:trPr>
        <w:tc>
          <w:tcPr>
            <w:tcW w:w="3040" w:type="dxa"/>
            <w:vAlign w:val="bottom"/>
            <w:tcBorders>
              <w:left w:val="single" w:sz="8" w:color="424E6A"/>
              <w:right w:val="single" w:sz="8" w:color="424E6A"/>
            </w:tcBorders>
            <w:shd w:val="clear" w:color="auto" w:fill="424E6A"/>
          </w:tcPr>
          <w:p>
            <w:pPr>
              <w:spacing w:after="0"/>
              <w:rPr>
                <w:sz w:val="14"/>
                <w:szCs w:val="14"/>
                <w:color w:val="auto"/>
              </w:rPr>
            </w:pPr>
          </w:p>
        </w:tc>
        <w:tc>
          <w:tcPr>
            <w:tcW w:w="62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Class A</w:t>
            </w:r>
          </w:p>
        </w:tc>
        <w:tc>
          <w:tcPr>
            <w:tcW w:w="120" w:type="dxa"/>
            <w:vAlign w:val="bottom"/>
            <w:tcBorders>
              <w:right w:val="single" w:sz="8" w:color="424E6A"/>
            </w:tcBorders>
            <w:shd w:val="clear" w:color="auto" w:fill="424E6A"/>
          </w:tcPr>
          <w:p>
            <w:pPr>
              <w:spacing w:after="0"/>
              <w:rPr>
                <w:sz w:val="14"/>
                <w:szCs w:val="14"/>
                <w:color w:val="auto"/>
              </w:rPr>
            </w:pPr>
          </w:p>
        </w:tc>
        <w:tc>
          <w:tcPr>
            <w:tcW w:w="740" w:type="dxa"/>
            <w:vAlign w:val="bottom"/>
            <w:tcBorders>
              <w:right w:val="single" w:sz="8" w:color="424E6A"/>
            </w:tcBorders>
            <w:gridSpan w:val="2"/>
            <w:shd w:val="clear" w:color="auto" w:fill="424E6A"/>
          </w:tcPr>
          <w:p>
            <w:pPr>
              <w:ind w:left="80"/>
              <w:spacing w:after="0"/>
              <w:rPr>
                <w:sz w:val="20"/>
                <w:szCs w:val="20"/>
                <w:color w:val="auto"/>
              </w:rPr>
            </w:pPr>
            <w:r>
              <w:rPr>
                <w:rFonts w:ascii="Arial" w:cs="Arial" w:eastAsia="Arial" w:hAnsi="Arial"/>
                <w:sz w:val="14"/>
                <w:szCs w:val="14"/>
                <w:b w:val="1"/>
                <w:bCs w:val="1"/>
                <w:color w:val="FFFFFF"/>
              </w:rPr>
              <w:t>Class B</w:t>
            </w:r>
          </w:p>
        </w:tc>
        <w:tc>
          <w:tcPr>
            <w:tcW w:w="840" w:type="dxa"/>
            <w:vAlign w:val="bottom"/>
            <w:tcBorders>
              <w:right w:val="single" w:sz="8" w:color="424E6A"/>
            </w:tcBorders>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Common</w:t>
            </w:r>
          </w:p>
        </w:tc>
        <w:tc>
          <w:tcPr>
            <w:tcW w:w="7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Preferred</w:t>
            </w:r>
          </w:p>
        </w:tc>
        <w:tc>
          <w:tcPr>
            <w:tcW w:w="120" w:type="dxa"/>
            <w:vAlign w:val="bottom"/>
            <w:tcBorders>
              <w:right w:val="single" w:sz="8" w:color="424E6A"/>
            </w:tcBorders>
            <w:shd w:val="clear" w:color="auto" w:fill="424E6A"/>
          </w:tcPr>
          <w:p>
            <w:pPr>
              <w:spacing w:after="0"/>
              <w:rPr>
                <w:sz w:val="14"/>
                <w:szCs w:val="14"/>
                <w:color w:val="auto"/>
              </w:rPr>
            </w:pPr>
          </w:p>
        </w:tc>
        <w:tc>
          <w:tcPr>
            <w:tcW w:w="680" w:type="dxa"/>
            <w:vAlign w:val="bottom"/>
            <w:shd w:val="clear" w:color="auto" w:fill="424E6A"/>
          </w:tcPr>
          <w:p>
            <w:pPr>
              <w:ind w:left="220"/>
              <w:spacing w:after="0"/>
              <w:rPr>
                <w:sz w:val="20"/>
                <w:szCs w:val="20"/>
                <w:color w:val="auto"/>
              </w:rPr>
            </w:pPr>
            <w:r>
              <w:rPr>
                <w:rFonts w:ascii="Arial" w:cs="Arial" w:eastAsia="Arial" w:hAnsi="Arial"/>
                <w:sz w:val="14"/>
                <w:szCs w:val="14"/>
                <w:b w:val="1"/>
                <w:bCs w:val="1"/>
                <w:color w:val="FFFFFF"/>
              </w:rPr>
              <w:t>Total</w:t>
            </w: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Voting</w:t>
            </w:r>
          </w:p>
        </w:tc>
        <w:tc>
          <w:tcPr>
            <w:tcW w:w="120" w:type="dxa"/>
            <w:vAlign w:val="bottom"/>
            <w:tcBorders>
              <w:right w:val="single" w:sz="8" w:color="424E6A"/>
            </w:tcBorders>
            <w:shd w:val="clear" w:color="auto" w:fill="424E6A"/>
          </w:tcPr>
          <w:p>
            <w:pPr>
              <w:spacing w:after="0"/>
              <w:rPr>
                <w:sz w:val="14"/>
                <w:szCs w:val="14"/>
                <w:color w:val="auto"/>
              </w:rPr>
            </w:pPr>
          </w:p>
        </w:tc>
      </w:tr>
      <w:tr>
        <w:trPr>
          <w:trHeight w:val="212"/>
        </w:trPr>
        <w:tc>
          <w:tcPr>
            <w:tcW w:w="3040" w:type="dxa"/>
            <w:vAlign w:val="bottom"/>
            <w:tcBorders>
              <w:left w:val="single" w:sz="8" w:color="424E6A"/>
              <w:right w:val="single" w:sz="8" w:color="424E6A"/>
            </w:tcBorders>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w:t>
            </w:r>
          </w:p>
        </w:tc>
        <w:tc>
          <w:tcPr>
            <w:tcW w:w="62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Shares</w:t>
            </w:r>
          </w:p>
        </w:tc>
        <w:tc>
          <w:tcPr>
            <w:tcW w:w="120" w:type="dxa"/>
            <w:vAlign w:val="bottom"/>
            <w:tcBorders>
              <w:right w:val="single" w:sz="8" w:color="424E6A"/>
            </w:tcBorders>
            <w:shd w:val="clear" w:color="auto" w:fill="424E6A"/>
          </w:tcPr>
          <w:p>
            <w:pPr>
              <w:spacing w:after="0"/>
              <w:rPr>
                <w:sz w:val="18"/>
                <w:szCs w:val="18"/>
                <w:color w:val="auto"/>
              </w:rPr>
            </w:pPr>
          </w:p>
        </w:tc>
        <w:tc>
          <w:tcPr>
            <w:tcW w:w="740" w:type="dxa"/>
            <w:vAlign w:val="bottom"/>
            <w:tcBorders>
              <w:right w:val="single" w:sz="8" w:color="424E6A"/>
            </w:tcBorders>
            <w:gridSpan w:val="2"/>
            <w:shd w:val="clear" w:color="auto" w:fill="424E6A"/>
          </w:tcPr>
          <w:p>
            <w:pPr>
              <w:jc w:val="right"/>
              <w:ind w:right="67"/>
              <w:spacing w:after="0"/>
              <w:rPr>
                <w:sz w:val="20"/>
                <w:szCs w:val="20"/>
                <w:color w:val="auto"/>
              </w:rPr>
            </w:pPr>
            <w:r>
              <w:rPr>
                <w:rFonts w:ascii="Arial" w:cs="Arial" w:eastAsia="Arial" w:hAnsi="Arial"/>
                <w:sz w:val="14"/>
                <w:szCs w:val="14"/>
                <w:b w:val="1"/>
                <w:bCs w:val="1"/>
                <w:color w:val="FFFFFF"/>
              </w:rPr>
              <w:t>Shares</w:t>
            </w:r>
          </w:p>
        </w:tc>
        <w:tc>
          <w:tcPr>
            <w:tcW w:w="220" w:type="dxa"/>
            <w:vAlign w:val="bottom"/>
            <w:shd w:val="clear" w:color="auto" w:fill="424E6A"/>
          </w:tcPr>
          <w:p>
            <w:pPr>
              <w:spacing w:after="0"/>
              <w:rPr>
                <w:sz w:val="18"/>
                <w:szCs w:val="18"/>
                <w:color w:val="auto"/>
              </w:rPr>
            </w:pPr>
          </w:p>
        </w:tc>
        <w:tc>
          <w:tcPr>
            <w:tcW w:w="620" w:type="dxa"/>
            <w:vAlign w:val="bottom"/>
            <w:tcBorders>
              <w:right w:val="single" w:sz="8" w:color="424E6A"/>
            </w:tcBorders>
            <w:shd w:val="clear" w:color="auto" w:fill="424E6A"/>
          </w:tcPr>
          <w:p>
            <w:pPr>
              <w:jc w:val="center"/>
              <w:ind w:right="148"/>
              <w:spacing w:after="0"/>
              <w:rPr>
                <w:sz w:val="20"/>
                <w:szCs w:val="20"/>
                <w:color w:val="auto"/>
              </w:rPr>
            </w:pPr>
            <w:r>
              <w:rPr>
                <w:rFonts w:ascii="Arial" w:cs="Arial" w:eastAsia="Arial" w:hAnsi="Arial"/>
                <w:sz w:val="14"/>
                <w:szCs w:val="14"/>
                <w:b w:val="1"/>
                <w:bCs w:val="1"/>
                <w:color w:val="FFFFFF"/>
              </w:rPr>
              <w:t>Units</w:t>
            </w:r>
          </w:p>
        </w:tc>
        <w:tc>
          <w:tcPr>
            <w:tcW w:w="24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540" w:type="dxa"/>
            <w:vAlign w:val="bottom"/>
            <w:shd w:val="clear" w:color="auto" w:fill="424E6A"/>
          </w:tcPr>
          <w:p>
            <w:pPr>
              <w:jc w:val="center"/>
              <w:ind w:right="67"/>
              <w:spacing w:after="0"/>
              <w:rPr>
                <w:sz w:val="20"/>
                <w:szCs w:val="20"/>
                <w:color w:val="auto"/>
              </w:rPr>
            </w:pPr>
            <w:r>
              <w:rPr>
                <w:rFonts w:ascii="Arial" w:cs="Arial" w:eastAsia="Arial" w:hAnsi="Arial"/>
                <w:sz w:val="14"/>
                <w:szCs w:val="14"/>
                <w:b w:val="1"/>
                <w:bCs w:val="1"/>
                <w:color w:val="FFFFFF"/>
              </w:rPr>
              <w:t>Units</w:t>
            </w:r>
          </w:p>
        </w:tc>
        <w:tc>
          <w:tcPr>
            <w:tcW w:w="1040" w:type="dxa"/>
            <w:vAlign w:val="bottom"/>
            <w:gridSpan w:val="4"/>
            <w:shd w:val="clear" w:color="auto" w:fill="424E6A"/>
          </w:tcPr>
          <w:p>
            <w:pPr>
              <w:jc w:val="right"/>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Holdings </w:t>
            </w:r>
            <w:r>
              <w:rPr>
                <w:rFonts w:ascii="Arial" w:cs="Arial" w:eastAsia="Arial" w:hAnsi="Arial"/>
                <w:sz w:val="22"/>
                <w:szCs w:val="22"/>
                <w:b w:val="1"/>
                <w:bCs w:val="1"/>
                <w:color w:val="FFFFFF"/>
                <w:vertAlign w:val="subscript"/>
              </w:rPr>
              <w:t>​ ​</w:t>
            </w: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Structure</w:t>
            </w:r>
          </w:p>
        </w:tc>
        <w:tc>
          <w:tcPr>
            <w:tcW w:w="120" w:type="dxa"/>
            <w:vAlign w:val="bottom"/>
            <w:tcBorders>
              <w:right w:val="single" w:sz="8" w:color="424E6A"/>
            </w:tcBorders>
            <w:shd w:val="clear" w:color="auto" w:fill="424E6A"/>
          </w:tcPr>
          <w:p>
            <w:pPr>
              <w:spacing w:after="0"/>
              <w:rPr>
                <w:sz w:val="18"/>
                <w:szCs w:val="18"/>
                <w:color w:val="auto"/>
              </w:rPr>
            </w:pPr>
          </w:p>
        </w:tc>
      </w:tr>
      <w:tr>
        <w:trPr>
          <w:trHeight w:val="243"/>
        </w:trPr>
        <w:tc>
          <w:tcPr>
            <w:tcW w:w="3040" w:type="dxa"/>
            <w:vAlign w:val="bottom"/>
            <w:tcBorders>
              <w:left w:val="single" w:sz="8" w:color="424E6A"/>
              <w:bottom w:val="single" w:sz="8" w:color="424E6A"/>
              <w:right w:val="single" w:sz="8" w:color="424E6A"/>
            </w:tcBorders>
            <w:shd w:val="clear" w:color="auto" w:fill="D9DCE1"/>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Alps Advisors</w:t>
            </w:r>
          </w:p>
        </w:tc>
        <w:tc>
          <w:tcPr>
            <w:tcW w:w="740" w:type="dxa"/>
            <w:vAlign w:val="bottom"/>
            <w:tcBorders>
              <w:bottom w:val="single" w:sz="8" w:color="424E6A"/>
              <w:right w:val="single" w:sz="8" w:color="424E6A"/>
            </w:tcBorders>
            <w:gridSpan w:val="3"/>
            <w:shd w:val="clear" w:color="auto" w:fill="D9DCE1"/>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1,029 </w:t>
            </w:r>
            <w:r>
              <w:rPr>
                <w:rFonts w:ascii="Arial" w:cs="Arial" w:eastAsia="Arial" w:hAnsi="Arial"/>
                <w:sz w:val="28"/>
                <w:szCs w:val="28"/>
                <w:color w:val="auto"/>
                <w:vertAlign w:val="subscript"/>
              </w:rPr>
              <w:t>​</w:t>
            </w:r>
          </w:p>
        </w:tc>
        <w:tc>
          <w:tcPr>
            <w:tcW w:w="14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shd w:val="clear" w:color="auto" w:fill="D9DCE1"/>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840" w:type="dxa"/>
            <w:vAlign w:val="bottom"/>
            <w:tcBorders>
              <w:bottom w:val="single" w:sz="8" w:color="424E6A"/>
              <w:right w:val="single" w:sz="8" w:color="424E6A"/>
            </w:tcBorders>
            <w:gridSpan w:val="2"/>
            <w:shd w:val="clear" w:color="auto" w:fill="D9DCE1"/>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55,337 </w:t>
            </w:r>
            <w:r>
              <w:rPr>
                <w:rFonts w:ascii="Arial" w:cs="Arial" w:eastAsia="Arial" w:hAnsi="Arial"/>
                <w:sz w:val="28"/>
                <w:szCs w:val="28"/>
                <w:color w:val="auto"/>
                <w:vertAlign w:val="subscript"/>
              </w:rPr>
              <w:t>​</w:t>
            </w:r>
          </w:p>
        </w:tc>
        <w:tc>
          <w:tcPr>
            <w:tcW w:w="2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424E6A"/>
              <w:right w:val="single" w:sz="8" w:color="424E6A"/>
            </w:tcBorders>
            <w:gridSpan w:val="2"/>
            <w:shd w:val="clear" w:color="auto" w:fill="D9DCE1"/>
          </w:tcPr>
          <w:p>
            <w:pPr>
              <w:ind w:left="28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840" w:type="dxa"/>
            <w:vAlign w:val="bottom"/>
            <w:tcBorders>
              <w:bottom w:val="single" w:sz="8" w:color="424E6A"/>
              <w:right w:val="single" w:sz="8" w:color="424E6A"/>
            </w:tcBorders>
            <w:gridSpan w:val="2"/>
            <w:shd w:val="clear" w:color="auto" w:fill="D9DCE1"/>
          </w:tcPr>
          <w:p>
            <w:pPr>
              <w:jc w:val="right"/>
              <w:spacing w:after="0" w:line="24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56,366 </w:t>
            </w:r>
            <w:r>
              <w:rPr>
                <w:rFonts w:ascii="Arial" w:cs="Arial" w:eastAsia="Arial" w:hAnsi="Arial"/>
                <w:sz w:val="28"/>
                <w:szCs w:val="28"/>
                <w:color w:val="auto"/>
                <w:vertAlign w:val="subscript"/>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shd w:val="clear" w:color="auto" w:fill="D9DCE1"/>
          </w:tcPr>
          <w:p>
            <w:pPr>
              <w:ind w:left="3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7.3%</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color w:val="auto"/>
              </w:rPr>
              <w:t>​</w:t>
            </w:r>
          </w:p>
        </w:tc>
      </w:tr>
      <w:tr>
        <w:trPr>
          <w:trHeight w:val="237"/>
        </w:trPr>
        <w:tc>
          <w:tcPr>
            <w:tcW w:w="3040" w:type="dxa"/>
            <w:vAlign w:val="bottom"/>
            <w:tcBorders>
              <w:left w:val="single" w:sz="8" w:color="424E6A"/>
              <w:bottom w:val="single" w:sz="8" w:color="424E6A"/>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EMG Investments/John Raymond</w:t>
            </w:r>
          </w:p>
        </w:tc>
        <w:tc>
          <w:tcPr>
            <w:tcW w:w="140" w:type="dxa"/>
            <w:vAlign w:val="bottom"/>
            <w:tcBorders>
              <w:bottom w:val="single" w:sz="8" w:color="424E6A"/>
            </w:tcBorders>
          </w:tcPr>
          <w:p>
            <w:pPr>
              <w:ind w:left="1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11,459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1,603 </w:t>
            </w:r>
            <w:r>
              <w:rPr>
                <w:rFonts w:ascii="Arial" w:cs="Arial" w:eastAsia="Arial" w:hAnsi="Arial"/>
                <w:sz w:val="27"/>
                <w:szCs w:val="27"/>
                <w:color w:val="auto"/>
                <w:vertAlign w:val="subscript"/>
              </w:rPr>
              <w:t>​</w:t>
            </w:r>
          </w:p>
        </w:tc>
        <w:tc>
          <w:tcPr>
            <w:tcW w:w="900" w:type="dxa"/>
            <w:vAlign w:val="bottom"/>
            <w:tcBorders>
              <w:bottom w:val="single" w:sz="8" w:color="424E6A"/>
              <w:right w:val="single" w:sz="8" w:color="424E6A"/>
            </w:tcBorders>
            <w:gridSpan w:val="3"/>
          </w:tcPr>
          <w:p>
            <w:pPr>
              <w:ind w:left="40"/>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20,376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33,695 </w:t>
            </w:r>
            <w:r>
              <w:rPr>
                <w:rFonts w:ascii="Arial" w:cs="Arial" w:eastAsia="Arial" w:hAnsi="Arial"/>
                <w:sz w:val="27"/>
                <w:szCs w:val="27"/>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tcPr>
          <w:p>
            <w:pPr>
              <w:ind w:left="3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4.3%</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r>
      <w:tr>
        <w:trPr>
          <w:trHeight w:val="237"/>
        </w:trPr>
        <w:tc>
          <w:tcPr>
            <w:tcW w:w="3040" w:type="dxa"/>
            <w:vAlign w:val="bottom"/>
            <w:tcBorders>
              <w:left w:val="single" w:sz="8" w:color="424E6A"/>
              <w:bottom w:val="single" w:sz="8" w:color="424E6A"/>
              <w:right w:val="single" w:sz="8" w:color="424E6A"/>
            </w:tcBorders>
            <w:shd w:val="clear" w:color="auto" w:fill="D9DCE1"/>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Tortoise Capital Advisors</w:t>
            </w:r>
          </w:p>
        </w:tc>
        <w:tc>
          <w:tcPr>
            <w:tcW w:w="740" w:type="dxa"/>
            <w:vAlign w:val="bottom"/>
            <w:tcBorders>
              <w:bottom w:val="single" w:sz="8" w:color="424E6A"/>
              <w:right w:val="single" w:sz="8" w:color="424E6A"/>
            </w:tcBorders>
            <w:gridSpan w:val="3"/>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12,781 </w:t>
            </w:r>
            <w:r>
              <w:rPr>
                <w:rFonts w:ascii="Arial" w:cs="Arial" w:eastAsia="Arial" w:hAnsi="Arial"/>
                <w:sz w:val="27"/>
                <w:szCs w:val="27"/>
                <w:color w:val="auto"/>
                <w:vertAlign w:val="subscript"/>
              </w:rPr>
              <w:t>​</w:t>
            </w:r>
          </w:p>
        </w:tc>
        <w:tc>
          <w:tcPr>
            <w:tcW w:w="14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shd w:val="clear" w:color="auto" w:fill="D9DCE1"/>
          </w:tcPr>
          <w:p>
            <w:pPr>
              <w:jc w:val="right"/>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19,667 </w:t>
            </w:r>
            <w:r>
              <w:rPr>
                <w:rFonts w:ascii="Arial" w:cs="Arial" w:eastAsia="Arial" w:hAnsi="Arial"/>
                <w:sz w:val="27"/>
                <w:szCs w:val="27"/>
                <w:color w:val="auto"/>
                <w:vertAlign w:val="subscript"/>
              </w:rPr>
              <w:t>​</w:t>
            </w:r>
          </w:p>
        </w:tc>
        <w:tc>
          <w:tcPr>
            <w:tcW w:w="2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424E6A"/>
              <w:right w:val="single" w:sz="8" w:color="424E6A"/>
            </w:tcBorders>
            <w:gridSpan w:val="2"/>
            <w:shd w:val="clear" w:color="auto" w:fill="D9DCE1"/>
          </w:tcPr>
          <w:p>
            <w:pPr>
              <w:ind w:left="28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840" w:type="dxa"/>
            <w:vAlign w:val="bottom"/>
            <w:tcBorders>
              <w:bottom w:val="single" w:sz="8" w:color="424E6A"/>
              <w:right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32,448 </w:t>
            </w:r>
            <w:r>
              <w:rPr>
                <w:rFonts w:ascii="Arial" w:cs="Arial" w:eastAsia="Arial" w:hAnsi="Arial"/>
                <w:sz w:val="27"/>
                <w:szCs w:val="27"/>
                <w:color w:val="auto"/>
                <w:vertAlign w:val="subscript"/>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shd w:val="clear" w:color="auto" w:fill="D9DCE1"/>
          </w:tcPr>
          <w:p>
            <w:pPr>
              <w:ind w:left="3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4.2%</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color w:val="auto"/>
              </w:rPr>
              <w:t>​</w:t>
            </w:r>
          </w:p>
        </w:tc>
      </w:tr>
      <w:tr>
        <w:trPr>
          <w:trHeight w:val="236"/>
        </w:trPr>
        <w:tc>
          <w:tcPr>
            <w:tcW w:w="3040" w:type="dxa"/>
            <w:vAlign w:val="bottom"/>
            <w:tcBorders>
              <w:left w:val="single" w:sz="8" w:color="424E6A"/>
              <w:bottom w:val="single" w:sz="8" w:color="424E6A"/>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Kayne Anderson Capital Advisors</w:t>
            </w:r>
          </w:p>
        </w:tc>
        <w:tc>
          <w:tcPr>
            <w:tcW w:w="740" w:type="dxa"/>
            <w:vAlign w:val="bottom"/>
            <w:tcBorders>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4,378 </w:t>
            </w:r>
            <w:r>
              <w:rPr>
                <w:rFonts w:ascii="Arial" w:cs="Arial" w:eastAsia="Arial" w:hAnsi="Arial"/>
                <w:sz w:val="27"/>
                <w:szCs w:val="27"/>
                <w:color w:val="auto"/>
                <w:vertAlign w:val="subscript"/>
              </w:rPr>
              <w:t>​</w:t>
            </w:r>
          </w:p>
        </w:tc>
        <w:tc>
          <w:tcPr>
            <w:tcW w:w="7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13,965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9,984 </w:t>
            </w:r>
            <w:r>
              <w:rPr>
                <w:rFonts w:ascii="Arial" w:cs="Arial" w:eastAsia="Arial" w:hAnsi="Arial"/>
                <w:sz w:val="27"/>
                <w:szCs w:val="27"/>
                <w:color w:val="auto"/>
                <w:vertAlign w:val="subscript"/>
              </w:rPr>
              <w:t>​</w:t>
            </w:r>
          </w:p>
        </w:tc>
        <w:tc>
          <w:tcPr>
            <w:tcW w:w="900" w:type="dxa"/>
            <w:vAlign w:val="bottom"/>
            <w:tcBorders>
              <w:bottom w:val="single" w:sz="8" w:color="424E6A"/>
              <w:right w:val="single" w:sz="8" w:color="424E6A"/>
            </w:tcBorders>
            <w:gridSpan w:val="3"/>
          </w:tcPr>
          <w:p>
            <w:pPr>
              <w:ind w:left="40"/>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 1,358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29,685 </w:t>
            </w:r>
            <w:r>
              <w:rPr>
                <w:rFonts w:ascii="Arial" w:cs="Arial" w:eastAsia="Arial" w:hAnsi="Arial"/>
                <w:sz w:val="27"/>
                <w:szCs w:val="27"/>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tcPr>
          <w:p>
            <w:pPr>
              <w:ind w:left="3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3.9%</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r>
      <w:tr>
        <w:trPr>
          <w:trHeight w:val="237"/>
        </w:trPr>
        <w:tc>
          <w:tcPr>
            <w:tcW w:w="3040" w:type="dxa"/>
            <w:vAlign w:val="bottom"/>
            <w:tcBorders>
              <w:left w:val="single" w:sz="8" w:color="424E6A"/>
              <w:bottom w:val="single" w:sz="8" w:color="424E6A"/>
              <w:right w:val="single" w:sz="8" w:color="424E6A"/>
            </w:tcBorders>
            <w:shd w:val="clear" w:color="auto" w:fill="D9DCE1"/>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Invesco Advisors</w:t>
            </w:r>
          </w:p>
        </w:tc>
        <w:tc>
          <w:tcPr>
            <w:tcW w:w="740" w:type="dxa"/>
            <w:vAlign w:val="bottom"/>
            <w:tcBorders>
              <w:bottom w:val="single" w:sz="8" w:color="424E6A"/>
              <w:right w:val="single" w:sz="8" w:color="424E6A"/>
            </w:tcBorders>
            <w:gridSpan w:val="3"/>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1,921 </w:t>
            </w:r>
            <w:r>
              <w:rPr>
                <w:rFonts w:ascii="Arial" w:cs="Arial" w:eastAsia="Arial" w:hAnsi="Arial"/>
                <w:sz w:val="27"/>
                <w:szCs w:val="27"/>
                <w:color w:val="auto"/>
                <w:vertAlign w:val="subscript"/>
              </w:rPr>
              <w:t>​</w:t>
            </w:r>
          </w:p>
        </w:tc>
        <w:tc>
          <w:tcPr>
            <w:tcW w:w="14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shd w:val="clear" w:color="auto" w:fill="D9DCE1"/>
          </w:tcPr>
          <w:p>
            <w:pPr>
              <w:jc w:val="right"/>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26,797 </w:t>
            </w:r>
            <w:r>
              <w:rPr>
                <w:rFonts w:ascii="Arial" w:cs="Arial" w:eastAsia="Arial" w:hAnsi="Arial"/>
                <w:sz w:val="27"/>
                <w:szCs w:val="27"/>
                <w:color w:val="auto"/>
                <w:vertAlign w:val="subscript"/>
              </w:rPr>
              <w:t>​</w:t>
            </w:r>
          </w:p>
        </w:tc>
        <w:tc>
          <w:tcPr>
            <w:tcW w:w="2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424E6A"/>
              <w:right w:val="single" w:sz="8" w:color="424E6A"/>
            </w:tcBorders>
            <w:gridSpan w:val="2"/>
            <w:shd w:val="clear" w:color="auto" w:fill="D9DCE1"/>
          </w:tcPr>
          <w:p>
            <w:pPr>
              <w:ind w:left="28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840" w:type="dxa"/>
            <w:vAlign w:val="bottom"/>
            <w:tcBorders>
              <w:bottom w:val="single" w:sz="8" w:color="424E6A"/>
              <w:right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28,718 </w:t>
            </w:r>
            <w:r>
              <w:rPr>
                <w:rFonts w:ascii="Arial" w:cs="Arial" w:eastAsia="Arial" w:hAnsi="Arial"/>
                <w:sz w:val="27"/>
                <w:szCs w:val="27"/>
                <w:color w:val="auto"/>
                <w:vertAlign w:val="subscript"/>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shd w:val="clear" w:color="auto" w:fill="D9DCE1"/>
          </w:tcPr>
          <w:p>
            <w:pPr>
              <w:ind w:left="3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3.7%</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color w:val="auto"/>
              </w:rPr>
              <w:t>​</w:t>
            </w:r>
          </w:p>
        </w:tc>
      </w:tr>
      <w:tr>
        <w:trPr>
          <w:trHeight w:val="236"/>
        </w:trPr>
        <w:tc>
          <w:tcPr>
            <w:tcW w:w="3040" w:type="dxa"/>
            <w:vAlign w:val="bottom"/>
            <w:tcBorders>
              <w:left w:val="single" w:sz="8" w:color="424E6A"/>
              <w:bottom w:val="single" w:sz="8" w:color="424E6A"/>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EnCap</w:t>
            </w:r>
          </w:p>
        </w:tc>
        <w:tc>
          <w:tcPr>
            <w:tcW w:w="140" w:type="dxa"/>
            <w:vAlign w:val="bottom"/>
            <w:tcBorders>
              <w:bottom w:val="single" w:sz="8" w:color="424E6A"/>
            </w:tcBorders>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140" w:type="dxa"/>
            <w:vAlign w:val="bottom"/>
            <w:tcBorders>
              <w:bottom w:val="single" w:sz="8" w:color="424E6A"/>
            </w:tcBorders>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jc w:val="right"/>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220" w:type="dxa"/>
            <w:vAlign w:val="bottom"/>
            <w:tcBorders>
              <w:bottom w:val="single" w:sz="8" w:color="424E6A"/>
            </w:tcBorders>
          </w:tcPr>
          <w:p>
            <w:pPr>
              <w:ind w:left="1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424E6A"/>
              <w:right w:val="single" w:sz="8" w:color="424E6A"/>
            </w:tcBorders>
          </w:tcPr>
          <w:p>
            <w:pPr>
              <w:jc w:val="right"/>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900" w:type="dxa"/>
            <w:vAlign w:val="bottom"/>
            <w:tcBorders>
              <w:bottom w:val="single" w:sz="8" w:color="424E6A"/>
              <w:right w:val="single" w:sz="8" w:color="424E6A"/>
            </w:tcBorders>
            <w:gridSpan w:val="3"/>
          </w:tcPr>
          <w:p>
            <w:pPr>
              <w:ind w:left="40"/>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25,357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25,357 </w:t>
            </w:r>
            <w:r>
              <w:rPr>
                <w:rFonts w:ascii="Arial" w:cs="Arial" w:eastAsia="Arial" w:hAnsi="Arial"/>
                <w:sz w:val="27"/>
                <w:szCs w:val="27"/>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tcPr>
          <w:p>
            <w:pPr>
              <w:ind w:left="3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3.3%</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r>
      <w:tr>
        <w:trPr>
          <w:trHeight w:val="236"/>
        </w:trPr>
        <w:tc>
          <w:tcPr>
            <w:tcW w:w="3040" w:type="dxa"/>
            <w:vAlign w:val="bottom"/>
            <w:tcBorders>
              <w:left w:val="single" w:sz="8" w:color="424E6A"/>
              <w:bottom w:val="single" w:sz="8" w:color="424E6A"/>
              <w:right w:val="single" w:sz="8" w:color="424E6A"/>
            </w:tcBorders>
            <w:shd w:val="clear" w:color="auto" w:fill="D9DCE1"/>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Goldman Sachs Asset Management</w:t>
            </w:r>
          </w:p>
        </w:tc>
        <w:tc>
          <w:tcPr>
            <w:tcW w:w="740" w:type="dxa"/>
            <w:vAlign w:val="bottom"/>
            <w:tcBorders>
              <w:bottom w:val="single" w:sz="8" w:color="424E6A"/>
              <w:right w:val="single" w:sz="8" w:color="424E6A"/>
            </w:tcBorders>
            <w:gridSpan w:val="3"/>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9,120 </w:t>
            </w:r>
            <w:r>
              <w:rPr>
                <w:rFonts w:ascii="Arial" w:cs="Arial" w:eastAsia="Arial" w:hAnsi="Arial"/>
                <w:sz w:val="27"/>
                <w:szCs w:val="27"/>
                <w:color w:val="auto"/>
                <w:vertAlign w:val="subscript"/>
              </w:rPr>
              <w:t>​</w:t>
            </w:r>
          </w:p>
        </w:tc>
        <w:tc>
          <w:tcPr>
            <w:tcW w:w="14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shd w:val="clear" w:color="auto" w:fill="D9DCE1"/>
          </w:tcPr>
          <w:p>
            <w:pPr>
              <w:jc w:val="right"/>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13,605 </w:t>
            </w:r>
            <w:r>
              <w:rPr>
                <w:rFonts w:ascii="Arial" w:cs="Arial" w:eastAsia="Arial" w:hAnsi="Arial"/>
                <w:sz w:val="27"/>
                <w:szCs w:val="27"/>
                <w:color w:val="auto"/>
                <w:vertAlign w:val="subscript"/>
              </w:rPr>
              <w:t>​</w:t>
            </w:r>
          </w:p>
        </w:tc>
        <w:tc>
          <w:tcPr>
            <w:tcW w:w="2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424E6A"/>
              <w:right w:val="single" w:sz="8" w:color="424E6A"/>
            </w:tcBorders>
            <w:gridSpan w:val="2"/>
            <w:shd w:val="clear" w:color="auto" w:fill="D9DCE1"/>
          </w:tcPr>
          <w:p>
            <w:pPr>
              <w:ind w:left="28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840" w:type="dxa"/>
            <w:vAlign w:val="bottom"/>
            <w:tcBorders>
              <w:bottom w:val="single" w:sz="8" w:color="424E6A"/>
              <w:right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22,725 </w:t>
            </w:r>
            <w:r>
              <w:rPr>
                <w:rFonts w:ascii="Arial" w:cs="Arial" w:eastAsia="Arial" w:hAnsi="Arial"/>
                <w:sz w:val="27"/>
                <w:szCs w:val="27"/>
                <w:color w:val="auto"/>
                <w:vertAlign w:val="subscript"/>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shd w:val="clear" w:color="auto" w:fill="D9DCE1"/>
          </w:tcPr>
          <w:p>
            <w:pPr>
              <w:ind w:left="3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3.0%</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color w:val="auto"/>
              </w:rPr>
              <w:t>​</w:t>
            </w:r>
          </w:p>
        </w:tc>
      </w:tr>
      <w:tr>
        <w:trPr>
          <w:trHeight w:val="237"/>
        </w:trPr>
        <w:tc>
          <w:tcPr>
            <w:tcW w:w="3040" w:type="dxa"/>
            <w:vAlign w:val="bottom"/>
            <w:tcBorders>
              <w:left w:val="single" w:sz="8" w:color="424E6A"/>
              <w:bottom w:val="single" w:sz="8" w:color="424E6A"/>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ClearBridge Investments</w:t>
            </w:r>
          </w:p>
        </w:tc>
        <w:tc>
          <w:tcPr>
            <w:tcW w:w="740" w:type="dxa"/>
            <w:vAlign w:val="bottom"/>
            <w:tcBorders>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8,211 </w:t>
            </w:r>
            <w:r>
              <w:rPr>
                <w:rFonts w:ascii="Arial" w:cs="Arial" w:eastAsia="Arial" w:hAnsi="Arial"/>
                <w:sz w:val="27"/>
                <w:szCs w:val="27"/>
                <w:color w:val="auto"/>
                <w:vertAlign w:val="subscript"/>
              </w:rPr>
              <w:t>​</w:t>
            </w:r>
          </w:p>
        </w:tc>
        <w:tc>
          <w:tcPr>
            <w:tcW w:w="140" w:type="dxa"/>
            <w:vAlign w:val="bottom"/>
            <w:tcBorders>
              <w:bottom w:val="single" w:sz="8" w:color="424E6A"/>
            </w:tcBorders>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jc w:val="right"/>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6,838 </w:t>
            </w:r>
            <w:r>
              <w:rPr>
                <w:rFonts w:ascii="Arial" w:cs="Arial" w:eastAsia="Arial" w:hAnsi="Arial"/>
                <w:sz w:val="27"/>
                <w:szCs w:val="27"/>
                <w:color w:val="auto"/>
                <w:vertAlign w:val="subscript"/>
              </w:rPr>
              <w:t>​</w:t>
            </w:r>
          </w:p>
        </w:tc>
        <w:tc>
          <w:tcPr>
            <w:tcW w:w="24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424E6A"/>
              <w:right w:val="single" w:sz="8" w:color="424E6A"/>
            </w:tcBorders>
            <w:gridSpan w:val="2"/>
          </w:tcPr>
          <w:p>
            <w:pPr>
              <w:ind w:left="28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680" w:type="dxa"/>
            <w:vAlign w:val="bottom"/>
            <w:tcBorders>
              <w:bottom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15,049</w:t>
            </w:r>
          </w:p>
        </w:tc>
        <w:tc>
          <w:tcPr>
            <w:tcW w:w="16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tcPr>
          <w:p>
            <w:pPr>
              <w:ind w:left="3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r>
      <w:tr>
        <w:trPr>
          <w:trHeight w:val="236"/>
        </w:trPr>
        <w:tc>
          <w:tcPr>
            <w:tcW w:w="3040" w:type="dxa"/>
            <w:vAlign w:val="bottom"/>
            <w:tcBorders>
              <w:left w:val="single" w:sz="8" w:color="424E6A"/>
              <w:bottom w:val="single" w:sz="8" w:color="424E6A"/>
              <w:right w:val="single" w:sz="8" w:color="424E6A"/>
            </w:tcBorders>
            <w:shd w:val="clear" w:color="auto" w:fill="D9DCE1"/>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Energy Income Partners</w:t>
            </w:r>
          </w:p>
        </w:tc>
        <w:tc>
          <w:tcPr>
            <w:tcW w:w="740" w:type="dxa"/>
            <w:vAlign w:val="bottom"/>
            <w:tcBorders>
              <w:bottom w:val="single" w:sz="8" w:color="424E6A"/>
              <w:right w:val="single" w:sz="8" w:color="424E6A"/>
            </w:tcBorders>
            <w:gridSpan w:val="3"/>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10,874 </w:t>
            </w:r>
            <w:r>
              <w:rPr>
                <w:rFonts w:ascii="Arial" w:cs="Arial" w:eastAsia="Arial" w:hAnsi="Arial"/>
                <w:sz w:val="27"/>
                <w:szCs w:val="27"/>
                <w:color w:val="auto"/>
                <w:vertAlign w:val="subscript"/>
              </w:rPr>
              <w:t>​</w:t>
            </w:r>
          </w:p>
        </w:tc>
        <w:tc>
          <w:tcPr>
            <w:tcW w:w="14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840" w:type="dxa"/>
            <w:vAlign w:val="bottom"/>
            <w:tcBorders>
              <w:bottom w:val="single" w:sz="8" w:color="424E6A"/>
              <w:right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3,005 </w:t>
            </w:r>
            <w:r>
              <w:rPr>
                <w:rFonts w:ascii="Arial" w:cs="Arial" w:eastAsia="Arial" w:hAnsi="Arial"/>
                <w:sz w:val="27"/>
                <w:szCs w:val="27"/>
                <w:color w:val="auto"/>
                <w:vertAlign w:val="subscript"/>
              </w:rPr>
              <w:t>​</w:t>
            </w:r>
          </w:p>
        </w:tc>
        <w:tc>
          <w:tcPr>
            <w:tcW w:w="2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424E6A"/>
              <w:right w:val="single" w:sz="8" w:color="424E6A"/>
            </w:tcBorders>
            <w:gridSpan w:val="2"/>
            <w:shd w:val="clear" w:color="auto" w:fill="D9DCE1"/>
          </w:tcPr>
          <w:p>
            <w:pPr>
              <w:ind w:left="28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680" w:type="dxa"/>
            <w:vAlign w:val="bottom"/>
            <w:tcBorders>
              <w:bottom w:val="single" w:sz="8" w:color="424E6A"/>
            </w:tcBorders>
            <w:shd w:val="clear" w:color="auto" w:fill="D9DCE1"/>
          </w:tcPr>
          <w:p>
            <w:pPr>
              <w:ind w:left="40"/>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13,879</w:t>
            </w:r>
          </w:p>
        </w:tc>
        <w:tc>
          <w:tcPr>
            <w:tcW w:w="1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shd w:val="clear" w:color="auto" w:fill="D9DCE1"/>
          </w:tcPr>
          <w:p>
            <w:pPr>
              <w:ind w:left="3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color w:val="auto"/>
              </w:rPr>
              <w:t>​</w:t>
            </w:r>
          </w:p>
        </w:tc>
      </w:tr>
      <w:tr>
        <w:trPr>
          <w:trHeight w:val="237"/>
        </w:trPr>
        <w:tc>
          <w:tcPr>
            <w:tcW w:w="3040" w:type="dxa"/>
            <w:vAlign w:val="bottom"/>
            <w:tcBorders>
              <w:left w:val="single" w:sz="8" w:color="424E6A"/>
              <w:bottom w:val="single" w:sz="8" w:color="424E6A"/>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MFS Investment Management</w:t>
            </w:r>
          </w:p>
        </w:tc>
        <w:tc>
          <w:tcPr>
            <w:tcW w:w="740" w:type="dxa"/>
            <w:vAlign w:val="bottom"/>
            <w:tcBorders>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13,007 </w:t>
            </w:r>
            <w:r>
              <w:rPr>
                <w:rFonts w:ascii="Arial" w:cs="Arial" w:eastAsia="Arial" w:hAnsi="Arial"/>
                <w:sz w:val="27"/>
                <w:szCs w:val="27"/>
                <w:color w:val="auto"/>
                <w:vertAlign w:val="subscript"/>
              </w:rPr>
              <w:t>​</w:t>
            </w:r>
          </w:p>
        </w:tc>
        <w:tc>
          <w:tcPr>
            <w:tcW w:w="140" w:type="dxa"/>
            <w:vAlign w:val="bottom"/>
            <w:tcBorders>
              <w:bottom w:val="single" w:sz="8" w:color="424E6A"/>
            </w:tcBorders>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jc w:val="right"/>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220" w:type="dxa"/>
            <w:vAlign w:val="bottom"/>
            <w:tcBorders>
              <w:bottom w:val="single" w:sz="8" w:color="424E6A"/>
            </w:tcBorders>
          </w:tcPr>
          <w:p>
            <w:pPr>
              <w:ind w:left="1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424E6A"/>
              <w:right w:val="single" w:sz="8" w:color="424E6A"/>
            </w:tcBorders>
          </w:tcPr>
          <w:p>
            <w:pPr>
              <w:jc w:val="right"/>
              <w:spacing w:after="0" w:line="236" w:lineRule="exact"/>
              <w:rPr>
                <w:sz w:val="20"/>
                <w:szCs w:val="20"/>
                <w:color w:val="auto"/>
              </w:rPr>
            </w:pPr>
            <w:r>
              <w:rPr>
                <w:rFonts w:ascii="Arial" w:cs="Arial" w:eastAsia="Arial" w:hAnsi="Arial"/>
                <w:sz w:val="14"/>
                <w:szCs w:val="14"/>
                <w:color w:val="auto"/>
              </w:rPr>
              <w:t xml:space="preserve">78 </w:t>
            </w:r>
            <w:r>
              <w:rPr>
                <w:rFonts w:ascii="Arial" w:cs="Arial" w:eastAsia="Arial" w:hAnsi="Arial"/>
                <w:sz w:val="27"/>
                <w:szCs w:val="27"/>
                <w:color w:val="auto"/>
                <w:vertAlign w:val="subscript"/>
              </w:rPr>
              <w:t>​</w:t>
            </w:r>
          </w:p>
        </w:tc>
        <w:tc>
          <w:tcPr>
            <w:tcW w:w="24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424E6A"/>
              <w:right w:val="single" w:sz="8" w:color="424E6A"/>
            </w:tcBorders>
            <w:gridSpan w:val="2"/>
          </w:tcPr>
          <w:p>
            <w:pPr>
              <w:ind w:left="28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680" w:type="dxa"/>
            <w:vAlign w:val="bottom"/>
            <w:tcBorders>
              <w:bottom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13,085</w:t>
            </w:r>
          </w:p>
        </w:tc>
        <w:tc>
          <w:tcPr>
            <w:tcW w:w="16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tcPr>
          <w:p>
            <w:pPr>
              <w:ind w:left="3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1.7%</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r>
    </w:tbl>
    <w:p>
      <w:pPr>
        <w:spacing w:after="0" w:line="76"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See “Security Ownership of Certain Beneficial Owners and Management” beginning on page 66 for additional information regarding beneficial ownership of our securities, including ownership by our Directors and executive officers.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w:t>
      </w:r>
    </w:p>
    <w:p>
      <w:pPr>
        <w:spacing w:after="0" w:line="131"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Mr. Chiang serves as Chairman of the Board and as CEO, and Mr. Shackouls serves as Lead Director. Our governing documents require that for so long as the Board Chair and CEO roles are held by the same person, one of our independent directors must serve as the Lead Director, and such governing documents also clearly delineate the respective responsibilities of the Board Chair and the Lead Director. The Lead Director is responsible for, among other things, developing and communicating the agenda for, and presiding at, meetings of the non-management directors, collaborating with the Board Chair on Board meeting agendas, working with the Board Chair to establish parameters for the quality, amount and timeliness of the information flow between management and the Board, and generally acting as a liaison between the non-management directors and the Board Chair. The Board has no set policy with respect to the separation of the offices of Board Chair and CEO; rather the Board believes it is in the best interests of PAA and PAGP for the Board to review ongoing conditions and circumstances and make an appropriate determination to separate, or maintain as combined, the CEO and Board Chair roles at the time a new CEO succeeds the current CEO, or upon a significant change in circumstances. The Board Chair/CEO regularly communicates with the Lead Director to make sure the Board is receiving the information it needs and has the opportunity to provide feedback and input to management, in each case as required for the Board to discharge its oversight role.</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Role in Risk Oversight</w:t>
      </w:r>
    </w:p>
    <w:p>
      <w:pPr>
        <w:spacing w:after="0" w:line="144" w:lineRule="exact"/>
        <w:rPr>
          <w:sz w:val="20"/>
          <w:szCs w:val="20"/>
          <w:color w:val="auto"/>
        </w:rPr>
      </w:pPr>
    </w:p>
    <w:p>
      <w:pPr>
        <w:ind w:left="1260" w:right="539" w:firstLine="360"/>
        <w:spacing w:after="0" w:line="245" w:lineRule="auto"/>
        <w:rPr>
          <w:sz w:val="20"/>
          <w:szCs w:val="20"/>
          <w:color w:val="auto"/>
        </w:rPr>
      </w:pPr>
      <w:r>
        <w:rPr>
          <w:rFonts w:ascii="Arial" w:cs="Arial" w:eastAsia="Arial" w:hAnsi="Arial"/>
          <w:sz w:val="18"/>
          <w:szCs w:val="18"/>
          <w:color w:val="auto"/>
        </w:rPr>
        <w:t>With respect to the management of enterprise-level risk (ELR), which is the process of identifying, managing and monitoring events that present opportunities and risks with respect to the operation of our business and the creation of value for our shareholders, the Board has delegated primary responsibility to management while retaining oversight responsibility. Management provides a formal ELR assessment to the Board at least once every year and provides updates on other areas of potential risk on at least a quarterly basis.</w:t>
      </w:r>
    </w:p>
    <w:p>
      <w:pPr>
        <w:spacing w:after="0" w:line="109" w:lineRule="exact"/>
        <w:rPr>
          <w:sz w:val="20"/>
          <w:szCs w:val="20"/>
          <w:color w:val="auto"/>
        </w:rPr>
      </w:pPr>
    </w:p>
    <w:p>
      <w:pPr>
        <w:ind w:left="1260" w:right="499" w:firstLine="360"/>
        <w:spacing w:after="0" w:line="245" w:lineRule="auto"/>
        <w:rPr>
          <w:sz w:val="20"/>
          <w:szCs w:val="20"/>
          <w:color w:val="auto"/>
        </w:rPr>
      </w:pPr>
      <w:r>
        <w:rPr>
          <w:rFonts w:ascii="Arial" w:cs="Arial" w:eastAsia="Arial" w:hAnsi="Arial"/>
          <w:sz w:val="18"/>
          <w:szCs w:val="18"/>
          <w:color w:val="auto"/>
        </w:rPr>
        <w:t>We believe that our Board leadership and committee structure supports the Board’s risk oversight function by facilitating open and regular communication between management and the directors, which allows informed oversight of management’s processes for identifying and managing significant risks and their impact on PAA’s business. The Board’s various committees (Audit, Governance, Compensation and HSES) assist the Board with respect to its oversight of risks related to the specific areas of focus for each committee.</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Non-Management Executive Sessions and Shareholder Communications</w:t>
      </w:r>
    </w:p>
    <w:p>
      <w:pPr>
        <w:spacing w:after="0" w:line="131" w:lineRule="exact"/>
        <w:rPr>
          <w:sz w:val="20"/>
          <w:szCs w:val="20"/>
          <w:color w:val="auto"/>
        </w:rPr>
      </w:pPr>
    </w:p>
    <w:p>
      <w:pPr>
        <w:jc w:val="both"/>
        <w:ind w:left="1260" w:right="939" w:firstLine="360"/>
        <w:spacing w:after="0" w:line="283" w:lineRule="auto"/>
        <w:rPr>
          <w:sz w:val="20"/>
          <w:szCs w:val="20"/>
          <w:color w:val="auto"/>
        </w:rPr>
      </w:pPr>
      <w:r>
        <w:rPr>
          <w:rFonts w:ascii="Arial" w:cs="Arial" w:eastAsia="Arial" w:hAnsi="Arial"/>
          <w:sz w:val="17"/>
          <w:szCs w:val="17"/>
          <w:color w:val="auto"/>
        </w:rPr>
        <w:t>Non-management directors meet in executive session in connection with each regular Board meeting. These sessions are presided over by the Lead Director. As circumstances warrant, non-management directors may also meet in executive sessions of special meetings of the Board.</w:t>
      </w:r>
    </w:p>
    <w:p>
      <w:pPr>
        <w:sectPr>
          <w:pgSz w:w="11900" w:h="16838" w:orient="portrait"/>
          <w:cols w:equalWidth="0" w:num="1">
            <w:col w:w="9879"/>
          </w:cols>
          <w:pgMar w:left="580" w:top="97"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79" w:firstLine="360"/>
        <w:spacing w:after="0" w:line="262" w:lineRule="auto"/>
        <w:rPr>
          <w:sz w:val="20"/>
          <w:szCs w:val="20"/>
          <w:color w:val="auto"/>
        </w:rPr>
      </w:pPr>
      <w:r>
        <w:rPr>
          <w:rFonts w:ascii="Arial" w:cs="Arial" w:eastAsia="Arial" w:hAnsi="Arial"/>
          <w:sz w:val="18"/>
          <w:szCs w:val="18"/>
          <w:color w:val="auto"/>
        </w:rPr>
        <w:t>Interested shareholders can communicate with non-management directors regarding PAGP’s business and affairs by mail in care of the General Counsel and Secretary or in care of the Vice President of Internal Audit at Plains All American Pipeline, L.P., 333 Clay Street, Suite 1600, Houston, Texas 77002. Commercial solicitations or communications will be disregarded.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Independence Determinations</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Because we are a limited partnership, the listing standards of Nasdaq do not require that we or our general partner have a majority of independent directors on the Board. Nonetheless, the PAGP GP LLC Agreement was amended in 2019 to require that our Board have a majority of directors who are independent as defined in applicable Nasdaq and SEC rules. To be considered independent under Nasdaq listing standards, our Board must determine that a director has no relationship with us that would interfere with the exercise of independent judgement in carrying out his or her responsibilities as a director. The applicable Nasdaq and SEC rules specify the criteria by which the independence of directors must be determined, including guidelines for directors and their immediate family members with respect to employment or affiliation with us or with our independent public accountants. The Board has assessed the independence of the nine directors who are not current or former members of management (Messrs. Burk, McCarthy, Petersen, Raymond, Shackouls, Temple and Ziemba,</w:t>
      </w:r>
    </w:p>
    <w:p>
      <w:pPr>
        <w:spacing w:after="0" w:line="3" w:lineRule="exact"/>
        <w:rPr>
          <w:sz w:val="20"/>
          <w:szCs w:val="20"/>
          <w:color w:val="auto"/>
        </w:rPr>
      </w:pPr>
    </w:p>
    <w:p>
      <w:pPr>
        <w:ind w:left="1260" w:right="799"/>
        <w:spacing w:after="0" w:line="266" w:lineRule="auto"/>
        <w:rPr>
          <w:sz w:val="20"/>
          <w:szCs w:val="20"/>
          <w:color w:val="auto"/>
        </w:rPr>
      </w:pPr>
      <w:r>
        <w:rPr>
          <w:rFonts w:ascii="Arial" w:cs="Arial" w:eastAsia="Arial" w:hAnsi="Arial"/>
          <w:sz w:val="18"/>
          <w:szCs w:val="18"/>
          <w:color w:val="auto"/>
        </w:rPr>
        <w:t>Ms. DeSanctis and Ms. Pruner) and has concluded that all of such directors are independent under applicable Nasdaq and SEC standards.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Our Audit Committee reviews our external financial reporting, engages our independent auditors, and reviews the adequacy of our internal accounting controls. The charter of our Audit Committee is available on our website. See “— Meetings and Other Information” for information on how to access or obtain copies of this charter. The Board has determined that each member of our Audit Committee (Messrs. Burk (chair) and Ziemba, Ms. DeSanctis and Ms. Pruner) is (i) independent under applicable Nasdaq and SEC rules, and (ii) financially literate. The Board has also determined that each of Mr. Burk and Ms. Pruner qualifies as an Audit Committee Financial Expert as that term is defined in Item 407 of Regulation S-K.</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Compensation Committee Interlocks and Insider Participation</w:t>
      </w:r>
    </w:p>
    <w:p>
      <w:pPr>
        <w:spacing w:after="0" w:line="14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Although not required by Nasdaq listing standards, we have a Compensation Committee that reviews and makes recommendations to the Board regarding the compensation for our executive officers and administers our long-term equity incentive plans for officers and key employees. The Compensation Committee has delegated limited authority to the CEO to administer our long-term incentive plans with respect to employees and non-Section 16 officers below the Senior Vice President level. The charter of our Compensation Committee is available on our website. See “— Meetings and Other Information” for information on how to access or obtain copies of this charter. The Compensation Committee currently consists of Messrs. Raymond (chair), Petersen and Temple. Under applicable Nasdaq rules, none of the members of our Compensation Committee are required to be independent; however, the charter of our Compensation Committee requires that all members of the committee be independent and the Board has determined that all of the current members of the Compensation Committee are independent under applicable Nasdaq and SEC standards. The Compensation Committee has the sole authority to retain any compensation consultants to assist the committee. Since 2019, the Compensation Committee has engaged Meridian Compensation Partners, LLC (“Meridian”) to conduct independent annual reviews and benchmark studies of our executive compensation program and practices.</w:t>
      </w:r>
    </w:p>
    <w:p>
      <w:pPr>
        <w:spacing w:after="0" w:line="127"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During 2022, none of the members of the Compensation Committee was an officer or employee of ours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Raymond is associated with The Energy &amp; Minerals Group (“EMG”) and Mr. Petersen is associated with EnCap Investments LP (“EnCap”). We have ordinary course business relationships with entities affiliated with</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EMG and EnCap; however, the Board has determined that these relationships do not impact</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Mr. Raymond’s or Mr. Petersen’s independence. See “Certain Relationships and Related Transactions.”</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Governance Committee</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Although not required by Nasdaq listing standards, we also have a Governance Committee that periodically reviews our governance structure, policies and principles, oversees the Board’s annual self-assessment and committee evaluation process, and assists with succession planning and other governance-related activities, including identifying and assessing director nominees. See “Proposal 1 — Election of Class I Directors — Director and Nominee Experience and Qualifications” for additional information regarding activities of our Governance Committee. The charter of our Governance Committee is available on our website. See “— Meetings and Other Information” for information on how to access or obtain copies of this charter. The Governance Committee currently consists of Messrs. Shackouls (chair), McCarthy and Petersen and Ms. Pruner. Under applicable Nasdaq rules, none of the members of our Governance Committee are required to be independent; however, the charter of our Governance Committee requires that all members of the committee be independent and the Board has determined that all of the current members of the Governance Committee are independent under applicable Nasdaq and SEC standards.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HSES Committee</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In February 2021, the Board established the HSES Committee to assist the Board in its evaluation and oversight of our (i) management of HSES matters, including compliance with applicable laws and regulations; (ii) management of systems and plans to protect the health and safety of employees, contractors, customers, the environment, the communities where we operate, our assets, and our reputation; and (iii) plans to adjust to HSES trends and related risks to more effectively achieve our long-term business and sustainability objectives. Through the discharge of its oversight responsibilities, the HSES Committee facilitates the efforts of management to further strengthen our focus on sustainability and ESG matters. The charter of our HSES Committee is available on our website. See “— Meetings and Other Information” for information on how to access or obtain copies of this charter. The HSES Committee currently consists of Messrs. Ziemba (chair) and Temple and Ms. DeSanctis. The Board has determined that all of the current members of the HSES Committee are independent under applicable Nasdaq and SEC standards.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Meetings and Other Information</w:t>
      </w:r>
    </w:p>
    <w:p>
      <w:pPr>
        <w:spacing w:after="0" w:line="144"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During 2022, our Board had six meetings, our Audit Committee had ten meetings, our Compensation Committee had two meetings, our Governance Committee had one meeting and our HSES Committee had six meetings. In addition, members of our Compensation Committee and Governance Committee held numerous conference calls and discussions throughout the year on various compensation and governance-related matters. All directors have access to members of management, and a substantial amount of information transfer and informal communication occurs between meetings. In 2022, all of our directors attended all meetings of the Board and applicable committees of the Board on which the director served, other than two directors who each missed one Board meeting, and another director who missed one committee meeting. Board members are encouraged, but not required, to attend our annual meetings; five Board members attended our annual meeting in 2022.</w:t>
      </w:r>
    </w:p>
    <w:p>
      <w:pPr>
        <w:spacing w:after="0" w:line="115"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 xml:space="preserve">All of our standing committees have charters. Our committee charters and governance guidelines, as well as our Code of Business Conduct (which describes our Core Values) and our Code of Ethics for Senior Financial Officers (which applies to our principal executive officer, principal financial officer and principal accounting officer), are available under the Structure and Governance tab in the Investor Relations section of our Internet website at </w:t>
      </w:r>
      <w:r>
        <w:rPr>
          <w:rFonts w:ascii="Arial" w:cs="Arial" w:eastAsia="Arial" w:hAnsi="Arial"/>
          <w:sz w:val="18"/>
          <w:szCs w:val="18"/>
          <w:i w:val="1"/>
          <w:iCs w:val="1"/>
          <w:color w:val="auto"/>
        </w:rPr>
        <w:t>http://www.plains.com</w:t>
      </w:r>
      <w:r>
        <w:rPr>
          <w:rFonts w:ascii="Arial" w:cs="Arial" w:eastAsia="Arial" w:hAnsi="Arial"/>
          <w:sz w:val="18"/>
          <w:szCs w:val="18"/>
          <w:color w:val="auto"/>
        </w:rPr>
        <w:t>. We intend to disclose any amendment to or waiver of the Code of Ethics for Senior Financial Officers and any waiver of our Code of Business Conduct on behalf of an executive officer or director either on our Internet website or in an 8-K filing. We regularly post important information on our website, including information regarding our sustainability efforts.</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Committee/Fiduciary Duties</w:t>
      </w:r>
    </w:p>
    <w:p>
      <w:pPr>
        <w:spacing w:after="0" w:line="158"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Our partnership agreement provides for the establishment of a conflicts committee as circumstances warrant to review conflicts of interest between us and our limited partners, on the one hand, and our general partner, its owners and their respective affiliates, on the other hand. Such committee would consist of a minimum of two independent, non-employee members of the Board. Our partnership agreement provides that any matters approved by the conflicts committee will be conclusively deemed to be fair and reasonable to us, approved by all of our partners, and not a breach by our general partner of any duties owed to us or our shareholders. See “Certain Relationships and Related Transactions — Review, Approval or Ratification of Transactions with Related Persons.”</w:t>
      </w:r>
    </w:p>
    <w:p>
      <w:pPr>
        <w:spacing w:after="0" w:line="104"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Although our general partner has not exercised such discretion in the past, it may do so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1 — ELECTION OF CLASS I DIRECTORS</w:t>
      </w:r>
    </w:p>
    <w:p>
      <w:pPr>
        <w:spacing w:after="0" w:line="158" w:lineRule="exact"/>
        <w:rPr>
          <w:sz w:val="20"/>
          <w:szCs w:val="20"/>
          <w:color w:val="auto"/>
        </w:rPr>
      </w:pPr>
    </w:p>
    <w:p>
      <w:pPr>
        <w:jc w:val="center"/>
        <w:ind w:left="1840" w:right="300"/>
        <w:spacing w:after="0" w:line="265" w:lineRule="auto"/>
        <w:rPr>
          <w:sz w:val="20"/>
          <w:szCs w:val="20"/>
          <w:color w:val="auto"/>
        </w:rPr>
      </w:pPr>
      <w:r>
        <w:rPr>
          <w:rFonts w:ascii="Arial" w:cs="Arial" w:eastAsia="Arial" w:hAnsi="Arial"/>
          <w:sz w:val="18"/>
          <w:szCs w:val="18"/>
          <w:b w:val="1"/>
          <w:bCs w:val="1"/>
          <w:color w:val="auto"/>
        </w:rPr>
        <w:t>THE BOARD OF DIRECTORS UNANIMOUSLY RECOMMENDS THAT YOU VOTE “FOR” THE ELECTION OF EACH OF WILLIE CHIANG, ELLEN DESANCTIS, ALEXANDRA PRUNER AND LAWRENCE ZIEMBA TO SERVE AS A CLASS I DIRECTOR ON OUR GENERAL PARTNER’S BOARD OF DIRECTORS UNTIL THE 2026 ANNUAL MEETING.</w:t>
      </w:r>
    </w:p>
    <w:p>
      <w:pPr>
        <w:spacing w:after="0" w:line="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Structure</w:t>
      </w:r>
    </w:p>
    <w:p>
      <w:pPr>
        <w:spacing w:after="0" w:line="158" w:lineRule="exact"/>
        <w:rPr>
          <w:sz w:val="20"/>
          <w:szCs w:val="20"/>
          <w:color w:val="auto"/>
        </w:rPr>
      </w:pPr>
    </w:p>
    <w:p>
      <w:pPr>
        <w:ind w:left="1260" w:right="539" w:firstLine="360"/>
        <w:spacing w:after="0" w:line="256" w:lineRule="auto"/>
        <w:rPr>
          <w:sz w:val="20"/>
          <w:szCs w:val="20"/>
          <w:color w:val="auto"/>
        </w:rPr>
      </w:pPr>
      <w:r>
        <w:rPr>
          <w:rFonts w:ascii="Arial" w:cs="Arial" w:eastAsia="Arial" w:hAnsi="Arial"/>
          <w:sz w:val="18"/>
          <w:szCs w:val="18"/>
          <w:i w:val="1"/>
          <w:iCs w:val="1"/>
          <w:color w:val="auto"/>
        </w:rPr>
        <w:t xml:space="preserve">General Overview and Board Makeup. </w:t>
      </w:r>
      <w:r>
        <w:rPr>
          <w:rFonts w:ascii="Arial" w:cs="Arial" w:eastAsia="Arial" w:hAnsi="Arial"/>
          <w:sz w:val="18"/>
          <w:szCs w:val="18"/>
          <w:color w:val="auto"/>
        </w:rPr>
        <w:t>Our Board has responsibility for managing the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and affairs of PAGP and PAA. The Board currently has 12 members, including the CEO, who currently serves as Chairman of the Board. As contemplated by our governing documents, because the roles of CEO and Board Chair are held by the same person, the Board has designated one of our independent directors (Bobby Shackouls) to serve as Lead Director. Our governing documents also require that at least a majority of directors must meet the independence requirements of the national securities exchange on which the securities of PAA and PAGP are listed (currently Nasdaq).</w:t>
      </w:r>
    </w:p>
    <w:p>
      <w:pPr>
        <w:spacing w:after="0" w:line="115"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The Board is divided into three staggered classes such that the terms for the directors within each class expire on a rotating three-year basis, as set forth below. The Board (excluding directors whose terms are expiring) and, subject to certain ownership and notice requirements, holders of Class A shares have the right to nominate individuals to stand for election at an annual meeting. For a description of such ownership and notice requirements, see “Director Nominations and Shareholder Proposals for the 2024 Annual Meeting” on page 78.</w:t>
      </w:r>
    </w:p>
    <w:p>
      <w:pPr>
        <w:spacing w:after="0" w:line="101"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Individuals elected at an annual meeting will serve for a term of three years, subject to their earlier resignation, death or removal. If an individual is elected to the Board to fill a vacancy, that director will have the same remaining term as his or her predecessor. All directors standing for election at the PAA and PAGP Annual Meetings were nominated by the Board (excluding the vote of the directors whose terms are expiring); to our knowledge, no holder of our Class A shares met the required ownership threshold and thus no nominations were received from holders of our Class A shares.</w:t>
      </w:r>
    </w:p>
    <w:p>
      <w:pPr>
        <w:spacing w:after="0" w:line="79"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140" w:type="dxa"/>
            <w:vAlign w:val="bottom"/>
            <w:tcBorders>
              <w:left w:val="single" w:sz="8" w:color="424E6A"/>
            </w:tcBorders>
            <w:shd w:val="clear" w:color="auto" w:fill="424E6A"/>
          </w:tcPr>
          <w:p>
            <w:pPr>
              <w:spacing w:after="0"/>
              <w:rPr>
                <w:sz w:val="17"/>
                <w:szCs w:val="17"/>
                <w:color w:val="auto"/>
              </w:rPr>
            </w:pPr>
          </w:p>
        </w:tc>
        <w:tc>
          <w:tcPr>
            <w:tcW w:w="1800" w:type="dxa"/>
            <w:vAlign w:val="bottom"/>
            <w:tcBorders>
              <w:right w:val="single" w:sz="8" w:color="424E6A"/>
            </w:tcBorders>
            <w:shd w:val="clear" w:color="auto" w:fill="424E6A"/>
          </w:tcPr>
          <w:p>
            <w:pPr>
              <w:spacing w:after="0"/>
              <w:rPr>
                <w:sz w:val="17"/>
                <w:szCs w:val="17"/>
                <w:color w:val="auto"/>
              </w:rPr>
            </w:pPr>
          </w:p>
        </w:tc>
        <w:tc>
          <w:tcPr>
            <w:tcW w:w="960" w:type="dxa"/>
            <w:vAlign w:val="bottom"/>
            <w:tcBorders>
              <w:right w:val="single" w:sz="8" w:color="424E6A"/>
            </w:tcBorders>
            <w:shd w:val="clear" w:color="auto" w:fill="424E6A"/>
          </w:tcPr>
          <w:p>
            <w:pPr>
              <w:spacing w:after="0"/>
              <w:rPr>
                <w:sz w:val="17"/>
                <w:szCs w:val="17"/>
                <w:color w:val="auto"/>
              </w:rPr>
            </w:pPr>
          </w:p>
        </w:tc>
        <w:tc>
          <w:tcPr>
            <w:tcW w:w="840" w:type="dxa"/>
            <w:vAlign w:val="bottom"/>
            <w:tcBorders>
              <w:right w:val="single" w:sz="8" w:color="424E6A"/>
            </w:tcBorders>
            <w:shd w:val="clear" w:color="auto" w:fill="424E6A"/>
          </w:tcPr>
          <w:p>
            <w:pPr>
              <w:ind w:left="200"/>
              <w:spacing w:after="0"/>
              <w:rPr>
                <w:sz w:val="20"/>
                <w:szCs w:val="20"/>
                <w:color w:val="auto"/>
              </w:rPr>
            </w:pPr>
            <w:r>
              <w:rPr>
                <w:rFonts w:ascii="Arial" w:cs="Arial" w:eastAsia="Arial" w:hAnsi="Arial"/>
                <w:sz w:val="14"/>
                <w:szCs w:val="14"/>
                <w:b w:val="1"/>
                <w:bCs w:val="1"/>
                <w:color w:val="FFFFFF"/>
              </w:rPr>
              <w:t>Audit</w:t>
            </w:r>
          </w:p>
        </w:tc>
        <w:tc>
          <w:tcPr>
            <w:tcW w:w="1100" w:type="dxa"/>
            <w:vAlign w:val="bottom"/>
            <w:tcBorders>
              <w:righ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Compensation</w:t>
            </w:r>
          </w:p>
        </w:tc>
        <w:tc>
          <w:tcPr>
            <w:tcW w:w="940" w:type="dxa"/>
            <w:vAlign w:val="bottom"/>
            <w:tcBorders>
              <w:righ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Governance</w:t>
            </w:r>
          </w:p>
        </w:tc>
        <w:tc>
          <w:tcPr>
            <w:tcW w:w="840" w:type="dxa"/>
            <w:vAlign w:val="bottom"/>
            <w:tcBorders>
              <w:right w:val="single" w:sz="8" w:color="424E6A"/>
            </w:tcBorders>
            <w:shd w:val="clear" w:color="auto" w:fill="424E6A"/>
          </w:tcPr>
          <w:p>
            <w:pPr>
              <w:ind w:left="200"/>
              <w:spacing w:after="0"/>
              <w:rPr>
                <w:sz w:val="20"/>
                <w:szCs w:val="20"/>
                <w:color w:val="auto"/>
              </w:rPr>
            </w:pPr>
            <w:r>
              <w:rPr>
                <w:rFonts w:ascii="Arial" w:cs="Arial" w:eastAsia="Arial" w:hAnsi="Arial"/>
                <w:sz w:val="14"/>
                <w:szCs w:val="14"/>
                <w:b w:val="1"/>
                <w:bCs w:val="1"/>
                <w:color w:val="FFFFFF"/>
              </w:rPr>
              <w:t>HSES</w:t>
            </w:r>
          </w:p>
        </w:tc>
        <w:tc>
          <w:tcPr>
            <w:tcW w:w="920" w:type="dxa"/>
            <w:vAlign w:val="bottom"/>
            <w:tcBorders>
              <w:right w:val="single" w:sz="8" w:color="424E6A"/>
            </w:tcBorders>
            <w:shd w:val="clear" w:color="auto" w:fill="424E6A"/>
          </w:tcPr>
          <w:p>
            <w:pPr>
              <w:spacing w:after="0"/>
              <w:rPr>
                <w:sz w:val="17"/>
                <w:szCs w:val="17"/>
                <w:color w:val="auto"/>
              </w:rPr>
            </w:pPr>
          </w:p>
        </w:tc>
        <w:tc>
          <w:tcPr>
            <w:tcW w:w="680" w:type="dxa"/>
            <w:vAlign w:val="bottom"/>
            <w:tcBorders>
              <w:right w:val="single" w:sz="8" w:color="424E6A"/>
            </w:tcBorders>
            <w:shd w:val="clear" w:color="auto" w:fill="424E6A"/>
          </w:tcPr>
          <w:p>
            <w:pPr>
              <w:ind w:left="120"/>
              <w:spacing w:after="0"/>
              <w:rPr>
                <w:sz w:val="20"/>
                <w:szCs w:val="20"/>
                <w:color w:val="auto"/>
              </w:rPr>
            </w:pPr>
            <w:r>
              <w:rPr>
                <w:rFonts w:ascii="Arial" w:cs="Arial" w:eastAsia="Arial" w:hAnsi="Arial"/>
                <w:sz w:val="14"/>
                <w:szCs w:val="14"/>
                <w:b w:val="1"/>
                <w:bCs w:val="1"/>
                <w:color w:val="FFFFFF"/>
              </w:rPr>
              <w:t>Lead</w:t>
            </w:r>
          </w:p>
        </w:tc>
        <w:tc>
          <w:tcPr>
            <w:tcW w:w="0" w:type="dxa"/>
            <w:vAlign w:val="bottom"/>
          </w:tcPr>
          <w:p>
            <w:pPr>
              <w:spacing w:after="0"/>
              <w:rPr>
                <w:sz w:val="1"/>
                <w:szCs w:val="1"/>
                <w:color w:val="auto"/>
              </w:rPr>
            </w:pPr>
          </w:p>
        </w:tc>
      </w:tr>
      <w:tr>
        <w:trPr>
          <w:trHeight w:val="171"/>
        </w:trPr>
        <w:tc>
          <w:tcPr>
            <w:tcW w:w="140" w:type="dxa"/>
            <w:vAlign w:val="bottom"/>
            <w:tcBorders>
              <w:lef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w:t>
            </w:r>
          </w:p>
        </w:tc>
        <w:tc>
          <w:tcPr>
            <w:tcW w:w="1800" w:type="dxa"/>
            <w:vAlign w:val="bottom"/>
            <w:tcBorders>
              <w:righ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Independent</w:t>
            </w:r>
          </w:p>
        </w:tc>
        <w:tc>
          <w:tcPr>
            <w:tcW w:w="84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Committee</w:t>
            </w:r>
          </w:p>
        </w:tc>
        <w:tc>
          <w:tcPr>
            <w:tcW w:w="1100" w:type="dxa"/>
            <w:vAlign w:val="bottom"/>
            <w:tcBorders>
              <w:right w:val="single" w:sz="8" w:color="424E6A"/>
            </w:tcBorders>
            <w:shd w:val="clear" w:color="auto" w:fill="424E6A"/>
          </w:tcPr>
          <w:p>
            <w:pPr>
              <w:ind w:left="160"/>
              <w:spacing w:after="0"/>
              <w:rPr>
                <w:sz w:val="20"/>
                <w:szCs w:val="20"/>
                <w:color w:val="auto"/>
              </w:rPr>
            </w:pPr>
            <w:r>
              <w:rPr>
                <w:rFonts w:ascii="Arial" w:cs="Arial" w:eastAsia="Arial" w:hAnsi="Arial"/>
                <w:sz w:val="14"/>
                <w:szCs w:val="14"/>
                <w:b w:val="1"/>
                <w:bCs w:val="1"/>
                <w:color w:val="FFFFFF"/>
              </w:rPr>
              <w:t>Committee</w:t>
            </w:r>
          </w:p>
        </w:tc>
        <w:tc>
          <w:tcPr>
            <w:tcW w:w="940" w:type="dxa"/>
            <w:vAlign w:val="bottom"/>
            <w:tcBorders>
              <w:right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Committee</w:t>
            </w:r>
          </w:p>
        </w:tc>
        <w:tc>
          <w:tcPr>
            <w:tcW w:w="84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Committee</w:t>
            </w:r>
          </w:p>
        </w:tc>
        <w:tc>
          <w:tcPr>
            <w:tcW w:w="92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Board Chair</w:t>
            </w:r>
          </w:p>
        </w:tc>
        <w:tc>
          <w:tcPr>
            <w:tcW w:w="68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Director</w:t>
            </w:r>
          </w:p>
        </w:tc>
        <w:tc>
          <w:tcPr>
            <w:tcW w:w="0" w:type="dxa"/>
            <w:vAlign w:val="bottom"/>
          </w:tcPr>
          <w:p>
            <w:pPr>
              <w:spacing w:after="0"/>
              <w:rPr>
                <w:sz w:val="1"/>
                <w:szCs w:val="1"/>
                <w:color w:val="auto"/>
              </w:rPr>
            </w:pPr>
          </w:p>
        </w:tc>
      </w:tr>
      <w:tr>
        <w:trPr>
          <w:trHeight w:val="162"/>
        </w:trPr>
        <w:tc>
          <w:tcPr>
            <w:tcW w:w="1940" w:type="dxa"/>
            <w:vAlign w:val="bottom"/>
            <w:tcBorders>
              <w:left w:val="single" w:sz="8" w:color="424E6A"/>
              <w:right w:val="single" w:sz="8" w:color="424E6A"/>
            </w:tcBorders>
            <w:gridSpan w:val="2"/>
            <w:shd w:val="clear" w:color="auto" w:fill="D9DCE1"/>
          </w:tcPr>
          <w:p>
            <w:pPr>
              <w:ind w:left="20"/>
              <w:spacing w:after="0" w:line="162" w:lineRule="exact"/>
              <w:rPr>
                <w:sz w:val="20"/>
                <w:szCs w:val="20"/>
                <w:color w:val="auto"/>
              </w:rPr>
            </w:pPr>
            <w:r>
              <w:rPr>
                <w:rFonts w:ascii="Arial" w:cs="Arial" w:eastAsia="Arial" w:hAnsi="Arial"/>
                <w:sz w:val="17"/>
                <w:szCs w:val="17"/>
                <w:color w:val="auto"/>
              </w:rPr>
              <w:t>Class I Directors</w:t>
            </w:r>
          </w:p>
        </w:tc>
        <w:tc>
          <w:tcPr>
            <w:tcW w:w="960" w:type="dxa"/>
            <w:vAlign w:val="bottom"/>
            <w:tcBorders>
              <w:right w:val="single" w:sz="8" w:color="424E6A"/>
            </w:tcBorders>
            <w:shd w:val="clear" w:color="auto" w:fill="D9DCE1"/>
          </w:tcPr>
          <w:p>
            <w:pPr>
              <w:spacing w:after="0"/>
              <w:rPr>
                <w:sz w:val="14"/>
                <w:szCs w:val="14"/>
                <w:color w:val="auto"/>
              </w:rPr>
            </w:pPr>
          </w:p>
        </w:tc>
        <w:tc>
          <w:tcPr>
            <w:tcW w:w="840" w:type="dxa"/>
            <w:vAlign w:val="bottom"/>
            <w:tcBorders>
              <w:right w:val="single" w:sz="8" w:color="424E6A"/>
            </w:tcBorders>
            <w:shd w:val="clear" w:color="auto" w:fill="D9DCE1"/>
          </w:tcPr>
          <w:p>
            <w:pPr>
              <w:spacing w:after="0"/>
              <w:rPr>
                <w:sz w:val="14"/>
                <w:szCs w:val="14"/>
                <w:color w:val="auto"/>
              </w:rPr>
            </w:pPr>
          </w:p>
        </w:tc>
        <w:tc>
          <w:tcPr>
            <w:tcW w:w="1100" w:type="dxa"/>
            <w:vAlign w:val="bottom"/>
            <w:tcBorders>
              <w:right w:val="single" w:sz="8" w:color="424E6A"/>
            </w:tcBorders>
            <w:shd w:val="clear" w:color="auto" w:fill="D9DCE1"/>
          </w:tcPr>
          <w:p>
            <w:pPr>
              <w:spacing w:after="0"/>
              <w:rPr>
                <w:sz w:val="14"/>
                <w:szCs w:val="14"/>
                <w:color w:val="auto"/>
              </w:rPr>
            </w:pPr>
          </w:p>
        </w:tc>
        <w:tc>
          <w:tcPr>
            <w:tcW w:w="940" w:type="dxa"/>
            <w:vAlign w:val="bottom"/>
            <w:tcBorders>
              <w:right w:val="single" w:sz="8" w:color="424E6A"/>
            </w:tcBorders>
            <w:shd w:val="clear" w:color="auto" w:fill="D9DCE1"/>
          </w:tcPr>
          <w:p>
            <w:pPr>
              <w:spacing w:after="0"/>
              <w:rPr>
                <w:sz w:val="14"/>
                <w:szCs w:val="14"/>
                <w:color w:val="auto"/>
              </w:rPr>
            </w:pPr>
          </w:p>
        </w:tc>
        <w:tc>
          <w:tcPr>
            <w:tcW w:w="840" w:type="dxa"/>
            <w:vAlign w:val="bottom"/>
            <w:tcBorders>
              <w:right w:val="single" w:sz="8" w:color="424E6A"/>
            </w:tcBorders>
            <w:shd w:val="clear" w:color="auto" w:fill="D9DCE1"/>
          </w:tcPr>
          <w:p>
            <w:pPr>
              <w:spacing w:after="0"/>
              <w:rPr>
                <w:sz w:val="14"/>
                <w:szCs w:val="14"/>
                <w:color w:val="auto"/>
              </w:rPr>
            </w:pPr>
          </w:p>
        </w:tc>
        <w:tc>
          <w:tcPr>
            <w:tcW w:w="920" w:type="dxa"/>
            <w:vAlign w:val="bottom"/>
            <w:tcBorders>
              <w:right w:val="single" w:sz="8" w:color="424E6A"/>
            </w:tcBorders>
            <w:shd w:val="clear" w:color="auto" w:fill="D9DCE1"/>
          </w:tcPr>
          <w:p>
            <w:pPr>
              <w:spacing w:after="0"/>
              <w:rPr>
                <w:sz w:val="14"/>
                <w:szCs w:val="14"/>
                <w:color w:val="auto"/>
              </w:rPr>
            </w:pPr>
          </w:p>
        </w:tc>
        <w:tc>
          <w:tcPr>
            <w:tcW w:w="680" w:type="dxa"/>
            <w:vAlign w:val="bottom"/>
            <w:tcBorders>
              <w:right w:val="single" w:sz="8" w:color="424E6A"/>
            </w:tcBorders>
            <w:shd w:val="clear" w:color="auto" w:fill="D9DCE1"/>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40" w:type="dxa"/>
            <w:vAlign w:val="bottom"/>
            <w:tcBorders>
              <w:left w:val="single" w:sz="8" w:color="424E6A"/>
              <w:bottom w:val="single" w:sz="8" w:color="424E6A"/>
            </w:tcBorders>
            <w:shd w:val="clear" w:color="auto" w:fill="D9DCE1"/>
          </w:tcPr>
          <w:p>
            <w:pPr>
              <w:ind w:left="20"/>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7"/>
                <w:szCs w:val="17"/>
                <w:color w:val="auto"/>
              </w:rPr>
              <w:t>(Term expires 2023)</w:t>
            </w:r>
          </w:p>
        </w:tc>
        <w:tc>
          <w:tcPr>
            <w:tcW w:w="960" w:type="dxa"/>
            <w:vAlign w:val="bottom"/>
            <w:tcBorders>
              <w:bottom w:val="single" w:sz="8" w:color="424E6A"/>
              <w:right w:val="single" w:sz="8" w:color="424E6A"/>
            </w:tcBorders>
            <w:shd w:val="clear" w:color="auto" w:fill="D9DCE1"/>
          </w:tcPr>
          <w:p>
            <w:pPr>
              <w:spacing w:after="0"/>
              <w:rPr>
                <w:sz w:val="22"/>
                <w:szCs w:val="22"/>
                <w:color w:val="auto"/>
              </w:rPr>
            </w:pPr>
          </w:p>
        </w:tc>
        <w:tc>
          <w:tcPr>
            <w:tcW w:w="840" w:type="dxa"/>
            <w:vAlign w:val="bottom"/>
            <w:tcBorders>
              <w:bottom w:val="single" w:sz="8" w:color="424E6A"/>
              <w:right w:val="single" w:sz="8" w:color="424E6A"/>
            </w:tcBorders>
            <w:shd w:val="clear" w:color="auto" w:fill="D9DCE1"/>
          </w:tcPr>
          <w:p>
            <w:pPr>
              <w:ind w:left="40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24E6A"/>
              <w:right w:val="single" w:sz="8" w:color="424E6A"/>
            </w:tcBorders>
            <w:shd w:val="clear" w:color="auto" w:fill="D9DCE1"/>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424E6A"/>
              <w:right w:val="single" w:sz="8" w:color="424E6A"/>
            </w:tcBorders>
            <w:shd w:val="clear" w:color="auto" w:fill="D9DCE1"/>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424E6A"/>
              <w:right w:val="single" w:sz="8" w:color="424E6A"/>
            </w:tcBorders>
            <w:shd w:val="clear" w:color="auto" w:fill="D9DCE1"/>
          </w:tcPr>
          <w:p>
            <w:pPr>
              <w:ind w:left="4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424E6A"/>
              <w:right w:val="single" w:sz="8" w:color="424E6A"/>
            </w:tcBorders>
            <w:shd w:val="clear" w:color="auto" w:fill="D9DCE1"/>
          </w:tcPr>
          <w:p>
            <w:pPr>
              <w:ind w:left="44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424E6A"/>
              <w:right w:val="single" w:sz="8" w:color="424E6A"/>
            </w:tcBorders>
            <w:shd w:val="clear" w:color="auto" w:fill="D9DCE1"/>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140" w:type="dxa"/>
            <w:vAlign w:val="bottom"/>
            <w:tcBorders>
              <w:left w:val="single" w:sz="8" w:color="424E6A"/>
            </w:tcBorders>
          </w:tcPr>
          <w:p>
            <w:pPr>
              <w:spacing w:after="0"/>
              <w:rPr>
                <w:sz w:val="16"/>
                <w:szCs w:val="16"/>
                <w:color w:val="auto"/>
              </w:rPr>
            </w:pPr>
          </w:p>
        </w:tc>
        <w:tc>
          <w:tcPr>
            <w:tcW w:w="1800" w:type="dxa"/>
            <w:vAlign w:val="bottom"/>
            <w:tcBorders>
              <w:right w:val="single" w:sz="8" w:color="424E6A"/>
            </w:tcBorders>
          </w:tcPr>
          <w:p>
            <w:pPr>
              <w:ind w:left="60"/>
              <w:spacing w:after="0" w:line="190" w:lineRule="exact"/>
              <w:rPr>
                <w:sz w:val="20"/>
                <w:szCs w:val="20"/>
                <w:color w:val="auto"/>
              </w:rPr>
            </w:pPr>
            <w:r>
              <w:rPr>
                <w:rFonts w:ascii="Arial" w:cs="Arial" w:eastAsia="Arial" w:hAnsi="Arial"/>
                <w:sz w:val="17"/>
                <w:szCs w:val="17"/>
                <w:color w:val="auto"/>
              </w:rPr>
              <w:t>Willie Chiang,</w:t>
            </w:r>
          </w:p>
        </w:tc>
        <w:tc>
          <w:tcPr>
            <w:tcW w:w="96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tcPr>
          <w:p>
            <w:pPr>
              <w:spacing w:after="0"/>
              <w:rPr>
                <w:sz w:val="16"/>
                <w:szCs w:val="16"/>
                <w:color w:val="auto"/>
              </w:rPr>
            </w:pPr>
          </w:p>
        </w:tc>
        <w:tc>
          <w:tcPr>
            <w:tcW w:w="1100" w:type="dxa"/>
            <w:vAlign w:val="bottom"/>
            <w:tcBorders>
              <w:right w:val="single" w:sz="8" w:color="424E6A"/>
            </w:tcBorders>
          </w:tcPr>
          <w:p>
            <w:pPr>
              <w:spacing w:after="0"/>
              <w:rPr>
                <w:sz w:val="16"/>
                <w:szCs w:val="16"/>
                <w:color w:val="auto"/>
              </w:rPr>
            </w:pPr>
          </w:p>
        </w:tc>
        <w:tc>
          <w:tcPr>
            <w:tcW w:w="94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tcPr>
          <w:p>
            <w:pPr>
              <w:spacing w:after="0"/>
              <w:rPr>
                <w:sz w:val="16"/>
                <w:szCs w:val="16"/>
                <w:color w:val="auto"/>
              </w:rPr>
            </w:pPr>
          </w:p>
        </w:tc>
        <w:tc>
          <w:tcPr>
            <w:tcW w:w="920" w:type="dxa"/>
            <w:vAlign w:val="bottom"/>
            <w:tcBorders>
              <w:right w:val="single" w:sz="8" w:color="424E6A"/>
            </w:tcBorders>
          </w:tcPr>
          <w:p>
            <w:pPr>
              <w:spacing w:after="0"/>
              <w:rPr>
                <w:sz w:val="16"/>
                <w:szCs w:val="16"/>
                <w:color w:val="auto"/>
              </w:rPr>
            </w:pPr>
          </w:p>
        </w:tc>
        <w:tc>
          <w:tcPr>
            <w:tcW w:w="680" w:type="dxa"/>
            <w:vAlign w:val="bottom"/>
            <w:tcBorders>
              <w:right w:val="single" w:sz="8" w:color="424E6A"/>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 w:type="dxa"/>
            <w:vAlign w:val="bottom"/>
            <w:tcBorders>
              <w:left w:val="single" w:sz="8" w:color="424E6A"/>
            </w:tcBorders>
          </w:tcPr>
          <w:p>
            <w:pPr>
              <w:ind w:left="20"/>
              <w:spacing w:after="0"/>
              <w:rPr>
                <w:sz w:val="20"/>
                <w:szCs w:val="20"/>
                <w:color w:val="auto"/>
              </w:rPr>
            </w:pPr>
            <w:r>
              <w:rPr>
                <w:rFonts w:ascii="Arial" w:cs="Arial" w:eastAsia="Arial" w:hAnsi="Arial"/>
                <w:sz w:val="17"/>
                <w:szCs w:val="17"/>
                <w:color w:val="auto"/>
              </w:rPr>
              <w:t>​</w:t>
            </w:r>
          </w:p>
        </w:tc>
        <w:tc>
          <w:tcPr>
            <w:tcW w:w="1800" w:type="dxa"/>
            <w:vAlign w:val="bottom"/>
            <w:tcBorders>
              <w:right w:val="single" w:sz="8" w:color="424E6A"/>
            </w:tcBorders>
          </w:tcPr>
          <w:p>
            <w:pPr>
              <w:ind w:left="220"/>
              <w:spacing w:after="0"/>
              <w:rPr>
                <w:sz w:val="20"/>
                <w:szCs w:val="20"/>
                <w:color w:val="auto"/>
              </w:rPr>
            </w:pPr>
            <w:r>
              <w:rPr>
                <w:rFonts w:ascii="Arial" w:cs="Arial" w:eastAsia="Arial" w:hAnsi="Arial"/>
                <w:sz w:val="17"/>
                <w:szCs w:val="17"/>
                <w:color w:val="auto"/>
              </w:rPr>
              <w:t>Chairman of the</w:t>
            </w:r>
          </w:p>
        </w:tc>
        <w:tc>
          <w:tcPr>
            <w:tcW w:w="96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1100" w:type="dxa"/>
            <w:vAlign w:val="bottom"/>
            <w:tcBorders>
              <w:right w:val="single" w:sz="8" w:color="424E6A"/>
            </w:tcBorders>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424E6A"/>
            </w:tcBorders>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424E6A"/>
            </w:tcBorders>
          </w:tcPr>
          <w:p>
            <w:pPr>
              <w:spacing w:after="0"/>
              <w:rPr>
                <w:sz w:val="17"/>
                <w:szCs w:val="17"/>
                <w:color w:val="auto"/>
              </w:rPr>
            </w:pPr>
          </w:p>
        </w:tc>
        <w:tc>
          <w:tcPr>
            <w:tcW w:w="680" w:type="dxa"/>
            <w:vAlign w:val="bottom"/>
            <w:tcBorders>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140" w:type="dxa"/>
            <w:vAlign w:val="bottom"/>
            <w:tcBorders>
              <w:left w:val="single" w:sz="8" w:color="424E6A"/>
              <w:bottom w:val="single" w:sz="8" w:color="424E6A"/>
            </w:tcBorders>
          </w:tcPr>
          <w:p>
            <w:pPr>
              <w:spacing w:after="0"/>
              <w:rPr>
                <w:sz w:val="19"/>
                <w:szCs w:val="19"/>
                <w:color w:val="auto"/>
              </w:rPr>
            </w:pPr>
          </w:p>
        </w:tc>
        <w:tc>
          <w:tcPr>
            <w:tcW w:w="1800" w:type="dxa"/>
            <w:vAlign w:val="bottom"/>
            <w:tcBorders>
              <w:bottom w:val="single" w:sz="8" w:color="424E6A"/>
              <w:right w:val="single" w:sz="8" w:color="424E6A"/>
            </w:tcBorders>
          </w:tcPr>
          <w:p>
            <w:pPr>
              <w:ind w:left="220"/>
              <w:spacing w:after="0"/>
              <w:rPr>
                <w:sz w:val="20"/>
                <w:szCs w:val="20"/>
                <w:color w:val="auto"/>
              </w:rPr>
            </w:pPr>
            <w:r>
              <w:rPr>
                <w:rFonts w:ascii="Arial" w:cs="Arial" w:eastAsia="Arial" w:hAnsi="Arial"/>
                <w:sz w:val="17"/>
                <w:szCs w:val="17"/>
                <w:color w:val="auto"/>
              </w:rPr>
              <w:t>Board and CEO*</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spacing w:after="0"/>
              <w:rPr>
                <w:sz w:val="19"/>
                <w:szCs w:val="19"/>
                <w:color w:val="auto"/>
              </w:rPr>
            </w:pPr>
          </w:p>
        </w:tc>
        <w:tc>
          <w:tcPr>
            <w:tcW w:w="1100" w:type="dxa"/>
            <w:vAlign w:val="bottom"/>
            <w:tcBorders>
              <w:bottom w:val="single" w:sz="8" w:color="424E6A"/>
              <w:right w:val="single" w:sz="8" w:color="424E6A"/>
            </w:tcBorders>
          </w:tcPr>
          <w:p>
            <w:pPr>
              <w:spacing w:after="0"/>
              <w:rPr>
                <w:sz w:val="19"/>
                <w:szCs w:val="19"/>
                <w:color w:val="auto"/>
              </w:rPr>
            </w:pPr>
          </w:p>
        </w:tc>
        <w:tc>
          <w:tcPr>
            <w:tcW w:w="94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spacing w:after="0"/>
              <w:rPr>
                <w:sz w:val="19"/>
                <w:szCs w:val="19"/>
                <w:color w:val="auto"/>
              </w:rPr>
            </w:pPr>
          </w:p>
        </w:tc>
        <w:tc>
          <w:tcPr>
            <w:tcW w:w="920" w:type="dxa"/>
            <w:vAlign w:val="bottom"/>
            <w:tcBorders>
              <w:bottom w:val="single" w:sz="8" w:color="424E6A"/>
              <w:right w:val="single" w:sz="8" w:color="424E6A"/>
            </w:tcBorders>
          </w:tcPr>
          <w:p>
            <w:pPr>
              <w:spacing w:after="0"/>
              <w:rPr>
                <w:sz w:val="19"/>
                <w:szCs w:val="19"/>
                <w:color w:val="auto"/>
              </w:rPr>
            </w:pPr>
          </w:p>
        </w:tc>
        <w:tc>
          <w:tcPr>
            <w:tcW w:w="680" w:type="dxa"/>
            <w:vAlign w:val="bottom"/>
            <w:tcBorders>
              <w:bottom w:val="single" w:sz="8" w:color="424E6A"/>
              <w:right w:val="single" w:sz="8" w:color="424E6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left w:val="single" w:sz="8" w:color="424E6A"/>
              <w:bottom w:val="single" w:sz="8" w:color="424E6A"/>
            </w:tcBorders>
          </w:tcPr>
          <w:p>
            <w:pPr>
              <w:ind w:left="20"/>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7"/>
                <w:szCs w:val="17"/>
                <w:color w:val="auto"/>
              </w:rPr>
              <w:t>Ellen DeSanctis*</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spacing w:after="0"/>
              <w:rPr>
                <w:sz w:val="19"/>
                <w:szCs w:val="19"/>
                <w:color w:val="auto"/>
              </w:rPr>
            </w:pPr>
          </w:p>
        </w:tc>
        <w:tc>
          <w:tcPr>
            <w:tcW w:w="110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424E6A"/>
              <w:right w:val="single" w:sz="8" w:color="424E6A"/>
            </w:tcBorders>
          </w:tcPr>
          <w:p>
            <w:pPr>
              <w:spacing w:after="0"/>
              <w:rPr>
                <w:sz w:val="19"/>
                <w:szCs w:val="19"/>
                <w:color w:val="auto"/>
              </w:rPr>
            </w:pPr>
          </w:p>
        </w:tc>
        <w:tc>
          <w:tcPr>
            <w:tcW w:w="920" w:type="dxa"/>
            <w:vAlign w:val="bottom"/>
            <w:tcBorders>
              <w:bottom w:val="single" w:sz="8" w:color="424E6A"/>
              <w:right w:val="single" w:sz="8" w:color="424E6A"/>
            </w:tcBorders>
          </w:tcPr>
          <w:p>
            <w:pPr>
              <w:ind w:left="44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140" w:type="dxa"/>
            <w:vAlign w:val="bottom"/>
            <w:tcBorders>
              <w:left w:val="single" w:sz="8" w:color="424E6A"/>
              <w:bottom w:val="single" w:sz="8" w:color="424E6A"/>
            </w:tcBorders>
          </w:tcPr>
          <w:p>
            <w:pPr>
              <w:ind w:left="20"/>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7"/>
                <w:szCs w:val="17"/>
                <w:color w:val="auto"/>
              </w:rPr>
              <w:t>Alexandra D. Pruner*</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spacing w:after="0"/>
              <w:rPr>
                <w:sz w:val="19"/>
                <w:szCs w:val="19"/>
                <w:color w:val="auto"/>
              </w:rPr>
            </w:pPr>
          </w:p>
        </w:tc>
        <w:tc>
          <w:tcPr>
            <w:tcW w:w="110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424E6A"/>
              <w:right w:val="single" w:sz="8" w:color="424E6A"/>
            </w:tcBorders>
          </w:tcPr>
          <w:p>
            <w:pPr>
              <w:ind w:left="44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140" w:type="dxa"/>
            <w:vAlign w:val="bottom"/>
            <w:tcBorders>
              <w:left w:val="single" w:sz="8" w:color="424E6A"/>
              <w:bottom w:val="single" w:sz="8" w:color="424E6A"/>
            </w:tcBorders>
          </w:tcPr>
          <w:p>
            <w:pPr>
              <w:ind w:left="20"/>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7"/>
                <w:szCs w:val="17"/>
                <w:color w:val="auto"/>
              </w:rPr>
              <w:t>Lawrence M. Ziemba*</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spacing w:after="0"/>
              <w:rPr>
                <w:sz w:val="19"/>
                <w:szCs w:val="19"/>
                <w:color w:val="auto"/>
              </w:rPr>
            </w:pPr>
          </w:p>
        </w:tc>
        <w:tc>
          <w:tcPr>
            <w:tcW w:w="110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424E6A"/>
              <w:right w:val="single" w:sz="8" w:color="424E6A"/>
            </w:tcBorders>
          </w:tcPr>
          <w:p>
            <w:pPr>
              <w:spacing w:after="0"/>
              <w:rPr>
                <w:sz w:val="19"/>
                <w:szCs w:val="19"/>
                <w:color w:val="auto"/>
              </w:rPr>
            </w:pPr>
          </w:p>
        </w:tc>
        <w:tc>
          <w:tcPr>
            <w:tcW w:w="920" w:type="dxa"/>
            <w:vAlign w:val="bottom"/>
            <w:tcBorders>
              <w:bottom w:val="single" w:sz="8" w:color="424E6A"/>
              <w:right w:val="single" w:sz="8" w:color="424E6A"/>
            </w:tcBorders>
          </w:tcPr>
          <w:p>
            <w:pPr>
              <w:ind w:left="44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5"/>
        </w:trPr>
        <w:tc>
          <w:tcPr>
            <w:tcW w:w="1940" w:type="dxa"/>
            <w:vAlign w:val="bottom"/>
            <w:tcBorders>
              <w:left w:val="single" w:sz="8" w:color="424E6A"/>
              <w:right w:val="single" w:sz="8" w:color="424E6A"/>
            </w:tcBorders>
            <w:gridSpan w:val="2"/>
            <w:shd w:val="clear" w:color="auto" w:fill="D9DCE1"/>
          </w:tcPr>
          <w:p>
            <w:pPr>
              <w:ind w:left="20"/>
              <w:spacing w:after="0" w:line="155" w:lineRule="exact"/>
              <w:rPr>
                <w:sz w:val="20"/>
                <w:szCs w:val="20"/>
                <w:color w:val="auto"/>
              </w:rPr>
            </w:pPr>
            <w:r>
              <w:rPr>
                <w:rFonts w:ascii="Arial" w:cs="Arial" w:eastAsia="Arial" w:hAnsi="Arial"/>
                <w:sz w:val="17"/>
                <w:szCs w:val="17"/>
                <w:color w:val="auto"/>
              </w:rPr>
              <w:t>Class II Directors</w:t>
            </w:r>
          </w:p>
        </w:tc>
        <w:tc>
          <w:tcPr>
            <w:tcW w:w="960" w:type="dxa"/>
            <w:vAlign w:val="bottom"/>
            <w:tcBorders>
              <w:right w:val="single" w:sz="8" w:color="424E6A"/>
            </w:tcBorders>
            <w:shd w:val="clear" w:color="auto" w:fill="D9DCE1"/>
          </w:tcPr>
          <w:p>
            <w:pPr>
              <w:spacing w:after="0"/>
              <w:rPr>
                <w:sz w:val="13"/>
                <w:szCs w:val="13"/>
                <w:color w:val="auto"/>
              </w:rPr>
            </w:pPr>
          </w:p>
        </w:tc>
        <w:tc>
          <w:tcPr>
            <w:tcW w:w="840" w:type="dxa"/>
            <w:vAlign w:val="bottom"/>
            <w:tcBorders>
              <w:right w:val="single" w:sz="8" w:color="424E6A"/>
            </w:tcBorders>
            <w:shd w:val="clear" w:color="auto" w:fill="D9DCE1"/>
          </w:tcPr>
          <w:p>
            <w:pPr>
              <w:spacing w:after="0"/>
              <w:rPr>
                <w:sz w:val="13"/>
                <w:szCs w:val="13"/>
                <w:color w:val="auto"/>
              </w:rPr>
            </w:pPr>
          </w:p>
        </w:tc>
        <w:tc>
          <w:tcPr>
            <w:tcW w:w="1100" w:type="dxa"/>
            <w:vAlign w:val="bottom"/>
            <w:tcBorders>
              <w:right w:val="single" w:sz="8" w:color="424E6A"/>
            </w:tcBorders>
            <w:shd w:val="clear" w:color="auto" w:fill="D9DCE1"/>
          </w:tcPr>
          <w:p>
            <w:pPr>
              <w:spacing w:after="0"/>
              <w:rPr>
                <w:sz w:val="13"/>
                <w:szCs w:val="13"/>
                <w:color w:val="auto"/>
              </w:rPr>
            </w:pPr>
          </w:p>
        </w:tc>
        <w:tc>
          <w:tcPr>
            <w:tcW w:w="940" w:type="dxa"/>
            <w:vAlign w:val="bottom"/>
            <w:tcBorders>
              <w:right w:val="single" w:sz="8" w:color="424E6A"/>
            </w:tcBorders>
            <w:shd w:val="clear" w:color="auto" w:fill="D9DCE1"/>
          </w:tcPr>
          <w:p>
            <w:pPr>
              <w:spacing w:after="0"/>
              <w:rPr>
                <w:sz w:val="13"/>
                <w:szCs w:val="13"/>
                <w:color w:val="auto"/>
              </w:rPr>
            </w:pPr>
          </w:p>
        </w:tc>
        <w:tc>
          <w:tcPr>
            <w:tcW w:w="840" w:type="dxa"/>
            <w:vAlign w:val="bottom"/>
            <w:tcBorders>
              <w:right w:val="single" w:sz="8" w:color="424E6A"/>
            </w:tcBorders>
            <w:shd w:val="clear" w:color="auto" w:fill="D9DCE1"/>
          </w:tcPr>
          <w:p>
            <w:pPr>
              <w:spacing w:after="0"/>
              <w:rPr>
                <w:sz w:val="13"/>
                <w:szCs w:val="13"/>
                <w:color w:val="auto"/>
              </w:rPr>
            </w:pPr>
          </w:p>
        </w:tc>
        <w:tc>
          <w:tcPr>
            <w:tcW w:w="920" w:type="dxa"/>
            <w:vAlign w:val="bottom"/>
            <w:tcBorders>
              <w:right w:val="single" w:sz="8" w:color="424E6A"/>
            </w:tcBorders>
            <w:shd w:val="clear" w:color="auto" w:fill="D9DCE1"/>
          </w:tcPr>
          <w:p>
            <w:pPr>
              <w:spacing w:after="0"/>
              <w:rPr>
                <w:sz w:val="13"/>
                <w:szCs w:val="13"/>
                <w:color w:val="auto"/>
              </w:rPr>
            </w:pPr>
          </w:p>
        </w:tc>
        <w:tc>
          <w:tcPr>
            <w:tcW w:w="680" w:type="dxa"/>
            <w:vAlign w:val="bottom"/>
            <w:tcBorders>
              <w:right w:val="single" w:sz="8" w:color="424E6A"/>
            </w:tcBorders>
            <w:shd w:val="clear" w:color="auto" w:fill="D9DCE1"/>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40" w:type="dxa"/>
            <w:vAlign w:val="bottom"/>
            <w:tcBorders>
              <w:left w:val="single" w:sz="8" w:color="424E6A"/>
              <w:bottom w:val="single" w:sz="8" w:color="424E6A"/>
            </w:tcBorders>
            <w:shd w:val="clear" w:color="auto" w:fill="D9DCE1"/>
          </w:tcPr>
          <w:p>
            <w:pPr>
              <w:ind w:left="20"/>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7"/>
                <w:szCs w:val="17"/>
                <w:color w:val="auto"/>
              </w:rPr>
              <w:t>(Term expires 2025)</w:t>
            </w:r>
          </w:p>
        </w:tc>
        <w:tc>
          <w:tcPr>
            <w:tcW w:w="960" w:type="dxa"/>
            <w:vAlign w:val="bottom"/>
            <w:tcBorders>
              <w:bottom w:val="single" w:sz="8" w:color="424E6A"/>
              <w:right w:val="single" w:sz="8" w:color="424E6A"/>
            </w:tcBorders>
            <w:shd w:val="clear" w:color="auto" w:fill="D9DCE1"/>
          </w:tcPr>
          <w:p>
            <w:pPr>
              <w:spacing w:after="0"/>
              <w:rPr>
                <w:sz w:val="22"/>
                <w:szCs w:val="22"/>
                <w:color w:val="auto"/>
              </w:rPr>
            </w:pPr>
          </w:p>
        </w:tc>
        <w:tc>
          <w:tcPr>
            <w:tcW w:w="840" w:type="dxa"/>
            <w:vAlign w:val="bottom"/>
            <w:tcBorders>
              <w:bottom w:val="single" w:sz="8" w:color="424E6A"/>
              <w:right w:val="single" w:sz="8" w:color="424E6A"/>
            </w:tcBorders>
            <w:shd w:val="clear" w:color="auto" w:fill="D9DCE1"/>
          </w:tcPr>
          <w:p>
            <w:pPr>
              <w:ind w:left="40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24E6A"/>
              <w:right w:val="single" w:sz="8" w:color="424E6A"/>
            </w:tcBorders>
            <w:shd w:val="clear" w:color="auto" w:fill="D9DCE1"/>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424E6A"/>
              <w:right w:val="single" w:sz="8" w:color="424E6A"/>
            </w:tcBorders>
            <w:shd w:val="clear" w:color="auto" w:fill="D9DCE1"/>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424E6A"/>
              <w:right w:val="single" w:sz="8" w:color="424E6A"/>
            </w:tcBorders>
            <w:shd w:val="clear" w:color="auto" w:fill="D9DCE1"/>
          </w:tcPr>
          <w:p>
            <w:pPr>
              <w:ind w:left="4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424E6A"/>
              <w:right w:val="single" w:sz="8" w:color="424E6A"/>
            </w:tcBorders>
            <w:shd w:val="clear" w:color="auto" w:fill="D9DCE1"/>
          </w:tcPr>
          <w:p>
            <w:pPr>
              <w:ind w:left="44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424E6A"/>
              <w:right w:val="single" w:sz="8" w:color="424E6A"/>
            </w:tcBorders>
            <w:shd w:val="clear" w:color="auto" w:fill="D9DCE1"/>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140" w:type="dxa"/>
            <w:vAlign w:val="bottom"/>
            <w:tcBorders>
              <w:left w:val="single" w:sz="8" w:color="424E6A"/>
              <w:bottom w:val="single" w:sz="8" w:color="424E6A"/>
            </w:tcBorders>
          </w:tcPr>
          <w:p>
            <w:pPr>
              <w:ind w:left="20"/>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7"/>
                <w:szCs w:val="17"/>
                <w:color w:val="auto"/>
              </w:rPr>
              <w:t>Victor Burk</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spacing w:after="0"/>
              <w:rPr>
                <w:sz w:val="19"/>
                <w:szCs w:val="19"/>
                <w:color w:val="auto"/>
              </w:rPr>
            </w:pPr>
          </w:p>
        </w:tc>
        <w:tc>
          <w:tcPr>
            <w:tcW w:w="110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424E6A"/>
              <w:right w:val="single" w:sz="8" w:color="424E6A"/>
            </w:tcBorders>
          </w:tcPr>
          <w:p>
            <w:pPr>
              <w:ind w:left="44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140" w:type="dxa"/>
            <w:vAlign w:val="bottom"/>
            <w:tcBorders>
              <w:left w:val="single" w:sz="8" w:color="424E6A"/>
              <w:bottom w:val="single" w:sz="8" w:color="424E6A"/>
            </w:tcBorders>
          </w:tcPr>
          <w:p>
            <w:pPr>
              <w:ind w:left="20"/>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7"/>
                <w:szCs w:val="17"/>
                <w:color w:val="auto"/>
              </w:rPr>
              <w:t>Kevin S. McCarthy</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424E6A"/>
              <w:right w:val="single" w:sz="8" w:color="424E6A"/>
            </w:tcBorders>
          </w:tcPr>
          <w:p>
            <w:pPr>
              <w:ind w:left="44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140" w:type="dxa"/>
            <w:vAlign w:val="bottom"/>
            <w:tcBorders>
              <w:left w:val="single" w:sz="8" w:color="424E6A"/>
            </w:tcBorders>
          </w:tcPr>
          <w:p>
            <w:pPr>
              <w:ind w:left="20"/>
              <w:spacing w:after="0"/>
              <w:rPr>
                <w:sz w:val="20"/>
                <w:szCs w:val="20"/>
                <w:color w:val="auto"/>
              </w:rPr>
            </w:pPr>
            <w:r>
              <w:rPr>
                <w:rFonts w:ascii="Arial" w:cs="Arial" w:eastAsia="Arial" w:hAnsi="Arial"/>
                <w:sz w:val="17"/>
                <w:szCs w:val="17"/>
                <w:color w:val="auto"/>
              </w:rPr>
              <w:t>​</w:t>
            </w:r>
          </w:p>
        </w:tc>
        <w:tc>
          <w:tcPr>
            <w:tcW w:w="1800" w:type="dxa"/>
            <w:vAlign w:val="bottom"/>
            <w:tcBorders>
              <w:right w:val="single" w:sz="8" w:color="424E6A"/>
            </w:tcBorders>
          </w:tcPr>
          <w:p>
            <w:pPr>
              <w:ind w:left="60"/>
              <w:spacing w:after="0"/>
              <w:rPr>
                <w:sz w:val="20"/>
                <w:szCs w:val="20"/>
                <w:color w:val="auto"/>
              </w:rPr>
            </w:pPr>
            <w:r>
              <w:rPr>
                <w:rFonts w:ascii="Arial" w:cs="Arial" w:eastAsia="Arial" w:hAnsi="Arial"/>
                <w:sz w:val="17"/>
                <w:szCs w:val="17"/>
                <w:color w:val="auto"/>
              </w:rPr>
              <w:t>Harry N. Pefanis,</w:t>
            </w:r>
          </w:p>
        </w:tc>
        <w:tc>
          <w:tcPr>
            <w:tcW w:w="96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1100" w:type="dxa"/>
            <w:vAlign w:val="bottom"/>
            <w:tcBorders>
              <w:right w:val="single" w:sz="8" w:color="424E6A"/>
            </w:tcBorders>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424E6A"/>
            </w:tcBorders>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424E6A"/>
            </w:tcBorders>
          </w:tcPr>
          <w:p>
            <w:pPr>
              <w:ind w:left="440"/>
              <w:spacing w:after="0"/>
              <w:rPr>
                <w:sz w:val="20"/>
                <w:szCs w:val="20"/>
                <w:color w:val="auto"/>
              </w:rPr>
            </w:pPr>
            <w:r>
              <w:rPr>
                <w:rFonts w:ascii="Arial" w:cs="Arial" w:eastAsia="Arial" w:hAnsi="Arial"/>
                <w:sz w:val="17"/>
                <w:szCs w:val="17"/>
                <w:color w:val="auto"/>
              </w:rPr>
              <w:t>​</w:t>
            </w:r>
          </w:p>
        </w:tc>
        <w:tc>
          <w:tcPr>
            <w:tcW w:w="680" w:type="dxa"/>
            <w:vAlign w:val="bottom"/>
            <w:tcBorders>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140" w:type="dxa"/>
            <w:vAlign w:val="bottom"/>
            <w:tcBorders>
              <w:left w:val="single" w:sz="8" w:color="424E6A"/>
              <w:bottom w:val="single" w:sz="8" w:color="424E6A"/>
            </w:tcBorders>
          </w:tcPr>
          <w:p>
            <w:pPr>
              <w:spacing w:after="0"/>
              <w:rPr>
                <w:sz w:val="17"/>
                <w:szCs w:val="17"/>
                <w:color w:val="auto"/>
              </w:rPr>
            </w:pPr>
          </w:p>
        </w:tc>
        <w:tc>
          <w:tcPr>
            <w:tcW w:w="1800" w:type="dxa"/>
            <w:vAlign w:val="bottom"/>
            <w:tcBorders>
              <w:bottom w:val="single" w:sz="8" w:color="424E6A"/>
              <w:right w:val="single" w:sz="8" w:color="424E6A"/>
            </w:tcBorders>
          </w:tcPr>
          <w:p>
            <w:pPr>
              <w:ind w:left="220"/>
              <w:spacing w:after="0"/>
              <w:rPr>
                <w:sz w:val="20"/>
                <w:szCs w:val="20"/>
                <w:color w:val="auto"/>
              </w:rPr>
            </w:pPr>
            <w:r>
              <w:rPr>
                <w:rFonts w:ascii="Arial" w:cs="Arial" w:eastAsia="Arial" w:hAnsi="Arial"/>
                <w:sz w:val="17"/>
                <w:szCs w:val="17"/>
                <w:color w:val="auto"/>
              </w:rPr>
              <w:t>President</w:t>
            </w:r>
          </w:p>
        </w:tc>
        <w:tc>
          <w:tcPr>
            <w:tcW w:w="960" w:type="dxa"/>
            <w:vAlign w:val="bottom"/>
            <w:tcBorders>
              <w:bottom w:val="single" w:sz="8" w:color="424E6A"/>
              <w:right w:val="single" w:sz="8" w:color="424E6A"/>
            </w:tcBorders>
          </w:tcPr>
          <w:p>
            <w:pPr>
              <w:spacing w:after="0"/>
              <w:rPr>
                <w:sz w:val="17"/>
                <w:szCs w:val="17"/>
                <w:color w:val="auto"/>
              </w:rPr>
            </w:pPr>
          </w:p>
        </w:tc>
        <w:tc>
          <w:tcPr>
            <w:tcW w:w="840" w:type="dxa"/>
            <w:vAlign w:val="bottom"/>
            <w:tcBorders>
              <w:bottom w:val="single" w:sz="8" w:color="424E6A"/>
              <w:right w:val="single" w:sz="8" w:color="424E6A"/>
            </w:tcBorders>
          </w:tcPr>
          <w:p>
            <w:pPr>
              <w:spacing w:after="0"/>
              <w:rPr>
                <w:sz w:val="17"/>
                <w:szCs w:val="17"/>
                <w:color w:val="auto"/>
              </w:rPr>
            </w:pPr>
          </w:p>
        </w:tc>
        <w:tc>
          <w:tcPr>
            <w:tcW w:w="1100" w:type="dxa"/>
            <w:vAlign w:val="bottom"/>
            <w:tcBorders>
              <w:bottom w:val="single" w:sz="8" w:color="424E6A"/>
              <w:right w:val="single" w:sz="8" w:color="424E6A"/>
            </w:tcBorders>
          </w:tcPr>
          <w:p>
            <w:pPr>
              <w:spacing w:after="0"/>
              <w:rPr>
                <w:sz w:val="17"/>
                <w:szCs w:val="17"/>
                <w:color w:val="auto"/>
              </w:rPr>
            </w:pPr>
          </w:p>
        </w:tc>
        <w:tc>
          <w:tcPr>
            <w:tcW w:w="940" w:type="dxa"/>
            <w:vAlign w:val="bottom"/>
            <w:tcBorders>
              <w:bottom w:val="single" w:sz="8" w:color="424E6A"/>
              <w:right w:val="single" w:sz="8" w:color="424E6A"/>
            </w:tcBorders>
          </w:tcPr>
          <w:p>
            <w:pPr>
              <w:spacing w:after="0"/>
              <w:rPr>
                <w:sz w:val="17"/>
                <w:szCs w:val="17"/>
                <w:color w:val="auto"/>
              </w:rPr>
            </w:pPr>
          </w:p>
        </w:tc>
        <w:tc>
          <w:tcPr>
            <w:tcW w:w="840" w:type="dxa"/>
            <w:vAlign w:val="bottom"/>
            <w:tcBorders>
              <w:bottom w:val="single" w:sz="8" w:color="424E6A"/>
              <w:right w:val="single" w:sz="8" w:color="424E6A"/>
            </w:tcBorders>
          </w:tcPr>
          <w:p>
            <w:pPr>
              <w:spacing w:after="0"/>
              <w:rPr>
                <w:sz w:val="17"/>
                <w:szCs w:val="17"/>
                <w:color w:val="auto"/>
              </w:rPr>
            </w:pPr>
          </w:p>
        </w:tc>
        <w:tc>
          <w:tcPr>
            <w:tcW w:w="920" w:type="dxa"/>
            <w:vAlign w:val="bottom"/>
            <w:tcBorders>
              <w:bottom w:val="single" w:sz="8" w:color="424E6A"/>
              <w:right w:val="single" w:sz="8" w:color="424E6A"/>
            </w:tcBorders>
          </w:tcPr>
          <w:p>
            <w:pPr>
              <w:spacing w:after="0"/>
              <w:rPr>
                <w:sz w:val="17"/>
                <w:szCs w:val="17"/>
                <w:color w:val="auto"/>
              </w:rPr>
            </w:pPr>
          </w:p>
        </w:tc>
        <w:tc>
          <w:tcPr>
            <w:tcW w:w="680" w:type="dxa"/>
            <w:vAlign w:val="bottom"/>
            <w:tcBorders>
              <w:bottom w:val="single" w:sz="8" w:color="424E6A"/>
              <w:right w:val="single" w:sz="8" w:color="424E6A"/>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0" w:type="dxa"/>
            <w:vAlign w:val="bottom"/>
            <w:tcBorders>
              <w:left w:val="single" w:sz="8" w:color="424E6A"/>
              <w:bottom w:val="single" w:sz="8" w:color="424E6A"/>
            </w:tcBorders>
          </w:tcPr>
          <w:p>
            <w:pPr>
              <w:ind w:left="20"/>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7"/>
                <w:szCs w:val="17"/>
                <w:color w:val="auto"/>
              </w:rPr>
              <w:t>Gary R. Petersen</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24E6A"/>
              <w:right w:val="single" w:sz="8" w:color="424E6A"/>
            </w:tcBorders>
          </w:tcPr>
          <w:p>
            <w:pPr>
              <w:spacing w:after="0"/>
              <w:rPr>
                <w:sz w:val="19"/>
                <w:szCs w:val="19"/>
                <w:color w:val="auto"/>
              </w:rPr>
            </w:pPr>
          </w:p>
        </w:tc>
        <w:tc>
          <w:tcPr>
            <w:tcW w:w="94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424E6A"/>
              <w:right w:val="single" w:sz="8" w:color="424E6A"/>
            </w:tcBorders>
          </w:tcPr>
          <w:p>
            <w:pPr>
              <w:ind w:left="44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5"/>
        </w:trPr>
        <w:tc>
          <w:tcPr>
            <w:tcW w:w="1940" w:type="dxa"/>
            <w:vAlign w:val="bottom"/>
            <w:tcBorders>
              <w:left w:val="single" w:sz="8" w:color="424E6A"/>
              <w:right w:val="single" w:sz="8" w:color="424E6A"/>
            </w:tcBorders>
            <w:gridSpan w:val="2"/>
            <w:shd w:val="clear" w:color="auto" w:fill="D9DCE1"/>
          </w:tcPr>
          <w:p>
            <w:pPr>
              <w:ind w:left="20"/>
              <w:spacing w:after="0" w:line="155" w:lineRule="exact"/>
              <w:rPr>
                <w:sz w:val="20"/>
                <w:szCs w:val="20"/>
                <w:color w:val="auto"/>
              </w:rPr>
            </w:pPr>
            <w:r>
              <w:rPr>
                <w:rFonts w:ascii="Arial" w:cs="Arial" w:eastAsia="Arial" w:hAnsi="Arial"/>
                <w:sz w:val="17"/>
                <w:szCs w:val="17"/>
                <w:color w:val="auto"/>
              </w:rPr>
              <w:t>Class III Directors</w:t>
            </w:r>
          </w:p>
        </w:tc>
        <w:tc>
          <w:tcPr>
            <w:tcW w:w="960" w:type="dxa"/>
            <w:vAlign w:val="bottom"/>
            <w:tcBorders>
              <w:right w:val="single" w:sz="8" w:color="424E6A"/>
            </w:tcBorders>
            <w:shd w:val="clear" w:color="auto" w:fill="D9DCE1"/>
          </w:tcPr>
          <w:p>
            <w:pPr>
              <w:spacing w:after="0"/>
              <w:rPr>
                <w:sz w:val="13"/>
                <w:szCs w:val="13"/>
                <w:color w:val="auto"/>
              </w:rPr>
            </w:pPr>
          </w:p>
        </w:tc>
        <w:tc>
          <w:tcPr>
            <w:tcW w:w="840" w:type="dxa"/>
            <w:vAlign w:val="bottom"/>
            <w:tcBorders>
              <w:right w:val="single" w:sz="8" w:color="424E6A"/>
            </w:tcBorders>
            <w:shd w:val="clear" w:color="auto" w:fill="D9DCE1"/>
          </w:tcPr>
          <w:p>
            <w:pPr>
              <w:spacing w:after="0"/>
              <w:rPr>
                <w:sz w:val="13"/>
                <w:szCs w:val="13"/>
                <w:color w:val="auto"/>
              </w:rPr>
            </w:pPr>
          </w:p>
        </w:tc>
        <w:tc>
          <w:tcPr>
            <w:tcW w:w="1100" w:type="dxa"/>
            <w:vAlign w:val="bottom"/>
            <w:tcBorders>
              <w:right w:val="single" w:sz="8" w:color="424E6A"/>
            </w:tcBorders>
            <w:shd w:val="clear" w:color="auto" w:fill="D9DCE1"/>
          </w:tcPr>
          <w:p>
            <w:pPr>
              <w:spacing w:after="0"/>
              <w:rPr>
                <w:sz w:val="13"/>
                <w:szCs w:val="13"/>
                <w:color w:val="auto"/>
              </w:rPr>
            </w:pPr>
          </w:p>
        </w:tc>
        <w:tc>
          <w:tcPr>
            <w:tcW w:w="940" w:type="dxa"/>
            <w:vAlign w:val="bottom"/>
            <w:tcBorders>
              <w:right w:val="single" w:sz="8" w:color="424E6A"/>
            </w:tcBorders>
            <w:shd w:val="clear" w:color="auto" w:fill="D9DCE1"/>
          </w:tcPr>
          <w:p>
            <w:pPr>
              <w:spacing w:after="0"/>
              <w:rPr>
                <w:sz w:val="13"/>
                <w:szCs w:val="13"/>
                <w:color w:val="auto"/>
              </w:rPr>
            </w:pPr>
          </w:p>
        </w:tc>
        <w:tc>
          <w:tcPr>
            <w:tcW w:w="840" w:type="dxa"/>
            <w:vAlign w:val="bottom"/>
            <w:tcBorders>
              <w:right w:val="single" w:sz="8" w:color="424E6A"/>
            </w:tcBorders>
            <w:shd w:val="clear" w:color="auto" w:fill="D9DCE1"/>
          </w:tcPr>
          <w:p>
            <w:pPr>
              <w:spacing w:after="0"/>
              <w:rPr>
                <w:sz w:val="13"/>
                <w:szCs w:val="13"/>
                <w:color w:val="auto"/>
              </w:rPr>
            </w:pPr>
          </w:p>
        </w:tc>
        <w:tc>
          <w:tcPr>
            <w:tcW w:w="920" w:type="dxa"/>
            <w:vAlign w:val="bottom"/>
            <w:tcBorders>
              <w:right w:val="single" w:sz="8" w:color="424E6A"/>
            </w:tcBorders>
            <w:shd w:val="clear" w:color="auto" w:fill="D9DCE1"/>
          </w:tcPr>
          <w:p>
            <w:pPr>
              <w:spacing w:after="0"/>
              <w:rPr>
                <w:sz w:val="13"/>
                <w:szCs w:val="13"/>
                <w:color w:val="auto"/>
              </w:rPr>
            </w:pPr>
          </w:p>
        </w:tc>
        <w:tc>
          <w:tcPr>
            <w:tcW w:w="680" w:type="dxa"/>
            <w:vAlign w:val="bottom"/>
            <w:tcBorders>
              <w:right w:val="single" w:sz="8" w:color="424E6A"/>
            </w:tcBorders>
            <w:shd w:val="clear" w:color="auto" w:fill="D9DCE1"/>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140" w:type="dxa"/>
            <w:vAlign w:val="bottom"/>
            <w:tcBorders>
              <w:left w:val="single" w:sz="8" w:color="424E6A"/>
              <w:bottom w:val="single" w:sz="8" w:color="424E6A"/>
            </w:tcBorders>
            <w:shd w:val="clear" w:color="auto" w:fill="D9DCE1"/>
          </w:tcPr>
          <w:p>
            <w:pPr>
              <w:ind w:left="20"/>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7"/>
                <w:szCs w:val="17"/>
                <w:color w:val="auto"/>
              </w:rPr>
              <w:t>(Term expires 2024)</w:t>
            </w:r>
          </w:p>
        </w:tc>
        <w:tc>
          <w:tcPr>
            <w:tcW w:w="960" w:type="dxa"/>
            <w:vAlign w:val="bottom"/>
            <w:tcBorders>
              <w:bottom w:val="single" w:sz="8" w:color="424E6A"/>
              <w:right w:val="single" w:sz="8" w:color="424E6A"/>
            </w:tcBorders>
            <w:shd w:val="clear" w:color="auto" w:fill="D9DCE1"/>
          </w:tcPr>
          <w:p>
            <w:pPr>
              <w:spacing w:after="0"/>
              <w:rPr>
                <w:sz w:val="22"/>
                <w:szCs w:val="22"/>
                <w:color w:val="auto"/>
              </w:rPr>
            </w:pPr>
          </w:p>
        </w:tc>
        <w:tc>
          <w:tcPr>
            <w:tcW w:w="840" w:type="dxa"/>
            <w:vAlign w:val="bottom"/>
            <w:tcBorders>
              <w:bottom w:val="single" w:sz="8" w:color="424E6A"/>
              <w:right w:val="single" w:sz="8" w:color="424E6A"/>
            </w:tcBorders>
            <w:shd w:val="clear" w:color="auto" w:fill="D9DCE1"/>
          </w:tcPr>
          <w:p>
            <w:pPr>
              <w:ind w:left="40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24E6A"/>
              <w:right w:val="single" w:sz="8" w:color="424E6A"/>
            </w:tcBorders>
            <w:shd w:val="clear" w:color="auto" w:fill="D9DCE1"/>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424E6A"/>
              <w:right w:val="single" w:sz="8" w:color="424E6A"/>
            </w:tcBorders>
            <w:shd w:val="clear" w:color="auto" w:fill="D9DCE1"/>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424E6A"/>
              <w:right w:val="single" w:sz="8" w:color="424E6A"/>
            </w:tcBorders>
            <w:shd w:val="clear" w:color="auto" w:fill="D9DCE1"/>
          </w:tcPr>
          <w:p>
            <w:pPr>
              <w:ind w:left="4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424E6A"/>
              <w:right w:val="single" w:sz="8" w:color="424E6A"/>
            </w:tcBorders>
            <w:shd w:val="clear" w:color="auto" w:fill="D9DCE1"/>
          </w:tcPr>
          <w:p>
            <w:pPr>
              <w:ind w:left="44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424E6A"/>
              <w:right w:val="single" w:sz="8" w:color="424E6A"/>
            </w:tcBorders>
            <w:shd w:val="clear" w:color="auto" w:fill="D9DCE1"/>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140" w:type="dxa"/>
            <w:vAlign w:val="bottom"/>
            <w:tcBorders>
              <w:left w:val="single" w:sz="8" w:color="424E6A"/>
            </w:tcBorders>
          </w:tcPr>
          <w:p>
            <w:pPr>
              <w:spacing w:after="0"/>
              <w:rPr>
                <w:sz w:val="16"/>
                <w:szCs w:val="16"/>
                <w:color w:val="auto"/>
              </w:rPr>
            </w:pPr>
          </w:p>
        </w:tc>
        <w:tc>
          <w:tcPr>
            <w:tcW w:w="1800" w:type="dxa"/>
            <w:vAlign w:val="bottom"/>
            <w:tcBorders>
              <w:right w:val="single" w:sz="8" w:color="424E6A"/>
            </w:tcBorders>
          </w:tcPr>
          <w:p>
            <w:pPr>
              <w:ind w:left="60"/>
              <w:spacing w:after="0" w:line="190" w:lineRule="exact"/>
              <w:rPr>
                <w:sz w:val="20"/>
                <w:szCs w:val="20"/>
                <w:color w:val="auto"/>
              </w:rPr>
            </w:pPr>
            <w:r>
              <w:rPr>
                <w:rFonts w:ascii="Arial" w:cs="Arial" w:eastAsia="Arial" w:hAnsi="Arial"/>
                <w:sz w:val="17"/>
                <w:szCs w:val="17"/>
                <w:color w:val="auto"/>
              </w:rPr>
              <w:t>Greg L. Armstrong,</w:t>
            </w:r>
          </w:p>
        </w:tc>
        <w:tc>
          <w:tcPr>
            <w:tcW w:w="96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tcPr>
          <w:p>
            <w:pPr>
              <w:spacing w:after="0"/>
              <w:rPr>
                <w:sz w:val="16"/>
                <w:szCs w:val="16"/>
                <w:color w:val="auto"/>
              </w:rPr>
            </w:pPr>
          </w:p>
        </w:tc>
        <w:tc>
          <w:tcPr>
            <w:tcW w:w="1100" w:type="dxa"/>
            <w:vAlign w:val="bottom"/>
            <w:tcBorders>
              <w:right w:val="single" w:sz="8" w:color="424E6A"/>
            </w:tcBorders>
          </w:tcPr>
          <w:p>
            <w:pPr>
              <w:spacing w:after="0"/>
              <w:rPr>
                <w:sz w:val="16"/>
                <w:szCs w:val="16"/>
                <w:color w:val="auto"/>
              </w:rPr>
            </w:pPr>
          </w:p>
        </w:tc>
        <w:tc>
          <w:tcPr>
            <w:tcW w:w="94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tcPr>
          <w:p>
            <w:pPr>
              <w:spacing w:after="0"/>
              <w:rPr>
                <w:sz w:val="16"/>
                <w:szCs w:val="16"/>
                <w:color w:val="auto"/>
              </w:rPr>
            </w:pPr>
          </w:p>
        </w:tc>
        <w:tc>
          <w:tcPr>
            <w:tcW w:w="920" w:type="dxa"/>
            <w:vAlign w:val="bottom"/>
            <w:tcBorders>
              <w:right w:val="single" w:sz="8" w:color="424E6A"/>
            </w:tcBorders>
          </w:tcPr>
          <w:p>
            <w:pPr>
              <w:spacing w:after="0"/>
              <w:rPr>
                <w:sz w:val="16"/>
                <w:szCs w:val="16"/>
                <w:color w:val="auto"/>
              </w:rPr>
            </w:pPr>
          </w:p>
        </w:tc>
        <w:tc>
          <w:tcPr>
            <w:tcW w:w="680" w:type="dxa"/>
            <w:vAlign w:val="bottom"/>
            <w:tcBorders>
              <w:right w:val="single" w:sz="8" w:color="424E6A"/>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 w:type="dxa"/>
            <w:vAlign w:val="bottom"/>
            <w:tcBorders>
              <w:left w:val="single" w:sz="8" w:color="424E6A"/>
            </w:tcBorders>
            <w:vMerge w:val="restart"/>
          </w:tcPr>
          <w:p>
            <w:pPr>
              <w:ind w:left="20"/>
              <w:spacing w:after="0"/>
              <w:rPr>
                <w:sz w:val="20"/>
                <w:szCs w:val="20"/>
                <w:color w:val="auto"/>
              </w:rPr>
            </w:pPr>
            <w:r>
              <w:rPr>
                <w:rFonts w:ascii="Arial" w:cs="Arial" w:eastAsia="Arial" w:hAnsi="Arial"/>
                <w:sz w:val="17"/>
                <w:szCs w:val="17"/>
                <w:color w:val="auto"/>
              </w:rPr>
              <w:t>​</w:t>
            </w:r>
          </w:p>
        </w:tc>
        <w:tc>
          <w:tcPr>
            <w:tcW w:w="1800" w:type="dxa"/>
            <w:vAlign w:val="bottom"/>
            <w:tcBorders>
              <w:right w:val="single" w:sz="8" w:color="424E6A"/>
            </w:tcBorders>
          </w:tcPr>
          <w:p>
            <w:pPr>
              <w:ind w:left="220"/>
              <w:spacing w:after="0"/>
              <w:rPr>
                <w:sz w:val="20"/>
                <w:szCs w:val="20"/>
                <w:color w:val="auto"/>
              </w:rPr>
            </w:pPr>
            <w:r>
              <w:rPr>
                <w:rFonts w:ascii="Arial" w:cs="Arial" w:eastAsia="Arial" w:hAnsi="Arial"/>
                <w:sz w:val="17"/>
                <w:szCs w:val="17"/>
                <w:color w:val="auto"/>
              </w:rPr>
              <w:t>Senior Advisor to</w:t>
            </w:r>
          </w:p>
        </w:tc>
        <w:tc>
          <w:tcPr>
            <w:tcW w:w="96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vMerge w:val="restart"/>
          </w:tcPr>
          <w:p>
            <w:pPr>
              <w:ind w:left="400"/>
              <w:spacing w:after="0"/>
              <w:rPr>
                <w:sz w:val="20"/>
                <w:szCs w:val="20"/>
                <w:color w:val="auto"/>
              </w:rPr>
            </w:pPr>
            <w:r>
              <w:rPr>
                <w:rFonts w:ascii="Arial" w:cs="Arial" w:eastAsia="Arial" w:hAnsi="Arial"/>
                <w:sz w:val="17"/>
                <w:szCs w:val="17"/>
                <w:color w:val="auto"/>
              </w:rPr>
              <w:t>​</w:t>
            </w:r>
          </w:p>
        </w:tc>
        <w:tc>
          <w:tcPr>
            <w:tcW w:w="1100" w:type="dxa"/>
            <w:vAlign w:val="bottom"/>
            <w:tcBorders>
              <w:right w:val="single" w:sz="8" w:color="424E6A"/>
            </w:tcBorders>
            <w:vMerge w:val="restart"/>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424E6A"/>
            </w:tcBorders>
            <w:vMerge w:val="restart"/>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424E6A"/>
            </w:tcBorders>
            <w:vMerge w:val="restart"/>
          </w:tcPr>
          <w:p>
            <w:pPr>
              <w:ind w:left="40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424E6A"/>
            </w:tcBorders>
            <w:vMerge w:val="restart"/>
          </w:tcPr>
          <w:p>
            <w:pPr>
              <w:ind w:left="440"/>
              <w:spacing w:after="0"/>
              <w:rPr>
                <w:sz w:val="20"/>
                <w:szCs w:val="20"/>
                <w:color w:val="auto"/>
              </w:rPr>
            </w:pPr>
            <w:r>
              <w:rPr>
                <w:rFonts w:ascii="Arial" w:cs="Arial" w:eastAsia="Arial" w:hAnsi="Arial"/>
                <w:sz w:val="17"/>
                <w:szCs w:val="17"/>
                <w:color w:val="auto"/>
              </w:rPr>
              <w:t>​</w:t>
            </w:r>
          </w:p>
        </w:tc>
        <w:tc>
          <w:tcPr>
            <w:tcW w:w="680" w:type="dxa"/>
            <w:vAlign w:val="bottom"/>
            <w:tcBorders>
              <w:right w:val="single" w:sz="8" w:color="424E6A"/>
            </w:tcBorders>
            <w:vMerge w:val="restart"/>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140" w:type="dxa"/>
            <w:vAlign w:val="bottom"/>
            <w:tcBorders>
              <w:left w:val="single" w:sz="8" w:color="424E6A"/>
            </w:tcBorders>
            <w:vMerge w:val="continue"/>
          </w:tcPr>
          <w:p>
            <w:pPr>
              <w:spacing w:after="0"/>
              <w:rPr>
                <w:sz w:val="17"/>
                <w:szCs w:val="17"/>
                <w:color w:val="auto"/>
              </w:rPr>
            </w:pPr>
          </w:p>
        </w:tc>
        <w:tc>
          <w:tcPr>
            <w:tcW w:w="1800" w:type="dxa"/>
            <w:vAlign w:val="bottom"/>
            <w:tcBorders>
              <w:right w:val="single" w:sz="8" w:color="424E6A"/>
            </w:tcBorders>
          </w:tcPr>
          <w:p>
            <w:pPr>
              <w:ind w:left="220"/>
              <w:spacing w:after="0"/>
              <w:rPr>
                <w:sz w:val="20"/>
                <w:szCs w:val="20"/>
                <w:color w:val="auto"/>
              </w:rPr>
            </w:pPr>
            <w:r>
              <w:rPr>
                <w:rFonts w:ascii="Arial" w:cs="Arial" w:eastAsia="Arial" w:hAnsi="Arial"/>
                <w:sz w:val="17"/>
                <w:szCs w:val="17"/>
                <w:color w:val="auto"/>
              </w:rPr>
              <w:t>the CEO (former</w:t>
            </w:r>
          </w:p>
        </w:tc>
        <w:tc>
          <w:tcPr>
            <w:tcW w:w="96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vMerge w:val="continue"/>
          </w:tcPr>
          <w:p>
            <w:pPr>
              <w:spacing w:after="0"/>
              <w:rPr>
                <w:sz w:val="17"/>
                <w:szCs w:val="17"/>
                <w:color w:val="auto"/>
              </w:rPr>
            </w:pPr>
          </w:p>
        </w:tc>
        <w:tc>
          <w:tcPr>
            <w:tcW w:w="1100" w:type="dxa"/>
            <w:vAlign w:val="bottom"/>
            <w:tcBorders>
              <w:right w:val="single" w:sz="8" w:color="424E6A"/>
            </w:tcBorders>
            <w:vMerge w:val="continue"/>
          </w:tcPr>
          <w:p>
            <w:pPr>
              <w:spacing w:after="0"/>
              <w:rPr>
                <w:sz w:val="17"/>
                <w:szCs w:val="17"/>
                <w:color w:val="auto"/>
              </w:rPr>
            </w:pPr>
          </w:p>
        </w:tc>
        <w:tc>
          <w:tcPr>
            <w:tcW w:w="940" w:type="dxa"/>
            <w:vAlign w:val="bottom"/>
            <w:tcBorders>
              <w:right w:val="single" w:sz="8" w:color="424E6A"/>
            </w:tcBorders>
            <w:vMerge w:val="continue"/>
          </w:tcPr>
          <w:p>
            <w:pPr>
              <w:spacing w:after="0"/>
              <w:rPr>
                <w:sz w:val="17"/>
                <w:szCs w:val="17"/>
                <w:color w:val="auto"/>
              </w:rPr>
            </w:pPr>
          </w:p>
        </w:tc>
        <w:tc>
          <w:tcPr>
            <w:tcW w:w="840" w:type="dxa"/>
            <w:vAlign w:val="bottom"/>
            <w:tcBorders>
              <w:right w:val="single" w:sz="8" w:color="424E6A"/>
            </w:tcBorders>
            <w:vMerge w:val="continue"/>
          </w:tcPr>
          <w:p>
            <w:pPr>
              <w:spacing w:after="0"/>
              <w:rPr>
                <w:sz w:val="17"/>
                <w:szCs w:val="17"/>
                <w:color w:val="auto"/>
              </w:rPr>
            </w:pPr>
          </w:p>
        </w:tc>
        <w:tc>
          <w:tcPr>
            <w:tcW w:w="920" w:type="dxa"/>
            <w:vAlign w:val="bottom"/>
            <w:tcBorders>
              <w:right w:val="single" w:sz="8" w:color="424E6A"/>
            </w:tcBorders>
            <w:vMerge w:val="continue"/>
          </w:tcPr>
          <w:p>
            <w:pPr>
              <w:spacing w:after="0"/>
              <w:rPr>
                <w:sz w:val="17"/>
                <w:szCs w:val="17"/>
                <w:color w:val="auto"/>
              </w:rPr>
            </w:pPr>
          </w:p>
        </w:tc>
        <w:tc>
          <w:tcPr>
            <w:tcW w:w="680" w:type="dxa"/>
            <w:vAlign w:val="bottom"/>
            <w:tcBorders>
              <w:right w:val="single" w:sz="8" w:color="424E6A"/>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Borders>
              <w:left w:val="single" w:sz="8" w:color="424E6A"/>
            </w:tcBorders>
          </w:tcPr>
          <w:p>
            <w:pPr>
              <w:spacing w:after="0"/>
              <w:rPr>
                <w:sz w:val="17"/>
                <w:szCs w:val="17"/>
                <w:color w:val="auto"/>
              </w:rPr>
            </w:pPr>
          </w:p>
        </w:tc>
        <w:tc>
          <w:tcPr>
            <w:tcW w:w="1800" w:type="dxa"/>
            <w:vAlign w:val="bottom"/>
            <w:tcBorders>
              <w:right w:val="single" w:sz="8" w:color="424E6A"/>
            </w:tcBorders>
          </w:tcPr>
          <w:p>
            <w:pPr>
              <w:ind w:left="220"/>
              <w:spacing w:after="0"/>
              <w:rPr>
                <w:sz w:val="20"/>
                <w:szCs w:val="20"/>
                <w:color w:val="auto"/>
              </w:rPr>
            </w:pPr>
            <w:r>
              <w:rPr>
                <w:rFonts w:ascii="Arial" w:cs="Arial" w:eastAsia="Arial" w:hAnsi="Arial"/>
                <w:sz w:val="17"/>
                <w:szCs w:val="17"/>
                <w:color w:val="auto"/>
              </w:rPr>
              <w:t>Chairman of the</w:t>
            </w:r>
          </w:p>
        </w:tc>
        <w:tc>
          <w:tcPr>
            <w:tcW w:w="96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tcPr>
          <w:p>
            <w:pPr>
              <w:spacing w:after="0"/>
              <w:rPr>
                <w:sz w:val="17"/>
                <w:szCs w:val="17"/>
                <w:color w:val="auto"/>
              </w:rPr>
            </w:pPr>
          </w:p>
        </w:tc>
        <w:tc>
          <w:tcPr>
            <w:tcW w:w="1100" w:type="dxa"/>
            <w:vAlign w:val="bottom"/>
            <w:tcBorders>
              <w:right w:val="single" w:sz="8" w:color="424E6A"/>
            </w:tcBorders>
          </w:tcPr>
          <w:p>
            <w:pPr>
              <w:spacing w:after="0"/>
              <w:rPr>
                <w:sz w:val="17"/>
                <w:szCs w:val="17"/>
                <w:color w:val="auto"/>
              </w:rPr>
            </w:pPr>
          </w:p>
        </w:tc>
        <w:tc>
          <w:tcPr>
            <w:tcW w:w="94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tcPr>
          <w:p>
            <w:pPr>
              <w:spacing w:after="0"/>
              <w:rPr>
                <w:sz w:val="17"/>
                <w:szCs w:val="17"/>
                <w:color w:val="auto"/>
              </w:rPr>
            </w:pPr>
          </w:p>
        </w:tc>
        <w:tc>
          <w:tcPr>
            <w:tcW w:w="920" w:type="dxa"/>
            <w:vAlign w:val="bottom"/>
            <w:tcBorders>
              <w:right w:val="single" w:sz="8" w:color="424E6A"/>
            </w:tcBorders>
          </w:tcPr>
          <w:p>
            <w:pPr>
              <w:spacing w:after="0"/>
              <w:rPr>
                <w:sz w:val="17"/>
                <w:szCs w:val="17"/>
                <w:color w:val="auto"/>
              </w:rPr>
            </w:pPr>
          </w:p>
        </w:tc>
        <w:tc>
          <w:tcPr>
            <w:tcW w:w="680" w:type="dxa"/>
            <w:vAlign w:val="bottom"/>
            <w:tcBorders>
              <w:right w:val="single" w:sz="8" w:color="424E6A"/>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40" w:type="dxa"/>
            <w:vAlign w:val="bottom"/>
            <w:tcBorders>
              <w:left w:val="single" w:sz="8" w:color="424E6A"/>
              <w:bottom w:val="single" w:sz="8" w:color="424E6A"/>
            </w:tcBorders>
          </w:tcPr>
          <w:p>
            <w:pPr>
              <w:spacing w:after="0"/>
              <w:rPr>
                <w:sz w:val="18"/>
                <w:szCs w:val="18"/>
                <w:color w:val="auto"/>
              </w:rPr>
            </w:pPr>
          </w:p>
        </w:tc>
        <w:tc>
          <w:tcPr>
            <w:tcW w:w="1800" w:type="dxa"/>
            <w:vAlign w:val="bottom"/>
            <w:tcBorders>
              <w:bottom w:val="single" w:sz="8" w:color="424E6A"/>
              <w:right w:val="single" w:sz="8" w:color="424E6A"/>
            </w:tcBorders>
          </w:tcPr>
          <w:p>
            <w:pPr>
              <w:ind w:left="220"/>
              <w:spacing w:after="0"/>
              <w:rPr>
                <w:sz w:val="20"/>
                <w:szCs w:val="20"/>
                <w:color w:val="auto"/>
              </w:rPr>
            </w:pPr>
            <w:r>
              <w:rPr>
                <w:rFonts w:ascii="Arial" w:cs="Arial" w:eastAsia="Arial" w:hAnsi="Arial"/>
                <w:sz w:val="17"/>
                <w:szCs w:val="17"/>
                <w:color w:val="auto"/>
              </w:rPr>
              <w:t>Board and CEO)</w:t>
            </w:r>
          </w:p>
        </w:tc>
        <w:tc>
          <w:tcPr>
            <w:tcW w:w="960" w:type="dxa"/>
            <w:vAlign w:val="bottom"/>
            <w:tcBorders>
              <w:bottom w:val="single" w:sz="8" w:color="424E6A"/>
              <w:right w:val="single" w:sz="8" w:color="424E6A"/>
            </w:tcBorders>
          </w:tcPr>
          <w:p>
            <w:pPr>
              <w:spacing w:after="0"/>
              <w:rPr>
                <w:sz w:val="18"/>
                <w:szCs w:val="18"/>
                <w:color w:val="auto"/>
              </w:rPr>
            </w:pPr>
          </w:p>
        </w:tc>
        <w:tc>
          <w:tcPr>
            <w:tcW w:w="840" w:type="dxa"/>
            <w:vAlign w:val="bottom"/>
            <w:tcBorders>
              <w:bottom w:val="single" w:sz="8" w:color="424E6A"/>
              <w:right w:val="single" w:sz="8" w:color="424E6A"/>
            </w:tcBorders>
          </w:tcPr>
          <w:p>
            <w:pPr>
              <w:spacing w:after="0"/>
              <w:rPr>
                <w:sz w:val="18"/>
                <w:szCs w:val="18"/>
                <w:color w:val="auto"/>
              </w:rPr>
            </w:pPr>
          </w:p>
        </w:tc>
        <w:tc>
          <w:tcPr>
            <w:tcW w:w="1100" w:type="dxa"/>
            <w:vAlign w:val="bottom"/>
            <w:tcBorders>
              <w:bottom w:val="single" w:sz="8" w:color="424E6A"/>
              <w:right w:val="single" w:sz="8" w:color="424E6A"/>
            </w:tcBorders>
          </w:tcPr>
          <w:p>
            <w:pPr>
              <w:spacing w:after="0"/>
              <w:rPr>
                <w:sz w:val="18"/>
                <w:szCs w:val="18"/>
                <w:color w:val="auto"/>
              </w:rPr>
            </w:pPr>
          </w:p>
        </w:tc>
        <w:tc>
          <w:tcPr>
            <w:tcW w:w="940" w:type="dxa"/>
            <w:vAlign w:val="bottom"/>
            <w:tcBorders>
              <w:bottom w:val="single" w:sz="8" w:color="424E6A"/>
              <w:right w:val="single" w:sz="8" w:color="424E6A"/>
            </w:tcBorders>
          </w:tcPr>
          <w:p>
            <w:pPr>
              <w:spacing w:after="0"/>
              <w:rPr>
                <w:sz w:val="18"/>
                <w:szCs w:val="18"/>
                <w:color w:val="auto"/>
              </w:rPr>
            </w:pPr>
          </w:p>
        </w:tc>
        <w:tc>
          <w:tcPr>
            <w:tcW w:w="840" w:type="dxa"/>
            <w:vAlign w:val="bottom"/>
            <w:tcBorders>
              <w:bottom w:val="single" w:sz="8" w:color="424E6A"/>
              <w:right w:val="single" w:sz="8" w:color="424E6A"/>
            </w:tcBorders>
          </w:tcPr>
          <w:p>
            <w:pPr>
              <w:spacing w:after="0"/>
              <w:rPr>
                <w:sz w:val="18"/>
                <w:szCs w:val="18"/>
                <w:color w:val="auto"/>
              </w:rPr>
            </w:pPr>
          </w:p>
        </w:tc>
        <w:tc>
          <w:tcPr>
            <w:tcW w:w="920" w:type="dxa"/>
            <w:vAlign w:val="bottom"/>
            <w:tcBorders>
              <w:bottom w:val="single" w:sz="8" w:color="424E6A"/>
              <w:right w:val="single" w:sz="8" w:color="424E6A"/>
            </w:tcBorders>
          </w:tcPr>
          <w:p>
            <w:pPr>
              <w:spacing w:after="0"/>
              <w:rPr>
                <w:sz w:val="18"/>
                <w:szCs w:val="18"/>
                <w:color w:val="auto"/>
              </w:rPr>
            </w:pPr>
          </w:p>
        </w:tc>
        <w:tc>
          <w:tcPr>
            <w:tcW w:w="680" w:type="dxa"/>
            <w:vAlign w:val="bottom"/>
            <w:tcBorders>
              <w:bottom w:val="single" w:sz="8" w:color="424E6A"/>
              <w:right w:val="single" w:sz="8" w:color="424E6A"/>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0" w:type="dxa"/>
            <w:vAlign w:val="bottom"/>
            <w:tcBorders>
              <w:left w:val="single" w:sz="8" w:color="424E6A"/>
              <w:bottom w:val="single" w:sz="8" w:color="424E6A"/>
            </w:tcBorders>
          </w:tcPr>
          <w:p>
            <w:pPr>
              <w:ind w:left="20"/>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7"/>
                <w:szCs w:val="17"/>
                <w:color w:val="auto"/>
              </w:rPr>
              <w:t>John T. Raymond</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24E6A"/>
              <w:right w:val="single" w:sz="8" w:color="424E6A"/>
            </w:tcBorders>
          </w:tcPr>
          <w:p>
            <w:pPr>
              <w:spacing w:after="0"/>
              <w:rPr>
                <w:sz w:val="19"/>
                <w:szCs w:val="19"/>
                <w:color w:val="auto"/>
              </w:rPr>
            </w:pPr>
          </w:p>
        </w:tc>
        <w:tc>
          <w:tcPr>
            <w:tcW w:w="9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424E6A"/>
              <w:right w:val="single" w:sz="8" w:color="424E6A"/>
            </w:tcBorders>
          </w:tcPr>
          <w:p>
            <w:pPr>
              <w:ind w:left="44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7"/>
        </w:trPr>
        <w:tc>
          <w:tcPr>
            <w:tcW w:w="140" w:type="dxa"/>
            <w:vAlign w:val="bottom"/>
            <w:tcBorders>
              <w:left w:val="single" w:sz="8" w:color="424E6A"/>
              <w:bottom w:val="single" w:sz="8" w:color="424E6A"/>
            </w:tcBorders>
          </w:tcPr>
          <w:p>
            <w:pPr>
              <w:ind w:left="20"/>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7"/>
                <w:szCs w:val="17"/>
                <w:color w:val="auto"/>
              </w:rPr>
              <w:t>Bobby S. Shackouls</w:t>
            </w:r>
          </w:p>
        </w:tc>
        <w:tc>
          <w:tcPr>
            <w:tcW w:w="960" w:type="dxa"/>
            <w:vAlign w:val="bottom"/>
            <w:tcBorders>
              <w:bottom w:val="single" w:sz="8" w:color="424E6A"/>
              <w:right w:val="single" w:sz="8" w:color="424E6A"/>
            </w:tcBorders>
          </w:tcPr>
          <w:p>
            <w:pPr>
              <w:spacing w:after="0"/>
              <w:rPr>
                <w:sz w:val="22"/>
                <w:szCs w:val="22"/>
                <w:color w:val="auto"/>
              </w:rPr>
            </w:pP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424E6A"/>
              <w:right w:val="single" w:sz="8" w:color="424E6A"/>
            </w:tcBorders>
          </w:tcPr>
          <w:p>
            <w:pPr>
              <w:spacing w:after="0"/>
              <w:rPr>
                <w:sz w:val="22"/>
                <w:szCs w:val="22"/>
                <w:color w:val="auto"/>
              </w:rPr>
            </w:pP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424E6A"/>
              <w:right w:val="single" w:sz="8" w:color="424E6A"/>
            </w:tcBorders>
          </w:tcPr>
          <w:p>
            <w:pPr>
              <w:ind w:left="44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424E6A"/>
              <w:right w:val="single" w:sz="8" w:color="424E6A"/>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0" w:type="dxa"/>
            <w:vAlign w:val="bottom"/>
            <w:tcBorders>
              <w:left w:val="single" w:sz="8" w:color="424E6A"/>
            </w:tcBorders>
          </w:tcPr>
          <w:p>
            <w:pPr>
              <w:ind w:left="20"/>
              <w:spacing w:after="0"/>
              <w:rPr>
                <w:sz w:val="20"/>
                <w:szCs w:val="20"/>
                <w:color w:val="auto"/>
              </w:rPr>
            </w:pPr>
            <w:r>
              <w:rPr>
                <w:rFonts w:ascii="Arial" w:cs="Arial" w:eastAsia="Arial" w:hAnsi="Arial"/>
                <w:sz w:val="17"/>
                <w:szCs w:val="17"/>
                <w:color w:val="auto"/>
              </w:rPr>
              <w:t>​</w:t>
            </w:r>
          </w:p>
        </w:tc>
        <w:tc>
          <w:tcPr>
            <w:tcW w:w="1800" w:type="dxa"/>
            <w:vAlign w:val="bottom"/>
            <w:tcBorders>
              <w:right w:val="single" w:sz="8" w:color="424E6A"/>
            </w:tcBorders>
          </w:tcPr>
          <w:p>
            <w:pPr>
              <w:ind w:left="60"/>
              <w:spacing w:after="0"/>
              <w:rPr>
                <w:sz w:val="20"/>
                <w:szCs w:val="20"/>
                <w:color w:val="auto"/>
              </w:rPr>
            </w:pPr>
            <w:r>
              <w:rPr>
                <w:rFonts w:ascii="Arial" w:cs="Arial" w:eastAsia="Arial" w:hAnsi="Arial"/>
                <w:sz w:val="17"/>
                <w:szCs w:val="17"/>
                <w:color w:val="auto"/>
                <w:w w:val="98"/>
              </w:rPr>
              <w:t>Christopher M. Temple</w:t>
            </w:r>
          </w:p>
        </w:tc>
        <w:tc>
          <w:tcPr>
            <w:tcW w:w="960" w:type="dxa"/>
            <w:vAlign w:val="bottom"/>
            <w:tcBorders>
              <w:right w:val="single" w:sz="8" w:color="424E6A"/>
            </w:tcBorders>
          </w:tcPr>
          <w:p>
            <w:pPr>
              <w:spacing w:after="0"/>
              <w:rPr>
                <w:sz w:val="21"/>
                <w:szCs w:val="21"/>
                <w:color w:val="auto"/>
              </w:rPr>
            </w:pPr>
          </w:p>
        </w:tc>
        <w:tc>
          <w:tcPr>
            <w:tcW w:w="840" w:type="dxa"/>
            <w:vAlign w:val="bottom"/>
            <w:tcBorders>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1100" w:type="dxa"/>
            <w:vAlign w:val="bottom"/>
            <w:tcBorders>
              <w:right w:val="single" w:sz="8" w:color="424E6A"/>
            </w:tcBorders>
          </w:tcPr>
          <w:p>
            <w:pPr>
              <w:spacing w:after="0"/>
              <w:rPr>
                <w:sz w:val="21"/>
                <w:szCs w:val="21"/>
                <w:color w:val="auto"/>
              </w:rPr>
            </w:pPr>
          </w:p>
        </w:tc>
        <w:tc>
          <w:tcPr>
            <w:tcW w:w="940" w:type="dxa"/>
            <w:vAlign w:val="bottom"/>
            <w:tcBorders>
              <w:right w:val="single" w:sz="8" w:color="424E6A"/>
            </w:tcBorders>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424E6A"/>
            </w:tcBorders>
          </w:tcPr>
          <w:p>
            <w:pPr>
              <w:spacing w:after="0"/>
              <w:rPr>
                <w:sz w:val="21"/>
                <w:szCs w:val="21"/>
                <w:color w:val="auto"/>
              </w:rPr>
            </w:pPr>
          </w:p>
        </w:tc>
        <w:tc>
          <w:tcPr>
            <w:tcW w:w="920" w:type="dxa"/>
            <w:vAlign w:val="bottom"/>
            <w:tcBorders>
              <w:right w:val="single" w:sz="8" w:color="424E6A"/>
            </w:tcBorders>
          </w:tcPr>
          <w:p>
            <w:pPr>
              <w:ind w:left="440"/>
              <w:spacing w:after="0"/>
              <w:rPr>
                <w:sz w:val="20"/>
                <w:szCs w:val="20"/>
                <w:color w:val="auto"/>
              </w:rPr>
            </w:pPr>
            <w:r>
              <w:rPr>
                <w:rFonts w:ascii="Arial" w:cs="Arial" w:eastAsia="Arial" w:hAnsi="Arial"/>
                <w:sz w:val="17"/>
                <w:szCs w:val="17"/>
                <w:color w:val="auto"/>
              </w:rPr>
              <w:t>​</w:t>
            </w:r>
          </w:p>
        </w:tc>
        <w:tc>
          <w:tcPr>
            <w:tcW w:w="680" w:type="dxa"/>
            <w:vAlign w:val="bottom"/>
            <w:tcBorders>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
        </w:trPr>
        <w:tc>
          <w:tcPr>
            <w:tcW w:w="140" w:type="dxa"/>
            <w:vAlign w:val="bottom"/>
            <w:tcBorders>
              <w:left w:val="single" w:sz="8" w:color="424E6A"/>
              <w:bottom w:val="single" w:sz="8" w:color="424E6A"/>
            </w:tcBorders>
          </w:tcPr>
          <w:p>
            <w:pPr>
              <w:spacing w:after="0"/>
              <w:rPr>
                <w:sz w:val="3"/>
                <w:szCs w:val="3"/>
                <w:color w:val="auto"/>
              </w:rPr>
            </w:pPr>
          </w:p>
        </w:tc>
        <w:tc>
          <w:tcPr>
            <w:tcW w:w="1800" w:type="dxa"/>
            <w:vAlign w:val="bottom"/>
            <w:tcBorders>
              <w:bottom w:val="single" w:sz="8" w:color="424E6A"/>
              <w:right w:val="single" w:sz="8" w:color="424E6A"/>
            </w:tcBorders>
          </w:tcPr>
          <w:p>
            <w:pPr>
              <w:spacing w:after="0"/>
              <w:rPr>
                <w:sz w:val="3"/>
                <w:szCs w:val="3"/>
                <w:color w:val="auto"/>
              </w:rPr>
            </w:pPr>
          </w:p>
        </w:tc>
        <w:tc>
          <w:tcPr>
            <w:tcW w:w="960" w:type="dxa"/>
            <w:vAlign w:val="bottom"/>
            <w:tcBorders>
              <w:bottom w:val="single" w:sz="8" w:color="424E6A"/>
              <w:right w:val="single" w:sz="8" w:color="424E6A"/>
            </w:tcBorders>
          </w:tcPr>
          <w:p>
            <w:pPr>
              <w:spacing w:after="0"/>
              <w:rPr>
                <w:sz w:val="3"/>
                <w:szCs w:val="3"/>
                <w:color w:val="auto"/>
              </w:rPr>
            </w:pPr>
          </w:p>
        </w:tc>
        <w:tc>
          <w:tcPr>
            <w:tcW w:w="840" w:type="dxa"/>
            <w:vAlign w:val="bottom"/>
            <w:tcBorders>
              <w:bottom w:val="single" w:sz="8" w:color="424E6A"/>
              <w:right w:val="single" w:sz="8" w:color="424E6A"/>
            </w:tcBorders>
          </w:tcPr>
          <w:p>
            <w:pPr>
              <w:spacing w:after="0"/>
              <w:rPr>
                <w:sz w:val="3"/>
                <w:szCs w:val="3"/>
                <w:color w:val="auto"/>
              </w:rPr>
            </w:pPr>
          </w:p>
        </w:tc>
        <w:tc>
          <w:tcPr>
            <w:tcW w:w="1100" w:type="dxa"/>
            <w:vAlign w:val="bottom"/>
            <w:tcBorders>
              <w:bottom w:val="single" w:sz="8" w:color="424E6A"/>
              <w:right w:val="single" w:sz="8" w:color="424E6A"/>
            </w:tcBorders>
          </w:tcPr>
          <w:p>
            <w:pPr>
              <w:spacing w:after="0"/>
              <w:rPr>
                <w:sz w:val="3"/>
                <w:szCs w:val="3"/>
                <w:color w:val="auto"/>
              </w:rPr>
            </w:pPr>
          </w:p>
        </w:tc>
        <w:tc>
          <w:tcPr>
            <w:tcW w:w="940" w:type="dxa"/>
            <w:vAlign w:val="bottom"/>
            <w:tcBorders>
              <w:bottom w:val="single" w:sz="8" w:color="424E6A"/>
              <w:right w:val="single" w:sz="8" w:color="424E6A"/>
            </w:tcBorders>
          </w:tcPr>
          <w:p>
            <w:pPr>
              <w:spacing w:after="0"/>
              <w:rPr>
                <w:sz w:val="3"/>
                <w:szCs w:val="3"/>
                <w:color w:val="auto"/>
              </w:rPr>
            </w:pPr>
          </w:p>
        </w:tc>
        <w:tc>
          <w:tcPr>
            <w:tcW w:w="840" w:type="dxa"/>
            <w:vAlign w:val="bottom"/>
            <w:tcBorders>
              <w:bottom w:val="single" w:sz="8" w:color="424E6A"/>
              <w:right w:val="single" w:sz="8" w:color="424E6A"/>
            </w:tcBorders>
          </w:tcPr>
          <w:p>
            <w:pPr>
              <w:spacing w:after="0"/>
              <w:rPr>
                <w:sz w:val="3"/>
                <w:szCs w:val="3"/>
                <w:color w:val="auto"/>
              </w:rPr>
            </w:pPr>
          </w:p>
        </w:tc>
        <w:tc>
          <w:tcPr>
            <w:tcW w:w="920" w:type="dxa"/>
            <w:vAlign w:val="bottom"/>
            <w:tcBorders>
              <w:bottom w:val="single" w:sz="8" w:color="424E6A"/>
              <w:right w:val="single" w:sz="8" w:color="424E6A"/>
            </w:tcBorders>
          </w:tcPr>
          <w:p>
            <w:pPr>
              <w:spacing w:after="0"/>
              <w:rPr>
                <w:sz w:val="3"/>
                <w:szCs w:val="3"/>
                <w:color w:val="auto"/>
              </w:rPr>
            </w:pPr>
          </w:p>
        </w:tc>
        <w:tc>
          <w:tcPr>
            <w:tcW w:w="680" w:type="dxa"/>
            <w:vAlign w:val="bottom"/>
            <w:tcBorders>
              <w:bottom w:val="single" w:sz="8" w:color="424E6A"/>
              <w:right w:val="single" w:sz="8" w:color="424E6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-3180080</wp:posOffset>
            </wp:positionV>
            <wp:extent cx="10287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-3188335</wp:posOffset>
            </wp:positionV>
            <wp:extent cx="76835" cy="1111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-2905760</wp:posOffset>
            </wp:positionV>
            <wp:extent cx="102870"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-2896870</wp:posOffset>
            </wp:positionV>
            <wp:extent cx="111125" cy="93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-2896870</wp:posOffset>
            </wp:positionV>
            <wp:extent cx="111125" cy="93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-2751455</wp:posOffset>
            </wp:positionV>
            <wp:extent cx="102870"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-2742565</wp:posOffset>
            </wp:positionV>
            <wp:extent cx="111125" cy="93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-2742565</wp:posOffset>
            </wp:positionV>
            <wp:extent cx="111125" cy="93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-2597150</wp:posOffset>
            </wp:positionV>
            <wp:extent cx="102870"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-2588260</wp:posOffset>
            </wp:positionV>
            <wp:extent cx="111125" cy="93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-2588260</wp:posOffset>
            </wp:positionV>
            <wp:extent cx="93980" cy="93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-2168525</wp:posOffset>
            </wp:positionV>
            <wp:extent cx="10287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2848610</wp:posOffset>
            </wp:positionH>
            <wp:positionV relativeFrom="paragraph">
              <wp:posOffset>-2159635</wp:posOffset>
            </wp:positionV>
            <wp:extent cx="94615" cy="93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-2014220</wp:posOffset>
            </wp:positionV>
            <wp:extent cx="102870"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-2005330</wp:posOffset>
            </wp:positionV>
            <wp:extent cx="111125" cy="93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-1799590</wp:posOffset>
            </wp:positionV>
            <wp:extent cx="102870"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-1585595</wp:posOffset>
            </wp:positionV>
            <wp:extent cx="10287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-1576705</wp:posOffset>
            </wp:positionV>
            <wp:extent cx="111125" cy="93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-1576705</wp:posOffset>
            </wp:positionV>
            <wp:extent cx="111125" cy="93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-908050</wp:posOffset>
            </wp:positionV>
            <wp:extent cx="102870" cy="102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-505460</wp:posOffset>
            </wp:positionV>
            <wp:extent cx="102870" cy="102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-496570</wp:posOffset>
            </wp:positionV>
            <wp:extent cx="94615" cy="93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-334010</wp:posOffset>
            </wp:positionV>
            <wp:extent cx="102870"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-334010</wp:posOffset>
            </wp:positionV>
            <wp:extent cx="93980" cy="93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-342265</wp:posOffset>
            </wp:positionV>
            <wp:extent cx="85725" cy="120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-153670</wp:posOffset>
            </wp:positionV>
            <wp:extent cx="102870" cy="102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3457575</wp:posOffset>
            </wp:positionH>
            <wp:positionV relativeFrom="paragraph">
              <wp:posOffset>-145415</wp:posOffset>
            </wp:positionV>
            <wp:extent cx="111125" cy="946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9461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-145415</wp:posOffset>
            </wp:positionV>
            <wp:extent cx="111125" cy="94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125" cy="9461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hanging="360"/>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Nominated by the Board for re-election at the 2023 PAGP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102870" cy="939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pacing w:after="0" w:line="5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Determined by the Board to be independent under applicable Nasdaq and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102870" cy="94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pacing w:after="0" w:line="5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Company Employee — independence has not been assessed by the Board.</w:t>
      </w:r>
    </w:p>
    <w:p>
      <w:pPr>
        <w:spacing w:after="0" w:line="3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111125" cy="939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125" cy="93980"/>
                    </a:xfrm>
                    <a:prstGeom prst="rect">
                      <a:avLst/>
                    </a:prstGeom>
                    <a:noFill/>
                  </pic:spPr>
                </pic:pic>
              </a:graphicData>
            </a:graphic>
          </wp:anchor>
        </w:drawing>
      </w:r>
    </w:p>
    <w:p>
      <w:pPr>
        <w:spacing w:after="0" w:line="8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93980" cy="939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86360</wp:posOffset>
            </wp:positionV>
            <wp:extent cx="85725"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20015"/>
                    </a:xfrm>
                    <a:prstGeom prst="rect">
                      <a:avLst/>
                    </a:prstGeom>
                    <a:noFill/>
                  </pic:spPr>
                </pic:pic>
              </a:graphicData>
            </a:graphic>
          </wp:anchor>
        </w:drawing>
      </w:r>
    </w:p>
    <w:p>
      <w:pPr>
        <w:spacing w:after="0" w:line="12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103505</wp:posOffset>
            </wp:positionV>
            <wp:extent cx="8572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28905"/>
                    </a:xfrm>
                    <a:prstGeom prst="rect">
                      <a:avLst/>
                    </a:prstGeom>
                    <a:noFill/>
                  </pic:spPr>
                </pic:pic>
              </a:graphicData>
            </a:graphic>
          </wp:anchor>
        </w:drawing>
      </w:r>
    </w:p>
    <w:p>
      <w:pPr>
        <w:spacing w:after="0" w:line="16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Lead Director</w:t>
      </w:r>
    </w:p>
    <w:p>
      <w:pPr>
        <w:spacing w:after="0" w:line="3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and Nominee Experience and Qualifications</w:t>
      </w:r>
    </w:p>
    <w:p>
      <w:pPr>
        <w:spacing w:after="0" w:line="158"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With respect to any director nominations made by the Board in connection with annual director elections or in the event of a vacancy on the Board, in each case to the extent requested by the Chairman of the Board, the Governance Committee assists in identifying and screening potential candidates. The Governance Committee makes its recommendations based on an assessment of the skills, experience and characteristics of the candidate in the context of the needs of the Board. It is the policy and practice of the Governance Committee and the Board to consider diversity (including diversity of gender, race and ethnicity) in connection with the process of identifying and assessing potential Board candidates.</w:t>
      </w:r>
    </w:p>
    <w:p>
      <w:pPr>
        <w:spacing w:after="0" w:line="104"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Our board assessment, refreshment and succession planning process involves (i) the periodic assessment of the skills, background and experience of our directors, which is used to identify potential enhancement areas relative to the ideal mix of skills, background and experience for our board, (ii) the development and maintenance of a board succession plan that identifies near and longer-term actions and includes succession plans for each board committee, and (iii) the annual evaluation by each director of the performance of every other director in a variety of categories that directly impact overall board performance and effectiveness. Board succession planning efforts and director evaluations are updated on a regular basis with assistance and oversight of the Governance Committee. The Governance Committee also oversees the Board’s annual self-assessment process as well as the process by which the Board assesses the effectiveness of its various committees.</w:t>
      </w:r>
    </w:p>
    <w:p>
      <w:pPr>
        <w:spacing w:after="0" w:line="118"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color w:val="auto"/>
        </w:rPr>
        <w:t>In evaluating director nominees and in reviewing the qualifications and experience of the directors continuing in office, the Governance Committee and Board consider a variety of factors, including independence, financial literacy, personal and professional accomplishments, diversity and experience in light of the needs of the Board. For incumbent directors, factors also include past performance on the Board. The Board has determined that it is beneficial to have individuals on the Board with the following skills, experiences, and characteristics (See the Director Skills Matrix below for an overview of the skills, experiences and characteristics of our current Board members):</w:t>
      </w:r>
    </w:p>
    <w:p>
      <w:pPr>
        <w:spacing w:after="0" w:line="141" w:lineRule="exact"/>
        <w:rPr>
          <w:sz w:val="20"/>
          <w:szCs w:val="20"/>
          <w:color w:val="auto"/>
        </w:rPr>
      </w:pPr>
    </w:p>
    <w:tbl>
      <w:tblPr>
        <w:tblLayout w:type="fixed"/>
        <w:tblInd w:w="1270" w:type="dxa"/>
        <w:tblCellMar>
          <w:top w:w="0" w:type="dxa"/>
          <w:left w:w="0" w:type="dxa"/>
          <w:bottom w:w="0" w:type="dxa"/>
          <w:right w:w="0" w:type="dxa"/>
        </w:tblCellMar>
      </w:tblPr>
      <w:tr>
        <w:trPr>
          <w:trHeight w:val="309"/>
        </w:trPr>
        <w:tc>
          <w:tcPr>
            <w:tcW w:w="36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 Public Company Experience (Officer/Director)</w:t>
            </w:r>
          </w:p>
        </w:tc>
        <w:tc>
          <w:tcPr>
            <w:tcW w:w="1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44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Industry Experience (Upstream/Midstream/Downstream)</w:t>
            </w:r>
          </w:p>
        </w:tc>
      </w:tr>
      <w:tr>
        <w:trPr>
          <w:trHeight w:val="256"/>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Finance/Accounting</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Private Equity</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Business Development/Strategy/Commercial</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Diversity (Gender/Race/Ethnicity)</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Legal/Governance/Government Relations</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International</w:t>
            </w:r>
          </w:p>
        </w:tc>
      </w:tr>
      <w:tr>
        <w:trPr>
          <w:trHeight w:val="257"/>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4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Operations/Engineering/Construction</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Cybersecurity/IT</w:t>
            </w:r>
          </w:p>
        </w:tc>
      </w:tr>
      <w:tr>
        <w:trPr>
          <w:trHeight w:val="243"/>
        </w:trPr>
        <w:tc>
          <w:tcPr>
            <w:tcW w:w="160" w:type="dxa"/>
            <w:vAlign w:val="bottom"/>
            <w:tcBorders>
              <w:left w:val="single" w:sz="8" w:color="auto"/>
            </w:tcBorders>
          </w:tcPr>
          <w:p>
            <w:pPr>
              <w:spacing w:after="0"/>
              <w:rPr>
                <w:sz w:val="21"/>
                <w:szCs w:val="21"/>
                <w:color w:val="auto"/>
              </w:rPr>
            </w:pPr>
          </w:p>
        </w:tc>
        <w:tc>
          <w:tcPr>
            <w:tcW w:w="3460" w:type="dxa"/>
            <w:vAlign w:val="bottom"/>
            <w:tcBorders>
              <w:right w:val="single" w:sz="8" w:color="auto"/>
            </w:tcBorders>
          </w:tcPr>
          <w:p>
            <w:pPr>
              <w:spacing w:after="0"/>
              <w:rPr>
                <w:sz w:val="21"/>
                <w:szCs w:val="21"/>
                <w:color w:val="auto"/>
              </w:rPr>
            </w:pP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44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Energy Evolution</w:t>
            </w:r>
          </w:p>
        </w:tc>
      </w:tr>
      <w:tr>
        <w:trPr>
          <w:trHeight w:val="137"/>
        </w:trPr>
        <w:tc>
          <w:tcPr>
            <w:tcW w:w="160" w:type="dxa"/>
            <w:vAlign w:val="bottom"/>
            <w:tcBorders>
              <w:left w:val="single" w:sz="8" w:color="auto"/>
              <w:bottom w:val="single" w:sz="8" w:color="auto"/>
            </w:tcBorders>
          </w:tcPr>
          <w:p>
            <w:pPr>
              <w:spacing w:after="0"/>
              <w:rPr>
                <w:sz w:val="11"/>
                <w:szCs w:val="11"/>
                <w:color w:val="auto"/>
              </w:rPr>
            </w:pPr>
          </w:p>
        </w:tc>
        <w:tc>
          <w:tcPr>
            <w:tcW w:w="346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20" w:type="dxa"/>
            <w:vAlign w:val="bottom"/>
            <w:tcBorders>
              <w:bottom w:val="single" w:sz="8" w:color="auto"/>
              <w:right w:val="single" w:sz="8" w:color="auto"/>
            </w:tcBorders>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154940</wp:posOffset>
            </wp:positionV>
            <wp:extent cx="5803265" cy="2297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03265" cy="2297430"/>
                    </a:xfrm>
                    <a:prstGeom prst="rect">
                      <a:avLst/>
                    </a:prstGeom>
                    <a:noFill/>
                  </pic:spPr>
                </pic:pic>
              </a:graphicData>
            </a:graphic>
          </wp:anchor>
        </w:drawing>
      </w:r>
    </w:p>
    <w:p>
      <w:pPr>
        <w:spacing w:after="0" w:line="224" w:lineRule="exact"/>
        <w:rPr>
          <w:sz w:val="20"/>
          <w:szCs w:val="20"/>
          <w:color w:val="auto"/>
        </w:rPr>
      </w:pPr>
    </w:p>
    <w:tbl>
      <w:tblPr>
        <w:tblLayout w:type="fixed"/>
        <w:tblInd w:w="510" w:type="dxa"/>
        <w:tblCellMar>
          <w:top w:w="0" w:type="dxa"/>
          <w:left w:w="0" w:type="dxa"/>
          <w:bottom w:w="0" w:type="dxa"/>
          <w:right w:w="0" w:type="dxa"/>
        </w:tblCellMar>
      </w:tblPr>
      <w:tr>
        <w:trPr>
          <w:trHeight w:val="20"/>
        </w:trPr>
        <w:tc>
          <w:tcPr>
            <w:tcW w:w="2060" w:type="dxa"/>
            <w:vAlign w:val="bottom"/>
            <w:tcBorders>
              <w:left w:val="single" w:sz="8" w:color="424E6A"/>
              <w:right w:val="single" w:sz="8" w:color="424E6A"/>
            </w:tcBorders>
            <w:gridSpan w:val="2"/>
            <w:shd w:val="clear" w:color="auto" w:fill="424E6A"/>
          </w:tcPr>
          <w:p>
            <w:pPr>
              <w:spacing w:after="0" w:line="20" w:lineRule="exact"/>
              <w:rPr>
                <w:sz w:val="1"/>
                <w:szCs w:val="1"/>
                <w:color w:val="auto"/>
              </w:rPr>
            </w:pPr>
          </w:p>
        </w:tc>
        <w:tc>
          <w:tcPr>
            <w:tcW w:w="880" w:type="dxa"/>
            <w:vAlign w:val="bottom"/>
            <w:tcBorders>
              <w:right w:val="single" w:sz="8" w:color="424E6A"/>
            </w:tcBorders>
            <w:gridSpan w:val="7"/>
            <w:shd w:val="clear" w:color="auto" w:fill="424E6A"/>
          </w:tcPr>
          <w:p>
            <w:pPr>
              <w:spacing w:after="0" w:line="20" w:lineRule="exact"/>
              <w:rPr>
                <w:sz w:val="1"/>
                <w:szCs w:val="1"/>
                <w:color w:val="auto"/>
              </w:rPr>
            </w:pPr>
          </w:p>
        </w:tc>
        <w:tc>
          <w:tcPr>
            <w:tcW w:w="5620" w:type="dxa"/>
            <w:vAlign w:val="bottom"/>
            <w:gridSpan w:val="44"/>
            <w:shd w:val="clear" w:color="auto" w:fill="424E6A"/>
          </w:tcPr>
          <w:p>
            <w:pPr>
              <w:spacing w:after="0" w:line="20" w:lineRule="exact"/>
              <w:rPr>
                <w:sz w:val="1"/>
                <w:szCs w:val="1"/>
                <w:color w:val="auto"/>
              </w:rPr>
            </w:pPr>
          </w:p>
        </w:tc>
        <w:tc>
          <w:tcPr>
            <w:tcW w:w="1180" w:type="dxa"/>
            <w:vAlign w:val="bottom"/>
            <w:tcBorders>
              <w:left w:val="single" w:sz="8" w:color="424E6A"/>
            </w:tcBorders>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Borders>
              <w:left w:val="single" w:sz="8" w:color="424E6A"/>
            </w:tcBorders>
          </w:tcPr>
          <w:p>
            <w:pPr>
              <w:ind w:left="40"/>
              <w:spacing w:after="0"/>
              <w:rPr>
                <w:sz w:val="20"/>
                <w:szCs w:val="20"/>
                <w:color w:val="auto"/>
              </w:rPr>
            </w:pPr>
            <w:r>
              <w:rPr>
                <w:rFonts w:ascii="Arial" w:cs="Arial" w:eastAsia="Arial" w:hAnsi="Arial"/>
                <w:sz w:val="13"/>
                <w:szCs w:val="13"/>
                <w:b w:val="1"/>
                <w:bCs w:val="1"/>
                <w:color w:val="FFFFFF"/>
              </w:rPr>
              <w:t>​​</w:t>
            </w:r>
          </w:p>
        </w:tc>
        <w:tc>
          <w:tcPr>
            <w:tcW w:w="1940" w:type="dxa"/>
            <w:vAlign w:val="bottom"/>
          </w:tcPr>
          <w:p>
            <w:pPr>
              <w:spacing w:after="0"/>
              <w:rPr>
                <w:sz w:val="19"/>
                <w:szCs w:val="19"/>
                <w:color w:val="auto"/>
              </w:rPr>
            </w:pPr>
          </w:p>
        </w:tc>
        <w:tc>
          <w:tcPr>
            <w:tcW w:w="20" w:type="dxa"/>
            <w:vAlign w:val="bottom"/>
          </w:tcPr>
          <w:p>
            <w:pPr>
              <w:spacing w:after="0"/>
              <w:rPr>
                <w:sz w:val="20"/>
                <w:szCs w:val="20"/>
                <w:color w:val="auto"/>
              </w:rPr>
            </w:pPr>
            <w:r>
              <w:rPr>
                <w:rFonts w:ascii="Arial" w:cs="Arial" w:eastAsia="Arial" w:hAnsi="Arial"/>
                <w:sz w:val="1"/>
                <w:szCs w:val="1"/>
                <w:b w:val="1"/>
                <w:bCs w:val="1"/>
                <w:color w:val="FFFFFF"/>
                <w:w w:val="4294942296"/>
              </w:rPr>
              <w:t>​</w:t>
            </w:r>
          </w:p>
        </w:tc>
        <w:tc>
          <w:tcPr>
            <w:tcW w:w="760" w:type="dxa"/>
            <w:vAlign w:val="bottom"/>
            <w:gridSpan w:val="5"/>
          </w:tcPr>
          <w:p>
            <w:pPr>
              <w:ind w:left="20"/>
              <w:spacing w:after="0" w:line="22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shd w:val="clear" w:color="auto" w:fill="424E6A"/>
              </w:rPr>
              <w:t xml:space="preserve">Armstrong </w:t>
            </w:r>
            <w:r>
              <w:rPr>
                <w:rFonts w:ascii="Arial" w:cs="Arial" w:eastAsia="Arial" w:hAnsi="Arial"/>
                <w:sz w:val="25"/>
                <w:szCs w:val="25"/>
                <w:b w:val="1"/>
                <w:bCs w:val="1"/>
                <w:color w:val="FFFFFF"/>
                <w:vertAlign w:val="subscript"/>
              </w:rPr>
              <w:t>​</w:t>
            </w:r>
          </w:p>
        </w:tc>
        <w:tc>
          <w:tcPr>
            <w:tcW w:w="400" w:type="dxa"/>
            <w:vAlign w:val="bottom"/>
            <w:gridSpan w:val="3"/>
          </w:tcPr>
          <w:p>
            <w:pPr>
              <w:ind w:left="20"/>
              <w:spacing w:after="0" w:line="22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Burk </w:t>
            </w:r>
            <w:r>
              <w:rPr>
                <w:rFonts w:ascii="Arial" w:cs="Arial" w:eastAsia="Arial" w:hAnsi="Arial"/>
                <w:sz w:val="25"/>
                <w:szCs w:val="25"/>
                <w:b w:val="1"/>
                <w:bCs w:val="1"/>
                <w:color w:val="FFFFFF"/>
                <w:vertAlign w:val="subscript"/>
              </w:rPr>
              <w:t>​</w:t>
            </w:r>
          </w:p>
        </w:tc>
        <w:tc>
          <w:tcPr>
            <w:tcW w:w="540" w:type="dxa"/>
            <w:vAlign w:val="bottom"/>
            <w:gridSpan w:val="5"/>
          </w:tcPr>
          <w:p>
            <w:pPr>
              <w:ind w:left="20"/>
              <w:spacing w:after="0" w:line="22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shd w:val="clear" w:color="auto" w:fill="424E6A"/>
              </w:rPr>
              <w:t xml:space="preserve">Chiang </w:t>
            </w:r>
            <w:r>
              <w:rPr>
                <w:rFonts w:ascii="Arial" w:cs="Arial" w:eastAsia="Arial" w:hAnsi="Arial"/>
                <w:sz w:val="25"/>
                <w:szCs w:val="25"/>
                <w:b w:val="1"/>
                <w:bCs w:val="1"/>
                <w:color w:val="FFFFFF"/>
                <w:vertAlign w:val="subscript"/>
              </w:rPr>
              <w:t>​</w:t>
            </w:r>
          </w:p>
        </w:tc>
        <w:tc>
          <w:tcPr>
            <w:tcW w:w="740" w:type="dxa"/>
            <w:vAlign w:val="bottom"/>
            <w:gridSpan w:val="5"/>
          </w:tcPr>
          <w:p>
            <w:pPr>
              <w:jc w:val="right"/>
              <w:spacing w:after="0" w:line="22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shd w:val="clear" w:color="auto" w:fill="424E6A"/>
              </w:rPr>
              <w:t xml:space="preserve">DeSanctis </w:t>
            </w:r>
            <w:r>
              <w:rPr>
                <w:rFonts w:ascii="Arial" w:cs="Arial" w:eastAsia="Arial" w:hAnsi="Arial"/>
                <w:sz w:val="25"/>
                <w:szCs w:val="25"/>
                <w:b w:val="1"/>
                <w:bCs w:val="1"/>
                <w:color w:val="FFFFFF"/>
                <w:vertAlign w:val="subscript"/>
                <w:shd w:val="clear" w:color="auto" w:fill="424E6A"/>
              </w:rPr>
              <w:t>​</w:t>
            </w:r>
          </w:p>
        </w:tc>
        <w:tc>
          <w:tcPr>
            <w:tcW w:w="740" w:type="dxa"/>
            <w:vAlign w:val="bottom"/>
            <w:gridSpan w:val="6"/>
          </w:tcPr>
          <w:p>
            <w:pPr>
              <w:ind w:left="40"/>
              <w:spacing w:after="0" w:line="22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shd w:val="clear" w:color="auto" w:fill="424E6A"/>
              </w:rPr>
              <w:t xml:space="preserve">McCarthy </w:t>
            </w:r>
            <w:r>
              <w:rPr>
                <w:rFonts w:ascii="Arial" w:cs="Arial" w:eastAsia="Arial" w:hAnsi="Arial"/>
                <w:sz w:val="25"/>
                <w:szCs w:val="25"/>
                <w:b w:val="1"/>
                <w:bCs w:val="1"/>
                <w:color w:val="FFFFFF"/>
                <w:vertAlign w:val="subscript"/>
                <w:shd w:val="clear" w:color="auto" w:fill="424E6A"/>
              </w:rPr>
              <w:t>​</w:t>
            </w:r>
          </w:p>
        </w:tc>
        <w:tc>
          <w:tcPr>
            <w:tcW w:w="580" w:type="dxa"/>
            <w:vAlign w:val="bottom"/>
            <w:gridSpan w:val="5"/>
          </w:tcPr>
          <w:p>
            <w:pPr>
              <w:ind w:left="20"/>
              <w:spacing w:after="0" w:line="22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Pefanis </w:t>
            </w:r>
            <w:r>
              <w:rPr>
                <w:rFonts w:ascii="Arial" w:cs="Arial" w:eastAsia="Arial" w:hAnsi="Arial"/>
                <w:sz w:val="25"/>
                <w:szCs w:val="25"/>
                <w:b w:val="1"/>
                <w:bCs w:val="1"/>
                <w:color w:val="FFFFFF"/>
                <w:vertAlign w:val="subscript"/>
              </w:rPr>
              <w:t>​</w:t>
            </w:r>
          </w:p>
        </w:tc>
        <w:tc>
          <w:tcPr>
            <w:tcW w:w="680" w:type="dxa"/>
            <w:vAlign w:val="bottom"/>
            <w:gridSpan w:val="5"/>
          </w:tcPr>
          <w:p>
            <w:pPr>
              <w:ind w:left="40"/>
              <w:spacing w:after="0" w:line="22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shd w:val="clear" w:color="auto" w:fill="424E6A"/>
              </w:rPr>
              <w:t xml:space="preserve">Petersen </w:t>
            </w:r>
            <w:r>
              <w:rPr>
                <w:rFonts w:ascii="Arial" w:cs="Arial" w:eastAsia="Arial" w:hAnsi="Arial"/>
                <w:sz w:val="25"/>
                <w:szCs w:val="25"/>
                <w:b w:val="1"/>
                <w:bCs w:val="1"/>
                <w:color w:val="FFFFFF"/>
                <w:vertAlign w:val="subscript"/>
                <w:shd w:val="clear" w:color="auto" w:fill="424E6A"/>
              </w:rPr>
              <w:t>​</w:t>
            </w:r>
          </w:p>
        </w:tc>
        <w:tc>
          <w:tcPr>
            <w:tcW w:w="540" w:type="dxa"/>
            <w:vAlign w:val="bottom"/>
            <w:gridSpan w:val="5"/>
          </w:tcPr>
          <w:p>
            <w:pPr>
              <w:ind w:left="40"/>
              <w:spacing w:after="0" w:line="22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Pruner </w:t>
            </w:r>
            <w:r>
              <w:rPr>
                <w:rFonts w:ascii="Arial" w:cs="Arial" w:eastAsia="Arial" w:hAnsi="Arial"/>
                <w:sz w:val="25"/>
                <w:szCs w:val="25"/>
                <w:b w:val="1"/>
                <w:bCs w:val="1"/>
                <w:color w:val="FFFFFF"/>
                <w:vertAlign w:val="subscript"/>
              </w:rPr>
              <w:t>​</w:t>
            </w:r>
          </w:p>
        </w:tc>
        <w:tc>
          <w:tcPr>
            <w:tcW w:w="740" w:type="dxa"/>
            <w:vAlign w:val="bottom"/>
            <w:gridSpan w:val="6"/>
          </w:tcPr>
          <w:p>
            <w:pPr>
              <w:ind w:left="40"/>
              <w:spacing w:after="0" w:line="22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shd w:val="clear" w:color="auto" w:fill="424E6A"/>
              </w:rPr>
              <w:t xml:space="preserve">Raymond </w:t>
            </w:r>
            <w:r>
              <w:rPr>
                <w:rFonts w:ascii="Arial" w:cs="Arial" w:eastAsia="Arial" w:hAnsi="Arial"/>
                <w:sz w:val="25"/>
                <w:szCs w:val="25"/>
                <w:b w:val="1"/>
                <w:bCs w:val="1"/>
                <w:color w:val="FFFFFF"/>
                <w:vertAlign w:val="subscript"/>
                <w:shd w:val="clear" w:color="auto" w:fill="424E6A"/>
              </w:rPr>
              <w:t>​</w:t>
            </w:r>
          </w:p>
        </w:tc>
        <w:tc>
          <w:tcPr>
            <w:tcW w:w="760" w:type="dxa"/>
            <w:vAlign w:val="bottom"/>
            <w:gridSpan w:val="5"/>
          </w:tcPr>
          <w:p>
            <w:pPr>
              <w:ind w:left="20"/>
              <w:spacing w:after="0" w:line="22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shd w:val="clear" w:color="auto" w:fill="424E6A"/>
              </w:rPr>
              <w:t xml:space="preserve">Shackouls </w:t>
            </w:r>
            <w:r>
              <w:rPr>
                <w:rFonts w:ascii="Arial" w:cs="Arial" w:eastAsia="Arial" w:hAnsi="Arial"/>
                <w:sz w:val="25"/>
                <w:szCs w:val="25"/>
                <w:b w:val="1"/>
                <w:bCs w:val="1"/>
                <w:color w:val="FFFFFF"/>
                <w:vertAlign w:val="subscript"/>
                <w:shd w:val="clear" w:color="auto" w:fill="424E6A"/>
              </w:rPr>
              <w:t>​</w:t>
            </w:r>
          </w:p>
        </w:tc>
        <w:tc>
          <w:tcPr>
            <w:tcW w:w="580" w:type="dxa"/>
            <w:vAlign w:val="bottom"/>
            <w:gridSpan w:val="5"/>
          </w:tcPr>
          <w:p>
            <w:pPr>
              <w:ind w:left="40"/>
              <w:spacing w:after="0" w:line="22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Temple </w:t>
            </w:r>
            <w:r>
              <w:rPr>
                <w:rFonts w:ascii="Arial" w:cs="Arial" w:eastAsia="Arial" w:hAnsi="Arial"/>
                <w:sz w:val="25"/>
                <w:szCs w:val="25"/>
                <w:b w:val="1"/>
                <w:bCs w:val="1"/>
                <w:color w:val="FFFFFF"/>
                <w:vertAlign w:val="subscript"/>
              </w:rPr>
              <w:t>​</w:t>
            </w:r>
          </w:p>
        </w:tc>
        <w:tc>
          <w:tcPr>
            <w:tcW w:w="580" w:type="dxa"/>
            <w:vAlign w:val="bottom"/>
            <w:gridSpan w:val="4"/>
            <w:shd w:val="clear" w:color="auto" w:fill="424E6A"/>
          </w:tcPr>
          <w:p>
            <w:pPr>
              <w:ind w:left="40"/>
              <w:spacing w:after="0" w:line="223"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Ziemba </w:t>
            </w:r>
            <w:r>
              <w:rPr>
                <w:rFonts w:ascii="Arial" w:cs="Arial" w:eastAsia="Arial" w:hAnsi="Arial"/>
                <w:sz w:val="25"/>
                <w:szCs w:val="25"/>
                <w:b w:val="1"/>
                <w:bCs w:val="1"/>
                <w:color w:val="FFFFFF"/>
                <w:vertAlign w:val="subscript"/>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auto"/>
            </w:tcBorders>
            <w:gridSpan w:val="2"/>
          </w:tcPr>
          <w:p>
            <w:pPr>
              <w:ind w:left="2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Public Company Experience</w:t>
            </w:r>
          </w:p>
        </w:tc>
        <w:tc>
          <w:tcPr>
            <w:tcW w:w="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auto"/>
                <w:highlight w:val="lightGray"/>
              </w:rPr>
              <w:t>​</w:t>
            </w:r>
          </w:p>
        </w:tc>
        <w:tc>
          <w:tcPr>
            <w:tcW w:w="240" w:type="dxa"/>
            <w:vAlign w:val="bottom"/>
            <w:tcBorders>
              <w:bottom w:val="single" w:sz="8" w:color="auto"/>
            </w:tcBorders>
          </w:tcPr>
          <w:p>
            <w:pPr>
              <w:ind w:left="120"/>
              <w:spacing w:after="0" w:line="216" w:lineRule="exact"/>
              <w:rPr>
                <w:sz w:val="20"/>
                <w:szCs w:val="20"/>
                <w:color w:val="auto"/>
              </w:rPr>
            </w:pPr>
            <w:r>
              <w:rPr>
                <w:rFonts w:ascii="Arial" w:cs="Arial" w:eastAsia="Arial" w:hAnsi="Arial"/>
                <w:sz w:val="12"/>
                <w:szCs w:val="12"/>
                <w:b w:val="1"/>
                <w:bCs w:val="1"/>
                <w:color w:val="auto"/>
                <w:highlight w:val="lightGray"/>
                <w:w w:val="71"/>
              </w:rPr>
              <w:t>​</w:t>
            </w:r>
            <w:r>
              <w:rPr>
                <w:rFonts w:ascii="MS PGothic" w:cs="MS PGothic" w:eastAsia="MS PGothic" w:hAnsi="MS PGothic"/>
                <w:sz w:val="21"/>
                <w:szCs w:val="21"/>
                <w:color w:val="auto"/>
                <w:highlight w:val="lightGray"/>
                <w:w w:val="71"/>
                <w:vertAlign w:val="superscript"/>
              </w:rPr>
              <w:t>✓</w:t>
            </w: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r>
              <w:rPr>
                <w:rFonts w:ascii="Arial" w:cs="Arial" w:eastAsia="Arial" w:hAnsi="Arial"/>
                <w:sz w:val="14"/>
                <w:szCs w:val="14"/>
                <w:color w:val="auto"/>
                <w:highlight w:val="lightGray"/>
              </w:rPr>
              <w:t>​</w:t>
            </w:r>
          </w:p>
        </w:tc>
        <w:tc>
          <w:tcPr>
            <w:tcW w:w="440" w:type="dxa"/>
            <w:vAlign w:val="bottom"/>
            <w:tcBorders>
              <w:bottom w:val="single" w:sz="8" w:color="auto"/>
            </w:tcBorders>
            <w:gridSpan w:val="4"/>
          </w:tcPr>
          <w:p>
            <w:pPr>
              <w:jc w:val="right"/>
              <w:ind w:right="80"/>
              <w:spacing w:after="0" w:line="216" w:lineRule="exact"/>
              <w:rPr>
                <w:sz w:val="20"/>
                <w:szCs w:val="20"/>
                <w:color w:val="auto"/>
              </w:rPr>
            </w:pPr>
            <w:r>
              <w:rPr>
                <w:rFonts w:ascii="Arial" w:cs="Arial" w:eastAsia="Arial" w:hAnsi="Arial"/>
                <w:sz w:val="13"/>
                <w:szCs w:val="13"/>
                <w:color w:val="auto"/>
                <w:highlight w:val="lightGray"/>
              </w:rPr>
              <w:t>​</w:t>
            </w:r>
            <w:r>
              <w:rPr>
                <w:rFonts w:ascii="MS PGothic" w:cs="MS PGothic" w:eastAsia="MS PGothic" w:hAnsi="MS PGothic"/>
                <w:sz w:val="25"/>
                <w:szCs w:val="25"/>
                <w:color w:val="auto"/>
                <w:highlight w:val="lightGray"/>
                <w:vertAlign w:val="superscript"/>
              </w:rPr>
              <w:t>✓</w:t>
            </w:r>
            <w:r>
              <w:rPr>
                <w:rFonts w:ascii="Arial" w:cs="Arial" w:eastAsia="Arial" w:hAnsi="Arial"/>
                <w:sz w:val="13"/>
                <w:szCs w:val="13"/>
                <w:color w:val="auto"/>
                <w:highlight w:val="lightGray"/>
              </w:rPr>
              <w:t xml:space="preserve"> ​</w:t>
            </w:r>
            <w:r>
              <w:rPr>
                <w:rFonts w:ascii="Arial" w:cs="Arial" w:eastAsia="Arial" w:hAnsi="Arial"/>
                <w:sz w:val="13"/>
                <w:szCs w:val="13"/>
                <w:color w:val="auto"/>
              </w:rPr>
              <w:t>​</w:t>
            </w:r>
            <w:r>
              <w:rPr>
                <w:rFonts w:ascii="Arial" w:cs="Arial" w:eastAsia="Arial" w:hAnsi="Arial"/>
                <w:sz w:val="13"/>
                <w:szCs w:val="13"/>
                <w:color w:val="auto"/>
                <w:highlight w:val="lightGray"/>
              </w:rPr>
              <w:t>​</w:t>
            </w:r>
          </w:p>
        </w:tc>
        <w:tc>
          <w:tcPr>
            <w:tcW w:w="200" w:type="dxa"/>
            <w:vAlign w:val="bottom"/>
            <w:tcBorders>
              <w:bottom w:val="single" w:sz="8" w:color="auto"/>
            </w:tcBorders>
          </w:tcPr>
          <w:p>
            <w:pPr>
              <w:ind w:left="60"/>
              <w:spacing w:after="0" w:line="216" w:lineRule="exact"/>
              <w:rPr>
                <w:sz w:val="20"/>
                <w:szCs w:val="20"/>
                <w:color w:val="auto"/>
              </w:rPr>
            </w:pPr>
            <w:r>
              <w:rPr>
                <w:rFonts w:ascii="Arial" w:cs="Arial" w:eastAsia="Arial" w:hAnsi="Arial"/>
                <w:sz w:val="13"/>
                <w:szCs w:val="13"/>
                <w:b w:val="1"/>
                <w:bCs w:val="1"/>
                <w:color w:val="auto"/>
                <w:highlight w:val="lightGray"/>
                <w:w w:val="71"/>
              </w:rPr>
              <w:t>​</w:t>
            </w:r>
            <w:r>
              <w:rPr>
                <w:rFonts w:ascii="MS PGothic" w:cs="MS PGothic" w:eastAsia="MS PGothic" w:hAnsi="MS PGothic"/>
                <w:sz w:val="25"/>
                <w:szCs w:val="25"/>
                <w:color w:val="auto"/>
                <w:highlight w:val="lightGray"/>
                <w:w w:val="71"/>
                <w:vertAlign w:val="superscript"/>
              </w:rPr>
              <w:t>✓</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highlight w:val="lightGray"/>
              </w:rPr>
              <w:t>​</w:t>
            </w:r>
            <w:r>
              <w:rPr>
                <w:rFonts w:ascii="Arial" w:cs="Arial" w:eastAsia="Arial" w:hAnsi="Arial"/>
                <w:sz w:val="14"/>
                <w:szCs w:val="14"/>
                <w:color w:val="auto"/>
              </w:rPr>
              <w:t>​</w:t>
            </w:r>
            <w:r>
              <w:rPr>
                <w:rFonts w:ascii="Arial" w:cs="Arial" w:eastAsia="Arial" w:hAnsi="Arial"/>
                <w:sz w:val="14"/>
                <w:szCs w:val="14"/>
                <w:color w:val="auto"/>
                <w:highlight w:val="lightGray"/>
              </w:rPr>
              <w:t>​</w:t>
            </w:r>
          </w:p>
        </w:tc>
        <w:tc>
          <w:tcPr>
            <w:tcW w:w="240" w:type="dxa"/>
            <w:vAlign w:val="bottom"/>
            <w:tcBorders>
              <w:bottom w:val="single" w:sz="8" w:color="auto"/>
            </w:tcBorders>
          </w:tcPr>
          <w:p>
            <w:pPr>
              <w:ind w:left="120"/>
              <w:spacing w:after="0" w:line="216" w:lineRule="exact"/>
              <w:rPr>
                <w:sz w:val="20"/>
                <w:szCs w:val="20"/>
                <w:color w:val="auto"/>
              </w:rPr>
            </w:pPr>
            <w:r>
              <w:rPr>
                <w:rFonts w:ascii="Arial" w:cs="Arial" w:eastAsia="Arial" w:hAnsi="Arial"/>
                <w:sz w:val="12"/>
                <w:szCs w:val="12"/>
                <w:color w:val="auto"/>
                <w:highlight w:val="lightGray"/>
                <w:w w:val="71"/>
              </w:rPr>
              <w:t>​</w:t>
            </w:r>
            <w:r>
              <w:rPr>
                <w:rFonts w:ascii="MS PGothic" w:cs="MS PGothic" w:eastAsia="MS PGothic" w:hAnsi="MS PGothic"/>
                <w:sz w:val="21"/>
                <w:szCs w:val="21"/>
                <w:color w:val="auto"/>
                <w:highlight w:val="lightGray"/>
                <w:w w:val="71"/>
                <w:vertAlign w:val="superscript"/>
              </w:rPr>
              <w:t>✓</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highlight w:val="lightGray"/>
              </w:rPr>
              <w:t>​​</w:t>
            </w:r>
          </w:p>
        </w:tc>
        <w:tc>
          <w:tcPr>
            <w:tcW w:w="200" w:type="dxa"/>
            <w:vAlign w:val="bottom"/>
            <w:tcBorders>
              <w:bottom w:val="single" w:sz="8" w:color="auto"/>
            </w:tcBorders>
            <w:gridSpan w:val="2"/>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D9DCE1"/>
          </w:tcPr>
          <w:p>
            <w:pPr>
              <w:ind w:left="100"/>
              <w:spacing w:after="0" w:line="216"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140" w:type="dxa"/>
            <w:vAlign w:val="bottom"/>
            <w:tcBorders>
              <w:bottom w:val="single" w:sz="8" w:color="auto"/>
            </w:tcBorders>
            <w:shd w:val="clear" w:color="auto" w:fill="D9DCE1"/>
          </w:tcPr>
          <w:p>
            <w:pPr>
              <w:spacing w:after="0"/>
              <w:rPr>
                <w:sz w:val="18"/>
                <w:szCs w:val="18"/>
                <w:color w:val="auto"/>
              </w:rPr>
            </w:pPr>
          </w:p>
        </w:tc>
        <w:tc>
          <w:tcPr>
            <w:tcW w:w="16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gridSpan w:val="2"/>
            <w:shd w:val="clear" w:color="auto" w:fill="D9DCE1"/>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D9DCE1"/>
          </w:tcPr>
          <w:p>
            <w:pPr>
              <w:ind w:left="80"/>
              <w:spacing w:after="0" w:line="216" w:lineRule="exact"/>
              <w:rPr>
                <w:sz w:val="20"/>
                <w:szCs w:val="20"/>
                <w:color w:val="auto"/>
              </w:rPr>
            </w:pPr>
            <w:r>
              <w:rPr>
                <w:rFonts w:ascii="Arial" w:cs="Arial" w:eastAsia="Arial" w:hAnsi="Arial"/>
                <w:sz w:val="13"/>
                <w:szCs w:val="13"/>
                <w:color w:val="auto"/>
                <w:w w:val="71"/>
              </w:rPr>
              <w:t>​</w:t>
            </w:r>
            <w:r>
              <w:rPr>
                <w:rFonts w:ascii="MS PGothic" w:cs="MS PGothic" w:eastAsia="MS PGothic" w:hAnsi="MS PGothic"/>
                <w:sz w:val="25"/>
                <w:szCs w:val="25"/>
                <w:color w:val="auto"/>
                <w:w w:val="71"/>
                <w:vertAlign w:val="superscript"/>
              </w:rPr>
              <w:t>✓</w:t>
            </w:r>
          </w:p>
        </w:tc>
        <w:tc>
          <w:tcPr>
            <w:tcW w:w="100" w:type="dxa"/>
            <w:vAlign w:val="bottom"/>
            <w:tcBorders>
              <w:bottom w:val="single" w:sz="8" w:color="auto"/>
            </w:tcBorders>
            <w:shd w:val="clear" w:color="auto" w:fill="D9DCE1"/>
          </w:tcPr>
          <w:p>
            <w:pPr>
              <w:spacing w:after="0"/>
              <w:rPr>
                <w:sz w:val="18"/>
                <w:szCs w:val="18"/>
                <w:color w:val="auto"/>
              </w:rPr>
            </w:pPr>
          </w:p>
        </w:tc>
        <w:tc>
          <w:tcPr>
            <w:tcW w:w="120" w:type="dxa"/>
            <w:vAlign w:val="bottom"/>
            <w:tcBorders>
              <w:bottom w:val="single" w:sz="8" w:color="auto"/>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D9DCE1"/>
          </w:tcPr>
          <w:p>
            <w:pPr>
              <w:ind w:left="100"/>
              <w:spacing w:after="0" w:line="216"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140" w:type="dxa"/>
            <w:vAlign w:val="bottom"/>
            <w:tcBorders>
              <w:bottom w:val="single" w:sz="8" w:color="auto"/>
            </w:tcBorders>
            <w:shd w:val="clear" w:color="auto" w:fill="D9DCE1"/>
          </w:tcPr>
          <w:p>
            <w:pPr>
              <w:spacing w:after="0"/>
              <w:rPr>
                <w:sz w:val="18"/>
                <w:szCs w:val="18"/>
                <w:color w:val="auto"/>
              </w:rPr>
            </w:pPr>
          </w:p>
        </w:tc>
        <w:tc>
          <w:tcPr>
            <w:tcW w:w="14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line="216" w:lineRule="exact"/>
              <w:rPr>
                <w:sz w:val="20"/>
                <w:szCs w:val="20"/>
                <w:color w:val="auto"/>
              </w:rPr>
            </w:pPr>
            <w:r>
              <w:rPr>
                <w:rFonts w:ascii="MS PGothic" w:cs="MS PGothic" w:eastAsia="MS PGothic" w:hAnsi="MS PGothic"/>
                <w:sz w:val="21"/>
                <w:szCs w:val="21"/>
                <w:color w:val="auto"/>
                <w:w w:val="71"/>
                <w:vertAlign w:val="superscript"/>
              </w:rPr>
              <w:t>✓</w:t>
            </w:r>
            <w:r>
              <w:rPr>
                <w:rFonts w:ascii="Arial" w:cs="Arial" w:eastAsia="Arial" w:hAnsi="Arial"/>
                <w:sz w:val="12"/>
                <w:szCs w:val="12"/>
                <w:b w:val="1"/>
                <w:bCs w:val="1"/>
                <w:color w:val="auto"/>
                <w:w w:val="71"/>
              </w:rPr>
              <w:t>​</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D9DCE1"/>
          </w:tcPr>
          <w:p>
            <w:pPr>
              <w:ind w:left="120"/>
              <w:spacing w:after="0" w:line="216"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140" w:type="dxa"/>
            <w:vAlign w:val="bottom"/>
            <w:tcBorders>
              <w:bottom w:val="single" w:sz="8" w:color="auto"/>
            </w:tcBorders>
            <w:shd w:val="clear" w:color="auto" w:fill="D9DCE1"/>
          </w:tcPr>
          <w:p>
            <w:pPr>
              <w:spacing w:after="0"/>
              <w:rPr>
                <w:sz w:val="18"/>
                <w:szCs w:val="18"/>
                <w:color w:val="auto"/>
              </w:rPr>
            </w:pPr>
          </w:p>
        </w:tc>
        <w:tc>
          <w:tcPr>
            <w:tcW w:w="16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shd w:val="clear" w:color="auto" w:fill="D9DCE1"/>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D9DCE1"/>
          </w:tcPr>
          <w:p>
            <w:pPr>
              <w:ind w:left="120"/>
              <w:spacing w:after="0" w:line="216"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160" w:type="dxa"/>
            <w:vAlign w:val="bottom"/>
            <w:tcBorders>
              <w:bottom w:val="single" w:sz="8" w:color="auto"/>
            </w:tcBorders>
            <w:shd w:val="clear" w:color="auto" w:fill="D9DCE1"/>
          </w:tcPr>
          <w:p>
            <w:pPr>
              <w:spacing w:after="0"/>
              <w:rPr>
                <w:sz w:val="18"/>
                <w:szCs w:val="18"/>
                <w:color w:val="auto"/>
              </w:rPr>
            </w:pPr>
          </w:p>
        </w:tc>
        <w:tc>
          <w:tcPr>
            <w:tcW w:w="16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line="216" w:lineRule="exact"/>
              <w:rPr>
                <w:sz w:val="20"/>
                <w:szCs w:val="20"/>
                <w:color w:val="auto"/>
              </w:rPr>
            </w:pPr>
            <w:r>
              <w:rPr>
                <w:rFonts w:ascii="Arial" w:cs="Arial" w:eastAsia="Arial" w:hAnsi="Arial"/>
                <w:sz w:val="12"/>
                <w:szCs w:val="12"/>
                <w:b w:val="1"/>
                <w:bCs w:val="1"/>
                <w:color w:val="auto"/>
                <w:w w:val="71"/>
              </w:rPr>
              <w:t>​</w:t>
            </w:r>
            <w:r>
              <w:rPr>
                <w:rFonts w:ascii="MS PGothic" w:cs="MS PGothic" w:eastAsia="MS PGothic" w:hAnsi="MS PGothic"/>
                <w:sz w:val="21"/>
                <w:szCs w:val="21"/>
                <w:color w:val="auto"/>
                <w:w w:val="71"/>
                <w:vertAlign w:val="superscript"/>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line="216"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auto"/>
            </w:tcBorders>
            <w:gridSpan w:val="2"/>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Finance/Accounting</w:t>
            </w:r>
          </w:p>
        </w:tc>
        <w:tc>
          <w:tcPr>
            <w:tcW w:w="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line="242"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w w:val="85"/>
                <w:vertAlign w:val="subscript"/>
              </w:rPr>
              <w:t>​</w:t>
            </w:r>
            <w:r>
              <w:rPr>
                <w:rFonts w:ascii="MS PGothic" w:cs="MS PGothic" w:eastAsia="MS PGothic" w:hAnsi="MS PGothic"/>
                <w:sz w:val="14"/>
                <w:szCs w:val="14"/>
                <w:color w:val="auto"/>
                <w:w w:val="85"/>
              </w:rPr>
              <w:t>✓</w:t>
            </w:r>
            <w:r>
              <w:rPr>
                <w:rFonts w:ascii="Arial" w:cs="Arial" w:eastAsia="Arial" w:hAnsi="Arial"/>
                <w:sz w:val="14"/>
                <w:szCs w:val="14"/>
                <w:color w:val="auto"/>
                <w:w w:val="85"/>
              </w:rPr>
              <w:t>​</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10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80"/>
              <w:spacing w:after="0" w:line="250" w:lineRule="exact"/>
              <w:rPr>
                <w:sz w:val="20"/>
                <w:szCs w:val="20"/>
                <w:color w:val="auto"/>
              </w:rPr>
            </w:pPr>
            <w:r>
              <w:rPr>
                <w:rFonts w:ascii="Arial" w:cs="Arial" w:eastAsia="Arial" w:hAnsi="Arial"/>
                <w:sz w:val="28"/>
                <w:szCs w:val="28"/>
                <w:color w:val="auto"/>
                <w:w w:val="85"/>
                <w:vertAlign w:val="subscript"/>
              </w:rPr>
              <w:t>​</w:t>
            </w:r>
            <w:r>
              <w:rPr>
                <w:rFonts w:ascii="MS PGothic" w:cs="MS PGothic" w:eastAsia="MS PGothic" w:hAnsi="MS PGothic"/>
                <w:sz w:val="14"/>
                <w:szCs w:val="14"/>
                <w:color w:val="auto"/>
                <w:w w:val="85"/>
              </w:rPr>
              <w:t>✓</w:t>
            </w:r>
            <w:r>
              <w:rPr>
                <w:rFonts w:ascii="Arial" w:cs="Arial" w:eastAsia="Arial" w:hAnsi="Arial"/>
                <w:sz w:val="14"/>
                <w:szCs w:val="14"/>
                <w:color w:val="auto"/>
                <w:w w:val="85"/>
              </w:rPr>
              <w:t>​</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10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line="250" w:lineRule="exact"/>
              <w:rPr>
                <w:sz w:val="20"/>
                <w:szCs w:val="20"/>
                <w:color w:val="auto"/>
              </w:rPr>
            </w:pPr>
            <w:r>
              <w:rPr>
                <w:rFonts w:ascii="MS PGothic" w:cs="MS PGothic" w:eastAsia="MS PGothic" w:hAnsi="MS PGothic"/>
                <w:sz w:val="14"/>
                <w:szCs w:val="14"/>
                <w:color w:val="auto"/>
                <w:w w:val="71"/>
              </w:rPr>
              <w:t>✓</w:t>
            </w:r>
            <w:r>
              <w:rPr>
                <w:rFonts w:ascii="Arial" w:cs="Arial" w:eastAsia="Arial" w:hAnsi="Arial"/>
                <w:sz w:val="28"/>
                <w:szCs w:val="28"/>
                <w:color w:val="auto"/>
                <w:w w:val="71"/>
                <w:vertAlign w:val="subscript"/>
              </w:rPr>
              <w:t>​</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line="242"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060" w:type="dxa"/>
            <w:vAlign w:val="bottom"/>
            <w:tcBorders>
              <w:left w:val="single" w:sz="8" w:color="D9DCE1"/>
              <w:right w:val="single" w:sz="8" w:color="D9DCE1"/>
            </w:tcBorders>
            <w:gridSpan w:val="2"/>
            <w:shd w:val="clear" w:color="auto" w:fill="D9DCE1"/>
          </w:tcPr>
          <w:p>
            <w:pPr>
              <w:ind w:left="40"/>
              <w:spacing w:after="0"/>
              <w:rPr>
                <w:sz w:val="20"/>
                <w:szCs w:val="20"/>
                <w:color w:val="auto"/>
              </w:rPr>
            </w:pPr>
            <w:r>
              <w:rPr>
                <w:rFonts w:ascii="Arial" w:cs="Arial" w:eastAsia="Arial" w:hAnsi="Arial"/>
                <w:sz w:val="14"/>
                <w:szCs w:val="14"/>
                <w:color w:val="auto"/>
              </w:rPr>
              <w:t>Business Development/</w:t>
            </w:r>
          </w:p>
        </w:tc>
        <w:tc>
          <w:tcPr>
            <w:tcW w:w="220" w:type="dxa"/>
            <w:vAlign w:val="bottom"/>
            <w:gridSpan w:val="3"/>
          </w:tcPr>
          <w:p>
            <w:pPr>
              <w:spacing w:after="0"/>
              <w:rPr>
                <w:sz w:val="16"/>
                <w:szCs w:val="16"/>
                <w:color w:val="auto"/>
              </w:rPr>
            </w:pPr>
          </w:p>
        </w:tc>
        <w:tc>
          <w:tcPr>
            <w:tcW w:w="240" w:type="dxa"/>
            <w:vAlign w:val="bottom"/>
            <w:vMerge w:val="restart"/>
          </w:tcPr>
          <w:p>
            <w:pPr>
              <w:ind w:left="120"/>
              <w:spacing w:after="0" w:line="242" w:lineRule="exact"/>
              <w:rPr>
                <w:sz w:val="20"/>
                <w:szCs w:val="20"/>
                <w:color w:val="auto"/>
              </w:rPr>
            </w:pPr>
            <w:r>
              <w:rPr>
                <w:rFonts w:ascii="Arial" w:cs="Arial" w:eastAsia="Arial" w:hAnsi="Arial"/>
                <w:sz w:val="12"/>
                <w:szCs w:val="12"/>
                <w:b w:val="1"/>
                <w:bCs w:val="1"/>
                <w:color w:val="auto"/>
                <w:w w:val="71"/>
              </w:rPr>
              <w:t>​</w:t>
            </w:r>
            <w:r>
              <w:rPr>
                <w:rFonts w:ascii="MS PGothic" w:cs="MS PGothic" w:eastAsia="MS PGothic" w:hAnsi="MS PGothic"/>
                <w:sz w:val="21"/>
                <w:szCs w:val="21"/>
                <w:color w:val="auto"/>
                <w:w w:val="71"/>
                <w:vertAlign w:val="superscript"/>
              </w:rPr>
              <w:t>✓</w:t>
            </w:r>
          </w:p>
        </w:tc>
        <w:tc>
          <w:tcPr>
            <w:tcW w:w="420" w:type="dxa"/>
            <w:vAlign w:val="bottom"/>
            <w:gridSpan w:val="3"/>
          </w:tcPr>
          <w:p>
            <w:pPr>
              <w:spacing w:after="0"/>
              <w:rPr>
                <w:sz w:val="16"/>
                <w:szCs w:val="16"/>
                <w:color w:val="auto"/>
              </w:rPr>
            </w:pPr>
          </w:p>
        </w:tc>
        <w:tc>
          <w:tcPr>
            <w:tcW w:w="440" w:type="dxa"/>
            <w:vAlign w:val="bottom"/>
            <w:gridSpan w:val="4"/>
            <w:vMerge w:val="restart"/>
          </w:tcPr>
          <w:p>
            <w:pPr>
              <w:jc w:val="right"/>
              <w:ind w:right="8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r>
              <w:rPr>
                <w:rFonts w:ascii="Arial" w:cs="Arial" w:eastAsia="Arial" w:hAnsi="Arial"/>
                <w:sz w:val="14"/>
                <w:szCs w:val="14"/>
                <w:color w:val="auto"/>
              </w:rPr>
              <w:t xml:space="preserve"> ​​​</w:t>
            </w:r>
          </w:p>
        </w:tc>
        <w:tc>
          <w:tcPr>
            <w:tcW w:w="200" w:type="dxa"/>
            <w:vAlign w:val="bottom"/>
            <w:vMerge w:val="restart"/>
          </w:tcPr>
          <w:p>
            <w:pPr>
              <w:ind w:left="60"/>
              <w:spacing w:after="0" w:line="288" w:lineRule="exact"/>
              <w:rPr>
                <w:sz w:val="20"/>
                <w:szCs w:val="20"/>
                <w:color w:val="auto"/>
              </w:rPr>
            </w:pPr>
            <w:r>
              <w:rPr>
                <w:rFonts w:ascii="Arial" w:cs="Arial" w:eastAsia="Arial" w:hAnsi="Arial"/>
                <w:sz w:val="13"/>
                <w:szCs w:val="13"/>
                <w:b w:val="1"/>
                <w:bCs w:val="1"/>
                <w:color w:val="auto"/>
                <w:w w:val="71"/>
              </w:rPr>
              <w:t>​</w:t>
            </w:r>
            <w:r>
              <w:rPr>
                <w:rFonts w:ascii="MS PGothic" w:cs="MS PGothic" w:eastAsia="MS PGothic" w:hAnsi="MS PGothic"/>
                <w:sz w:val="25"/>
                <w:szCs w:val="25"/>
                <w:color w:val="auto"/>
                <w:w w:val="71"/>
                <w:vertAlign w:val="superscript"/>
              </w:rPr>
              <w:t>✓</w:t>
            </w:r>
          </w:p>
        </w:tc>
        <w:tc>
          <w:tcPr>
            <w:tcW w:w="380" w:type="dxa"/>
            <w:vAlign w:val="bottom"/>
            <w:gridSpan w:val="4"/>
          </w:tcPr>
          <w:p>
            <w:pPr>
              <w:spacing w:after="0"/>
              <w:rPr>
                <w:sz w:val="16"/>
                <w:szCs w:val="16"/>
                <w:color w:val="auto"/>
              </w:rPr>
            </w:pPr>
          </w:p>
        </w:tc>
        <w:tc>
          <w:tcPr>
            <w:tcW w:w="240" w:type="dxa"/>
            <w:vAlign w:val="bottom"/>
            <w:vMerge w:val="restart"/>
          </w:tcPr>
          <w:p>
            <w:pPr>
              <w:ind w:left="120"/>
              <w:spacing w:after="0" w:line="242"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520" w:type="dxa"/>
            <w:vAlign w:val="bottom"/>
            <w:gridSpan w:val="4"/>
          </w:tcPr>
          <w:p>
            <w:pPr>
              <w:spacing w:after="0"/>
              <w:rPr>
                <w:sz w:val="16"/>
                <w:szCs w:val="16"/>
                <w:color w:val="auto"/>
              </w:rPr>
            </w:pPr>
          </w:p>
        </w:tc>
        <w:tc>
          <w:tcPr>
            <w:tcW w:w="220" w:type="dxa"/>
            <w:vAlign w:val="bottom"/>
            <w:vMerge w:val="restart"/>
            <w:shd w:val="clear" w:color="auto" w:fill="D9DCE1"/>
          </w:tcPr>
          <w:p>
            <w:pPr>
              <w:ind w:left="100"/>
              <w:spacing w:after="0" w:line="242"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460" w:type="dxa"/>
            <w:vAlign w:val="bottom"/>
            <w:gridSpan w:val="5"/>
            <w:shd w:val="clear" w:color="auto" w:fill="D9DCE1"/>
          </w:tcPr>
          <w:p>
            <w:pPr>
              <w:spacing w:after="0"/>
              <w:rPr>
                <w:sz w:val="16"/>
                <w:szCs w:val="16"/>
                <w:color w:val="auto"/>
              </w:rPr>
            </w:pPr>
          </w:p>
        </w:tc>
        <w:tc>
          <w:tcPr>
            <w:tcW w:w="220" w:type="dxa"/>
            <w:vAlign w:val="bottom"/>
            <w:vMerge w:val="restart"/>
            <w:shd w:val="clear" w:color="auto" w:fill="D9DCE1"/>
          </w:tcPr>
          <w:p>
            <w:pPr>
              <w:ind w:left="80"/>
              <w:spacing w:after="0" w:line="288" w:lineRule="exact"/>
              <w:rPr>
                <w:sz w:val="20"/>
                <w:szCs w:val="20"/>
                <w:color w:val="auto"/>
              </w:rPr>
            </w:pPr>
            <w:r>
              <w:rPr>
                <w:rFonts w:ascii="Arial" w:cs="Arial" w:eastAsia="Arial" w:hAnsi="Arial"/>
                <w:sz w:val="13"/>
                <w:szCs w:val="13"/>
                <w:color w:val="auto"/>
                <w:w w:val="71"/>
              </w:rPr>
              <w:t>​</w:t>
            </w:r>
            <w:r>
              <w:rPr>
                <w:rFonts w:ascii="MS PGothic" w:cs="MS PGothic" w:eastAsia="MS PGothic" w:hAnsi="MS PGothic"/>
                <w:sz w:val="25"/>
                <w:szCs w:val="25"/>
                <w:color w:val="auto"/>
                <w:w w:val="71"/>
                <w:vertAlign w:val="superscript"/>
              </w:rPr>
              <w:t>✓</w:t>
            </w:r>
          </w:p>
        </w:tc>
        <w:tc>
          <w:tcPr>
            <w:tcW w:w="400" w:type="dxa"/>
            <w:vAlign w:val="bottom"/>
            <w:gridSpan w:val="4"/>
            <w:shd w:val="clear" w:color="auto" w:fill="D9DCE1"/>
          </w:tcPr>
          <w:p>
            <w:pPr>
              <w:spacing w:after="0"/>
              <w:rPr>
                <w:sz w:val="16"/>
                <w:szCs w:val="16"/>
                <w:color w:val="auto"/>
              </w:rPr>
            </w:pPr>
          </w:p>
        </w:tc>
        <w:tc>
          <w:tcPr>
            <w:tcW w:w="220" w:type="dxa"/>
            <w:vAlign w:val="bottom"/>
            <w:vMerge w:val="restart"/>
            <w:shd w:val="clear" w:color="auto" w:fill="D9DCE1"/>
          </w:tcPr>
          <w:p>
            <w:pPr>
              <w:ind w:left="100"/>
              <w:spacing w:after="0" w:line="242"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420" w:type="dxa"/>
            <w:vAlign w:val="bottom"/>
            <w:gridSpan w:val="4"/>
            <w:shd w:val="clear" w:color="auto" w:fill="D9DCE1"/>
          </w:tcPr>
          <w:p>
            <w:pPr>
              <w:spacing w:after="0"/>
              <w:rPr>
                <w:sz w:val="16"/>
                <w:szCs w:val="16"/>
                <w:color w:val="auto"/>
              </w:rPr>
            </w:pPr>
          </w:p>
        </w:tc>
        <w:tc>
          <w:tcPr>
            <w:tcW w:w="200" w:type="dxa"/>
            <w:vAlign w:val="bottom"/>
            <w:vMerge w:val="restart"/>
          </w:tcPr>
          <w:p>
            <w:pPr>
              <w:ind w:left="80"/>
              <w:spacing w:after="0" w:line="161" w:lineRule="exact"/>
              <w:rPr>
                <w:sz w:val="20"/>
                <w:szCs w:val="20"/>
                <w:color w:val="auto"/>
              </w:rPr>
            </w:pPr>
            <w:r>
              <w:rPr>
                <w:rFonts w:ascii="MS PGothic" w:cs="MS PGothic" w:eastAsia="MS PGothic" w:hAnsi="MS PGothic"/>
                <w:sz w:val="14"/>
                <w:szCs w:val="14"/>
                <w:color w:val="auto"/>
                <w:w w:val="71"/>
              </w:rPr>
              <w:t>✓</w:t>
            </w:r>
            <w:r>
              <w:rPr>
                <w:rFonts w:ascii="Arial" w:cs="Arial" w:eastAsia="Arial" w:hAnsi="Arial"/>
                <w:sz w:val="14"/>
                <w:szCs w:val="14"/>
                <w:b w:val="1"/>
                <w:bCs w:val="1"/>
                <w:color w:val="auto"/>
                <w:w w:val="71"/>
              </w:rPr>
              <w:t>​</w:t>
            </w:r>
          </w:p>
        </w:tc>
        <w:tc>
          <w:tcPr>
            <w:tcW w:w="380" w:type="dxa"/>
            <w:vAlign w:val="bottom"/>
            <w:gridSpan w:val="4"/>
          </w:tcPr>
          <w:p>
            <w:pPr>
              <w:spacing w:after="0"/>
              <w:rPr>
                <w:sz w:val="16"/>
                <w:szCs w:val="16"/>
                <w:color w:val="auto"/>
              </w:rPr>
            </w:pPr>
          </w:p>
        </w:tc>
        <w:tc>
          <w:tcPr>
            <w:tcW w:w="240" w:type="dxa"/>
            <w:vAlign w:val="bottom"/>
            <w:vMerge w:val="restart"/>
            <w:shd w:val="clear" w:color="auto" w:fill="D9DCE1"/>
          </w:tcPr>
          <w:p>
            <w:pPr>
              <w:ind w:left="120"/>
              <w:spacing w:after="0" w:line="242"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520" w:type="dxa"/>
            <w:vAlign w:val="bottom"/>
            <w:gridSpan w:val="5"/>
            <w:shd w:val="clear" w:color="auto" w:fill="D9DCE1"/>
          </w:tcPr>
          <w:p>
            <w:pPr>
              <w:spacing w:after="0"/>
              <w:rPr>
                <w:sz w:val="16"/>
                <w:szCs w:val="16"/>
                <w:color w:val="auto"/>
              </w:rPr>
            </w:pPr>
          </w:p>
        </w:tc>
        <w:tc>
          <w:tcPr>
            <w:tcW w:w="240" w:type="dxa"/>
            <w:vAlign w:val="bottom"/>
            <w:vMerge w:val="restart"/>
            <w:shd w:val="clear" w:color="auto" w:fill="D9DCE1"/>
          </w:tcPr>
          <w:p>
            <w:pPr>
              <w:ind w:left="120"/>
              <w:spacing w:after="0" w:line="242"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480" w:type="dxa"/>
            <w:vAlign w:val="bottom"/>
            <w:gridSpan w:val="4"/>
            <w:shd w:val="clear" w:color="auto" w:fill="D9DCE1"/>
          </w:tcPr>
          <w:p>
            <w:pPr>
              <w:spacing w:after="0"/>
              <w:rPr>
                <w:sz w:val="16"/>
                <w:szCs w:val="16"/>
                <w:color w:val="auto"/>
              </w:rPr>
            </w:pPr>
          </w:p>
        </w:tc>
        <w:tc>
          <w:tcPr>
            <w:tcW w:w="200" w:type="dxa"/>
            <w:vAlign w:val="bottom"/>
            <w:vMerge w:val="restart"/>
          </w:tcPr>
          <w:p>
            <w:pPr>
              <w:ind w:left="80"/>
              <w:spacing w:after="0" w:line="242" w:lineRule="exact"/>
              <w:rPr>
                <w:sz w:val="20"/>
                <w:szCs w:val="20"/>
                <w:color w:val="auto"/>
              </w:rPr>
            </w:pPr>
            <w:r>
              <w:rPr>
                <w:rFonts w:ascii="Arial" w:cs="Arial" w:eastAsia="Arial" w:hAnsi="Arial"/>
                <w:sz w:val="12"/>
                <w:szCs w:val="12"/>
                <w:b w:val="1"/>
                <w:bCs w:val="1"/>
                <w:color w:val="auto"/>
                <w:w w:val="71"/>
              </w:rPr>
              <w:t>​</w:t>
            </w:r>
            <w:r>
              <w:rPr>
                <w:rFonts w:ascii="MS PGothic" w:cs="MS PGothic" w:eastAsia="MS PGothic" w:hAnsi="MS PGothic"/>
                <w:sz w:val="21"/>
                <w:szCs w:val="21"/>
                <w:color w:val="auto"/>
                <w:w w:val="71"/>
                <w:vertAlign w:val="superscript"/>
              </w:rPr>
              <w:t>✓</w:t>
            </w:r>
          </w:p>
        </w:tc>
        <w:tc>
          <w:tcPr>
            <w:tcW w:w="380" w:type="dxa"/>
            <w:vAlign w:val="bottom"/>
            <w:gridSpan w:val="3"/>
          </w:tcPr>
          <w:p>
            <w:pPr>
              <w:spacing w:after="0"/>
              <w:rPr>
                <w:sz w:val="16"/>
                <w:szCs w:val="16"/>
                <w:color w:val="auto"/>
              </w:rPr>
            </w:pPr>
          </w:p>
        </w:tc>
        <w:tc>
          <w:tcPr>
            <w:tcW w:w="200" w:type="dxa"/>
            <w:vAlign w:val="bottom"/>
            <w:vMerge w:val="restart"/>
          </w:tcPr>
          <w:p>
            <w:pPr>
              <w:ind w:left="80"/>
              <w:spacing w:after="0" w:line="242"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24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D9DCE1"/>
              <w:bottom w:val="single" w:sz="8" w:color="auto"/>
            </w:tcBorders>
            <w:shd w:val="clear" w:color="auto" w:fill="D9DCE1"/>
          </w:tcPr>
          <w:p>
            <w:pPr>
              <w:ind w:left="20"/>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right w:val="single" w:sz="8" w:color="D9DCE1"/>
            </w:tcBorders>
            <w:shd w:val="clear" w:color="auto" w:fill="D9DCE1"/>
          </w:tcPr>
          <w:p>
            <w:pPr>
              <w:ind w:left="60"/>
              <w:spacing w:after="0"/>
              <w:rPr>
                <w:sz w:val="20"/>
                <w:szCs w:val="20"/>
                <w:color w:val="auto"/>
              </w:rPr>
            </w:pPr>
            <w:r>
              <w:rPr>
                <w:rFonts w:ascii="Arial" w:cs="Arial" w:eastAsia="Arial" w:hAnsi="Arial"/>
                <w:sz w:val="14"/>
                <w:szCs w:val="14"/>
                <w:color w:val="auto"/>
              </w:rPr>
              <w:t>Strategy/Commercial</w:t>
            </w:r>
          </w:p>
        </w:tc>
        <w:tc>
          <w:tcPr>
            <w:tcW w:w="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gridSpan w:val="4"/>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gridSpan w:val="2"/>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vMerge w:val="continue"/>
            <w:shd w:val="clear" w:color="auto" w:fill="D9DCE1"/>
          </w:tcPr>
          <w:p>
            <w:pPr>
              <w:spacing w:after="0"/>
              <w:rPr>
                <w:sz w:val="18"/>
                <w:szCs w:val="18"/>
                <w:color w:val="auto"/>
              </w:rPr>
            </w:pPr>
          </w:p>
        </w:tc>
        <w:tc>
          <w:tcPr>
            <w:tcW w:w="140" w:type="dxa"/>
            <w:vAlign w:val="bottom"/>
            <w:tcBorders>
              <w:bottom w:val="single" w:sz="8" w:color="auto"/>
            </w:tcBorders>
            <w:shd w:val="clear" w:color="auto" w:fill="D9DCE1"/>
          </w:tcPr>
          <w:p>
            <w:pPr>
              <w:spacing w:after="0"/>
              <w:rPr>
                <w:sz w:val="18"/>
                <w:szCs w:val="18"/>
                <w:color w:val="auto"/>
              </w:rPr>
            </w:pPr>
          </w:p>
        </w:tc>
        <w:tc>
          <w:tcPr>
            <w:tcW w:w="16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gridSpan w:val="2"/>
            <w:shd w:val="clear" w:color="auto" w:fill="D9DCE1"/>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vMerge w:val="continue"/>
            <w:shd w:val="clear" w:color="auto" w:fill="D9DCE1"/>
          </w:tcPr>
          <w:p>
            <w:pPr>
              <w:spacing w:after="0"/>
              <w:rPr>
                <w:sz w:val="18"/>
                <w:szCs w:val="18"/>
                <w:color w:val="auto"/>
              </w:rPr>
            </w:pPr>
          </w:p>
        </w:tc>
        <w:tc>
          <w:tcPr>
            <w:tcW w:w="100" w:type="dxa"/>
            <w:vAlign w:val="bottom"/>
            <w:tcBorders>
              <w:bottom w:val="single" w:sz="8" w:color="auto"/>
            </w:tcBorders>
            <w:shd w:val="clear" w:color="auto" w:fill="D9DCE1"/>
          </w:tcPr>
          <w:p>
            <w:pPr>
              <w:spacing w:after="0"/>
              <w:rPr>
                <w:sz w:val="18"/>
                <w:szCs w:val="18"/>
                <w:color w:val="auto"/>
              </w:rPr>
            </w:pPr>
          </w:p>
        </w:tc>
        <w:tc>
          <w:tcPr>
            <w:tcW w:w="120" w:type="dxa"/>
            <w:vAlign w:val="bottom"/>
            <w:tcBorders>
              <w:bottom w:val="single" w:sz="8" w:color="auto"/>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vMerge w:val="continue"/>
            <w:shd w:val="clear" w:color="auto" w:fill="D9DCE1"/>
          </w:tcPr>
          <w:p>
            <w:pPr>
              <w:spacing w:after="0"/>
              <w:rPr>
                <w:sz w:val="18"/>
                <w:szCs w:val="18"/>
                <w:color w:val="auto"/>
              </w:rPr>
            </w:pPr>
          </w:p>
        </w:tc>
        <w:tc>
          <w:tcPr>
            <w:tcW w:w="140" w:type="dxa"/>
            <w:vAlign w:val="bottom"/>
            <w:tcBorders>
              <w:bottom w:val="single" w:sz="8" w:color="auto"/>
            </w:tcBorders>
            <w:shd w:val="clear" w:color="auto" w:fill="D9DCE1"/>
          </w:tcPr>
          <w:p>
            <w:pPr>
              <w:spacing w:after="0"/>
              <w:rPr>
                <w:sz w:val="18"/>
                <w:szCs w:val="18"/>
                <w:color w:val="auto"/>
              </w:rPr>
            </w:pPr>
          </w:p>
        </w:tc>
        <w:tc>
          <w:tcPr>
            <w:tcW w:w="14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vMerge w:val="continue"/>
            <w:shd w:val="clear" w:color="auto" w:fill="D9DCE1"/>
          </w:tcPr>
          <w:p>
            <w:pPr>
              <w:spacing w:after="0"/>
              <w:rPr>
                <w:sz w:val="18"/>
                <w:szCs w:val="18"/>
                <w:color w:val="auto"/>
              </w:rPr>
            </w:pPr>
          </w:p>
        </w:tc>
        <w:tc>
          <w:tcPr>
            <w:tcW w:w="140" w:type="dxa"/>
            <w:vAlign w:val="bottom"/>
            <w:tcBorders>
              <w:bottom w:val="single" w:sz="8" w:color="auto"/>
            </w:tcBorders>
            <w:shd w:val="clear" w:color="auto" w:fill="D9DCE1"/>
          </w:tcPr>
          <w:p>
            <w:pPr>
              <w:spacing w:after="0"/>
              <w:rPr>
                <w:sz w:val="18"/>
                <w:szCs w:val="18"/>
                <w:color w:val="auto"/>
              </w:rPr>
            </w:pPr>
          </w:p>
        </w:tc>
        <w:tc>
          <w:tcPr>
            <w:tcW w:w="16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shd w:val="clear" w:color="auto" w:fill="D9DCE1"/>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vMerge w:val="continue"/>
            <w:shd w:val="clear" w:color="auto" w:fill="D9DCE1"/>
          </w:tcPr>
          <w:p>
            <w:pPr>
              <w:spacing w:after="0"/>
              <w:rPr>
                <w:sz w:val="18"/>
                <w:szCs w:val="18"/>
                <w:color w:val="auto"/>
              </w:rPr>
            </w:pPr>
          </w:p>
        </w:tc>
        <w:tc>
          <w:tcPr>
            <w:tcW w:w="160" w:type="dxa"/>
            <w:vAlign w:val="bottom"/>
            <w:tcBorders>
              <w:bottom w:val="single" w:sz="8" w:color="auto"/>
            </w:tcBorders>
            <w:shd w:val="clear" w:color="auto" w:fill="D9DCE1"/>
          </w:tcPr>
          <w:p>
            <w:pPr>
              <w:spacing w:after="0"/>
              <w:rPr>
                <w:sz w:val="18"/>
                <w:szCs w:val="18"/>
                <w:color w:val="auto"/>
              </w:rPr>
            </w:pPr>
          </w:p>
        </w:tc>
        <w:tc>
          <w:tcPr>
            <w:tcW w:w="16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280" w:type="dxa"/>
            <w:vAlign w:val="bottom"/>
            <w:gridSpan w:val="5"/>
          </w:tcPr>
          <w:p>
            <w:pPr>
              <w:ind w:left="40"/>
              <w:spacing w:after="0"/>
              <w:rPr>
                <w:sz w:val="20"/>
                <w:szCs w:val="20"/>
                <w:color w:val="auto"/>
              </w:rPr>
            </w:pPr>
            <w:r>
              <w:rPr>
                <w:rFonts w:ascii="Arial" w:cs="Arial" w:eastAsia="Arial" w:hAnsi="Arial"/>
                <w:sz w:val="14"/>
                <w:szCs w:val="14"/>
                <w:color w:val="auto"/>
              </w:rPr>
              <w:t>Legal/Governance/​Government</w:t>
            </w:r>
          </w:p>
        </w:tc>
        <w:tc>
          <w:tcPr>
            <w:tcW w:w="240" w:type="dxa"/>
            <w:vAlign w:val="bottom"/>
            <w:vMerge w:val="restart"/>
          </w:tcPr>
          <w:p>
            <w:pPr>
              <w:ind w:left="120"/>
              <w:spacing w:after="0" w:line="242" w:lineRule="exact"/>
              <w:rPr>
                <w:sz w:val="20"/>
                <w:szCs w:val="20"/>
                <w:color w:val="auto"/>
              </w:rPr>
            </w:pPr>
            <w:r>
              <w:rPr>
                <w:rFonts w:ascii="Arial" w:cs="Arial" w:eastAsia="Arial" w:hAnsi="Arial"/>
                <w:sz w:val="12"/>
                <w:szCs w:val="12"/>
                <w:b w:val="1"/>
                <w:bCs w:val="1"/>
                <w:color w:val="auto"/>
                <w:w w:val="71"/>
              </w:rPr>
              <w:t>​</w:t>
            </w:r>
            <w:r>
              <w:rPr>
                <w:rFonts w:ascii="MS PGothic" w:cs="MS PGothic" w:eastAsia="MS PGothic" w:hAnsi="MS PGothic"/>
                <w:sz w:val="21"/>
                <w:szCs w:val="21"/>
                <w:color w:val="auto"/>
                <w:w w:val="71"/>
                <w:vertAlign w:val="superscript"/>
              </w:rPr>
              <w:t>✓</w:t>
            </w:r>
          </w:p>
        </w:tc>
        <w:tc>
          <w:tcPr>
            <w:tcW w:w="420" w:type="dxa"/>
            <w:vAlign w:val="bottom"/>
            <w:gridSpan w:val="3"/>
          </w:tcPr>
          <w:p>
            <w:pPr>
              <w:spacing w:after="0"/>
              <w:rPr>
                <w:sz w:val="16"/>
                <w:szCs w:val="16"/>
                <w:color w:val="auto"/>
              </w:rPr>
            </w:pPr>
          </w:p>
        </w:tc>
        <w:tc>
          <w:tcPr>
            <w:tcW w:w="440" w:type="dxa"/>
            <w:vAlign w:val="bottom"/>
            <w:gridSpan w:val="4"/>
            <w:vMerge w:val="restart"/>
          </w:tcPr>
          <w:p>
            <w:pPr>
              <w:jc w:val="right"/>
              <w:ind w:right="80"/>
              <w:spacing w:after="0" w:line="322"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28"/>
                <w:szCs w:val="28"/>
                <w:color w:val="auto"/>
                <w:vertAlign w:val="superscript"/>
              </w:rPr>
              <w:t>✓</w:t>
            </w:r>
            <w:r>
              <w:rPr>
                <w:rFonts w:ascii="Arial" w:cs="Arial" w:eastAsia="Arial" w:hAnsi="Arial"/>
                <w:sz w:val="14"/>
                <w:szCs w:val="14"/>
                <w:color w:val="auto"/>
              </w:rPr>
              <w:t xml:space="preserve"> ​​​</w:t>
            </w:r>
          </w:p>
        </w:tc>
        <w:tc>
          <w:tcPr>
            <w:tcW w:w="200" w:type="dxa"/>
            <w:vAlign w:val="bottom"/>
            <w:vMerge w:val="restart"/>
          </w:tcPr>
          <w:p>
            <w:pPr>
              <w:ind w:left="60"/>
              <w:spacing w:after="0" w:line="288" w:lineRule="exact"/>
              <w:rPr>
                <w:sz w:val="20"/>
                <w:szCs w:val="20"/>
                <w:color w:val="auto"/>
              </w:rPr>
            </w:pPr>
            <w:r>
              <w:rPr>
                <w:rFonts w:ascii="Arial" w:cs="Arial" w:eastAsia="Arial" w:hAnsi="Arial"/>
                <w:sz w:val="13"/>
                <w:szCs w:val="13"/>
                <w:b w:val="1"/>
                <w:bCs w:val="1"/>
                <w:color w:val="auto"/>
                <w:w w:val="71"/>
              </w:rPr>
              <w:t>​</w:t>
            </w:r>
            <w:r>
              <w:rPr>
                <w:rFonts w:ascii="MS PGothic" w:cs="MS PGothic" w:eastAsia="MS PGothic" w:hAnsi="MS PGothic"/>
                <w:sz w:val="25"/>
                <w:szCs w:val="25"/>
                <w:color w:val="auto"/>
                <w:w w:val="71"/>
                <w:vertAlign w:val="superscript"/>
              </w:rPr>
              <w:t>✓</w:t>
            </w:r>
          </w:p>
        </w:tc>
        <w:tc>
          <w:tcPr>
            <w:tcW w:w="380" w:type="dxa"/>
            <w:vAlign w:val="bottom"/>
            <w:gridSpan w:val="4"/>
          </w:tcPr>
          <w:p>
            <w:pPr>
              <w:spacing w:after="0"/>
              <w:rPr>
                <w:sz w:val="16"/>
                <w:szCs w:val="16"/>
                <w:color w:val="auto"/>
              </w:rPr>
            </w:pPr>
          </w:p>
        </w:tc>
        <w:tc>
          <w:tcPr>
            <w:tcW w:w="240" w:type="dxa"/>
            <w:vAlign w:val="bottom"/>
            <w:vMerge w:val="restart"/>
          </w:tcPr>
          <w:p>
            <w:pPr>
              <w:ind w:left="120"/>
              <w:spacing w:after="0" w:line="242"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520" w:type="dxa"/>
            <w:vAlign w:val="bottom"/>
            <w:gridSpan w:val="4"/>
          </w:tcPr>
          <w:p>
            <w:pPr>
              <w:spacing w:after="0"/>
              <w:rPr>
                <w:sz w:val="16"/>
                <w:szCs w:val="16"/>
                <w:color w:val="auto"/>
              </w:rPr>
            </w:pPr>
          </w:p>
        </w:tc>
        <w:tc>
          <w:tcPr>
            <w:tcW w:w="220" w:type="dxa"/>
            <w:vAlign w:val="bottom"/>
            <w:vMerge w:val="restart"/>
          </w:tcPr>
          <w:p>
            <w:pPr>
              <w:ind w:left="100"/>
              <w:spacing w:after="0" w:line="242"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460" w:type="dxa"/>
            <w:vAlign w:val="bottom"/>
            <w:gridSpan w:val="5"/>
          </w:tcPr>
          <w:p>
            <w:pPr>
              <w:spacing w:after="0"/>
              <w:rPr>
                <w:sz w:val="16"/>
                <w:szCs w:val="16"/>
                <w:color w:val="auto"/>
              </w:rPr>
            </w:pPr>
          </w:p>
        </w:tc>
        <w:tc>
          <w:tcPr>
            <w:tcW w:w="220" w:type="dxa"/>
            <w:vAlign w:val="bottom"/>
            <w:vMerge w:val="restart"/>
          </w:tcPr>
          <w:p>
            <w:pPr>
              <w:ind w:left="80"/>
              <w:spacing w:after="0" w:line="288" w:lineRule="exact"/>
              <w:rPr>
                <w:sz w:val="20"/>
                <w:szCs w:val="20"/>
                <w:color w:val="auto"/>
              </w:rPr>
            </w:pPr>
            <w:r>
              <w:rPr>
                <w:rFonts w:ascii="Arial" w:cs="Arial" w:eastAsia="Arial" w:hAnsi="Arial"/>
                <w:sz w:val="13"/>
                <w:szCs w:val="13"/>
                <w:color w:val="auto"/>
                <w:w w:val="71"/>
              </w:rPr>
              <w:t>​</w:t>
            </w:r>
            <w:r>
              <w:rPr>
                <w:rFonts w:ascii="MS PGothic" w:cs="MS PGothic" w:eastAsia="MS PGothic" w:hAnsi="MS PGothic"/>
                <w:sz w:val="25"/>
                <w:szCs w:val="25"/>
                <w:color w:val="auto"/>
                <w:w w:val="71"/>
                <w:vertAlign w:val="superscript"/>
              </w:rPr>
              <w:t>✓</w:t>
            </w:r>
          </w:p>
        </w:tc>
        <w:tc>
          <w:tcPr>
            <w:tcW w:w="400" w:type="dxa"/>
            <w:vAlign w:val="bottom"/>
            <w:gridSpan w:val="4"/>
          </w:tcPr>
          <w:p>
            <w:pPr>
              <w:spacing w:after="0"/>
              <w:rPr>
                <w:sz w:val="16"/>
                <w:szCs w:val="16"/>
                <w:color w:val="auto"/>
              </w:rPr>
            </w:pPr>
          </w:p>
        </w:tc>
        <w:tc>
          <w:tcPr>
            <w:tcW w:w="220" w:type="dxa"/>
            <w:vAlign w:val="bottom"/>
            <w:vMerge w:val="restart"/>
          </w:tcPr>
          <w:p>
            <w:pPr>
              <w:ind w:left="100"/>
              <w:spacing w:after="0" w:line="242"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420" w:type="dxa"/>
            <w:vAlign w:val="bottom"/>
            <w:gridSpan w:val="4"/>
          </w:tcPr>
          <w:p>
            <w:pPr>
              <w:spacing w:after="0"/>
              <w:rPr>
                <w:sz w:val="16"/>
                <w:szCs w:val="16"/>
                <w:color w:val="auto"/>
              </w:rPr>
            </w:pPr>
          </w:p>
        </w:tc>
        <w:tc>
          <w:tcPr>
            <w:tcW w:w="200" w:type="dxa"/>
            <w:vAlign w:val="bottom"/>
            <w:vMerge w:val="restart"/>
          </w:tcPr>
          <w:p>
            <w:pPr>
              <w:ind w:left="80"/>
              <w:spacing w:after="0" w:line="161" w:lineRule="exact"/>
              <w:rPr>
                <w:sz w:val="20"/>
                <w:szCs w:val="20"/>
                <w:color w:val="auto"/>
              </w:rPr>
            </w:pPr>
            <w:r>
              <w:rPr>
                <w:rFonts w:ascii="MS PGothic" w:cs="MS PGothic" w:eastAsia="MS PGothic" w:hAnsi="MS PGothic"/>
                <w:sz w:val="14"/>
                <w:szCs w:val="14"/>
                <w:color w:val="auto"/>
                <w:w w:val="71"/>
              </w:rPr>
              <w:t>✓</w:t>
            </w:r>
            <w:r>
              <w:rPr>
                <w:rFonts w:ascii="Arial" w:cs="Arial" w:eastAsia="Arial" w:hAnsi="Arial"/>
                <w:sz w:val="14"/>
                <w:szCs w:val="14"/>
                <w:b w:val="1"/>
                <w:bCs w:val="1"/>
                <w:color w:val="auto"/>
                <w:w w:val="71"/>
              </w:rPr>
              <w:t>​</w:t>
            </w:r>
          </w:p>
        </w:tc>
        <w:tc>
          <w:tcPr>
            <w:tcW w:w="380" w:type="dxa"/>
            <w:vAlign w:val="bottom"/>
            <w:gridSpan w:val="4"/>
          </w:tcPr>
          <w:p>
            <w:pPr>
              <w:spacing w:after="0"/>
              <w:rPr>
                <w:sz w:val="16"/>
                <w:szCs w:val="16"/>
                <w:color w:val="auto"/>
              </w:rPr>
            </w:pPr>
          </w:p>
        </w:tc>
        <w:tc>
          <w:tcPr>
            <w:tcW w:w="240" w:type="dxa"/>
            <w:vAlign w:val="bottom"/>
            <w:vMerge w:val="restart"/>
          </w:tcPr>
          <w:p>
            <w:pPr>
              <w:ind w:left="120"/>
              <w:spacing w:after="0" w:line="242"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520" w:type="dxa"/>
            <w:vAlign w:val="bottom"/>
            <w:gridSpan w:val="5"/>
          </w:tcPr>
          <w:p>
            <w:pPr>
              <w:spacing w:after="0"/>
              <w:rPr>
                <w:sz w:val="16"/>
                <w:szCs w:val="16"/>
                <w:color w:val="auto"/>
              </w:rPr>
            </w:pPr>
          </w:p>
        </w:tc>
        <w:tc>
          <w:tcPr>
            <w:tcW w:w="240" w:type="dxa"/>
            <w:vAlign w:val="bottom"/>
            <w:vMerge w:val="restart"/>
          </w:tcPr>
          <w:p>
            <w:pPr>
              <w:ind w:left="120"/>
              <w:spacing w:after="0" w:line="242"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480" w:type="dxa"/>
            <w:vAlign w:val="bottom"/>
            <w:gridSpan w:val="4"/>
          </w:tcPr>
          <w:p>
            <w:pPr>
              <w:spacing w:after="0"/>
              <w:rPr>
                <w:sz w:val="16"/>
                <w:szCs w:val="16"/>
                <w:color w:val="auto"/>
              </w:rPr>
            </w:pPr>
          </w:p>
        </w:tc>
        <w:tc>
          <w:tcPr>
            <w:tcW w:w="200" w:type="dxa"/>
            <w:vAlign w:val="bottom"/>
            <w:vMerge w:val="restart"/>
          </w:tcPr>
          <w:p>
            <w:pPr>
              <w:ind w:left="80"/>
              <w:spacing w:after="0" w:line="242" w:lineRule="exact"/>
              <w:rPr>
                <w:sz w:val="20"/>
                <w:szCs w:val="20"/>
                <w:color w:val="auto"/>
              </w:rPr>
            </w:pPr>
            <w:r>
              <w:rPr>
                <w:rFonts w:ascii="Arial" w:cs="Arial" w:eastAsia="Arial" w:hAnsi="Arial"/>
                <w:sz w:val="12"/>
                <w:szCs w:val="12"/>
                <w:b w:val="1"/>
                <w:bCs w:val="1"/>
                <w:color w:val="auto"/>
                <w:w w:val="71"/>
              </w:rPr>
              <w:t>​</w:t>
            </w:r>
            <w:r>
              <w:rPr>
                <w:rFonts w:ascii="MS PGothic" w:cs="MS PGothic" w:eastAsia="MS PGothic" w:hAnsi="MS PGothic"/>
                <w:sz w:val="21"/>
                <w:szCs w:val="21"/>
                <w:color w:val="auto"/>
                <w:w w:val="71"/>
                <w:vertAlign w:val="superscript"/>
              </w:rPr>
              <w:t>✓</w:t>
            </w:r>
          </w:p>
        </w:tc>
        <w:tc>
          <w:tcPr>
            <w:tcW w:w="380" w:type="dxa"/>
            <w:vAlign w:val="bottom"/>
            <w:gridSpan w:val="3"/>
          </w:tcPr>
          <w:p>
            <w:pPr>
              <w:spacing w:after="0"/>
              <w:rPr>
                <w:sz w:val="16"/>
                <w:szCs w:val="16"/>
                <w:color w:val="auto"/>
              </w:rPr>
            </w:pPr>
          </w:p>
        </w:tc>
        <w:tc>
          <w:tcPr>
            <w:tcW w:w="200" w:type="dxa"/>
            <w:vAlign w:val="bottom"/>
            <w:vMerge w:val="restart"/>
          </w:tcPr>
          <w:p>
            <w:pPr>
              <w:ind w:left="80"/>
              <w:spacing w:after="0" w:line="242"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24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Relations</w:t>
            </w:r>
          </w:p>
        </w:tc>
        <w:tc>
          <w:tcPr>
            <w:tcW w:w="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gridSpan w:val="4"/>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60" w:type="dxa"/>
            <w:vAlign w:val="bottom"/>
            <w:tcBorders>
              <w:left w:val="single" w:sz="8" w:color="D9DCE1"/>
              <w:right w:val="single" w:sz="8" w:color="D9DCE1"/>
            </w:tcBorders>
            <w:gridSpan w:val="2"/>
            <w:shd w:val="clear" w:color="auto" w:fill="D9DCE1"/>
          </w:tcPr>
          <w:p>
            <w:pPr>
              <w:ind w:left="40"/>
              <w:spacing w:after="0"/>
              <w:rPr>
                <w:sz w:val="20"/>
                <w:szCs w:val="20"/>
                <w:color w:val="auto"/>
              </w:rPr>
            </w:pPr>
            <w:r>
              <w:rPr>
                <w:rFonts w:ascii="Arial" w:cs="Arial" w:eastAsia="Arial" w:hAnsi="Arial"/>
                <w:sz w:val="14"/>
                <w:szCs w:val="14"/>
                <w:color w:val="auto"/>
              </w:rPr>
              <w:t>Operations/Engineering/</w:t>
            </w:r>
          </w:p>
        </w:tc>
        <w:tc>
          <w:tcPr>
            <w:tcW w:w="220" w:type="dxa"/>
            <w:vAlign w:val="bottom"/>
            <w:gridSpan w:val="3"/>
          </w:tcPr>
          <w:p>
            <w:pPr>
              <w:spacing w:after="0"/>
              <w:rPr>
                <w:sz w:val="16"/>
                <w:szCs w:val="16"/>
                <w:color w:val="auto"/>
              </w:rPr>
            </w:pPr>
          </w:p>
        </w:tc>
        <w:tc>
          <w:tcPr>
            <w:tcW w:w="240" w:type="dxa"/>
            <w:vAlign w:val="bottom"/>
            <w:vMerge w:val="restart"/>
          </w:tcPr>
          <w:p>
            <w:pPr>
              <w:ind w:left="120"/>
              <w:spacing w:after="0" w:line="242" w:lineRule="exact"/>
              <w:rPr>
                <w:sz w:val="20"/>
                <w:szCs w:val="20"/>
                <w:color w:val="auto"/>
              </w:rPr>
            </w:pPr>
            <w:r>
              <w:rPr>
                <w:rFonts w:ascii="Arial" w:cs="Arial" w:eastAsia="Arial" w:hAnsi="Arial"/>
                <w:sz w:val="12"/>
                <w:szCs w:val="12"/>
                <w:b w:val="1"/>
                <w:bCs w:val="1"/>
                <w:color w:val="auto"/>
                <w:w w:val="71"/>
              </w:rPr>
              <w:t>​</w:t>
            </w:r>
            <w:r>
              <w:rPr>
                <w:rFonts w:ascii="MS PGothic" w:cs="MS PGothic" w:eastAsia="MS PGothic" w:hAnsi="MS PGothic"/>
                <w:sz w:val="21"/>
                <w:szCs w:val="21"/>
                <w:color w:val="auto"/>
                <w:w w:val="71"/>
                <w:vertAlign w:val="superscript"/>
              </w:rPr>
              <w:t>✓</w:t>
            </w:r>
          </w:p>
        </w:tc>
        <w:tc>
          <w:tcPr>
            <w:tcW w:w="860" w:type="dxa"/>
            <w:vAlign w:val="bottom"/>
            <w:gridSpan w:val="7"/>
          </w:tcPr>
          <w:p>
            <w:pPr>
              <w:spacing w:after="0"/>
              <w:rPr>
                <w:sz w:val="16"/>
                <w:szCs w:val="16"/>
                <w:color w:val="auto"/>
              </w:rPr>
            </w:pPr>
          </w:p>
        </w:tc>
        <w:tc>
          <w:tcPr>
            <w:tcW w:w="200" w:type="dxa"/>
            <w:vAlign w:val="bottom"/>
            <w:vMerge w:val="restart"/>
          </w:tcPr>
          <w:p>
            <w:pPr>
              <w:ind w:left="60"/>
              <w:spacing w:after="0" w:line="288" w:lineRule="exact"/>
              <w:rPr>
                <w:sz w:val="20"/>
                <w:szCs w:val="20"/>
                <w:color w:val="auto"/>
              </w:rPr>
            </w:pPr>
            <w:r>
              <w:rPr>
                <w:rFonts w:ascii="Arial" w:cs="Arial" w:eastAsia="Arial" w:hAnsi="Arial"/>
                <w:sz w:val="13"/>
                <w:szCs w:val="13"/>
                <w:b w:val="1"/>
                <w:bCs w:val="1"/>
                <w:color w:val="auto"/>
                <w:w w:val="71"/>
              </w:rPr>
              <w:t>​</w:t>
            </w:r>
            <w:r>
              <w:rPr>
                <w:rFonts w:ascii="MS PGothic" w:cs="MS PGothic" w:eastAsia="MS PGothic" w:hAnsi="MS PGothic"/>
                <w:sz w:val="25"/>
                <w:szCs w:val="25"/>
                <w:color w:val="auto"/>
                <w:w w:val="71"/>
                <w:vertAlign w:val="superscript"/>
              </w:rPr>
              <w:t>✓</w:t>
            </w:r>
          </w:p>
        </w:tc>
        <w:tc>
          <w:tcPr>
            <w:tcW w:w="380" w:type="dxa"/>
            <w:vAlign w:val="bottom"/>
            <w:gridSpan w:val="4"/>
          </w:tcPr>
          <w:p>
            <w:pPr>
              <w:spacing w:after="0"/>
              <w:rPr>
                <w:sz w:val="16"/>
                <w:szCs w:val="16"/>
                <w:color w:val="auto"/>
              </w:rPr>
            </w:pPr>
          </w:p>
        </w:tc>
        <w:tc>
          <w:tcPr>
            <w:tcW w:w="240" w:type="dxa"/>
            <w:vAlign w:val="bottom"/>
            <w:vMerge w:val="restart"/>
          </w:tcPr>
          <w:p>
            <w:pPr>
              <w:ind w:left="120"/>
              <w:spacing w:after="0" w:line="242"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1200" w:type="dxa"/>
            <w:vAlign w:val="bottom"/>
            <w:gridSpan w:val="10"/>
          </w:tcPr>
          <w:p>
            <w:pPr>
              <w:spacing w:after="0"/>
              <w:rPr>
                <w:sz w:val="16"/>
                <w:szCs w:val="16"/>
                <w:color w:val="auto"/>
              </w:rPr>
            </w:pPr>
          </w:p>
        </w:tc>
        <w:tc>
          <w:tcPr>
            <w:tcW w:w="220" w:type="dxa"/>
            <w:vAlign w:val="bottom"/>
            <w:vMerge w:val="restart"/>
            <w:shd w:val="clear" w:color="auto" w:fill="D9DCE1"/>
          </w:tcPr>
          <w:p>
            <w:pPr>
              <w:ind w:left="80"/>
              <w:spacing w:after="0" w:line="288" w:lineRule="exact"/>
              <w:rPr>
                <w:sz w:val="20"/>
                <w:szCs w:val="20"/>
                <w:color w:val="auto"/>
              </w:rPr>
            </w:pPr>
            <w:r>
              <w:rPr>
                <w:rFonts w:ascii="Arial" w:cs="Arial" w:eastAsia="Arial" w:hAnsi="Arial"/>
                <w:sz w:val="13"/>
                <w:szCs w:val="13"/>
                <w:color w:val="auto"/>
                <w:w w:val="71"/>
              </w:rPr>
              <w:t>​</w:t>
            </w:r>
            <w:r>
              <w:rPr>
                <w:rFonts w:ascii="MS PGothic" w:cs="MS PGothic" w:eastAsia="MS PGothic" w:hAnsi="MS PGothic"/>
                <w:sz w:val="25"/>
                <w:szCs w:val="25"/>
                <w:color w:val="auto"/>
                <w:w w:val="71"/>
                <w:vertAlign w:val="superscript"/>
              </w:rPr>
              <w:t>✓</w:t>
            </w:r>
          </w:p>
        </w:tc>
        <w:tc>
          <w:tcPr>
            <w:tcW w:w="1620" w:type="dxa"/>
            <w:vAlign w:val="bottom"/>
            <w:gridSpan w:val="14"/>
            <w:shd w:val="clear" w:color="auto" w:fill="D9DCE1"/>
          </w:tcPr>
          <w:p>
            <w:pPr>
              <w:spacing w:after="0"/>
              <w:rPr>
                <w:sz w:val="16"/>
                <w:szCs w:val="16"/>
                <w:color w:val="auto"/>
              </w:rPr>
            </w:pPr>
          </w:p>
        </w:tc>
        <w:tc>
          <w:tcPr>
            <w:tcW w:w="240" w:type="dxa"/>
            <w:vAlign w:val="bottom"/>
            <w:vMerge w:val="restart"/>
            <w:shd w:val="clear" w:color="auto" w:fill="D9DCE1"/>
          </w:tcPr>
          <w:p>
            <w:pPr>
              <w:ind w:left="120"/>
              <w:spacing w:after="0" w:line="242"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520" w:type="dxa"/>
            <w:vAlign w:val="bottom"/>
            <w:gridSpan w:val="5"/>
            <w:shd w:val="clear" w:color="auto" w:fill="D9DCE1"/>
          </w:tcPr>
          <w:p>
            <w:pPr>
              <w:spacing w:after="0"/>
              <w:rPr>
                <w:sz w:val="16"/>
                <w:szCs w:val="16"/>
                <w:color w:val="auto"/>
              </w:rPr>
            </w:pPr>
          </w:p>
        </w:tc>
        <w:tc>
          <w:tcPr>
            <w:tcW w:w="240" w:type="dxa"/>
            <w:vAlign w:val="bottom"/>
            <w:vMerge w:val="restart"/>
            <w:shd w:val="clear" w:color="auto" w:fill="D9DCE1"/>
          </w:tcPr>
          <w:p>
            <w:pPr>
              <w:ind w:left="120"/>
              <w:spacing w:after="0" w:line="242"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1060" w:type="dxa"/>
            <w:vAlign w:val="bottom"/>
            <w:gridSpan w:val="8"/>
            <w:shd w:val="clear" w:color="auto" w:fill="D9DCE1"/>
          </w:tcPr>
          <w:p>
            <w:pPr>
              <w:spacing w:after="0"/>
              <w:rPr>
                <w:sz w:val="16"/>
                <w:szCs w:val="16"/>
                <w:color w:val="auto"/>
              </w:rPr>
            </w:pPr>
          </w:p>
        </w:tc>
        <w:tc>
          <w:tcPr>
            <w:tcW w:w="200" w:type="dxa"/>
            <w:vAlign w:val="bottom"/>
            <w:vMerge w:val="restart"/>
          </w:tcPr>
          <w:p>
            <w:pPr>
              <w:ind w:left="80"/>
              <w:spacing w:after="0" w:line="242" w:lineRule="exact"/>
              <w:rPr>
                <w:sz w:val="20"/>
                <w:szCs w:val="20"/>
                <w:color w:val="auto"/>
              </w:rPr>
            </w:pPr>
            <w:r>
              <w:rPr>
                <w:rFonts w:ascii="Arial" w:cs="Arial" w:eastAsia="Arial" w:hAnsi="Arial"/>
                <w:sz w:val="12"/>
                <w:szCs w:val="12"/>
                <w:color w:val="auto"/>
                <w:w w:val="71"/>
              </w:rPr>
              <w:t>​</w:t>
            </w:r>
            <w:r>
              <w:rPr>
                <w:rFonts w:ascii="MS PGothic" w:cs="MS PGothic" w:eastAsia="MS PGothic" w:hAnsi="MS PGothic"/>
                <w:sz w:val="21"/>
                <w:szCs w:val="21"/>
                <w:color w:val="auto"/>
                <w:w w:val="71"/>
                <w:vertAlign w:val="superscript"/>
              </w:rPr>
              <w:t>✓</w:t>
            </w:r>
          </w:p>
        </w:tc>
        <w:tc>
          <w:tcPr>
            <w:tcW w:w="24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D9DCE1"/>
              <w:bottom w:val="single" w:sz="8" w:color="auto"/>
            </w:tcBorders>
            <w:shd w:val="clear" w:color="auto" w:fill="D9DCE1"/>
          </w:tcPr>
          <w:p>
            <w:pPr>
              <w:ind w:left="20"/>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right w:val="single" w:sz="8" w:color="D9DCE1"/>
            </w:tcBorders>
            <w:shd w:val="clear" w:color="auto" w:fill="D9DCE1"/>
          </w:tcPr>
          <w:p>
            <w:pPr>
              <w:ind w:left="60"/>
              <w:spacing w:after="0"/>
              <w:rPr>
                <w:sz w:val="20"/>
                <w:szCs w:val="20"/>
                <w:color w:val="auto"/>
              </w:rPr>
            </w:pPr>
            <w:r>
              <w:rPr>
                <w:rFonts w:ascii="Arial" w:cs="Arial" w:eastAsia="Arial" w:hAnsi="Arial"/>
                <w:sz w:val="14"/>
                <w:szCs w:val="14"/>
                <w:color w:val="auto"/>
              </w:rPr>
              <w:t>Construction</w:t>
            </w:r>
          </w:p>
        </w:tc>
        <w:tc>
          <w:tcPr>
            <w:tcW w:w="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gridSpan w:val="3"/>
          </w:tcPr>
          <w:p>
            <w:pPr>
              <w:jc w:val="right"/>
              <w:ind w:right="80"/>
              <w:spacing w:after="0" w:line="212"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w:t>
            </w:r>
          </w:p>
        </w:tc>
        <w:tc>
          <w:tcPr>
            <w:tcW w:w="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gridSpan w:val="2"/>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D9DCE1"/>
          </w:tcPr>
          <w:p>
            <w:pPr>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gridSpan w:val="2"/>
            <w:shd w:val="clear" w:color="auto" w:fill="D9DCE1"/>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vMerge w:val="continue"/>
            <w:shd w:val="clear" w:color="auto" w:fill="D9DCE1"/>
          </w:tcPr>
          <w:p>
            <w:pPr>
              <w:spacing w:after="0"/>
              <w:rPr>
                <w:sz w:val="18"/>
                <w:szCs w:val="18"/>
                <w:color w:val="auto"/>
              </w:rPr>
            </w:pPr>
          </w:p>
        </w:tc>
        <w:tc>
          <w:tcPr>
            <w:tcW w:w="100" w:type="dxa"/>
            <w:vAlign w:val="bottom"/>
            <w:tcBorders>
              <w:bottom w:val="single" w:sz="8" w:color="auto"/>
            </w:tcBorders>
            <w:shd w:val="clear" w:color="auto" w:fill="D9DCE1"/>
          </w:tcPr>
          <w:p>
            <w:pPr>
              <w:spacing w:after="0"/>
              <w:rPr>
                <w:sz w:val="18"/>
                <w:szCs w:val="18"/>
                <w:color w:val="auto"/>
              </w:rPr>
            </w:pPr>
          </w:p>
        </w:tc>
        <w:tc>
          <w:tcPr>
            <w:tcW w:w="120" w:type="dxa"/>
            <w:vAlign w:val="bottom"/>
            <w:tcBorders>
              <w:bottom w:val="single" w:sz="8" w:color="auto"/>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D9DCE1"/>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vMerge w:val="continue"/>
            <w:shd w:val="clear" w:color="auto" w:fill="D9DCE1"/>
          </w:tcPr>
          <w:p>
            <w:pPr>
              <w:spacing w:after="0"/>
              <w:rPr>
                <w:sz w:val="18"/>
                <w:szCs w:val="18"/>
                <w:color w:val="auto"/>
              </w:rPr>
            </w:pPr>
          </w:p>
        </w:tc>
        <w:tc>
          <w:tcPr>
            <w:tcW w:w="140" w:type="dxa"/>
            <w:vAlign w:val="bottom"/>
            <w:tcBorders>
              <w:bottom w:val="single" w:sz="8" w:color="auto"/>
            </w:tcBorders>
            <w:shd w:val="clear" w:color="auto" w:fill="D9DCE1"/>
          </w:tcPr>
          <w:p>
            <w:pPr>
              <w:spacing w:after="0"/>
              <w:rPr>
                <w:sz w:val="18"/>
                <w:szCs w:val="18"/>
                <w:color w:val="auto"/>
              </w:rPr>
            </w:pPr>
          </w:p>
        </w:tc>
        <w:tc>
          <w:tcPr>
            <w:tcW w:w="16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shd w:val="clear" w:color="auto" w:fill="D9DCE1"/>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vMerge w:val="continue"/>
            <w:shd w:val="clear" w:color="auto" w:fill="D9DCE1"/>
          </w:tcPr>
          <w:p>
            <w:pPr>
              <w:spacing w:after="0"/>
              <w:rPr>
                <w:sz w:val="18"/>
                <w:szCs w:val="18"/>
                <w:color w:val="auto"/>
              </w:rPr>
            </w:pPr>
          </w:p>
        </w:tc>
        <w:tc>
          <w:tcPr>
            <w:tcW w:w="160" w:type="dxa"/>
            <w:vAlign w:val="bottom"/>
            <w:tcBorders>
              <w:bottom w:val="single" w:sz="8" w:color="auto"/>
            </w:tcBorders>
            <w:shd w:val="clear" w:color="auto" w:fill="D9DCE1"/>
          </w:tcPr>
          <w:p>
            <w:pPr>
              <w:spacing w:after="0"/>
              <w:rPr>
                <w:sz w:val="18"/>
                <w:szCs w:val="18"/>
                <w:color w:val="auto"/>
              </w:rPr>
            </w:pPr>
          </w:p>
        </w:tc>
        <w:tc>
          <w:tcPr>
            <w:tcW w:w="16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auto"/>
            </w:tcBorders>
            <w:gridSpan w:val="2"/>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Industry Experience</w:t>
            </w:r>
          </w:p>
        </w:tc>
        <w:tc>
          <w:tcPr>
            <w:tcW w:w="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line="161" w:lineRule="exact"/>
              <w:rPr>
                <w:sz w:val="20"/>
                <w:szCs w:val="20"/>
                <w:color w:val="auto"/>
              </w:rPr>
            </w:pPr>
            <w:r>
              <w:rPr>
                <w:rFonts w:ascii="Arial" w:cs="Arial" w:eastAsia="Arial" w:hAnsi="Arial"/>
                <w:sz w:val="14"/>
                <w:szCs w:val="14"/>
                <w:color w:val="auto"/>
                <w:w w:val="71"/>
                <w:vertAlign w:val="subscript"/>
              </w:rPr>
              <w:t>​</w:t>
            </w:r>
            <w:r>
              <w:rPr>
                <w:rFonts w:ascii="MS PGothic" w:cs="MS PGothic" w:eastAsia="MS PGothic" w:hAnsi="MS PGothic"/>
                <w:sz w:val="14"/>
                <w:szCs w:val="14"/>
                <w:color w:val="auto"/>
                <w:w w:val="71"/>
              </w:rPr>
              <w:t>✓</w:t>
            </w:r>
          </w:p>
        </w:tc>
        <w:tc>
          <w:tcPr>
            <w:tcW w:w="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ind w:left="100"/>
              <w:spacing w:after="0" w:line="250" w:lineRule="exact"/>
              <w:rPr>
                <w:sz w:val="20"/>
                <w:szCs w:val="20"/>
                <w:color w:val="auto"/>
              </w:rPr>
            </w:pPr>
            <w:r>
              <w:rPr>
                <w:rFonts w:ascii="Arial" w:cs="Arial" w:eastAsia="Arial" w:hAnsi="Arial"/>
                <w:sz w:val="14"/>
                <w:szCs w:val="14"/>
                <w:color w:val="auto"/>
              </w:rPr>
              <w:t>​​​ ​</w:t>
            </w:r>
            <w:r>
              <w:rPr>
                <w:rFonts w:ascii="MS PGothic" w:cs="MS PGothic" w:eastAsia="MS PGothic" w:hAnsi="MS PGothic"/>
                <w:sz w:val="28"/>
                <w:szCs w:val="28"/>
                <w:color w:val="auto"/>
                <w:vertAlign w:val="superscript"/>
              </w:rPr>
              <w:t>✓</w:t>
            </w:r>
            <w:r>
              <w:rPr>
                <w:rFonts w:ascii="Arial" w:cs="Arial" w:eastAsia="Arial" w:hAnsi="Arial"/>
                <w:sz w:val="28"/>
                <w:szCs w:val="28"/>
                <w:color w:val="auto"/>
                <w:vertAlign w:val="superscript"/>
              </w:rPr>
              <w:t>​</w:t>
            </w:r>
          </w:p>
        </w:tc>
        <w:tc>
          <w:tcPr>
            <w:tcW w:w="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w w:val="85"/>
                <w:vertAlign w:val="subscript"/>
              </w:rPr>
              <w:t>​</w:t>
            </w:r>
            <w:r>
              <w:rPr>
                <w:rFonts w:ascii="MS PGothic" w:cs="MS PGothic" w:eastAsia="MS PGothic" w:hAnsi="MS PGothic"/>
                <w:sz w:val="14"/>
                <w:szCs w:val="14"/>
                <w:color w:val="auto"/>
                <w:w w:val="85"/>
              </w:rPr>
              <w:t>✓</w:t>
            </w:r>
            <w:r>
              <w:rPr>
                <w:rFonts w:ascii="Arial" w:cs="Arial" w:eastAsia="Arial" w:hAnsi="Arial"/>
                <w:sz w:val="14"/>
                <w:szCs w:val="14"/>
                <w:color w:val="auto"/>
                <w:w w:val="85"/>
              </w:rPr>
              <w:t>​</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10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80"/>
              <w:spacing w:after="0" w:line="250" w:lineRule="exact"/>
              <w:rPr>
                <w:sz w:val="20"/>
                <w:szCs w:val="20"/>
                <w:color w:val="auto"/>
              </w:rPr>
            </w:pPr>
            <w:r>
              <w:rPr>
                <w:rFonts w:ascii="Arial" w:cs="Arial" w:eastAsia="Arial" w:hAnsi="Arial"/>
                <w:sz w:val="28"/>
                <w:szCs w:val="28"/>
                <w:color w:val="auto"/>
                <w:w w:val="85"/>
                <w:vertAlign w:val="subscript"/>
              </w:rPr>
              <w:t>​</w:t>
            </w:r>
            <w:r>
              <w:rPr>
                <w:rFonts w:ascii="MS PGothic" w:cs="MS PGothic" w:eastAsia="MS PGothic" w:hAnsi="MS PGothic"/>
                <w:sz w:val="14"/>
                <w:szCs w:val="14"/>
                <w:color w:val="auto"/>
                <w:w w:val="85"/>
              </w:rPr>
              <w:t>✓</w:t>
            </w:r>
            <w:r>
              <w:rPr>
                <w:rFonts w:ascii="Arial" w:cs="Arial" w:eastAsia="Arial" w:hAnsi="Arial"/>
                <w:sz w:val="14"/>
                <w:szCs w:val="14"/>
                <w:color w:val="auto"/>
                <w:w w:val="85"/>
              </w:rPr>
              <w:t>​</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10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line="250" w:lineRule="exact"/>
              <w:rPr>
                <w:sz w:val="20"/>
                <w:szCs w:val="20"/>
                <w:color w:val="auto"/>
              </w:rPr>
            </w:pPr>
            <w:r>
              <w:rPr>
                <w:rFonts w:ascii="MS PGothic" w:cs="MS PGothic" w:eastAsia="MS PGothic" w:hAnsi="MS PGothic"/>
                <w:sz w:val="14"/>
                <w:szCs w:val="14"/>
                <w:color w:val="auto"/>
                <w:w w:val="71"/>
              </w:rPr>
              <w:t>✓</w:t>
            </w:r>
            <w:r>
              <w:rPr>
                <w:rFonts w:ascii="Arial" w:cs="Arial" w:eastAsia="Arial" w:hAnsi="Arial"/>
                <w:sz w:val="28"/>
                <w:szCs w:val="28"/>
                <w:color w:val="auto"/>
                <w:w w:val="71"/>
                <w:vertAlign w:val="subscript"/>
              </w:rPr>
              <w:t>​</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4"/>
                <w:szCs w:val="14"/>
                <w:color w:val="auto"/>
                <w:w w:val="71"/>
                <w:vertAlign w:val="subscript"/>
              </w:rPr>
              <w:t>​</w:t>
            </w:r>
            <w:r>
              <w:rPr>
                <w:rFonts w:ascii="MS PGothic" w:cs="MS PGothic" w:eastAsia="MS PGothic" w:hAnsi="MS PGothic"/>
                <w:sz w:val="14"/>
                <w:szCs w:val="14"/>
                <w:color w:val="auto"/>
                <w:w w:val="71"/>
              </w:rPr>
              <w:t>✓</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60" w:type="dxa"/>
            <w:vAlign w:val="bottom"/>
            <w:tcBorders>
              <w:left w:val="single" w:sz="8" w:color="D9DCE1"/>
              <w:bottom w:val="single" w:sz="8" w:color="auto"/>
              <w:right w:val="single" w:sz="8" w:color="D9DCE1"/>
            </w:tcBorders>
            <w:gridSpan w:val="2"/>
            <w:shd w:val="clear" w:color="auto" w:fill="D9DCE1"/>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Private Equity</w:t>
            </w:r>
          </w:p>
        </w:tc>
        <w:tc>
          <w:tcPr>
            <w:tcW w:w="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280" w:type="dxa"/>
            <w:vAlign w:val="bottom"/>
            <w:tcBorders>
              <w:bottom w:val="single" w:sz="8" w:color="auto"/>
            </w:tcBorders>
            <w:gridSpan w:val="3"/>
          </w:tcPr>
          <w:p>
            <w:pPr>
              <w:jc w:val="right"/>
              <w:ind w:righ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20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gridSpan w:val="2"/>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D9DCE1"/>
          </w:tcPr>
          <w:p>
            <w:pPr>
              <w:ind w:left="10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40" w:type="dxa"/>
            <w:vAlign w:val="bottom"/>
            <w:tcBorders>
              <w:bottom w:val="single" w:sz="8" w:color="auto"/>
            </w:tcBorders>
            <w:shd w:val="clear" w:color="auto" w:fill="D9DCE1"/>
          </w:tcPr>
          <w:p>
            <w:pPr>
              <w:spacing w:after="0"/>
              <w:rPr>
                <w:sz w:val="21"/>
                <w:szCs w:val="21"/>
                <w:color w:val="auto"/>
              </w:rPr>
            </w:pPr>
          </w:p>
        </w:tc>
        <w:tc>
          <w:tcPr>
            <w:tcW w:w="16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gridSpan w:val="2"/>
            <w:shd w:val="clear" w:color="auto" w:fill="D9DCE1"/>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D9DCE1"/>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00" w:type="dxa"/>
            <w:vAlign w:val="bottom"/>
            <w:tcBorders>
              <w:bottom w:val="single" w:sz="8" w:color="auto"/>
            </w:tcBorders>
            <w:shd w:val="clear" w:color="auto" w:fill="D9DCE1"/>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D9DCE1"/>
          </w:tcPr>
          <w:p>
            <w:pPr>
              <w:ind w:left="10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40" w:type="dxa"/>
            <w:vAlign w:val="bottom"/>
            <w:tcBorders>
              <w:bottom w:val="single" w:sz="8" w:color="auto"/>
            </w:tcBorders>
            <w:shd w:val="clear" w:color="auto" w:fill="D9DCE1"/>
          </w:tcPr>
          <w:p>
            <w:pPr>
              <w:spacing w:after="0"/>
              <w:rPr>
                <w:sz w:val="21"/>
                <w:szCs w:val="21"/>
                <w:color w:val="auto"/>
              </w:rPr>
            </w:pPr>
          </w:p>
        </w:tc>
        <w:tc>
          <w:tcPr>
            <w:tcW w:w="14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D9DCE1"/>
          </w:tcPr>
          <w:p>
            <w:pPr>
              <w:ind w:left="12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40" w:type="dxa"/>
            <w:vAlign w:val="bottom"/>
            <w:tcBorders>
              <w:bottom w:val="single" w:sz="8" w:color="auto"/>
            </w:tcBorders>
            <w:shd w:val="clear" w:color="auto" w:fill="D9DCE1"/>
          </w:tcPr>
          <w:p>
            <w:pPr>
              <w:spacing w:after="0"/>
              <w:rPr>
                <w:sz w:val="21"/>
                <w:szCs w:val="21"/>
                <w:color w:val="auto"/>
              </w:rPr>
            </w:pPr>
          </w:p>
        </w:tc>
        <w:tc>
          <w:tcPr>
            <w:tcW w:w="16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gridSpan w:val="2"/>
            <w:shd w:val="clear" w:color="auto" w:fill="D9DCE1"/>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D9DCE1"/>
          </w:tcPr>
          <w:p>
            <w:pPr>
              <w:ind w:left="1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60" w:type="dxa"/>
            <w:vAlign w:val="bottom"/>
            <w:tcBorders>
              <w:bottom w:val="single" w:sz="8" w:color="auto"/>
            </w:tcBorders>
            <w:shd w:val="clear" w:color="auto" w:fill="D9DCE1"/>
          </w:tcPr>
          <w:p>
            <w:pPr>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4"/>
                <w:szCs w:val="14"/>
                <w:color w:val="auto"/>
                <w:w w:val="71"/>
                <w:vertAlign w:val="subscript"/>
              </w:rPr>
              <w:t>​</w:t>
            </w:r>
            <w:r>
              <w:rPr>
                <w:rFonts w:ascii="MS PGothic" w:cs="MS PGothic" w:eastAsia="MS PGothic" w:hAnsi="MS PGothic"/>
                <w:sz w:val="14"/>
                <w:szCs w:val="14"/>
                <w:color w:val="auto"/>
                <w:w w:val="71"/>
              </w:rPr>
              <w:t>✓</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auto"/>
            </w:tcBorders>
            <w:gridSpan w:val="2"/>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Diversity</w:t>
            </w:r>
          </w:p>
        </w:tc>
        <w:tc>
          <w:tcPr>
            <w:tcW w:w="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280" w:type="dxa"/>
            <w:vAlign w:val="bottom"/>
            <w:tcBorders>
              <w:bottom w:val="single" w:sz="8" w:color="auto"/>
            </w:tcBorders>
            <w:gridSpan w:val="3"/>
          </w:tcPr>
          <w:p>
            <w:pPr>
              <w:jc w:val="right"/>
              <w:ind w:righ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20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w w:val="85"/>
                <w:vertAlign w:val="subscript"/>
              </w:rPr>
              <w:t>​</w:t>
            </w:r>
            <w:r>
              <w:rPr>
                <w:rFonts w:ascii="MS PGothic" w:cs="MS PGothic" w:eastAsia="MS PGothic" w:hAnsi="MS PGothic"/>
                <w:sz w:val="14"/>
                <w:szCs w:val="14"/>
                <w:color w:val="auto"/>
                <w:w w:val="85"/>
              </w:rPr>
              <w:t>✓</w:t>
            </w:r>
            <w:r>
              <w:rPr>
                <w:rFonts w:ascii="Arial" w:cs="Arial" w:eastAsia="Arial" w:hAnsi="Arial"/>
                <w:sz w:val="14"/>
                <w:szCs w:val="14"/>
                <w:color w:val="auto"/>
                <w:w w:val="85"/>
              </w:rPr>
              <w:t>​</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1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1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line="250" w:lineRule="exact"/>
              <w:rPr>
                <w:sz w:val="20"/>
                <w:szCs w:val="20"/>
                <w:color w:val="auto"/>
              </w:rPr>
            </w:pPr>
            <w:r>
              <w:rPr>
                <w:rFonts w:ascii="MS PGothic" w:cs="MS PGothic" w:eastAsia="MS PGothic" w:hAnsi="MS PGothic"/>
                <w:sz w:val="14"/>
                <w:szCs w:val="14"/>
                <w:color w:val="auto"/>
                <w:w w:val="71"/>
              </w:rPr>
              <w:t>✓</w:t>
            </w:r>
            <w:r>
              <w:rPr>
                <w:rFonts w:ascii="Arial" w:cs="Arial" w:eastAsia="Arial" w:hAnsi="Arial"/>
                <w:sz w:val="28"/>
                <w:szCs w:val="28"/>
                <w:color w:val="auto"/>
                <w:w w:val="71"/>
                <w:vertAlign w:val="subscript"/>
              </w:rPr>
              <w:t>​</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60" w:type="dxa"/>
            <w:vAlign w:val="bottom"/>
            <w:tcBorders>
              <w:left w:val="single" w:sz="8" w:color="D9DCE1"/>
              <w:bottom w:val="single" w:sz="8" w:color="auto"/>
              <w:right w:val="single" w:sz="8" w:color="D9DCE1"/>
            </w:tcBorders>
            <w:gridSpan w:val="2"/>
            <w:shd w:val="clear" w:color="auto" w:fill="D9DCE1"/>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International</w:t>
            </w:r>
          </w:p>
        </w:tc>
        <w:tc>
          <w:tcPr>
            <w:tcW w:w="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line="161" w:lineRule="exact"/>
              <w:rPr>
                <w:sz w:val="20"/>
                <w:szCs w:val="20"/>
                <w:color w:val="auto"/>
              </w:rPr>
            </w:pPr>
            <w:r>
              <w:rPr>
                <w:rFonts w:ascii="Arial" w:cs="Arial" w:eastAsia="Arial" w:hAnsi="Arial"/>
                <w:sz w:val="14"/>
                <w:szCs w:val="14"/>
                <w:color w:val="auto"/>
                <w:w w:val="71"/>
                <w:vertAlign w:val="subscript"/>
              </w:rPr>
              <w:t>​</w:t>
            </w:r>
            <w:r>
              <w:rPr>
                <w:rFonts w:ascii="MS PGothic" w:cs="MS PGothic" w:eastAsia="MS PGothic" w:hAnsi="MS PGothic"/>
                <w:sz w:val="14"/>
                <w:szCs w:val="14"/>
                <w:color w:val="auto"/>
                <w:w w:val="71"/>
              </w:rPr>
              <w:t>✓</w:t>
            </w:r>
          </w:p>
        </w:tc>
        <w:tc>
          <w:tcPr>
            <w:tcW w:w="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ind w:left="100"/>
              <w:spacing w:after="0" w:line="250" w:lineRule="exact"/>
              <w:rPr>
                <w:sz w:val="20"/>
                <w:szCs w:val="20"/>
                <w:color w:val="auto"/>
              </w:rPr>
            </w:pPr>
            <w:r>
              <w:rPr>
                <w:rFonts w:ascii="Arial" w:cs="Arial" w:eastAsia="Arial" w:hAnsi="Arial"/>
                <w:sz w:val="14"/>
                <w:szCs w:val="14"/>
                <w:color w:val="auto"/>
              </w:rPr>
              <w:t>​​​ ​</w:t>
            </w:r>
            <w:r>
              <w:rPr>
                <w:rFonts w:ascii="MS PGothic" w:cs="MS PGothic" w:eastAsia="MS PGothic" w:hAnsi="MS PGothic"/>
                <w:sz w:val="28"/>
                <w:szCs w:val="28"/>
                <w:color w:val="auto"/>
                <w:vertAlign w:val="superscript"/>
              </w:rPr>
              <w:t>✓</w:t>
            </w:r>
            <w:r>
              <w:rPr>
                <w:rFonts w:ascii="Arial" w:cs="Arial" w:eastAsia="Arial" w:hAnsi="Arial"/>
                <w:sz w:val="28"/>
                <w:szCs w:val="28"/>
                <w:color w:val="auto"/>
                <w:vertAlign w:val="superscript"/>
              </w:rPr>
              <w:t>​</w:t>
            </w:r>
          </w:p>
        </w:tc>
        <w:tc>
          <w:tcPr>
            <w:tcW w:w="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w w:val="85"/>
                <w:vertAlign w:val="subscript"/>
              </w:rPr>
              <w:t>​</w:t>
            </w:r>
            <w:r>
              <w:rPr>
                <w:rFonts w:ascii="MS PGothic" w:cs="MS PGothic" w:eastAsia="MS PGothic" w:hAnsi="MS PGothic"/>
                <w:sz w:val="14"/>
                <w:szCs w:val="14"/>
                <w:color w:val="auto"/>
                <w:w w:val="85"/>
              </w:rPr>
              <w:t>✓</w:t>
            </w:r>
            <w:r>
              <w:rPr>
                <w:rFonts w:ascii="Arial" w:cs="Arial" w:eastAsia="Arial" w:hAnsi="Arial"/>
                <w:sz w:val="14"/>
                <w:szCs w:val="14"/>
                <w:color w:val="auto"/>
                <w:w w:val="85"/>
              </w:rPr>
              <w:t>​</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gridSpan w:val="2"/>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D9DCE1"/>
          </w:tcPr>
          <w:p>
            <w:pPr>
              <w:ind w:left="1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40" w:type="dxa"/>
            <w:vAlign w:val="bottom"/>
            <w:tcBorders>
              <w:bottom w:val="single" w:sz="8" w:color="auto"/>
            </w:tcBorders>
            <w:shd w:val="clear" w:color="auto" w:fill="D9DCE1"/>
          </w:tcPr>
          <w:p>
            <w:pPr>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gridSpan w:val="2"/>
            <w:shd w:val="clear" w:color="auto" w:fill="D9DCE1"/>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D9DCE1"/>
          </w:tcPr>
          <w:p>
            <w:pPr>
              <w:ind w:left="80"/>
              <w:spacing w:after="0" w:line="250" w:lineRule="exact"/>
              <w:rPr>
                <w:sz w:val="20"/>
                <w:szCs w:val="20"/>
                <w:color w:val="auto"/>
              </w:rPr>
            </w:pPr>
            <w:r>
              <w:rPr>
                <w:rFonts w:ascii="Arial" w:cs="Arial" w:eastAsia="Arial" w:hAnsi="Arial"/>
                <w:sz w:val="28"/>
                <w:szCs w:val="28"/>
                <w:color w:val="auto"/>
                <w:w w:val="85"/>
                <w:vertAlign w:val="subscript"/>
              </w:rPr>
              <w:t>​</w:t>
            </w:r>
            <w:r>
              <w:rPr>
                <w:rFonts w:ascii="MS PGothic" w:cs="MS PGothic" w:eastAsia="MS PGothic" w:hAnsi="MS PGothic"/>
                <w:sz w:val="14"/>
                <w:szCs w:val="14"/>
                <w:color w:val="auto"/>
                <w:w w:val="85"/>
              </w:rPr>
              <w:t>✓</w:t>
            </w:r>
            <w:r>
              <w:rPr>
                <w:rFonts w:ascii="Arial" w:cs="Arial" w:eastAsia="Arial" w:hAnsi="Arial"/>
                <w:sz w:val="14"/>
                <w:szCs w:val="14"/>
                <w:color w:val="auto"/>
                <w:w w:val="85"/>
              </w:rPr>
              <w:t>​</w:t>
            </w:r>
          </w:p>
        </w:tc>
        <w:tc>
          <w:tcPr>
            <w:tcW w:w="100" w:type="dxa"/>
            <w:vAlign w:val="bottom"/>
            <w:tcBorders>
              <w:bottom w:val="single" w:sz="8" w:color="auto"/>
            </w:tcBorders>
            <w:shd w:val="clear" w:color="auto" w:fill="D9DCE1"/>
          </w:tcPr>
          <w:p>
            <w:pPr>
              <w:spacing w:after="0"/>
              <w:rPr>
                <w:sz w:val="21"/>
                <w:szCs w:val="21"/>
                <w:color w:val="auto"/>
              </w:rPr>
            </w:pPr>
          </w:p>
        </w:tc>
        <w:tc>
          <w:tcPr>
            <w:tcW w:w="120" w:type="dxa"/>
            <w:vAlign w:val="bottom"/>
            <w:tcBorders>
              <w:bottom w:val="single" w:sz="8" w:color="auto"/>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D9DCE1"/>
          </w:tcPr>
          <w:p>
            <w:pPr>
              <w:ind w:left="10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40" w:type="dxa"/>
            <w:vAlign w:val="bottom"/>
            <w:tcBorders>
              <w:bottom w:val="single" w:sz="8" w:color="auto"/>
            </w:tcBorders>
            <w:shd w:val="clear" w:color="auto" w:fill="D9DCE1"/>
          </w:tcPr>
          <w:p>
            <w:pPr>
              <w:spacing w:after="0"/>
              <w:rPr>
                <w:sz w:val="21"/>
                <w:szCs w:val="21"/>
                <w:color w:val="auto"/>
              </w:rPr>
            </w:pPr>
          </w:p>
        </w:tc>
        <w:tc>
          <w:tcPr>
            <w:tcW w:w="14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line="250" w:lineRule="exact"/>
              <w:rPr>
                <w:sz w:val="20"/>
                <w:szCs w:val="20"/>
                <w:color w:val="auto"/>
              </w:rPr>
            </w:pPr>
            <w:r>
              <w:rPr>
                <w:rFonts w:ascii="MS PGothic" w:cs="MS PGothic" w:eastAsia="MS PGothic" w:hAnsi="MS PGothic"/>
                <w:sz w:val="14"/>
                <w:szCs w:val="14"/>
                <w:color w:val="auto"/>
                <w:w w:val="71"/>
              </w:rPr>
              <w:t>✓</w:t>
            </w:r>
            <w:r>
              <w:rPr>
                <w:rFonts w:ascii="Arial" w:cs="Arial" w:eastAsia="Arial" w:hAnsi="Arial"/>
                <w:sz w:val="28"/>
                <w:szCs w:val="28"/>
                <w:color w:val="auto"/>
                <w:w w:val="71"/>
                <w:vertAlign w:val="subscript"/>
              </w:rPr>
              <w:t>​</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D9DCE1"/>
          </w:tcPr>
          <w:p>
            <w:pPr>
              <w:ind w:left="12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40" w:type="dxa"/>
            <w:vAlign w:val="bottom"/>
            <w:tcBorders>
              <w:bottom w:val="single" w:sz="8" w:color="auto"/>
            </w:tcBorders>
            <w:shd w:val="clear" w:color="auto" w:fill="D9DCE1"/>
          </w:tcPr>
          <w:p>
            <w:pPr>
              <w:spacing w:after="0"/>
              <w:rPr>
                <w:sz w:val="21"/>
                <w:szCs w:val="21"/>
                <w:color w:val="auto"/>
              </w:rPr>
            </w:pPr>
          </w:p>
        </w:tc>
        <w:tc>
          <w:tcPr>
            <w:tcW w:w="16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gridSpan w:val="2"/>
            <w:shd w:val="clear" w:color="auto" w:fill="D9DCE1"/>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D9DCE1"/>
          </w:tcPr>
          <w:p>
            <w:pPr>
              <w:ind w:left="12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60" w:type="dxa"/>
            <w:vAlign w:val="bottom"/>
            <w:tcBorders>
              <w:bottom w:val="single" w:sz="8" w:color="auto"/>
            </w:tcBorders>
            <w:shd w:val="clear" w:color="auto" w:fill="D9DCE1"/>
          </w:tcPr>
          <w:p>
            <w:pPr>
              <w:spacing w:after="0"/>
              <w:rPr>
                <w:sz w:val="21"/>
                <w:szCs w:val="21"/>
                <w:color w:val="auto"/>
              </w:rPr>
            </w:pPr>
          </w:p>
        </w:tc>
        <w:tc>
          <w:tcPr>
            <w:tcW w:w="16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auto"/>
            </w:tcBorders>
            <w:gridSpan w:val="2"/>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Cybersecurity/IT</w:t>
            </w:r>
          </w:p>
        </w:tc>
        <w:tc>
          <w:tcPr>
            <w:tcW w:w="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280" w:type="dxa"/>
            <w:vAlign w:val="bottom"/>
            <w:tcBorders>
              <w:bottom w:val="single" w:sz="8" w:color="auto"/>
            </w:tcBorders>
            <w:gridSpan w:val="3"/>
          </w:tcPr>
          <w:p>
            <w:pPr>
              <w:jc w:val="right"/>
              <w:ind w:righ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20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1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1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line="250" w:lineRule="exact"/>
              <w:rPr>
                <w:sz w:val="20"/>
                <w:szCs w:val="20"/>
                <w:color w:val="auto"/>
              </w:rPr>
            </w:pPr>
            <w:r>
              <w:rPr>
                <w:rFonts w:ascii="MS PGothic" w:cs="MS PGothic" w:eastAsia="MS PGothic" w:hAnsi="MS PGothic"/>
                <w:sz w:val="14"/>
                <w:szCs w:val="14"/>
                <w:color w:val="auto"/>
                <w:w w:val="71"/>
              </w:rPr>
              <w:t>✓</w:t>
            </w:r>
            <w:r>
              <w:rPr>
                <w:rFonts w:ascii="Arial" w:cs="Arial" w:eastAsia="Arial" w:hAnsi="Arial"/>
                <w:sz w:val="28"/>
                <w:szCs w:val="28"/>
                <w:color w:val="auto"/>
                <w:w w:val="71"/>
                <w:vertAlign w:val="subscript"/>
              </w:rPr>
              <w:t>​</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4"/>
                <w:szCs w:val="14"/>
                <w:color w:val="auto"/>
                <w:w w:val="71"/>
                <w:vertAlign w:val="subscript"/>
              </w:rPr>
              <w:t>​</w:t>
            </w:r>
            <w:r>
              <w:rPr>
                <w:rFonts w:ascii="MS PGothic" w:cs="MS PGothic" w:eastAsia="MS PGothic" w:hAnsi="MS PGothic"/>
                <w:sz w:val="14"/>
                <w:szCs w:val="14"/>
                <w:color w:val="auto"/>
                <w:w w:val="71"/>
              </w:rPr>
              <w:t>✓</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60" w:type="dxa"/>
            <w:vAlign w:val="bottom"/>
            <w:tcBorders>
              <w:left w:val="single" w:sz="8" w:color="D9DCE1"/>
              <w:bottom w:val="single" w:sz="8" w:color="auto"/>
              <w:right w:val="single" w:sz="8" w:color="D9DCE1"/>
            </w:tcBorders>
            <w:gridSpan w:val="2"/>
            <w:shd w:val="clear" w:color="auto" w:fill="D9DCE1"/>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Energy Evolution</w:t>
            </w:r>
          </w:p>
        </w:tc>
        <w:tc>
          <w:tcPr>
            <w:tcW w:w="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280" w:type="dxa"/>
            <w:vAlign w:val="bottom"/>
            <w:tcBorders>
              <w:bottom w:val="single" w:sz="8" w:color="auto"/>
            </w:tcBorders>
            <w:gridSpan w:val="3"/>
          </w:tcPr>
          <w:p>
            <w:pPr>
              <w:jc w:val="right"/>
              <w:ind w:righ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20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w w:val="85"/>
                <w:vertAlign w:val="subscript"/>
              </w:rPr>
              <w:t>​</w:t>
            </w:r>
            <w:r>
              <w:rPr>
                <w:rFonts w:ascii="MS PGothic" w:cs="MS PGothic" w:eastAsia="MS PGothic" w:hAnsi="MS PGothic"/>
                <w:sz w:val="14"/>
                <w:szCs w:val="14"/>
                <w:color w:val="auto"/>
                <w:w w:val="85"/>
              </w:rPr>
              <w:t>✓</w:t>
            </w:r>
            <w:r>
              <w:rPr>
                <w:rFonts w:ascii="Arial" w:cs="Arial" w:eastAsia="Arial" w:hAnsi="Arial"/>
                <w:sz w:val="14"/>
                <w:szCs w:val="14"/>
                <w:color w:val="auto"/>
                <w:w w:val="85"/>
              </w:rPr>
              <w:t>​</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gridSpan w:val="2"/>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D9DCE1"/>
          </w:tcPr>
          <w:p>
            <w:pPr>
              <w:ind w:left="1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40" w:type="dxa"/>
            <w:vAlign w:val="bottom"/>
            <w:tcBorders>
              <w:bottom w:val="single" w:sz="8" w:color="auto"/>
            </w:tcBorders>
            <w:shd w:val="clear" w:color="auto" w:fill="D9DCE1"/>
          </w:tcPr>
          <w:p>
            <w:pPr>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gridSpan w:val="2"/>
            <w:shd w:val="clear" w:color="auto" w:fill="D9DCE1"/>
          </w:tcPr>
          <w:p>
            <w:pPr>
              <w:ind w:left="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D9DCE1"/>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00" w:type="dxa"/>
            <w:vAlign w:val="bottom"/>
            <w:tcBorders>
              <w:bottom w:val="single" w:sz="8" w:color="auto"/>
            </w:tcBorders>
            <w:shd w:val="clear" w:color="auto" w:fill="D9DCE1"/>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D9DCE1"/>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D9DCE1"/>
          </w:tcPr>
          <w:p>
            <w:pPr>
              <w:ind w:left="1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40" w:type="dxa"/>
            <w:vAlign w:val="bottom"/>
            <w:tcBorders>
              <w:bottom w:val="single" w:sz="8" w:color="auto"/>
            </w:tcBorders>
            <w:shd w:val="clear" w:color="auto" w:fill="D9DCE1"/>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line="250" w:lineRule="exact"/>
              <w:rPr>
                <w:sz w:val="20"/>
                <w:szCs w:val="20"/>
                <w:color w:val="auto"/>
              </w:rPr>
            </w:pPr>
            <w:r>
              <w:rPr>
                <w:rFonts w:ascii="MS PGothic" w:cs="MS PGothic" w:eastAsia="MS PGothic" w:hAnsi="MS PGothic"/>
                <w:sz w:val="14"/>
                <w:szCs w:val="14"/>
                <w:color w:val="auto"/>
                <w:w w:val="71"/>
              </w:rPr>
              <w:t>✓</w:t>
            </w:r>
            <w:r>
              <w:rPr>
                <w:rFonts w:ascii="Arial" w:cs="Arial" w:eastAsia="Arial" w:hAnsi="Arial"/>
                <w:sz w:val="28"/>
                <w:szCs w:val="28"/>
                <w:color w:val="auto"/>
                <w:w w:val="71"/>
                <w:vertAlign w:val="subscript"/>
              </w:rPr>
              <w:t>​</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D9DCE1"/>
          </w:tcPr>
          <w:p>
            <w:pPr>
              <w:ind w:left="12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40" w:type="dxa"/>
            <w:vAlign w:val="bottom"/>
            <w:tcBorders>
              <w:bottom w:val="single" w:sz="8" w:color="auto"/>
            </w:tcBorders>
            <w:shd w:val="clear" w:color="auto" w:fill="D9DCE1"/>
          </w:tcPr>
          <w:p>
            <w:pPr>
              <w:spacing w:after="0"/>
              <w:rPr>
                <w:sz w:val="21"/>
                <w:szCs w:val="21"/>
                <w:color w:val="auto"/>
              </w:rPr>
            </w:pPr>
          </w:p>
        </w:tc>
        <w:tc>
          <w:tcPr>
            <w:tcW w:w="16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gridSpan w:val="2"/>
            <w:shd w:val="clear" w:color="auto" w:fill="D9DCE1"/>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D9DCE1"/>
          </w:tcPr>
          <w:p>
            <w:pPr>
              <w:ind w:left="1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160" w:type="dxa"/>
            <w:vAlign w:val="bottom"/>
            <w:tcBorders>
              <w:bottom w:val="single" w:sz="8" w:color="auto"/>
            </w:tcBorders>
            <w:shd w:val="clear" w:color="auto" w:fill="D9DCE1"/>
          </w:tcPr>
          <w:p>
            <w:pPr>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80"/>
              <w:spacing w:after="0" w:line="250" w:lineRule="exact"/>
              <w:rPr>
                <w:sz w:val="20"/>
                <w:szCs w:val="20"/>
                <w:color w:val="auto"/>
              </w:rPr>
            </w:pPr>
            <w:r>
              <w:rPr>
                <w:rFonts w:ascii="Arial" w:cs="Arial" w:eastAsia="Arial" w:hAnsi="Arial"/>
                <w:sz w:val="28"/>
                <w:szCs w:val="28"/>
                <w:color w:val="auto"/>
                <w:w w:val="71"/>
                <w:vertAlign w:val="subscript"/>
              </w:rPr>
              <w:t>​</w:t>
            </w:r>
            <w:r>
              <w:rPr>
                <w:rFonts w:ascii="MS PGothic" w:cs="MS PGothic" w:eastAsia="MS PGothic" w:hAnsi="MS PGothic"/>
                <w:sz w:val="14"/>
                <w:szCs w:val="14"/>
                <w:color w:val="auto"/>
                <w:w w:val="71"/>
              </w:rPr>
              <w:t>✓</w:t>
            </w:r>
            <w:r>
              <w:rPr>
                <w:rFonts w:ascii="Arial" w:cs="Arial" w:eastAsia="Arial" w:hAnsi="Arial"/>
                <w:sz w:val="14"/>
                <w:szCs w:val="14"/>
                <w:color w:val="auto"/>
                <w:w w:val="71"/>
              </w:rPr>
              <w:t>​</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-2142490</wp:posOffset>
            </wp:positionV>
            <wp:extent cx="131127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11275" cy="137160"/>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-2142490</wp:posOffset>
            </wp:positionV>
            <wp:extent cx="33464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4645" cy="137160"/>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-2142490</wp:posOffset>
            </wp:positionV>
            <wp:extent cx="4852035" cy="2134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52035" cy="2134870"/>
                    </a:xfrm>
                    <a:prstGeom prst="rect">
                      <a:avLst/>
                    </a:prstGeom>
                    <a:noFill/>
                  </pic:spPr>
                </pic:pic>
              </a:graphicData>
            </a:graphic>
          </wp:anchor>
        </w:drawing>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Diversity Matrix</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information is provided pursuant to Nasdaq Listing Rule 5605(f) and 5606:</w:t>
      </w:r>
    </w:p>
    <w:p>
      <w:pPr>
        <w:spacing w:after="0" w:line="183" w:lineRule="exact"/>
        <w:rPr>
          <w:sz w:val="20"/>
          <w:szCs w:val="20"/>
          <w:color w:val="auto"/>
        </w:rPr>
      </w:pPr>
    </w:p>
    <w:tbl>
      <w:tblPr>
        <w:tblLayout w:type="fixed"/>
        <w:tblInd w:w="1270" w:type="dxa"/>
        <w:tblCellMar>
          <w:top w:w="0" w:type="dxa"/>
          <w:left w:w="0" w:type="dxa"/>
          <w:bottom w:w="0" w:type="dxa"/>
          <w:right w:w="0" w:type="dxa"/>
        </w:tblCellMar>
      </w:tblPr>
      <w:tr>
        <w:trPr>
          <w:trHeight w:val="270"/>
        </w:trPr>
        <w:tc>
          <w:tcPr>
            <w:tcW w:w="226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7"/>
                <w:szCs w:val="17"/>
                <w:b w:val="1"/>
                <w:bCs w:val="1"/>
                <w:color w:val="auto"/>
              </w:rPr>
              <w:t>​</w:t>
            </w:r>
          </w:p>
        </w:tc>
        <w:tc>
          <w:tcPr>
            <w:tcW w:w="3800" w:type="dxa"/>
            <w:vAlign w:val="bottom"/>
            <w:tcBorders>
              <w:top w:val="single" w:sz="8" w:color="auto"/>
              <w:bottom w:val="single" w:sz="8" w:color="auto"/>
            </w:tcBorders>
            <w:gridSpan w:val="9"/>
          </w:tcPr>
          <w:p>
            <w:pPr>
              <w:ind w:left="20"/>
              <w:spacing w:after="0"/>
              <w:rPr>
                <w:sz w:val="20"/>
                <w:szCs w:val="20"/>
                <w:color w:val="auto"/>
              </w:rPr>
            </w:pPr>
            <w:r>
              <w:rPr>
                <w:rFonts w:ascii="Arial" w:cs="Arial" w:eastAsia="Arial" w:hAnsi="Arial"/>
                <w:sz w:val="17"/>
                <w:szCs w:val="17"/>
                <w:b w:val="1"/>
                <w:bCs w:val="1"/>
                <w:color w:val="auto"/>
              </w:rPr>
              <w:t>Board Diversity Matrix (As of March 27, 2023)</w:t>
            </w:r>
          </w:p>
        </w:tc>
        <w:tc>
          <w:tcPr>
            <w:tcW w:w="560" w:type="dxa"/>
            <w:vAlign w:val="bottom"/>
            <w:tcBorders>
              <w:top w:val="single" w:sz="8" w:color="auto"/>
              <w:bottom w:val="single" w:sz="8" w:color="auto"/>
            </w:tcBorders>
          </w:tcPr>
          <w:p>
            <w:pPr>
              <w:spacing w:after="0"/>
              <w:rPr>
                <w:sz w:val="23"/>
                <w:szCs w:val="23"/>
                <w:color w:val="auto"/>
              </w:rPr>
            </w:pPr>
          </w:p>
        </w:tc>
        <w:tc>
          <w:tcPr>
            <w:tcW w:w="1600" w:type="dxa"/>
            <w:vAlign w:val="bottom"/>
            <w:tcBorders>
              <w:top w:val="single" w:sz="8" w:color="auto"/>
              <w:bottom w:val="single" w:sz="8" w:color="auto"/>
              <w:right w:val="single" w:sz="8" w:color="auto"/>
            </w:tcBorders>
          </w:tcPr>
          <w:p>
            <w:pPr>
              <w:spacing w:after="0"/>
              <w:rPr>
                <w:sz w:val="23"/>
                <w:szCs w:val="23"/>
                <w:color w:val="auto"/>
              </w:rPr>
            </w:pPr>
          </w:p>
        </w:tc>
      </w:tr>
      <w:tr>
        <w:trPr>
          <w:trHeight w:val="249"/>
        </w:trPr>
        <w:tc>
          <w:tcPr>
            <w:tcW w:w="2260" w:type="dxa"/>
            <w:vAlign w:val="bottom"/>
            <w:tcBorders>
              <w:left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98"/>
              </w:rPr>
              <w:t>Total Number of Directors</w:t>
            </w:r>
          </w:p>
        </w:tc>
        <w:tc>
          <w:tcPr>
            <w:tcW w:w="14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right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right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12</w:t>
            </w:r>
          </w:p>
        </w:tc>
        <w:tc>
          <w:tcPr>
            <w:tcW w:w="160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51"/>
        </w:trPr>
        <w:tc>
          <w:tcPr>
            <w:tcW w:w="2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right w:val="single" w:sz="8" w:color="auto"/>
            </w:tcBorders>
            <w:gridSpan w:val="3"/>
          </w:tcPr>
          <w:p>
            <w:pPr>
              <w:jc w:val="right"/>
              <w:spacing w:after="0" w:line="251"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6"/>
                <w:szCs w:val="16"/>
                <w:b w:val="1"/>
                <w:bCs w:val="1"/>
                <w:color w:val="auto"/>
              </w:rPr>
              <w:t xml:space="preserve">Female </w:t>
            </w:r>
            <w:r>
              <w:rPr>
                <w:rFonts w:ascii="Arial" w:cs="Arial" w:eastAsia="Arial" w:hAnsi="Arial"/>
                <w:sz w:val="29"/>
                <w:szCs w:val="29"/>
                <w:b w:val="1"/>
                <w:bCs w:val="1"/>
                <w:color w:val="auto"/>
                <w:vertAlign w:val="subscript"/>
              </w:rPr>
              <w:t>​</w:t>
            </w:r>
          </w:p>
        </w:tc>
        <w:tc>
          <w:tcPr>
            <w:tcW w:w="640" w:type="dxa"/>
            <w:vAlign w:val="bottom"/>
            <w:tcBorders>
              <w:bottom w:val="single" w:sz="8" w:color="auto"/>
              <w:right w:val="single" w:sz="8" w:color="auto"/>
            </w:tcBorders>
            <w:gridSpan w:val="3"/>
          </w:tcPr>
          <w:p>
            <w:pPr>
              <w:jc w:val="right"/>
              <w:spacing w:after="0" w:line="251"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6"/>
                <w:szCs w:val="16"/>
                <w:b w:val="1"/>
                <w:bCs w:val="1"/>
                <w:color w:val="auto"/>
              </w:rPr>
              <w:t xml:space="preserve">Male </w:t>
            </w:r>
            <w:r>
              <w:rPr>
                <w:rFonts w:ascii="Arial" w:cs="Arial" w:eastAsia="Arial" w:hAnsi="Arial"/>
                <w:sz w:val="29"/>
                <w:szCs w:val="29"/>
                <w:b w:val="1"/>
                <w:bCs w:val="1"/>
                <w:color w:val="auto"/>
                <w:vertAlign w:val="subscript"/>
              </w:rPr>
              <w:t>​</w:t>
            </w:r>
          </w:p>
        </w:tc>
        <w:tc>
          <w:tcPr>
            <w:tcW w:w="1180" w:type="dxa"/>
            <w:vAlign w:val="bottom"/>
            <w:tcBorders>
              <w:bottom w:val="single" w:sz="8" w:color="auto"/>
              <w:right w:val="single" w:sz="8" w:color="auto"/>
            </w:tcBorders>
            <w:gridSpan w:val="2"/>
          </w:tcPr>
          <w:p>
            <w:pPr>
              <w:ind w:left="40"/>
              <w:spacing w:after="0" w:line="251"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6"/>
                <w:szCs w:val="16"/>
                <w:b w:val="1"/>
                <w:bCs w:val="1"/>
                <w:color w:val="auto"/>
              </w:rPr>
              <w:t xml:space="preserve">Non-Binary </w:t>
            </w:r>
            <w:r>
              <w:rPr>
                <w:rFonts w:ascii="Arial" w:cs="Arial" w:eastAsia="Arial" w:hAnsi="Arial"/>
                <w:sz w:val="29"/>
                <w:szCs w:val="29"/>
                <w:b w:val="1"/>
                <w:bCs w:val="1"/>
                <w:color w:val="auto"/>
                <w:vertAlign w:val="subscript"/>
              </w:rPr>
              <w:t>​</w:t>
            </w:r>
          </w:p>
        </w:tc>
        <w:tc>
          <w:tcPr>
            <w:tcW w:w="1600" w:type="dxa"/>
            <w:vAlign w:val="bottom"/>
            <w:tcBorders>
              <w:bottom w:val="single" w:sz="8" w:color="auto"/>
              <w:right w:val="single" w:sz="8" w:color="auto"/>
            </w:tcBorders>
          </w:tcPr>
          <w:p>
            <w:pPr>
              <w:ind w:left="40"/>
              <w:spacing w:after="0" w:line="251"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6"/>
                <w:szCs w:val="16"/>
                <w:b w:val="1"/>
                <w:bCs w:val="1"/>
                <w:color w:val="auto"/>
              </w:rPr>
              <w:t>Did Not Disclose</w:t>
            </w:r>
          </w:p>
        </w:tc>
      </w:tr>
      <w:tr>
        <w:trPr>
          <w:trHeight w:val="250"/>
        </w:trPr>
        <w:tc>
          <w:tcPr>
            <w:tcW w:w="2260" w:type="dxa"/>
            <w:vAlign w:val="bottom"/>
            <w:tcBorders>
              <w:left w:val="single" w:sz="8" w:color="auto"/>
              <w:bottom w:val="single" w:sz="8" w:color="auto"/>
            </w:tcBorders>
            <w:shd w:val="clear" w:color="auto" w:fill="CCEEFF"/>
          </w:tcPr>
          <w:p>
            <w:pPr>
              <w:ind w:left="4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Part I: Gender Identity</w:t>
            </w:r>
          </w:p>
        </w:tc>
        <w:tc>
          <w:tcPr>
            <w:tcW w:w="14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right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r>
      <w:tr>
        <w:trPr>
          <w:trHeight w:val="250"/>
        </w:trPr>
        <w:tc>
          <w:tcPr>
            <w:tcW w:w="2260" w:type="dxa"/>
            <w:vAlign w:val="bottom"/>
            <w:tcBorders>
              <w:left w:val="single" w:sz="8" w:color="auto"/>
              <w:bottom w:val="single" w:sz="8" w:color="auto"/>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Directors</w:t>
            </w:r>
          </w:p>
        </w:tc>
        <w:tc>
          <w:tcPr>
            <w:tcW w:w="144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r>
      <w:tr>
        <w:trPr>
          <w:trHeight w:val="250"/>
        </w:trPr>
        <w:tc>
          <w:tcPr>
            <w:tcW w:w="3700" w:type="dxa"/>
            <w:vAlign w:val="bottom"/>
            <w:tcBorders>
              <w:left w:val="single" w:sz="8" w:color="auto"/>
              <w:bottom w:val="single" w:sz="8" w:color="auto"/>
            </w:tcBorders>
            <w:gridSpan w:val="2"/>
            <w:shd w:val="clear" w:color="auto" w:fill="CCEEFF"/>
          </w:tcPr>
          <w:p>
            <w:pPr>
              <w:ind w:left="4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Part II: Demographic Background</w:t>
            </w:r>
          </w:p>
        </w:tc>
        <w:tc>
          <w:tcPr>
            <w:tcW w:w="26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right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r>
      <w:tr>
        <w:trPr>
          <w:trHeight w:val="250"/>
        </w:trPr>
        <w:tc>
          <w:tcPr>
            <w:tcW w:w="2260" w:type="dxa"/>
            <w:vAlign w:val="bottom"/>
            <w:tcBorders>
              <w:left w:val="single" w:sz="8" w:color="auto"/>
              <w:bottom w:val="single" w:sz="8" w:color="auto"/>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African American or Black</w:t>
            </w:r>
          </w:p>
        </w:tc>
        <w:tc>
          <w:tcPr>
            <w:tcW w:w="144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r>
      <w:tr>
        <w:trPr>
          <w:trHeight w:val="250"/>
        </w:trPr>
        <w:tc>
          <w:tcPr>
            <w:tcW w:w="3700" w:type="dxa"/>
            <w:vAlign w:val="bottom"/>
            <w:tcBorders>
              <w:left w:val="single" w:sz="8" w:color="auto"/>
              <w:bottom w:val="single" w:sz="8" w:color="auto"/>
            </w:tcBorders>
            <w:gridSpan w:val="2"/>
            <w:shd w:val="clear" w:color="auto" w:fill="CCEEFF"/>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Alaskan Native or Native American</w:t>
            </w:r>
          </w:p>
        </w:tc>
        <w:tc>
          <w:tcPr>
            <w:tcW w:w="26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50"/>
        </w:trPr>
        <w:tc>
          <w:tcPr>
            <w:tcW w:w="2260" w:type="dxa"/>
            <w:vAlign w:val="bottom"/>
            <w:tcBorders>
              <w:left w:val="single" w:sz="8" w:color="auto"/>
              <w:bottom w:val="single" w:sz="8" w:color="auto"/>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Asian</w:t>
            </w:r>
          </w:p>
        </w:tc>
        <w:tc>
          <w:tcPr>
            <w:tcW w:w="144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r>
      <w:tr>
        <w:trPr>
          <w:trHeight w:val="250"/>
        </w:trPr>
        <w:tc>
          <w:tcPr>
            <w:tcW w:w="2260" w:type="dxa"/>
            <w:vAlign w:val="bottom"/>
            <w:tcBorders>
              <w:left w:val="single" w:sz="8" w:color="auto"/>
              <w:bottom w:val="single" w:sz="8" w:color="auto"/>
            </w:tcBorders>
            <w:shd w:val="clear" w:color="auto" w:fill="CCEEFF"/>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Hispanic or Latinx</w:t>
            </w:r>
          </w:p>
        </w:tc>
        <w:tc>
          <w:tcPr>
            <w:tcW w:w="14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50"/>
        </w:trPr>
        <w:tc>
          <w:tcPr>
            <w:tcW w:w="3700" w:type="dxa"/>
            <w:vAlign w:val="bottom"/>
            <w:tcBorders>
              <w:left w:val="single" w:sz="8" w:color="auto"/>
              <w:bottom w:val="single" w:sz="8" w:color="auto"/>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Native Hawaiian or Pacific Islander</w:t>
            </w:r>
          </w:p>
        </w:tc>
        <w:tc>
          <w:tcPr>
            <w:tcW w:w="2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r>
      <w:tr>
        <w:trPr>
          <w:trHeight w:val="250"/>
        </w:trPr>
        <w:tc>
          <w:tcPr>
            <w:tcW w:w="2260" w:type="dxa"/>
            <w:vAlign w:val="bottom"/>
            <w:tcBorders>
              <w:left w:val="single" w:sz="8" w:color="auto"/>
              <w:bottom w:val="single" w:sz="8" w:color="auto"/>
            </w:tcBorders>
            <w:shd w:val="clear" w:color="auto" w:fill="CCEEFF"/>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White</w:t>
            </w:r>
          </w:p>
        </w:tc>
        <w:tc>
          <w:tcPr>
            <w:tcW w:w="14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50"/>
        </w:trPr>
        <w:tc>
          <w:tcPr>
            <w:tcW w:w="3700" w:type="dxa"/>
            <w:vAlign w:val="bottom"/>
            <w:tcBorders>
              <w:left w:val="single" w:sz="8" w:color="auto"/>
              <w:bottom w:val="single" w:sz="8" w:color="auto"/>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Two or More Races or Ethnicities</w:t>
            </w:r>
          </w:p>
        </w:tc>
        <w:tc>
          <w:tcPr>
            <w:tcW w:w="2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r>
      <w:tr>
        <w:trPr>
          <w:trHeight w:val="250"/>
        </w:trPr>
        <w:tc>
          <w:tcPr>
            <w:tcW w:w="2260" w:type="dxa"/>
            <w:vAlign w:val="bottom"/>
            <w:tcBorders>
              <w:left w:val="single" w:sz="8" w:color="auto"/>
              <w:bottom w:val="single" w:sz="8" w:color="auto"/>
            </w:tcBorders>
            <w:shd w:val="clear" w:color="auto" w:fill="CCEEFF"/>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LGBTQ+</w:t>
            </w:r>
          </w:p>
        </w:tc>
        <w:tc>
          <w:tcPr>
            <w:tcW w:w="14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50"/>
        </w:trPr>
        <w:tc>
          <w:tcPr>
            <w:tcW w:w="3700" w:type="dxa"/>
            <w:vAlign w:val="bottom"/>
            <w:tcBorders>
              <w:left w:val="single" w:sz="8" w:color="auto"/>
              <w:bottom w:val="single" w:sz="8" w:color="auto"/>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Did Not Disclose Demographic Background</w:t>
            </w:r>
          </w:p>
        </w:tc>
        <w:tc>
          <w:tcPr>
            <w:tcW w:w="2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I Directors Standing for Election at the PAA and PAGP Annual Meetings</w:t>
      </w:r>
    </w:p>
    <w:p>
      <w:pPr>
        <w:spacing w:after="0" w:line="158" w:lineRule="exact"/>
        <w:rPr>
          <w:sz w:val="20"/>
          <w:szCs w:val="20"/>
          <w:color w:val="auto"/>
        </w:rPr>
      </w:pPr>
    </w:p>
    <w:p>
      <w:pPr>
        <w:ind w:left="1260" w:right="519" w:firstLine="360"/>
        <w:spacing w:after="0" w:line="267" w:lineRule="auto"/>
        <w:rPr>
          <w:sz w:val="20"/>
          <w:szCs w:val="20"/>
          <w:color w:val="auto"/>
        </w:rPr>
      </w:pPr>
      <w:r>
        <w:rPr>
          <w:rFonts w:ascii="Arial" w:cs="Arial" w:eastAsia="Arial" w:hAnsi="Arial"/>
          <w:sz w:val="18"/>
          <w:szCs w:val="18"/>
          <w:color w:val="auto"/>
        </w:rPr>
        <w:t>The Board has nominated Mr. Chiang, Ms. DeSanctis, Ms. Pruner and Mr. Ziemba, current Class I directors, for election at the PAA and PAGP Annual Meetings. Each nominee has consented to serve if elected and, if elected, will serve until the 2026 annual meeting, subject to their earlier resignation, death or removal. If any of the nominees becomes unavailable to serve as a director prior to the PAA and PAGP Annual Meetings, the Board may designate a substitute nominee, or the Board may decide to reduce the size of the Board. In the case of a substitute nominee, the persons named as proxies will vote for the substitute nominee designated by the Board.</w:t>
      </w:r>
    </w:p>
    <w:p>
      <w:pPr>
        <w:spacing w:after="0" w:line="142" w:lineRule="exact"/>
        <w:rPr>
          <w:sz w:val="20"/>
          <w:szCs w:val="20"/>
          <w:color w:val="auto"/>
        </w:rPr>
      </w:pPr>
    </w:p>
    <w:tbl>
      <w:tblPr>
        <w:tblLayout w:type="fixed"/>
        <w:tblInd w:w="1270" w:type="dxa"/>
        <w:tblCellMar>
          <w:top w:w="0" w:type="dxa"/>
          <w:left w:w="0" w:type="dxa"/>
          <w:bottom w:w="0" w:type="dxa"/>
          <w:right w:w="0" w:type="dxa"/>
        </w:tblCellMar>
      </w:tblPr>
      <w:tr>
        <w:trPr>
          <w:trHeight w:val="230"/>
        </w:trPr>
        <w:tc>
          <w:tcPr>
            <w:tcW w:w="190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WILLIE CHIANG</w:t>
            </w:r>
          </w:p>
        </w:tc>
        <w:tc>
          <w:tcPr>
            <w:tcW w:w="37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Willie Chiang, age 62, </w:t>
            </w:r>
            <w:r>
              <w:rPr>
                <w:rFonts w:ascii="Arial" w:cs="Arial" w:eastAsia="Arial" w:hAnsi="Arial"/>
                <w:sz w:val="16"/>
                <w:szCs w:val="16"/>
                <w:color w:val="auto"/>
              </w:rPr>
              <w:t>has served as a director</w:t>
            </w:r>
          </w:p>
        </w:tc>
        <w:tc>
          <w:tcPr>
            <w:tcW w:w="80" w:type="dxa"/>
            <w:vAlign w:val="bottom"/>
            <w:tcBorders>
              <w:top w:val="single" w:sz="8" w:color="auto"/>
            </w:tcBorders>
          </w:tcPr>
          <w:p>
            <w:pPr>
              <w:spacing w:after="0"/>
              <w:rPr>
                <w:sz w:val="19"/>
                <w:szCs w:val="19"/>
                <w:color w:val="auto"/>
              </w:rPr>
            </w:pPr>
          </w:p>
        </w:tc>
        <w:tc>
          <w:tcPr>
            <w:tcW w:w="25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460" w:type="dxa"/>
            <w:vAlign w:val="bottom"/>
            <w:tcBorders>
              <w:lef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PAGP GP since February 2017, as Chief</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w w:val="99"/>
              </w:rPr>
              <w:t>Not Independent</w:t>
            </w:r>
          </w:p>
        </w:tc>
        <w:tc>
          <w:tcPr>
            <w:tcW w:w="3700" w:type="dxa"/>
            <w:vAlign w:val="bottom"/>
            <w:tcBorders>
              <w:right w:val="single" w:sz="8" w:color="auto"/>
            </w:tcBorders>
            <w:vMerge w:val="continue"/>
          </w:tcPr>
          <w:p>
            <w:pPr>
              <w:spacing w:after="0"/>
              <w:rPr>
                <w:sz w:val="18"/>
                <w:szCs w:val="18"/>
                <w:color w:val="auto"/>
              </w:rPr>
            </w:pPr>
          </w:p>
        </w:tc>
        <w:tc>
          <w:tcPr>
            <w:tcW w:w="80" w:type="dxa"/>
            <w:vAlign w:val="bottom"/>
            <w:vMerge w:val="restart"/>
          </w:tcPr>
          <w:p>
            <w:pPr>
              <w:spacing w:after="0"/>
              <w:rPr>
                <w:sz w:val="18"/>
                <w:szCs w:val="18"/>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28"/>
        </w:trPr>
        <w:tc>
          <w:tcPr>
            <w:tcW w:w="1900" w:type="dxa"/>
            <w:vAlign w:val="bottom"/>
            <w:tcBorders>
              <w:left w:val="single" w:sz="8" w:color="auto"/>
              <w:right w:val="single" w:sz="8" w:color="auto"/>
            </w:tcBorders>
            <w:gridSpan w:val="3"/>
            <w:vMerge w:val="continue"/>
          </w:tcPr>
          <w:p>
            <w:pPr>
              <w:spacing w:after="0"/>
              <w:rPr>
                <w:sz w:val="11"/>
                <w:szCs w:val="11"/>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Executive Officer of PAGP GP and GP LLC since</w:t>
            </w:r>
          </w:p>
        </w:tc>
        <w:tc>
          <w:tcPr>
            <w:tcW w:w="8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4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370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October 2018 and as Chairman of the Board</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88"/>
        </w:trPr>
        <w:tc>
          <w:tcPr>
            <w:tcW w:w="460" w:type="dxa"/>
            <w:vAlign w:val="bottom"/>
            <w:tcBorders>
              <w:left w:val="single" w:sz="8" w:color="auto"/>
            </w:tcBorders>
          </w:tcPr>
          <w:p>
            <w:pPr>
              <w:spacing w:after="0"/>
              <w:rPr>
                <w:sz w:val="16"/>
                <w:szCs w:val="16"/>
                <w:color w:val="auto"/>
              </w:rPr>
            </w:pPr>
          </w:p>
        </w:tc>
        <w:tc>
          <w:tcPr>
            <w:tcW w:w="1440" w:type="dxa"/>
            <w:vAlign w:val="bottom"/>
            <w:tcBorders>
              <w:right w:val="single" w:sz="8" w:color="auto"/>
            </w:tcBorders>
            <w:gridSpan w:val="2"/>
          </w:tcPr>
          <w:p>
            <w:pPr>
              <w:jc w:val="center"/>
              <w:ind w:right="379"/>
              <w:spacing w:after="0"/>
              <w:rPr>
                <w:sz w:val="20"/>
                <w:szCs w:val="20"/>
                <w:color w:val="auto"/>
              </w:rPr>
            </w:pPr>
            <w:r>
              <w:rPr>
                <w:rFonts w:ascii="Arial" w:cs="Arial" w:eastAsia="Arial" w:hAnsi="Arial"/>
                <w:sz w:val="16"/>
                <w:szCs w:val="16"/>
                <w:b w:val="1"/>
                <w:bCs w:val="1"/>
                <w:i w:val="1"/>
                <w:iCs w:val="1"/>
                <w:color w:val="auto"/>
              </w:rPr>
              <w:t>since 2017</w:t>
            </w: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since January 2020. He served as Executive</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63"/>
        </w:trPr>
        <w:tc>
          <w:tcPr>
            <w:tcW w:w="19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Chairman and CEO</w:t>
            </w:r>
          </w:p>
        </w:tc>
        <w:tc>
          <w:tcPr>
            <w:tcW w:w="370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Vice President and Chief Operating Officer of</w:t>
            </w:r>
          </w:p>
        </w:tc>
        <w:tc>
          <w:tcPr>
            <w:tcW w:w="200" w:type="dxa"/>
            <w:vAlign w:val="bottom"/>
            <w:gridSpan w:val="2"/>
            <w:vMerge w:val="continue"/>
          </w:tcPr>
          <w:p>
            <w:pPr>
              <w:spacing w:after="0"/>
              <w:rPr>
                <w:sz w:val="14"/>
                <w:szCs w:val="14"/>
                <w:color w:val="auto"/>
              </w:rPr>
            </w:pPr>
          </w:p>
        </w:tc>
        <w:tc>
          <w:tcPr>
            <w:tcW w:w="24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00" w:type="dxa"/>
            <w:vAlign w:val="bottom"/>
            <w:tcBorders>
              <w:left w:val="single" w:sz="8" w:color="auto"/>
              <w:right w:val="single" w:sz="8" w:color="auto"/>
            </w:tcBorders>
            <w:gridSpan w:val="3"/>
            <w:vMerge w:val="continue"/>
          </w:tcPr>
          <w:p>
            <w:pPr>
              <w:spacing w:after="0"/>
              <w:rPr>
                <w:sz w:val="18"/>
                <w:szCs w:val="18"/>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PAGP GP and GP LLC from January 2018 until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224"/>
        </w:trPr>
        <w:tc>
          <w:tcPr>
            <w:tcW w:w="19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Committees:</w:t>
            </w: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October 2018. He also served as Executive Vice</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Legal/Governance/​Government</w:t>
            </w:r>
          </w:p>
        </w:tc>
        <w:tc>
          <w:tcPr>
            <w:tcW w:w="0" w:type="dxa"/>
            <w:vAlign w:val="bottom"/>
          </w:tcPr>
          <w:p>
            <w:pPr>
              <w:spacing w:after="0"/>
              <w:rPr>
                <w:sz w:val="1"/>
                <w:szCs w:val="1"/>
                <w:color w:val="auto"/>
              </w:rPr>
            </w:pPr>
          </w:p>
        </w:tc>
      </w:tr>
      <w:tr>
        <w:trPr>
          <w:trHeight w:val="67"/>
        </w:trPr>
        <w:tc>
          <w:tcPr>
            <w:tcW w:w="460" w:type="dxa"/>
            <w:vAlign w:val="bottom"/>
            <w:tcBorders>
              <w:left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3700" w:type="dxa"/>
            <w:vAlign w:val="bottom"/>
            <w:tcBorders>
              <w:right w:val="single" w:sz="8" w:color="auto"/>
            </w:tcBorders>
            <w:vMerge w:val="restart"/>
          </w:tcPr>
          <w:p>
            <w:pPr>
              <w:ind w:left="80"/>
              <w:spacing w:after="0" w:line="148" w:lineRule="exact"/>
              <w:rPr>
                <w:sz w:val="20"/>
                <w:szCs w:val="20"/>
                <w:color w:val="auto"/>
              </w:rPr>
            </w:pPr>
            <w:r>
              <w:rPr>
                <w:rFonts w:ascii="Arial" w:cs="Arial" w:eastAsia="Arial" w:hAnsi="Arial"/>
                <w:sz w:val="16"/>
                <w:szCs w:val="16"/>
                <w:color w:val="auto"/>
              </w:rPr>
              <w:t>President and Chief Operating Officer (U.S.) of</w:t>
            </w:r>
          </w:p>
        </w:tc>
        <w:tc>
          <w:tcPr>
            <w:tcW w:w="200" w:type="dxa"/>
            <w:vAlign w:val="bottom"/>
            <w:gridSpan w:val="2"/>
            <w:vMerge w:val="continue"/>
          </w:tcPr>
          <w:p>
            <w:pPr>
              <w:spacing w:after="0"/>
              <w:rPr>
                <w:sz w:val="5"/>
                <w:szCs w:val="5"/>
                <w:color w:val="auto"/>
              </w:rPr>
            </w:pPr>
          </w:p>
        </w:tc>
        <w:tc>
          <w:tcPr>
            <w:tcW w:w="24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1440" w:type="dxa"/>
            <w:vAlign w:val="bottom"/>
            <w:tcBorders>
              <w:right w:val="single" w:sz="8" w:color="auto"/>
            </w:tcBorders>
            <w:gridSpan w:val="2"/>
            <w:vMerge w:val="restart"/>
          </w:tcPr>
          <w:p>
            <w:pPr>
              <w:jc w:val="center"/>
              <w:ind w:right="379"/>
              <w:spacing w:after="0"/>
              <w:rPr>
                <w:sz w:val="20"/>
                <w:szCs w:val="20"/>
                <w:color w:val="auto"/>
              </w:rPr>
            </w:pPr>
            <w:r>
              <w:rPr>
                <w:rFonts w:ascii="Arial" w:cs="Arial" w:eastAsia="Arial" w:hAnsi="Arial"/>
                <w:sz w:val="16"/>
                <w:szCs w:val="16"/>
                <w:color w:val="auto"/>
                <w:w w:val="99"/>
              </w:rPr>
              <w:t>None</w:t>
            </w:r>
          </w:p>
        </w:tc>
        <w:tc>
          <w:tcPr>
            <w:tcW w:w="370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1440" w:type="dxa"/>
            <w:vAlign w:val="bottom"/>
            <w:tcBorders>
              <w:right w:val="single" w:sz="8" w:color="auto"/>
            </w:tcBorders>
            <w:gridSpan w:val="2"/>
            <w:vMerge w:val="continue"/>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PAGP GP and GP LLC from August 2015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through December 2017. Prior to joining Plains,</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Mr. Chiang served as Executive Vice President</w:t>
            </w:r>
          </w:p>
        </w:tc>
        <w:tc>
          <w:tcPr>
            <w:tcW w:w="200" w:type="dxa"/>
            <w:vAlign w:val="bottom"/>
            <w:gridSpan w:val="2"/>
            <w:vMerge w:val="continue"/>
          </w:tcPr>
          <w:p>
            <w:pPr>
              <w:spacing w:after="0"/>
              <w:rPr>
                <w:sz w:val="4"/>
                <w:szCs w:val="4"/>
                <w:color w:val="auto"/>
              </w:rPr>
            </w:pPr>
          </w:p>
        </w:tc>
        <w:tc>
          <w:tcPr>
            <w:tcW w:w="242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460" w:type="dxa"/>
            <w:vAlign w:val="bottom"/>
            <w:tcBorders>
              <w:lef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37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80"/>
        </w:trPr>
        <w:tc>
          <w:tcPr>
            <w:tcW w:w="460" w:type="dxa"/>
            <w:vAlign w:val="bottom"/>
            <w:tcBorders>
              <w:left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  Operations for Occidental Petroleum</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2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46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700" w:type="dxa"/>
            <w:vAlign w:val="bottom"/>
            <w:tcBorders>
              <w:right w:val="single" w:sz="8" w:color="auto"/>
            </w:tcBorders>
            <w:vMerge w:val="continue"/>
          </w:tcPr>
          <w:p>
            <w:pPr>
              <w:spacing w:after="0"/>
              <w:rPr>
                <w:sz w:val="10"/>
                <w:szCs w:val="10"/>
                <w:color w:val="auto"/>
              </w:rPr>
            </w:pP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Corporation from 2012 until 2015. From 1996</w:t>
            </w:r>
          </w:p>
        </w:tc>
        <w:tc>
          <w:tcPr>
            <w:tcW w:w="200" w:type="dxa"/>
            <w:vAlign w:val="bottom"/>
            <w:gridSpan w:val="2"/>
            <w:vMerge w:val="continue"/>
          </w:tcPr>
          <w:p>
            <w:pPr>
              <w:spacing w:after="0"/>
              <w:rPr>
                <w:sz w:val="16"/>
                <w:szCs w:val="16"/>
                <w:color w:val="auto"/>
              </w:rPr>
            </w:pPr>
          </w:p>
        </w:tc>
        <w:tc>
          <w:tcPr>
            <w:tcW w:w="242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until 2012, he served in various positions at</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120"/>
        </w:trPr>
        <w:tc>
          <w:tcPr>
            <w:tcW w:w="46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ConocoPhillips, including most recently as</w:t>
            </w:r>
          </w:p>
        </w:tc>
        <w:tc>
          <w:tcPr>
            <w:tcW w:w="200" w:type="dxa"/>
            <w:vAlign w:val="bottom"/>
            <w:gridSpan w:val="2"/>
            <w:vMerge w:val="continue"/>
          </w:tcPr>
          <w:p>
            <w:pPr>
              <w:spacing w:after="0"/>
              <w:rPr>
                <w:sz w:val="10"/>
                <w:szCs w:val="10"/>
                <w:color w:val="auto"/>
              </w:rPr>
            </w:pPr>
          </w:p>
        </w:tc>
        <w:tc>
          <w:tcPr>
            <w:tcW w:w="24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46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370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Senior Vice President — Refining, Marketing,</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Transportation and Commercial. He previously</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Energy Evolution</w:t>
            </w:r>
          </w:p>
        </w:tc>
        <w:tc>
          <w:tcPr>
            <w:tcW w:w="0" w:type="dxa"/>
            <w:vAlign w:val="bottom"/>
          </w:tcPr>
          <w:p>
            <w:pPr>
              <w:spacing w:after="0"/>
              <w:rPr>
                <w:sz w:val="1"/>
                <w:szCs w:val="1"/>
                <w:color w:val="auto"/>
              </w:rPr>
            </w:pPr>
          </w:p>
        </w:tc>
      </w:tr>
      <w:tr>
        <w:trPr>
          <w:trHeight w:val="147"/>
        </w:trPr>
        <w:tc>
          <w:tcPr>
            <w:tcW w:w="460" w:type="dxa"/>
            <w:vAlign w:val="bottom"/>
            <w:tcBorders>
              <w:left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served on the boards of DCP Midstream and</w:t>
            </w:r>
          </w:p>
        </w:tc>
        <w:tc>
          <w:tcPr>
            <w:tcW w:w="200" w:type="dxa"/>
            <w:vAlign w:val="bottom"/>
            <w:gridSpan w:val="2"/>
            <w:vMerge w:val="continue"/>
          </w:tcPr>
          <w:p>
            <w:pPr>
              <w:spacing w:after="0"/>
              <w:rPr>
                <w:sz w:val="12"/>
                <w:szCs w:val="12"/>
                <w:color w:val="auto"/>
              </w:rPr>
            </w:pPr>
          </w:p>
        </w:tc>
        <w:tc>
          <w:tcPr>
            <w:tcW w:w="24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46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370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Chevron Phillips Chemical. He serves as chair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United Way of Greater Houston and is on the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of Performing Arts Houston. Mr. Chiang is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 member of the Energy Advisory Council of the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Federal Reserve Bank of Dallas and is also</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involved in a number of industry organizations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including the American Petroleum Institute (API),</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American Fuel &amp; Petrochemical Manufacturers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(AFPM), National Petroleum Council and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Permian Strategic Partnership. He received a BS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 Mechanical Engineering from South Dakota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School of Mines and Technology and completed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Advanced Management Program at the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University of Pennsylvania. Mr. Chiang’s role as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CEO and his broad experience in the energy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industry, together with his leadership capabilities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strategic focus, make him highly qualified to</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 on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60" w:type="dxa"/>
            <w:vAlign w:val="bottom"/>
            <w:tcBorders>
              <w:left w:val="single" w:sz="8" w:color="auto"/>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370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gridSpan w:val="2"/>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8"/>
              </w:rPr>
              <w:t>ELLEN R. DESANCTIS</w:t>
            </w: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Ellen R. DeSanctis, age 66</w:t>
            </w:r>
            <w:r>
              <w:rPr>
                <w:rFonts w:ascii="Arial" w:cs="Arial" w:eastAsia="Arial" w:hAnsi="Arial"/>
                <w:sz w:val="16"/>
                <w:szCs w:val="16"/>
                <w:color w:val="auto"/>
              </w:rPr>
              <w:t>, has served as a</w:t>
            </w:r>
          </w:p>
        </w:tc>
        <w:tc>
          <w:tcPr>
            <w:tcW w:w="80" w:type="dxa"/>
            <w:vAlign w:val="bottom"/>
          </w:tcPr>
          <w:p>
            <w:pPr>
              <w:spacing w:after="0"/>
              <w:rPr>
                <w:sz w:val="18"/>
                <w:szCs w:val="18"/>
                <w:color w:val="auto"/>
              </w:rPr>
            </w:pPr>
          </w:p>
        </w:tc>
        <w:tc>
          <w:tcPr>
            <w:tcW w:w="254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460" w:type="dxa"/>
            <w:vAlign w:val="bottom"/>
            <w:tcBorders>
              <w:lef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director of PAGP GP since August 2022. She</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Borders>
              <w:left w:val="single" w:sz="8" w:color="auto"/>
            </w:tcBorders>
          </w:tcPr>
          <w:p>
            <w:pPr>
              <w:spacing w:after="0"/>
              <w:rPr>
                <w:sz w:val="18"/>
                <w:szCs w:val="18"/>
                <w:color w:val="auto"/>
              </w:rPr>
            </w:pPr>
          </w:p>
        </w:tc>
        <w:tc>
          <w:tcPr>
            <w:tcW w:w="14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6"/>
                <w:szCs w:val="16"/>
                <w:b w:val="1"/>
                <w:bCs w:val="1"/>
                <w:color w:val="auto"/>
              </w:rPr>
              <w:t>Independent</w:t>
            </w:r>
          </w:p>
        </w:tc>
        <w:tc>
          <w:tcPr>
            <w:tcW w:w="3700" w:type="dxa"/>
            <w:vAlign w:val="bottom"/>
            <w:tcBorders>
              <w:right w:val="single" w:sz="8" w:color="auto"/>
            </w:tcBorders>
            <w:vMerge w:val="continue"/>
          </w:tcPr>
          <w:p>
            <w:pPr>
              <w:spacing w:after="0"/>
              <w:rPr>
                <w:sz w:val="18"/>
                <w:szCs w:val="18"/>
                <w:color w:val="auto"/>
              </w:rPr>
            </w:pPr>
          </w:p>
        </w:tc>
        <w:tc>
          <w:tcPr>
            <w:tcW w:w="80" w:type="dxa"/>
            <w:vAlign w:val="bottom"/>
            <w:vMerge w:val="restart"/>
          </w:tcPr>
          <w:p>
            <w:pPr>
              <w:spacing w:after="0"/>
              <w:rPr>
                <w:sz w:val="18"/>
                <w:szCs w:val="18"/>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28"/>
        </w:trPr>
        <w:tc>
          <w:tcPr>
            <w:tcW w:w="460" w:type="dxa"/>
            <w:vAlign w:val="bottom"/>
            <w:tcBorders>
              <w:left w:val="single" w:sz="8" w:color="auto"/>
            </w:tcBorders>
          </w:tcPr>
          <w:p>
            <w:pPr>
              <w:spacing w:after="0"/>
              <w:rPr>
                <w:sz w:val="11"/>
                <w:szCs w:val="11"/>
                <w:color w:val="auto"/>
              </w:rPr>
            </w:pPr>
          </w:p>
        </w:tc>
        <w:tc>
          <w:tcPr>
            <w:tcW w:w="1440" w:type="dxa"/>
            <w:vAlign w:val="bottom"/>
            <w:tcBorders>
              <w:right w:val="single" w:sz="8" w:color="auto"/>
            </w:tcBorders>
            <w:gridSpan w:val="2"/>
            <w:vMerge w:val="continue"/>
          </w:tcPr>
          <w:p>
            <w:pPr>
              <w:spacing w:after="0"/>
              <w:rPr>
                <w:sz w:val="11"/>
                <w:szCs w:val="11"/>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recently served as Senior Vice President of</w:t>
            </w:r>
          </w:p>
        </w:tc>
        <w:tc>
          <w:tcPr>
            <w:tcW w:w="8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4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6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370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Corporate Relations for ConocoPhillips, where</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88"/>
        </w:trPr>
        <w:tc>
          <w:tcPr>
            <w:tcW w:w="460" w:type="dxa"/>
            <w:vAlign w:val="bottom"/>
            <w:tcBorders>
              <w:left w:val="single" w:sz="8" w:color="auto"/>
            </w:tcBorders>
          </w:tcPr>
          <w:p>
            <w:pPr>
              <w:spacing w:after="0"/>
              <w:rPr>
                <w:sz w:val="16"/>
                <w:szCs w:val="16"/>
                <w:color w:val="auto"/>
              </w:rPr>
            </w:pPr>
          </w:p>
        </w:tc>
        <w:tc>
          <w:tcPr>
            <w:tcW w:w="1440" w:type="dxa"/>
            <w:vAlign w:val="bottom"/>
            <w:tcBorders>
              <w:right w:val="single" w:sz="8" w:color="auto"/>
            </w:tcBorders>
            <w:gridSpan w:val="2"/>
          </w:tcPr>
          <w:p>
            <w:pPr>
              <w:jc w:val="center"/>
              <w:ind w:right="379"/>
              <w:spacing w:after="0"/>
              <w:rPr>
                <w:sz w:val="20"/>
                <w:szCs w:val="20"/>
                <w:color w:val="auto"/>
              </w:rPr>
            </w:pPr>
            <w:r>
              <w:rPr>
                <w:rFonts w:ascii="Arial" w:cs="Arial" w:eastAsia="Arial" w:hAnsi="Arial"/>
                <w:sz w:val="16"/>
                <w:szCs w:val="16"/>
                <w:b w:val="1"/>
                <w:bCs w:val="1"/>
                <w:i w:val="1"/>
                <w:iCs w:val="1"/>
                <w:color w:val="auto"/>
              </w:rPr>
              <w:t>since 2022</w:t>
            </w: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she worked from 2012 until her retirement in</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520" w:type="dxa"/>
            <w:vAlign w:val="bottom"/>
            <w:tcBorders>
              <w:right w:val="single" w:sz="8" w:color="auto"/>
            </w:tcBorders>
            <w:vMerge w:val="restart"/>
          </w:tcPr>
          <w:p>
            <w:pPr>
              <w:jc w:val="right"/>
              <w:ind w:right="379"/>
              <w:spacing w:after="0"/>
              <w:rPr>
                <w:sz w:val="20"/>
                <w:szCs w:val="20"/>
                <w:color w:val="auto"/>
              </w:rPr>
            </w:pPr>
            <w:r>
              <w:rPr>
                <w:rFonts w:ascii="Arial" w:cs="Arial" w:eastAsia="Arial" w:hAnsi="Arial"/>
                <w:sz w:val="16"/>
                <w:szCs w:val="16"/>
                <w:b w:val="1"/>
                <w:bCs w:val="1"/>
                <w:color w:val="auto"/>
                <w:w w:val="74"/>
              </w:rPr>
              <w:t>:</w:t>
            </w:r>
          </w:p>
        </w:tc>
        <w:tc>
          <w:tcPr>
            <w:tcW w:w="370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2022. In that capacity, she was responsible for</w:t>
            </w:r>
          </w:p>
        </w:tc>
        <w:tc>
          <w:tcPr>
            <w:tcW w:w="200" w:type="dxa"/>
            <w:vAlign w:val="bottom"/>
            <w:gridSpan w:val="2"/>
            <w:vMerge w:val="continue"/>
          </w:tcPr>
          <w:p>
            <w:pPr>
              <w:spacing w:after="0"/>
              <w:rPr>
                <w:sz w:val="14"/>
                <w:szCs w:val="14"/>
                <w:color w:val="auto"/>
              </w:rPr>
            </w:pPr>
          </w:p>
        </w:tc>
        <w:tc>
          <w:tcPr>
            <w:tcW w:w="24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60" w:type="dxa"/>
            <w:vAlign w:val="bottom"/>
            <w:tcBorders>
              <w:left w:val="single" w:sz="8" w:color="auto"/>
            </w:tcBorders>
            <w:vMerge w:val="restart"/>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investor relations, corporate communications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60"/>
        </w:trPr>
        <w:tc>
          <w:tcPr>
            <w:tcW w:w="460" w:type="dxa"/>
            <w:vAlign w:val="bottom"/>
            <w:tcBorders>
              <w:left w:val="single" w:sz="8" w:color="auto"/>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tcBorders>
              <w:right w:val="single" w:sz="8" w:color="auto"/>
            </w:tcBorders>
            <w:vMerge w:val="continue"/>
          </w:tcPr>
          <w:p>
            <w:pPr>
              <w:spacing w:after="0"/>
              <w:rPr>
                <w:sz w:val="5"/>
                <w:szCs w:val="5"/>
                <w:color w:val="auto"/>
              </w:rPr>
            </w:pPr>
          </w:p>
        </w:tc>
        <w:tc>
          <w:tcPr>
            <w:tcW w:w="370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60" w:type="dxa"/>
            <w:vAlign w:val="bottom"/>
            <w:tcBorders>
              <w:left w:val="single" w:sz="8" w:color="auto"/>
            </w:tcBorders>
          </w:tcPr>
          <w:p>
            <w:pPr>
              <w:spacing w:after="0"/>
              <w:rPr>
                <w:sz w:val="18"/>
                <w:szCs w:val="18"/>
                <w:color w:val="auto"/>
              </w:rPr>
            </w:pPr>
          </w:p>
        </w:tc>
        <w:tc>
          <w:tcPr>
            <w:tcW w:w="1440" w:type="dxa"/>
            <w:vAlign w:val="bottom"/>
            <w:tcBorders>
              <w:right w:val="single" w:sz="8" w:color="auto"/>
            </w:tcBorders>
            <w:gridSpan w:val="2"/>
            <w:vMerge w:val="restart"/>
          </w:tcPr>
          <w:p>
            <w:pPr>
              <w:jc w:val="center"/>
              <w:ind w:right="379"/>
              <w:spacing w:after="0"/>
              <w:rPr>
                <w:sz w:val="20"/>
                <w:szCs w:val="20"/>
                <w:color w:val="auto"/>
              </w:rPr>
            </w:pPr>
            <w:r>
              <w:rPr>
                <w:rFonts w:ascii="Arial" w:cs="Arial" w:eastAsia="Arial" w:hAnsi="Arial"/>
                <w:sz w:val="16"/>
                <w:szCs w:val="16"/>
                <w:color w:val="auto"/>
              </w:rPr>
              <w:t>Audit</w:t>
            </w: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charitable programs. Prior to ConocoPhillips,</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Legal/Governance/​Government</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40" w:type="dxa"/>
            <w:vAlign w:val="bottom"/>
            <w:tcBorders>
              <w:right w:val="single" w:sz="8" w:color="auto"/>
            </w:tcBorders>
            <w:gridSpan w:val="2"/>
            <w:vMerge w:val="continue"/>
          </w:tcPr>
          <w:p>
            <w:pPr>
              <w:spacing w:after="0"/>
              <w:rPr>
                <w:sz w:val="4"/>
                <w:szCs w:val="4"/>
                <w:color w:val="auto"/>
              </w:rPr>
            </w:pPr>
          </w:p>
        </w:tc>
        <w:tc>
          <w:tcPr>
            <w:tcW w:w="3700" w:type="dxa"/>
            <w:vAlign w:val="bottom"/>
            <w:tcBorders>
              <w:right w:val="single" w:sz="8" w:color="auto"/>
            </w:tcBorders>
            <w:vMerge w:val="restart"/>
          </w:tcPr>
          <w:p>
            <w:pPr>
              <w:ind w:left="80"/>
              <w:spacing w:after="0" w:line="177" w:lineRule="exact"/>
              <w:rPr>
                <w:sz w:val="20"/>
                <w:szCs w:val="20"/>
                <w:color w:val="auto"/>
              </w:rPr>
            </w:pPr>
            <w:r>
              <w:rPr>
                <w:rFonts w:ascii="Arial" w:cs="Arial" w:eastAsia="Arial" w:hAnsi="Arial"/>
                <w:sz w:val="16"/>
                <w:szCs w:val="16"/>
                <w:color w:val="auto"/>
              </w:rPr>
              <w:t>Ms. DeSanctis had responsibility for similar</w:t>
            </w:r>
          </w:p>
        </w:tc>
        <w:tc>
          <w:tcPr>
            <w:tcW w:w="200" w:type="dxa"/>
            <w:vAlign w:val="bottom"/>
            <w:gridSpan w:val="2"/>
            <w:vMerge w:val="continue"/>
          </w:tcPr>
          <w:p>
            <w:pPr>
              <w:spacing w:after="0"/>
              <w:rPr>
                <w:sz w:val="4"/>
                <w:szCs w:val="4"/>
                <w:color w:val="auto"/>
              </w:rPr>
            </w:pPr>
          </w:p>
        </w:tc>
        <w:tc>
          <w:tcPr>
            <w:tcW w:w="242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460" w:type="dxa"/>
            <w:vAlign w:val="bottom"/>
            <w:tcBorders>
              <w:lef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3700" w:type="dxa"/>
            <w:vAlign w:val="bottom"/>
            <w:tcBorders>
              <w:right w:val="single" w:sz="8" w:color="auto"/>
            </w:tcBorders>
            <w:vMerge w:val="continue"/>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242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14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6"/>
                <w:szCs w:val="16"/>
                <w:color w:val="auto"/>
              </w:rPr>
              <w:t>HSES</w:t>
            </w:r>
          </w:p>
        </w:tc>
        <w:tc>
          <w:tcPr>
            <w:tcW w:w="370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1440" w:type="dxa"/>
            <w:vAlign w:val="bottom"/>
            <w:tcBorders>
              <w:right w:val="single" w:sz="8" w:color="auto"/>
            </w:tcBorders>
            <w:gridSpan w:val="2"/>
            <w:vMerge w:val="continue"/>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functions, as well as strategic planning roles, for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 number of upstream energy companies,</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including Petrohawk Energy Corporation,</w:t>
            </w:r>
          </w:p>
        </w:tc>
        <w:tc>
          <w:tcPr>
            <w:tcW w:w="200" w:type="dxa"/>
            <w:vAlign w:val="bottom"/>
            <w:gridSpan w:val="2"/>
            <w:vMerge w:val="continue"/>
          </w:tcPr>
          <w:p>
            <w:pPr>
              <w:spacing w:after="0"/>
              <w:rPr>
                <w:sz w:val="4"/>
                <w:szCs w:val="4"/>
                <w:color w:val="auto"/>
              </w:rPr>
            </w:pPr>
          </w:p>
        </w:tc>
        <w:tc>
          <w:tcPr>
            <w:tcW w:w="242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460" w:type="dxa"/>
            <w:vAlign w:val="bottom"/>
            <w:tcBorders>
              <w:lef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370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80"/>
        </w:trPr>
        <w:tc>
          <w:tcPr>
            <w:tcW w:w="460" w:type="dxa"/>
            <w:vAlign w:val="bottom"/>
            <w:tcBorders>
              <w:left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Rosetta Resources, Burlington Resources,</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2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46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700" w:type="dxa"/>
            <w:vAlign w:val="bottom"/>
            <w:tcBorders>
              <w:right w:val="single" w:sz="8" w:color="auto"/>
            </w:tcBorders>
            <w:vMerge w:val="continue"/>
          </w:tcPr>
          <w:p>
            <w:pPr>
              <w:spacing w:after="0"/>
              <w:rPr>
                <w:sz w:val="10"/>
                <w:szCs w:val="10"/>
                <w:color w:val="auto"/>
              </w:rPr>
            </w:pP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Vastar Resources and ARCO. Ms. DeSanctis</w:t>
            </w:r>
          </w:p>
        </w:tc>
        <w:tc>
          <w:tcPr>
            <w:tcW w:w="200" w:type="dxa"/>
            <w:vAlign w:val="bottom"/>
            <w:gridSpan w:val="2"/>
            <w:vMerge w:val="continue"/>
          </w:tcPr>
          <w:p>
            <w:pPr>
              <w:spacing w:after="0"/>
              <w:rPr>
                <w:sz w:val="16"/>
                <w:szCs w:val="16"/>
                <w:color w:val="auto"/>
              </w:rPr>
            </w:pPr>
          </w:p>
        </w:tc>
        <w:tc>
          <w:tcPr>
            <w:tcW w:w="242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spent her early career as an engineer for Shell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Oil Company. Ms. DeSanctis currently serves as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 member of the board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460" w:type="dxa"/>
            <w:vAlign w:val="bottom"/>
            <w:tcBorders>
              <w:left w:val="single" w:sz="8" w:color="auto"/>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370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28"/>
        </w:trPr>
        <w:tc>
          <w:tcPr>
            <w:tcW w:w="460" w:type="dxa"/>
            <w:vAlign w:val="bottom"/>
            <w:tcBorders>
              <w:top w:val="single" w:sz="8" w:color="auto"/>
              <w:left w:val="single" w:sz="8" w:color="auto"/>
            </w:tcBorders>
          </w:tcPr>
          <w:p>
            <w:pPr>
              <w:spacing w:after="0"/>
              <w:rPr>
                <w:sz w:val="19"/>
                <w:szCs w:val="19"/>
                <w:color w:val="auto"/>
              </w:rPr>
            </w:pPr>
          </w:p>
        </w:tc>
        <w:tc>
          <w:tcPr>
            <w:tcW w:w="1440" w:type="dxa"/>
            <w:vAlign w:val="bottom"/>
            <w:tcBorders>
              <w:top w:val="single" w:sz="8" w:color="auto"/>
              <w:right w:val="single" w:sz="8" w:color="auto"/>
            </w:tcBorders>
            <w:gridSpan w:val="2"/>
          </w:tcPr>
          <w:p>
            <w:pPr>
              <w:jc w:val="center"/>
              <w:ind w:right="400"/>
              <w:spacing w:after="0"/>
              <w:rPr>
                <w:sz w:val="20"/>
                <w:szCs w:val="20"/>
                <w:color w:val="auto"/>
              </w:rPr>
            </w:pPr>
            <w:r>
              <w:rPr>
                <w:rFonts w:ascii="Arial" w:cs="Arial" w:eastAsia="Arial" w:hAnsi="Arial"/>
                <w:sz w:val="16"/>
                <w:szCs w:val="16"/>
                <w:color w:val="auto"/>
              </w:rPr>
              <w:t>​</w:t>
            </w:r>
          </w:p>
        </w:tc>
        <w:tc>
          <w:tcPr>
            <w:tcW w:w="370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directors of St. Agnes Academy in Houston and</w:t>
            </w:r>
          </w:p>
        </w:tc>
        <w:tc>
          <w:tcPr>
            <w:tcW w:w="2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top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82"/>
        </w:trPr>
        <w:tc>
          <w:tcPr>
            <w:tcW w:w="46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3700" w:type="dxa"/>
            <w:vAlign w:val="bottom"/>
            <w:tcBorders>
              <w:right w:val="single" w:sz="8" w:color="auto"/>
            </w:tcBorders>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24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served as past chair of the Girl Scouts of San</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20"/>
        </w:trPr>
        <w:tc>
          <w:tcPr>
            <w:tcW w:w="46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Jacinto Council. Ms. DeSanctis holds a BA in</w:t>
            </w:r>
          </w:p>
        </w:tc>
        <w:tc>
          <w:tcPr>
            <w:tcW w:w="200" w:type="dxa"/>
            <w:vAlign w:val="bottom"/>
            <w:gridSpan w:val="2"/>
            <w:vMerge w:val="continue"/>
          </w:tcPr>
          <w:p>
            <w:pPr>
              <w:spacing w:after="0"/>
              <w:rPr>
                <w:sz w:val="10"/>
                <w:szCs w:val="10"/>
                <w:color w:val="auto"/>
              </w:rPr>
            </w:pPr>
          </w:p>
        </w:tc>
        <w:tc>
          <w:tcPr>
            <w:tcW w:w="24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46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370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Geological and Geophysical Sciences from</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Princeton University and an MBA from UCLA.</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Board has determined that Ms. DeSanctis is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“independent” under applicable Nasdaq and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SEC rules. Ms. DeSanctis’s diverse, strategic</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stakeholder-focused background brings 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valuable perspective to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60" w:type="dxa"/>
            <w:vAlign w:val="bottom"/>
            <w:tcBorders>
              <w:left w:val="single" w:sz="8" w:color="auto"/>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370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gridSpan w:val="2"/>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9"/>
              </w:rPr>
              <w:t>ALEXANDRA D.</w:t>
            </w: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Alexandra D. Pruner, age 61, </w:t>
            </w:r>
            <w:r>
              <w:rPr>
                <w:rFonts w:ascii="Arial" w:cs="Arial" w:eastAsia="Arial" w:hAnsi="Arial"/>
                <w:sz w:val="16"/>
                <w:szCs w:val="16"/>
                <w:color w:val="auto"/>
              </w:rPr>
              <w:t>has served as a</w:t>
            </w:r>
          </w:p>
        </w:tc>
        <w:tc>
          <w:tcPr>
            <w:tcW w:w="80" w:type="dxa"/>
            <w:vAlign w:val="bottom"/>
          </w:tcPr>
          <w:p>
            <w:pPr>
              <w:spacing w:after="0"/>
              <w:rPr>
                <w:sz w:val="18"/>
                <w:szCs w:val="18"/>
                <w:color w:val="auto"/>
              </w:rPr>
            </w:pPr>
          </w:p>
        </w:tc>
        <w:tc>
          <w:tcPr>
            <w:tcW w:w="254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460" w:type="dxa"/>
            <w:vAlign w:val="bottom"/>
            <w:tcBorders>
              <w:left w:val="single" w:sz="8" w:color="auto"/>
            </w:tcBorders>
          </w:tcPr>
          <w:p>
            <w:pPr>
              <w:spacing w:after="0" w:line="20" w:lineRule="exact"/>
              <w:rPr>
                <w:sz w:val="1"/>
                <w:szCs w:val="1"/>
                <w:color w:val="auto"/>
              </w:rPr>
            </w:pPr>
          </w:p>
        </w:tc>
        <w:tc>
          <w:tcPr>
            <w:tcW w:w="1440" w:type="dxa"/>
            <w:vAlign w:val="bottom"/>
            <w:tcBorders>
              <w:right w:val="single" w:sz="8" w:color="auto"/>
            </w:tcBorders>
            <w:gridSpan w:val="2"/>
            <w:vMerge w:val="restart"/>
          </w:tcPr>
          <w:p>
            <w:pPr>
              <w:jc w:val="center"/>
              <w:ind w:right="460"/>
              <w:spacing w:after="0"/>
              <w:rPr>
                <w:sz w:val="20"/>
                <w:szCs w:val="20"/>
                <w:color w:val="auto"/>
              </w:rPr>
            </w:pPr>
            <w:r>
              <w:rPr>
                <w:rFonts w:ascii="Arial" w:cs="Arial" w:eastAsia="Arial" w:hAnsi="Arial"/>
                <w:sz w:val="16"/>
                <w:szCs w:val="16"/>
                <w:b w:val="1"/>
                <w:bCs w:val="1"/>
                <w:color w:val="auto"/>
                <w:w w:val="97"/>
              </w:rPr>
              <w:t>PRUNER</w:t>
            </w: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director of PAGP GP since December 2018.</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Borders>
              <w:left w:val="single" w:sz="8" w:color="auto"/>
            </w:tcBorders>
          </w:tcPr>
          <w:p>
            <w:pPr>
              <w:spacing w:after="0"/>
              <w:rPr>
                <w:sz w:val="18"/>
                <w:szCs w:val="18"/>
                <w:color w:val="auto"/>
              </w:rPr>
            </w:pPr>
          </w:p>
        </w:tc>
        <w:tc>
          <w:tcPr>
            <w:tcW w:w="1440" w:type="dxa"/>
            <w:vAlign w:val="bottom"/>
            <w:tcBorders>
              <w:right w:val="single" w:sz="8" w:color="auto"/>
            </w:tcBorders>
            <w:gridSpan w:val="2"/>
            <w:vMerge w:val="continue"/>
          </w:tcPr>
          <w:p>
            <w:pPr>
              <w:spacing w:after="0"/>
              <w:rPr>
                <w:sz w:val="18"/>
                <w:szCs w:val="18"/>
                <w:color w:val="auto"/>
              </w:rPr>
            </w:pPr>
          </w:p>
        </w:tc>
        <w:tc>
          <w:tcPr>
            <w:tcW w:w="3700" w:type="dxa"/>
            <w:vAlign w:val="bottom"/>
            <w:tcBorders>
              <w:right w:val="single" w:sz="8" w:color="auto"/>
            </w:tcBorders>
            <w:vMerge w:val="continue"/>
          </w:tcPr>
          <w:p>
            <w:pPr>
              <w:spacing w:after="0"/>
              <w:rPr>
                <w:sz w:val="18"/>
                <w:szCs w:val="18"/>
                <w:color w:val="auto"/>
              </w:rPr>
            </w:pPr>
          </w:p>
        </w:tc>
        <w:tc>
          <w:tcPr>
            <w:tcW w:w="80" w:type="dxa"/>
            <w:vAlign w:val="bottom"/>
            <w:vMerge w:val="restart"/>
          </w:tcPr>
          <w:p>
            <w:pPr>
              <w:spacing w:after="0"/>
              <w:rPr>
                <w:sz w:val="18"/>
                <w:szCs w:val="18"/>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34"/>
        </w:trPr>
        <w:tc>
          <w:tcPr>
            <w:tcW w:w="460" w:type="dxa"/>
            <w:vAlign w:val="bottom"/>
            <w:tcBorders>
              <w:left w:val="single" w:sz="8" w:color="auto"/>
            </w:tcBorders>
          </w:tcPr>
          <w:p>
            <w:pPr>
              <w:spacing w:after="0"/>
              <w:rPr>
                <w:sz w:val="11"/>
                <w:szCs w:val="11"/>
                <w:color w:val="auto"/>
              </w:rPr>
            </w:pPr>
          </w:p>
        </w:tc>
        <w:tc>
          <w:tcPr>
            <w:tcW w:w="1440" w:type="dxa"/>
            <w:vAlign w:val="bottom"/>
            <w:tcBorders>
              <w:right w:val="single" w:sz="8" w:color="auto"/>
            </w:tcBorders>
            <w:gridSpan w:val="2"/>
            <w:vMerge w:val="restart"/>
          </w:tcPr>
          <w:p>
            <w:pPr>
              <w:jc w:val="center"/>
              <w:ind w:right="440"/>
              <w:spacing w:after="0"/>
              <w:rPr>
                <w:sz w:val="20"/>
                <w:szCs w:val="20"/>
                <w:color w:val="auto"/>
              </w:rPr>
            </w:pPr>
            <w:r>
              <w:rPr>
                <w:rFonts w:ascii="Arial" w:cs="Arial" w:eastAsia="Arial" w:hAnsi="Arial"/>
                <w:sz w:val="16"/>
                <w:szCs w:val="16"/>
                <w:b w:val="1"/>
                <w:bCs w:val="1"/>
                <w:color w:val="auto"/>
              </w:rPr>
              <w:t>Independent</w:t>
            </w: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Ms. Pruner has served as a Senior Advisor of</w:t>
            </w:r>
          </w:p>
        </w:tc>
        <w:tc>
          <w:tcPr>
            <w:tcW w:w="8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4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460" w:type="dxa"/>
            <w:vAlign w:val="bottom"/>
            <w:tcBorders>
              <w:left w:val="single" w:sz="8" w:color="auto"/>
            </w:tcBorders>
          </w:tcPr>
          <w:p>
            <w:pPr>
              <w:spacing w:after="0"/>
              <w:rPr>
                <w:sz w:val="4"/>
                <w:szCs w:val="4"/>
                <w:color w:val="auto"/>
              </w:rPr>
            </w:pPr>
          </w:p>
        </w:tc>
        <w:tc>
          <w:tcPr>
            <w:tcW w:w="1440" w:type="dxa"/>
            <w:vAlign w:val="bottom"/>
            <w:tcBorders>
              <w:right w:val="single" w:sz="8" w:color="auto"/>
            </w:tcBorders>
            <w:gridSpan w:val="2"/>
            <w:vMerge w:val="continue"/>
          </w:tcPr>
          <w:p>
            <w:pPr>
              <w:spacing w:after="0"/>
              <w:rPr>
                <w:sz w:val="4"/>
                <w:szCs w:val="4"/>
                <w:color w:val="auto"/>
              </w:rPr>
            </w:pPr>
          </w:p>
        </w:tc>
        <w:tc>
          <w:tcPr>
            <w:tcW w:w="370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460" w:type="dxa"/>
            <w:vAlign w:val="bottom"/>
            <w:tcBorders>
              <w:left w:val="single" w:sz="8" w:color="auto"/>
            </w:tcBorders>
          </w:tcPr>
          <w:p>
            <w:pPr>
              <w:spacing w:after="0"/>
              <w:rPr>
                <w:sz w:val="12"/>
                <w:szCs w:val="12"/>
                <w:color w:val="auto"/>
              </w:rPr>
            </w:pPr>
          </w:p>
        </w:tc>
        <w:tc>
          <w:tcPr>
            <w:tcW w:w="1440" w:type="dxa"/>
            <w:vAlign w:val="bottom"/>
            <w:tcBorders>
              <w:right w:val="single" w:sz="8" w:color="auto"/>
            </w:tcBorders>
            <w:gridSpan w:val="2"/>
            <w:vMerge w:val="continue"/>
          </w:tcPr>
          <w:p>
            <w:pPr>
              <w:spacing w:after="0"/>
              <w:rPr>
                <w:sz w:val="12"/>
                <w:szCs w:val="12"/>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Perella Weinberg Partners (“PWP”), a global</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62"/>
        </w:trPr>
        <w:tc>
          <w:tcPr>
            <w:tcW w:w="19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3700" w:type="dxa"/>
            <w:vAlign w:val="bottom"/>
            <w:tcBorders>
              <w:right w:val="single" w:sz="8" w:color="auto"/>
            </w:tcBorders>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4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900" w:type="dxa"/>
            <w:vAlign w:val="bottom"/>
            <w:tcBorders>
              <w:left w:val="single" w:sz="8" w:color="auto"/>
              <w:right w:val="single" w:sz="8" w:color="auto"/>
            </w:tcBorders>
            <w:gridSpan w:val="3"/>
            <w:vMerge w:val="continue"/>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independent advisory firm providing strategic</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1440" w:type="dxa"/>
            <w:vAlign w:val="bottom"/>
            <w:tcBorders>
              <w:right w:val="single" w:sz="8" w:color="auto"/>
            </w:tcBorders>
            <w:gridSpan w:val="2"/>
          </w:tcPr>
          <w:p>
            <w:pPr>
              <w:jc w:val="center"/>
              <w:ind w:right="460"/>
              <w:spacing w:after="0" w:line="178" w:lineRule="exact"/>
              <w:rPr>
                <w:sz w:val="20"/>
                <w:szCs w:val="20"/>
                <w:color w:val="auto"/>
              </w:rPr>
            </w:pPr>
            <w:r>
              <w:rPr>
                <w:rFonts w:ascii="Arial" w:cs="Arial" w:eastAsia="Arial" w:hAnsi="Arial"/>
                <w:sz w:val="16"/>
                <w:szCs w:val="16"/>
                <w:b w:val="1"/>
                <w:bCs w:val="1"/>
                <w:i w:val="1"/>
                <w:iCs w:val="1"/>
                <w:color w:val="auto"/>
              </w:rPr>
              <w:t>since 2018</w:t>
            </w:r>
          </w:p>
        </w:tc>
        <w:tc>
          <w:tcPr>
            <w:tcW w:w="370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and financial advice and asset-management</w:t>
            </w:r>
          </w:p>
        </w:tc>
        <w:tc>
          <w:tcPr>
            <w:tcW w:w="200" w:type="dxa"/>
            <w:vAlign w:val="bottom"/>
            <w:gridSpan w:val="2"/>
            <w:vMerge w:val="continue"/>
          </w:tcPr>
          <w:p>
            <w:pPr>
              <w:spacing w:after="0"/>
              <w:rPr>
                <w:sz w:val="15"/>
                <w:szCs w:val="15"/>
                <w:color w:val="auto"/>
              </w:rPr>
            </w:pPr>
          </w:p>
        </w:tc>
        <w:tc>
          <w:tcPr>
            <w:tcW w:w="242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9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services, and its energy division, Tudor,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09"/>
        </w:trPr>
        <w:tc>
          <w:tcPr>
            <w:tcW w:w="1900" w:type="dxa"/>
            <w:vAlign w:val="bottom"/>
            <w:tcBorders>
              <w:left w:val="single" w:sz="8" w:color="auto"/>
              <w:right w:val="single" w:sz="8" w:color="auto"/>
            </w:tcBorders>
            <w:gridSpan w:val="3"/>
            <w:vMerge w:val="continue"/>
          </w:tcPr>
          <w:p>
            <w:pPr>
              <w:spacing w:after="0"/>
              <w:rPr>
                <w:sz w:val="9"/>
                <w:szCs w:val="9"/>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Pickering, Holt &amp; Co., since December 2018.</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Legal/Governance/​Government</w:t>
            </w:r>
          </w:p>
        </w:tc>
        <w:tc>
          <w:tcPr>
            <w:tcW w:w="0" w:type="dxa"/>
            <w:vAlign w:val="bottom"/>
          </w:tcPr>
          <w:p>
            <w:pPr>
              <w:spacing w:after="0"/>
              <w:rPr>
                <w:sz w:val="1"/>
                <w:szCs w:val="1"/>
                <w:color w:val="auto"/>
              </w:rPr>
            </w:pPr>
          </w:p>
        </w:tc>
      </w:tr>
      <w:tr>
        <w:trPr>
          <w:trHeight w:val="60"/>
        </w:trPr>
        <w:tc>
          <w:tcPr>
            <w:tcW w:w="460" w:type="dxa"/>
            <w:vAlign w:val="bottom"/>
            <w:tcBorders>
              <w:left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3700" w:type="dxa"/>
            <w:vAlign w:val="bottom"/>
            <w:tcBorders>
              <w:right w:val="single" w:sz="8" w:color="auto"/>
            </w:tcBorders>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4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40" w:type="dxa"/>
            <w:vAlign w:val="bottom"/>
            <w:tcBorders>
              <w:right w:val="single" w:sz="8" w:color="auto"/>
            </w:tcBorders>
            <w:gridSpan w:val="2"/>
            <w:vMerge w:val="restart"/>
          </w:tcPr>
          <w:p>
            <w:pPr>
              <w:jc w:val="center"/>
              <w:ind w:right="460"/>
              <w:spacing w:after="0"/>
              <w:rPr>
                <w:sz w:val="20"/>
                <w:szCs w:val="20"/>
                <w:color w:val="auto"/>
              </w:rPr>
            </w:pPr>
            <w:r>
              <w:rPr>
                <w:rFonts w:ascii="Arial" w:cs="Arial" w:eastAsia="Arial" w:hAnsi="Arial"/>
                <w:sz w:val="16"/>
                <w:szCs w:val="16"/>
                <w:color w:val="auto"/>
              </w:rPr>
              <w:t>Audit</w:t>
            </w: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She previously served as Partner and Chief</w:t>
            </w:r>
          </w:p>
        </w:tc>
        <w:tc>
          <w:tcPr>
            <w:tcW w:w="200" w:type="dxa"/>
            <w:vAlign w:val="bottom"/>
            <w:gridSpan w:val="2"/>
            <w:vMerge w:val="continue"/>
          </w:tcPr>
          <w:p>
            <w:pPr>
              <w:spacing w:after="0"/>
              <w:rPr>
                <w:sz w:val="9"/>
                <w:szCs w:val="9"/>
                <w:color w:val="auto"/>
              </w:rPr>
            </w:pPr>
          </w:p>
        </w:tc>
        <w:tc>
          <w:tcPr>
            <w:tcW w:w="24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1440" w:type="dxa"/>
            <w:vAlign w:val="bottom"/>
            <w:tcBorders>
              <w:right w:val="single" w:sz="8" w:color="auto"/>
            </w:tcBorders>
            <w:gridSpan w:val="2"/>
            <w:vMerge w:val="continue"/>
          </w:tcPr>
          <w:p>
            <w:pPr>
              <w:spacing w:after="0"/>
              <w:rPr>
                <w:sz w:val="8"/>
                <w:szCs w:val="8"/>
                <w:color w:val="auto"/>
              </w:rPr>
            </w:pPr>
          </w:p>
        </w:tc>
        <w:tc>
          <w:tcPr>
            <w:tcW w:w="370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120"/>
        </w:trPr>
        <w:tc>
          <w:tcPr>
            <w:tcW w:w="46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Financial Officer of PWP from December 2016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460" w:type="dxa"/>
            <w:vAlign w:val="bottom"/>
            <w:tcBorders>
              <w:left w:val="single" w:sz="8" w:color="auto"/>
            </w:tcBorders>
          </w:tcPr>
          <w:p>
            <w:pPr>
              <w:spacing w:after="0"/>
              <w:rPr>
                <w:sz w:val="5"/>
                <w:szCs w:val="5"/>
                <w:color w:val="auto"/>
              </w:rPr>
            </w:pPr>
          </w:p>
        </w:tc>
        <w:tc>
          <w:tcPr>
            <w:tcW w:w="1440" w:type="dxa"/>
            <w:vAlign w:val="bottom"/>
            <w:tcBorders>
              <w:right w:val="single" w:sz="8" w:color="auto"/>
            </w:tcBorders>
            <w:gridSpan w:val="2"/>
            <w:vMerge w:val="restart"/>
          </w:tcPr>
          <w:p>
            <w:pPr>
              <w:jc w:val="center"/>
              <w:ind w:right="440"/>
              <w:spacing w:after="0"/>
              <w:rPr>
                <w:sz w:val="20"/>
                <w:szCs w:val="20"/>
                <w:color w:val="auto"/>
              </w:rPr>
            </w:pPr>
            <w:r>
              <w:rPr>
                <w:rFonts w:ascii="Arial" w:cs="Arial" w:eastAsia="Arial" w:hAnsi="Arial"/>
                <w:sz w:val="16"/>
                <w:szCs w:val="16"/>
                <w:color w:val="auto"/>
              </w:rPr>
              <w:t>Governance</w:t>
            </w:r>
          </w:p>
        </w:tc>
        <w:tc>
          <w:tcPr>
            <w:tcW w:w="370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1440" w:type="dxa"/>
            <w:vAlign w:val="bottom"/>
            <w:tcBorders>
              <w:right w:val="single" w:sz="8" w:color="auto"/>
            </w:tcBorders>
            <w:gridSpan w:val="2"/>
            <w:vMerge w:val="continue"/>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through November 2018. She served as CFO</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8"/>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a member of the Management Committee at</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Tudor, Pickering, Holt &amp; Co. from the firm’s</w:t>
            </w:r>
          </w:p>
        </w:tc>
        <w:tc>
          <w:tcPr>
            <w:tcW w:w="200" w:type="dxa"/>
            <w:vAlign w:val="bottom"/>
            <w:gridSpan w:val="2"/>
            <w:vMerge w:val="continue"/>
          </w:tcPr>
          <w:p>
            <w:pPr>
              <w:spacing w:after="0"/>
              <w:rPr>
                <w:sz w:val="16"/>
                <w:szCs w:val="16"/>
                <w:color w:val="auto"/>
              </w:rPr>
            </w:pPr>
          </w:p>
        </w:tc>
        <w:tc>
          <w:tcPr>
            <w:tcW w:w="242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founding in 2007 until its combination with PWP</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93"/>
        </w:trPr>
        <w:tc>
          <w:tcPr>
            <w:tcW w:w="46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 2016. Ms. Pruner served as a director and</w:t>
            </w:r>
          </w:p>
        </w:tc>
        <w:tc>
          <w:tcPr>
            <w:tcW w:w="200" w:type="dxa"/>
            <w:vAlign w:val="bottom"/>
            <w:gridSpan w:val="2"/>
            <w:vMerge w:val="continue"/>
          </w:tcPr>
          <w:p>
            <w:pPr>
              <w:spacing w:after="0"/>
              <w:rPr>
                <w:sz w:val="8"/>
                <w:szCs w:val="8"/>
                <w:color w:val="auto"/>
              </w:rPr>
            </w:pPr>
          </w:p>
        </w:tc>
        <w:tc>
          <w:tcPr>
            <w:tcW w:w="24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6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3700" w:type="dxa"/>
            <w:vAlign w:val="bottom"/>
            <w:tcBorders>
              <w:right w:val="single" w:sz="8" w:color="auto"/>
            </w:tcBorders>
            <w:vMerge w:val="continue"/>
          </w:tcPr>
          <w:p>
            <w:pPr>
              <w:spacing w:after="0"/>
              <w:rPr>
                <w:sz w:val="9"/>
                <w:szCs w:val="9"/>
                <w:color w:val="auto"/>
              </w:rPr>
            </w:pP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Cybersecurity/IT</w:t>
            </w: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member of the audit committee of Anadarko</w:t>
            </w:r>
          </w:p>
        </w:tc>
        <w:tc>
          <w:tcPr>
            <w:tcW w:w="200" w:type="dxa"/>
            <w:vAlign w:val="bottom"/>
            <w:gridSpan w:val="2"/>
            <w:vMerge w:val="continue"/>
          </w:tcPr>
          <w:p>
            <w:pPr>
              <w:spacing w:after="0"/>
              <w:rPr>
                <w:sz w:val="16"/>
                <w:szCs w:val="16"/>
                <w:color w:val="auto"/>
              </w:rPr>
            </w:pPr>
          </w:p>
        </w:tc>
        <w:tc>
          <w:tcPr>
            <w:tcW w:w="242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Petroleum Corporation from December 2018</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Energy Evolution</w:t>
            </w:r>
          </w:p>
        </w:tc>
        <w:tc>
          <w:tcPr>
            <w:tcW w:w="0" w:type="dxa"/>
            <w:vAlign w:val="bottom"/>
          </w:tcPr>
          <w:p>
            <w:pPr>
              <w:spacing w:after="0"/>
              <w:rPr>
                <w:sz w:val="1"/>
                <w:szCs w:val="1"/>
                <w:color w:val="auto"/>
              </w:rPr>
            </w:pPr>
          </w:p>
        </w:tc>
      </w:tr>
      <w:tr>
        <w:trPr>
          <w:trHeight w:val="120"/>
        </w:trPr>
        <w:tc>
          <w:tcPr>
            <w:tcW w:w="46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until August 2019. She has also served as a</w:t>
            </w:r>
          </w:p>
        </w:tc>
        <w:tc>
          <w:tcPr>
            <w:tcW w:w="200" w:type="dxa"/>
            <w:vAlign w:val="bottom"/>
            <w:gridSpan w:val="2"/>
            <w:vMerge w:val="continue"/>
          </w:tcPr>
          <w:p>
            <w:pPr>
              <w:spacing w:after="0"/>
              <w:rPr>
                <w:sz w:val="10"/>
                <w:szCs w:val="10"/>
                <w:color w:val="auto"/>
              </w:rPr>
            </w:pPr>
          </w:p>
        </w:tc>
        <w:tc>
          <w:tcPr>
            <w:tcW w:w="24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46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370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of NRG Energy, Inc. since October 2019,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as chair of the board of Malta Inc. since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April 2022, and as a director of Encino</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Acquisition Partners, LLC since November 2019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as chair of the board since December 2021.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She is the founder and a board member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Women’s Global Leadership Conference in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Energy &amp; Technology, is an Emeritus Director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Amegy Bank Development Board, and is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Chair of Brown University’s President’s Advisory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Council on the Economics Department. She also</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serves on the Board of the Houston Zoo and the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Texas Medical Center, among other volunteer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efforts. Ms. Pruner holds a BA in Economics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Brown University. The Board has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determined that Ms. Pruner is “independent”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under applicable Nasdaq and SEC rules and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qualifies as an “Audit Committee Financial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Expert.” Ms. Pruner’s extensive experience in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energy industry from a variety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perspectives, along with her strong finance and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investment banking background, make her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uniquely qualified to serve on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460" w:type="dxa"/>
            <w:vAlign w:val="bottom"/>
            <w:tcBorders>
              <w:left w:val="single" w:sz="8" w:color="auto"/>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370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gridSpan w:val="2"/>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9"/>
              </w:rPr>
              <w:t>LAWRENCE M.</w:t>
            </w: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Lawrence M. Ziemba</w:t>
            </w:r>
            <w:r>
              <w:rPr>
                <w:rFonts w:ascii="Arial" w:cs="Arial" w:eastAsia="Arial" w:hAnsi="Arial"/>
                <w:sz w:val="16"/>
                <w:szCs w:val="16"/>
                <w:color w:val="auto"/>
              </w:rPr>
              <w:t>,</w:t>
            </w:r>
            <w:r>
              <w:rPr>
                <w:rFonts w:ascii="Arial" w:cs="Arial" w:eastAsia="Arial" w:hAnsi="Arial"/>
                <w:sz w:val="16"/>
                <w:szCs w:val="16"/>
                <w:i w:val="1"/>
                <w:iCs w:val="1"/>
                <w:color w:val="auto"/>
              </w:rPr>
              <w:t xml:space="preserve"> age 67</w:t>
            </w:r>
            <w:r>
              <w:rPr>
                <w:rFonts w:ascii="Arial" w:cs="Arial" w:eastAsia="Arial" w:hAnsi="Arial"/>
                <w:sz w:val="16"/>
                <w:szCs w:val="16"/>
                <w:color w:val="auto"/>
              </w:rPr>
              <w:t>, has served as a</w:t>
            </w:r>
          </w:p>
        </w:tc>
        <w:tc>
          <w:tcPr>
            <w:tcW w:w="80" w:type="dxa"/>
            <w:vAlign w:val="bottom"/>
          </w:tcPr>
          <w:p>
            <w:pPr>
              <w:spacing w:after="0"/>
              <w:rPr>
                <w:sz w:val="18"/>
                <w:szCs w:val="18"/>
                <w:color w:val="auto"/>
              </w:rPr>
            </w:pPr>
          </w:p>
        </w:tc>
        <w:tc>
          <w:tcPr>
            <w:tcW w:w="254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460" w:type="dxa"/>
            <w:vAlign w:val="bottom"/>
            <w:tcBorders>
              <w:left w:val="single" w:sz="8" w:color="auto"/>
            </w:tcBorders>
          </w:tcPr>
          <w:p>
            <w:pPr>
              <w:spacing w:after="0" w:line="20" w:lineRule="exact"/>
              <w:rPr>
                <w:sz w:val="1"/>
                <w:szCs w:val="1"/>
                <w:color w:val="auto"/>
              </w:rPr>
            </w:pPr>
          </w:p>
        </w:tc>
        <w:tc>
          <w:tcPr>
            <w:tcW w:w="1440" w:type="dxa"/>
            <w:vAlign w:val="bottom"/>
            <w:tcBorders>
              <w:right w:val="single" w:sz="8" w:color="auto"/>
            </w:tcBorders>
            <w:gridSpan w:val="2"/>
            <w:vMerge w:val="restart"/>
          </w:tcPr>
          <w:p>
            <w:pPr>
              <w:jc w:val="center"/>
              <w:ind w:right="460"/>
              <w:spacing w:after="0"/>
              <w:rPr>
                <w:sz w:val="20"/>
                <w:szCs w:val="20"/>
                <w:color w:val="auto"/>
              </w:rPr>
            </w:pPr>
            <w:r>
              <w:rPr>
                <w:rFonts w:ascii="Arial" w:cs="Arial" w:eastAsia="Arial" w:hAnsi="Arial"/>
                <w:sz w:val="16"/>
                <w:szCs w:val="16"/>
                <w:b w:val="1"/>
                <w:bCs w:val="1"/>
                <w:color w:val="auto"/>
              </w:rPr>
              <w:t>ZIEMBA</w:t>
            </w: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director of PAGP GP since January 2020.</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Borders>
              <w:left w:val="single" w:sz="8" w:color="auto"/>
            </w:tcBorders>
          </w:tcPr>
          <w:p>
            <w:pPr>
              <w:spacing w:after="0"/>
              <w:rPr>
                <w:sz w:val="18"/>
                <w:szCs w:val="18"/>
                <w:color w:val="auto"/>
              </w:rPr>
            </w:pPr>
          </w:p>
        </w:tc>
        <w:tc>
          <w:tcPr>
            <w:tcW w:w="1440" w:type="dxa"/>
            <w:vAlign w:val="bottom"/>
            <w:tcBorders>
              <w:right w:val="single" w:sz="8" w:color="auto"/>
            </w:tcBorders>
            <w:gridSpan w:val="2"/>
            <w:vMerge w:val="continue"/>
          </w:tcPr>
          <w:p>
            <w:pPr>
              <w:spacing w:after="0"/>
              <w:rPr>
                <w:sz w:val="18"/>
                <w:szCs w:val="18"/>
                <w:color w:val="auto"/>
              </w:rPr>
            </w:pPr>
          </w:p>
        </w:tc>
        <w:tc>
          <w:tcPr>
            <w:tcW w:w="3700" w:type="dxa"/>
            <w:vAlign w:val="bottom"/>
            <w:tcBorders>
              <w:right w:val="single" w:sz="8" w:color="auto"/>
            </w:tcBorders>
            <w:vMerge w:val="continue"/>
          </w:tcPr>
          <w:p>
            <w:pPr>
              <w:spacing w:after="0"/>
              <w:rPr>
                <w:sz w:val="18"/>
                <w:szCs w:val="18"/>
                <w:color w:val="auto"/>
              </w:rPr>
            </w:pPr>
          </w:p>
        </w:tc>
        <w:tc>
          <w:tcPr>
            <w:tcW w:w="80" w:type="dxa"/>
            <w:vAlign w:val="bottom"/>
            <w:vMerge w:val="restart"/>
          </w:tcPr>
          <w:p>
            <w:pPr>
              <w:spacing w:after="0"/>
              <w:rPr>
                <w:sz w:val="18"/>
                <w:szCs w:val="18"/>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34"/>
        </w:trPr>
        <w:tc>
          <w:tcPr>
            <w:tcW w:w="460" w:type="dxa"/>
            <w:vAlign w:val="bottom"/>
            <w:tcBorders>
              <w:left w:val="single" w:sz="8" w:color="auto"/>
            </w:tcBorders>
          </w:tcPr>
          <w:p>
            <w:pPr>
              <w:spacing w:after="0"/>
              <w:rPr>
                <w:sz w:val="11"/>
                <w:szCs w:val="11"/>
                <w:color w:val="auto"/>
              </w:rPr>
            </w:pPr>
          </w:p>
        </w:tc>
        <w:tc>
          <w:tcPr>
            <w:tcW w:w="1440" w:type="dxa"/>
            <w:vAlign w:val="bottom"/>
            <w:tcBorders>
              <w:right w:val="single" w:sz="8" w:color="auto"/>
            </w:tcBorders>
            <w:gridSpan w:val="2"/>
            <w:vMerge w:val="restart"/>
          </w:tcPr>
          <w:p>
            <w:pPr>
              <w:jc w:val="center"/>
              <w:ind w:right="440"/>
              <w:spacing w:after="0"/>
              <w:rPr>
                <w:sz w:val="20"/>
                <w:szCs w:val="20"/>
                <w:color w:val="auto"/>
              </w:rPr>
            </w:pPr>
            <w:r>
              <w:rPr>
                <w:rFonts w:ascii="Arial" w:cs="Arial" w:eastAsia="Arial" w:hAnsi="Arial"/>
                <w:sz w:val="16"/>
                <w:szCs w:val="16"/>
                <w:b w:val="1"/>
                <w:bCs w:val="1"/>
                <w:color w:val="auto"/>
              </w:rPr>
              <w:t>Independent</w:t>
            </w: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Mr. Ziemba served as Executive Vice President,</w:t>
            </w:r>
          </w:p>
        </w:tc>
        <w:tc>
          <w:tcPr>
            <w:tcW w:w="8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4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460" w:type="dxa"/>
            <w:vAlign w:val="bottom"/>
            <w:tcBorders>
              <w:left w:val="single" w:sz="8" w:color="auto"/>
            </w:tcBorders>
          </w:tcPr>
          <w:p>
            <w:pPr>
              <w:spacing w:after="0"/>
              <w:rPr>
                <w:sz w:val="4"/>
                <w:szCs w:val="4"/>
                <w:color w:val="auto"/>
              </w:rPr>
            </w:pPr>
          </w:p>
        </w:tc>
        <w:tc>
          <w:tcPr>
            <w:tcW w:w="1440" w:type="dxa"/>
            <w:vAlign w:val="bottom"/>
            <w:tcBorders>
              <w:right w:val="single" w:sz="8" w:color="auto"/>
            </w:tcBorders>
            <w:gridSpan w:val="2"/>
            <w:vMerge w:val="continue"/>
          </w:tcPr>
          <w:p>
            <w:pPr>
              <w:spacing w:after="0"/>
              <w:rPr>
                <w:sz w:val="4"/>
                <w:szCs w:val="4"/>
                <w:color w:val="auto"/>
              </w:rPr>
            </w:pPr>
          </w:p>
        </w:tc>
        <w:tc>
          <w:tcPr>
            <w:tcW w:w="370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460" w:type="dxa"/>
            <w:vAlign w:val="bottom"/>
            <w:tcBorders>
              <w:left w:val="single" w:sz="8" w:color="auto"/>
            </w:tcBorders>
          </w:tcPr>
          <w:p>
            <w:pPr>
              <w:spacing w:after="0"/>
              <w:rPr>
                <w:sz w:val="12"/>
                <w:szCs w:val="12"/>
                <w:color w:val="auto"/>
              </w:rPr>
            </w:pPr>
          </w:p>
        </w:tc>
        <w:tc>
          <w:tcPr>
            <w:tcW w:w="1440" w:type="dxa"/>
            <w:vAlign w:val="bottom"/>
            <w:tcBorders>
              <w:right w:val="single" w:sz="8" w:color="auto"/>
            </w:tcBorders>
            <w:gridSpan w:val="2"/>
            <w:vMerge w:val="continue"/>
          </w:tcPr>
          <w:p>
            <w:pPr>
              <w:spacing w:after="0"/>
              <w:rPr>
                <w:sz w:val="12"/>
                <w:szCs w:val="12"/>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Refining, and a member of the executive</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61"/>
        </w:trPr>
        <w:tc>
          <w:tcPr>
            <w:tcW w:w="19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3700" w:type="dxa"/>
            <w:vAlign w:val="bottom"/>
            <w:tcBorders>
              <w:right w:val="single" w:sz="8" w:color="auto"/>
            </w:tcBorders>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4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900" w:type="dxa"/>
            <w:vAlign w:val="bottom"/>
            <w:tcBorders>
              <w:left w:val="single" w:sz="8" w:color="auto"/>
              <w:right w:val="single" w:sz="8" w:color="auto"/>
            </w:tcBorders>
            <w:gridSpan w:val="3"/>
            <w:vMerge w:val="continue"/>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committee of Phillips 66 from May 2012 until his</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8"/>
        </w:trPr>
        <w:tc>
          <w:tcPr>
            <w:tcW w:w="460" w:type="dxa"/>
            <w:vAlign w:val="bottom"/>
            <w:tcBorders>
              <w:left w:val="single" w:sz="8" w:color="auto"/>
            </w:tcBorders>
          </w:tcPr>
          <w:p>
            <w:pPr>
              <w:spacing w:after="0"/>
              <w:rPr>
                <w:sz w:val="15"/>
                <w:szCs w:val="15"/>
                <w:color w:val="auto"/>
              </w:rPr>
            </w:pPr>
          </w:p>
        </w:tc>
        <w:tc>
          <w:tcPr>
            <w:tcW w:w="1440" w:type="dxa"/>
            <w:vAlign w:val="bottom"/>
            <w:tcBorders>
              <w:right w:val="single" w:sz="8" w:color="auto"/>
            </w:tcBorders>
            <w:gridSpan w:val="2"/>
          </w:tcPr>
          <w:p>
            <w:pPr>
              <w:jc w:val="center"/>
              <w:ind w:right="460"/>
              <w:spacing w:after="0" w:line="178" w:lineRule="exact"/>
              <w:rPr>
                <w:sz w:val="20"/>
                <w:szCs w:val="20"/>
                <w:color w:val="auto"/>
              </w:rPr>
            </w:pPr>
            <w:r>
              <w:rPr>
                <w:rFonts w:ascii="Arial" w:cs="Arial" w:eastAsia="Arial" w:hAnsi="Arial"/>
                <w:sz w:val="16"/>
                <w:szCs w:val="16"/>
                <w:b w:val="1"/>
                <w:bCs w:val="1"/>
                <w:i w:val="1"/>
                <w:iCs w:val="1"/>
                <w:color w:val="auto"/>
              </w:rPr>
              <w:t>since 2020</w:t>
            </w:r>
          </w:p>
        </w:tc>
        <w:tc>
          <w:tcPr>
            <w:tcW w:w="370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retirement in December 2017. From 2001 to</w:t>
            </w:r>
          </w:p>
        </w:tc>
        <w:tc>
          <w:tcPr>
            <w:tcW w:w="200" w:type="dxa"/>
            <w:vAlign w:val="bottom"/>
            <w:gridSpan w:val="2"/>
            <w:vMerge w:val="continue"/>
          </w:tcPr>
          <w:p>
            <w:pPr>
              <w:spacing w:after="0"/>
              <w:rPr>
                <w:sz w:val="15"/>
                <w:szCs w:val="15"/>
                <w:color w:val="auto"/>
              </w:rPr>
            </w:pPr>
          </w:p>
        </w:tc>
        <w:tc>
          <w:tcPr>
            <w:tcW w:w="242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9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May 2012, he served in various downstream</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09"/>
        </w:trPr>
        <w:tc>
          <w:tcPr>
            <w:tcW w:w="1900" w:type="dxa"/>
            <w:vAlign w:val="bottom"/>
            <w:tcBorders>
              <w:left w:val="single" w:sz="8" w:color="auto"/>
              <w:right w:val="single" w:sz="8" w:color="auto"/>
            </w:tcBorders>
            <w:gridSpan w:val="3"/>
            <w:vMerge w:val="continue"/>
          </w:tcPr>
          <w:p>
            <w:pPr>
              <w:spacing w:after="0"/>
              <w:rPr>
                <w:sz w:val="9"/>
                <w:szCs w:val="9"/>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positions with ConocoPhillips, including most</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Legal/Governance/​Government</w:t>
            </w:r>
          </w:p>
        </w:tc>
        <w:tc>
          <w:tcPr>
            <w:tcW w:w="0" w:type="dxa"/>
            <w:vAlign w:val="bottom"/>
          </w:tcPr>
          <w:p>
            <w:pPr>
              <w:spacing w:after="0"/>
              <w:rPr>
                <w:sz w:val="1"/>
                <w:szCs w:val="1"/>
                <w:color w:val="auto"/>
              </w:rPr>
            </w:pPr>
          </w:p>
        </w:tc>
      </w:tr>
      <w:tr>
        <w:trPr>
          <w:trHeight w:val="60"/>
        </w:trPr>
        <w:tc>
          <w:tcPr>
            <w:tcW w:w="460" w:type="dxa"/>
            <w:vAlign w:val="bottom"/>
            <w:tcBorders>
              <w:left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3700" w:type="dxa"/>
            <w:vAlign w:val="bottom"/>
            <w:tcBorders>
              <w:right w:val="single" w:sz="8" w:color="auto"/>
            </w:tcBorders>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4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40" w:type="dxa"/>
            <w:vAlign w:val="bottom"/>
            <w:tcBorders>
              <w:right w:val="single" w:sz="8" w:color="auto"/>
            </w:tcBorders>
            <w:gridSpan w:val="2"/>
            <w:vMerge w:val="restart"/>
          </w:tcPr>
          <w:p>
            <w:pPr>
              <w:jc w:val="center"/>
              <w:ind w:right="460"/>
              <w:spacing w:after="0"/>
              <w:rPr>
                <w:sz w:val="20"/>
                <w:szCs w:val="20"/>
                <w:color w:val="auto"/>
              </w:rPr>
            </w:pPr>
            <w:r>
              <w:rPr>
                <w:rFonts w:ascii="Arial" w:cs="Arial" w:eastAsia="Arial" w:hAnsi="Arial"/>
                <w:sz w:val="16"/>
                <w:szCs w:val="16"/>
                <w:color w:val="auto"/>
              </w:rPr>
              <w:t>Audit</w:t>
            </w: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recently as President, Global Refining, and as a</w:t>
            </w:r>
          </w:p>
        </w:tc>
        <w:tc>
          <w:tcPr>
            <w:tcW w:w="200" w:type="dxa"/>
            <w:vAlign w:val="bottom"/>
            <w:gridSpan w:val="2"/>
            <w:vMerge w:val="continue"/>
          </w:tcPr>
          <w:p>
            <w:pPr>
              <w:spacing w:after="0"/>
              <w:rPr>
                <w:sz w:val="9"/>
                <w:szCs w:val="9"/>
                <w:color w:val="auto"/>
              </w:rPr>
            </w:pPr>
          </w:p>
        </w:tc>
        <w:tc>
          <w:tcPr>
            <w:tcW w:w="24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1440" w:type="dxa"/>
            <w:vAlign w:val="bottom"/>
            <w:tcBorders>
              <w:right w:val="single" w:sz="8" w:color="auto"/>
            </w:tcBorders>
            <w:gridSpan w:val="2"/>
            <w:vMerge w:val="continue"/>
          </w:tcPr>
          <w:p>
            <w:pPr>
              <w:spacing w:after="0"/>
              <w:rPr>
                <w:sz w:val="8"/>
                <w:szCs w:val="8"/>
                <w:color w:val="auto"/>
              </w:rPr>
            </w:pPr>
          </w:p>
        </w:tc>
        <w:tc>
          <w:tcPr>
            <w:tcW w:w="370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120"/>
        </w:trPr>
        <w:tc>
          <w:tcPr>
            <w:tcW w:w="46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member of the executive committee. He also</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460" w:type="dxa"/>
            <w:vAlign w:val="bottom"/>
            <w:tcBorders>
              <w:left w:val="single" w:sz="8" w:color="auto"/>
            </w:tcBorders>
          </w:tcPr>
          <w:p>
            <w:pPr>
              <w:spacing w:after="0"/>
              <w:rPr>
                <w:sz w:val="5"/>
                <w:szCs w:val="5"/>
                <w:color w:val="auto"/>
              </w:rPr>
            </w:pPr>
          </w:p>
        </w:tc>
        <w:tc>
          <w:tcPr>
            <w:tcW w:w="1440" w:type="dxa"/>
            <w:vAlign w:val="bottom"/>
            <w:tcBorders>
              <w:right w:val="single" w:sz="8" w:color="auto"/>
            </w:tcBorders>
            <w:gridSpan w:val="2"/>
            <w:vMerge w:val="restart"/>
          </w:tcPr>
          <w:p>
            <w:pPr>
              <w:jc w:val="center"/>
              <w:ind w:right="460"/>
              <w:spacing w:after="0"/>
              <w:rPr>
                <w:sz w:val="20"/>
                <w:szCs w:val="20"/>
                <w:color w:val="auto"/>
              </w:rPr>
            </w:pPr>
            <w:r>
              <w:rPr>
                <w:rFonts w:ascii="Arial" w:cs="Arial" w:eastAsia="Arial" w:hAnsi="Arial"/>
                <w:sz w:val="16"/>
                <w:szCs w:val="16"/>
                <w:color w:val="auto"/>
              </w:rPr>
              <w:t>HSES (chair)</w:t>
            </w:r>
          </w:p>
        </w:tc>
        <w:tc>
          <w:tcPr>
            <w:tcW w:w="370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1440" w:type="dxa"/>
            <w:vAlign w:val="bottom"/>
            <w:tcBorders>
              <w:right w:val="single" w:sz="8" w:color="auto"/>
            </w:tcBorders>
            <w:gridSpan w:val="2"/>
            <w:vMerge w:val="continue"/>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held various positions of increasing responsibility</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with Tosco/Unocal from 1977 to 2001. He has</w:t>
            </w:r>
          </w:p>
        </w:tc>
        <w:tc>
          <w:tcPr>
            <w:tcW w:w="200" w:type="dxa"/>
            <w:vAlign w:val="bottom"/>
            <w:gridSpan w:val="2"/>
            <w:vMerge w:val="continue"/>
          </w:tcPr>
          <w:p>
            <w:pPr>
              <w:spacing w:after="0"/>
              <w:rPr>
                <w:sz w:val="4"/>
                <w:szCs w:val="4"/>
                <w:color w:val="auto"/>
              </w:rPr>
            </w:pPr>
          </w:p>
        </w:tc>
        <w:tc>
          <w:tcPr>
            <w:tcW w:w="242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460" w:type="dxa"/>
            <w:vAlign w:val="bottom"/>
            <w:tcBorders>
              <w:lef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370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3700" w:type="dxa"/>
            <w:vAlign w:val="bottom"/>
            <w:tcBorders>
              <w:right w:val="single" w:sz="8" w:color="auto"/>
            </w:tcBorders>
            <w:vMerge w:val="restart"/>
          </w:tcPr>
          <w:p>
            <w:pPr>
              <w:ind w:left="80"/>
              <w:spacing w:after="0" w:line="177" w:lineRule="exact"/>
              <w:rPr>
                <w:sz w:val="20"/>
                <w:szCs w:val="20"/>
                <w:color w:val="auto"/>
              </w:rPr>
            </w:pPr>
            <w:r>
              <w:rPr>
                <w:rFonts w:ascii="Arial" w:cs="Arial" w:eastAsia="Arial" w:hAnsi="Arial"/>
                <w:sz w:val="16"/>
                <w:szCs w:val="16"/>
                <w:color w:val="auto"/>
              </w:rPr>
              <w:t>held a number of industry leadership positions,</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46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7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46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including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460" w:type="dxa"/>
            <w:vAlign w:val="bottom"/>
            <w:tcBorders>
              <w:left w:val="single" w:sz="8" w:color="auto"/>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370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544195</wp:posOffset>
            </wp:positionV>
            <wp:extent cx="5212080" cy="18516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2080" cy="1851660"/>
                    </a:xfrm>
                    <a:prstGeom prst="rect">
                      <a:avLst/>
                    </a:prstGeom>
                    <a:noFill/>
                  </pic:spPr>
                </pic:pic>
              </a:graphicData>
            </a:graphic>
          </wp:anchor>
        </w:drawing>
      </w:r>
    </w:p>
    <w:p>
      <w:pPr>
        <w:sectPr>
          <w:pgSz w:w="11900" w:h="16838" w:orient="portrait"/>
          <w:cols w:equalWidth="0" w:num="1">
            <w:col w:w="9879"/>
          </w:cols>
          <w:pgMar w:left="580" w:top="97" w:right="1440" w:bottom="10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20" w:right="40"/>
        <w:spacing w:after="0" w:line="259" w:lineRule="auto"/>
        <w:rPr>
          <w:sz w:val="20"/>
          <w:szCs w:val="20"/>
          <w:color w:val="auto"/>
        </w:rPr>
      </w:pPr>
      <w:r>
        <w:rPr>
          <w:rFonts w:ascii="Arial" w:cs="Arial" w:eastAsia="Arial" w:hAnsi="Arial"/>
          <w:sz w:val="16"/>
          <w:szCs w:val="16"/>
          <w:color w:val="auto"/>
        </w:rPr>
        <w:t>with API and AFPM. He currently serves on the board of directors of PBF Logistics GP LLC. He also serves on the board of trustees of Duchesne Academy in Houston, where he chairs the finance committee.</w:t>
      </w:r>
    </w:p>
    <w:p>
      <w:pPr>
        <w:spacing w:after="0" w:line="1" w:lineRule="exact"/>
        <w:rPr>
          <w:sz w:val="20"/>
          <w:szCs w:val="20"/>
          <w:color w:val="auto"/>
        </w:rPr>
      </w:pPr>
    </w:p>
    <w:p>
      <w:pPr>
        <w:ind w:left="3420"/>
        <w:spacing w:after="0" w:line="255" w:lineRule="auto"/>
        <w:rPr>
          <w:sz w:val="20"/>
          <w:szCs w:val="20"/>
          <w:color w:val="auto"/>
        </w:rPr>
      </w:pPr>
      <w:r>
        <w:rPr>
          <w:rFonts w:ascii="Arial" w:cs="Arial" w:eastAsia="Arial" w:hAnsi="Arial"/>
          <w:sz w:val="16"/>
          <w:szCs w:val="16"/>
          <w:color w:val="auto"/>
        </w:rPr>
        <w:t>Mr. Ziemba received a BS in mechanical engineering from the University of Illinois — Champaign and an MBA from the University of Chicago. The Board has determined that Mr. Ziemba is “independent” under applicable Nasdaq and SEC rules. We believe that his operations, technical and project management expertise, coupled with his business sense and understanding of strategic positioning in the energy space, adds a diverse operating and downstream perspective to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70" w:hanging="170"/>
        <w:spacing w:after="0"/>
        <w:tabs>
          <w:tab w:leader="none" w:pos="17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Industry Experience</w:t>
      </w:r>
    </w:p>
    <w:p>
      <w:pPr>
        <w:spacing w:after="0" w:line="126" w:lineRule="exact"/>
        <w:rPr>
          <w:rFonts w:ascii="Arial" w:cs="Arial" w:eastAsia="Arial" w:hAnsi="Arial"/>
          <w:sz w:val="16"/>
          <w:szCs w:val="16"/>
          <w:color w:val="auto"/>
        </w:rPr>
      </w:pPr>
    </w:p>
    <w:p>
      <w:pPr>
        <w:ind w:left="170" w:hanging="170"/>
        <w:spacing w:after="0"/>
        <w:tabs>
          <w:tab w:leader="none" w:pos="17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International</w:t>
      </w:r>
    </w:p>
    <w:p>
      <w:pPr>
        <w:spacing w:after="0" w:line="113" w:lineRule="exact"/>
        <w:rPr>
          <w:rFonts w:ascii="Arial" w:cs="Arial" w:eastAsia="Arial" w:hAnsi="Arial"/>
          <w:sz w:val="16"/>
          <w:szCs w:val="16"/>
          <w:color w:val="auto"/>
        </w:rPr>
      </w:pPr>
    </w:p>
    <w:p>
      <w:pPr>
        <w:ind w:left="170" w:hanging="170"/>
        <w:spacing w:after="0"/>
        <w:tabs>
          <w:tab w:leader="none" w:pos="17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Energy Evolution</w:t>
      </w:r>
    </w:p>
    <w:p>
      <w:pPr>
        <w:spacing w:after="0" w:line="2171" w:lineRule="exact"/>
        <w:rPr>
          <w:sz w:val="20"/>
          <w:szCs w:val="20"/>
          <w:color w:val="auto"/>
        </w:rPr>
      </w:pPr>
    </w:p>
    <w:p>
      <w:pPr>
        <w:sectPr>
          <w:pgSz w:w="11900" w:h="16838" w:orient="portrait"/>
          <w:cols w:equalWidth="0" w:num="2">
            <w:col w:w="7280" w:space="230"/>
            <w:col w:w="2369"/>
          </w:cols>
          <w:pgMar w:left="580" w:top="97" w:right="1440" w:bottom="1013" w:gutter="0" w:footer="0" w:header="0"/>
          <w:type w:val="continuous"/>
        </w:sectPr>
      </w:pPr>
    </w:p>
    <w:p>
      <w:pPr>
        <w:spacing w:after="0" w:line="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Directors (Not Standing for Election at the PAA and PAGP Annual Meetings)</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Class III Directors (terms expire in 2024):</w:t>
      </w:r>
    </w:p>
    <w:p>
      <w:pPr>
        <w:spacing w:after="0" w:line="143" w:lineRule="exact"/>
        <w:rPr>
          <w:sz w:val="20"/>
          <w:szCs w:val="20"/>
          <w:color w:val="auto"/>
        </w:rPr>
      </w:pPr>
    </w:p>
    <w:tbl>
      <w:tblPr>
        <w:tblLayout w:type="fixed"/>
        <w:tblInd w:w="1270" w:type="dxa"/>
        <w:tblCellMar>
          <w:top w:w="0" w:type="dxa"/>
          <w:left w:w="0" w:type="dxa"/>
          <w:bottom w:w="0" w:type="dxa"/>
          <w:right w:w="0" w:type="dxa"/>
        </w:tblCellMar>
      </w:tblPr>
      <w:tr>
        <w:trPr>
          <w:trHeight w:val="230"/>
        </w:trPr>
        <w:tc>
          <w:tcPr>
            <w:tcW w:w="420" w:type="dxa"/>
            <w:vAlign w:val="bottom"/>
            <w:tcBorders>
              <w:top w:val="single" w:sz="8" w:color="auto"/>
              <w:left w:val="single" w:sz="8" w:color="auto"/>
            </w:tcBorders>
          </w:tcPr>
          <w:p>
            <w:pPr>
              <w:spacing w:after="0"/>
              <w:rPr>
                <w:sz w:val="19"/>
                <w:szCs w:val="19"/>
                <w:color w:val="auto"/>
              </w:rPr>
            </w:pPr>
          </w:p>
        </w:tc>
        <w:tc>
          <w:tcPr>
            <w:tcW w:w="1400" w:type="dxa"/>
            <w:vAlign w:val="bottom"/>
            <w:tcBorders>
              <w:top w:val="single" w:sz="8" w:color="auto"/>
              <w:right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7"/>
              </w:rPr>
              <w:t>GREG L.</w:t>
            </w:r>
          </w:p>
        </w:tc>
        <w:tc>
          <w:tcPr>
            <w:tcW w:w="34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Greg L. Armstrong, age 64, </w:t>
            </w:r>
            <w:r>
              <w:rPr>
                <w:rFonts w:ascii="Arial" w:cs="Arial" w:eastAsia="Arial" w:hAnsi="Arial"/>
                <w:sz w:val="16"/>
                <w:szCs w:val="16"/>
                <w:color w:val="auto"/>
              </w:rPr>
              <w:t>has served as a</w:t>
            </w:r>
          </w:p>
        </w:tc>
        <w:tc>
          <w:tcPr>
            <w:tcW w:w="8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w w:val="98"/>
              </w:rPr>
              <w:t>Board Qualifications:</w:t>
            </w:r>
          </w:p>
        </w:tc>
        <w:tc>
          <w:tcPr>
            <w:tcW w:w="144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9"/>
              </w:rPr>
              <w:t>ARMSTRONG</w:t>
            </w: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of PAGP GP since 2013. He has</w:t>
            </w:r>
          </w:p>
        </w:tc>
        <w:tc>
          <w:tcPr>
            <w:tcW w:w="8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8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34"/>
        </w:trPr>
        <w:tc>
          <w:tcPr>
            <w:tcW w:w="18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Not Independent</w:t>
            </w:r>
          </w:p>
        </w:tc>
        <w:tc>
          <w:tcPr>
            <w:tcW w:w="3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also served as Senior Advisor to the CEO</w:t>
            </w: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28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820" w:type="dxa"/>
            <w:vAlign w:val="bottom"/>
            <w:tcBorders>
              <w:left w:val="single" w:sz="8" w:color="auto"/>
              <w:right w:val="single" w:sz="8" w:color="auto"/>
            </w:tcBorders>
            <w:gridSpan w:val="3"/>
            <w:vMerge w:val="continue"/>
          </w:tcPr>
          <w:p>
            <w:pPr>
              <w:spacing w:after="0"/>
              <w:rPr>
                <w:sz w:val="5"/>
                <w:szCs w:val="5"/>
                <w:color w:val="auto"/>
              </w:rPr>
            </w:pPr>
          </w:p>
        </w:tc>
        <w:tc>
          <w:tcPr>
            <w:tcW w:w="340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820" w:type="dxa"/>
            <w:vAlign w:val="bottom"/>
            <w:tcBorders>
              <w:left w:val="single" w:sz="8" w:color="auto"/>
              <w:right w:val="single" w:sz="8" w:color="auto"/>
            </w:tcBorders>
            <w:gridSpan w:val="3"/>
            <w:vMerge w:val="continue"/>
          </w:tcPr>
          <w:p>
            <w:pPr>
              <w:spacing w:after="0"/>
              <w:rPr>
                <w:sz w:val="11"/>
                <w:szCs w:val="11"/>
                <w:color w:val="auto"/>
              </w:rPr>
            </w:pPr>
          </w:p>
        </w:tc>
        <w:tc>
          <w:tcPr>
            <w:tcW w:w="3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since January 1, 2020. Mr. Armstrong served</w:t>
            </w:r>
          </w:p>
        </w:tc>
        <w:tc>
          <w:tcPr>
            <w:tcW w:w="8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8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75"/>
        </w:trPr>
        <w:tc>
          <w:tcPr>
            <w:tcW w:w="18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4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282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820" w:type="dxa"/>
            <w:vAlign w:val="bottom"/>
            <w:tcBorders>
              <w:left w:val="single" w:sz="8" w:color="auto"/>
              <w:right w:val="single" w:sz="8" w:color="auto"/>
            </w:tcBorders>
            <w:gridSpan w:val="3"/>
            <w:vMerge w:val="continue"/>
          </w:tcPr>
          <w:p>
            <w:pPr>
              <w:spacing w:after="0"/>
              <w:rPr>
                <w:sz w:val="15"/>
                <w:szCs w:val="15"/>
                <w:color w:val="auto"/>
              </w:rPr>
            </w:pPr>
          </w:p>
        </w:tc>
        <w:tc>
          <w:tcPr>
            <w:tcW w:w="34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as Chairman of the Board of PAGP GP from</w:t>
            </w:r>
          </w:p>
        </w:tc>
        <w:tc>
          <w:tcPr>
            <w:tcW w:w="8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8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140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b w:val="1"/>
                <w:bCs w:val="1"/>
                <w:i w:val="1"/>
                <w:iCs w:val="1"/>
                <w:color w:val="auto"/>
              </w:rPr>
              <w:t>since 1998</w:t>
            </w: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July 2013 through December 31, 2019 and</w:t>
            </w: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282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820" w:type="dxa"/>
            <w:vAlign w:val="bottom"/>
            <w:tcBorders>
              <w:left w:val="single" w:sz="8" w:color="auto"/>
              <w:right w:val="single" w:sz="8" w:color="auto"/>
            </w:tcBorders>
            <w:gridSpan w:val="3"/>
            <w:vMerge w:val="restart"/>
          </w:tcPr>
          <w:p>
            <w:pPr>
              <w:jc w:val="right"/>
              <w:ind w:right="220"/>
              <w:spacing w:after="0"/>
              <w:rPr>
                <w:sz w:val="20"/>
                <w:szCs w:val="20"/>
                <w:color w:val="auto"/>
              </w:rPr>
            </w:pPr>
            <w:r>
              <w:rPr>
                <w:rFonts w:ascii="Arial" w:cs="Arial" w:eastAsia="Arial" w:hAnsi="Arial"/>
                <w:sz w:val="16"/>
                <w:szCs w:val="16"/>
                <w:b w:val="1"/>
                <w:bCs w:val="1"/>
                <w:i w:val="1"/>
                <w:iCs w:val="1"/>
                <w:color w:val="auto"/>
              </w:rPr>
              <w:t>Former Chairman</w:t>
            </w: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as Chief Executive Officer of PAGP GP from</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37"/>
        </w:trPr>
        <w:tc>
          <w:tcPr>
            <w:tcW w:w="1820" w:type="dxa"/>
            <w:vAlign w:val="bottom"/>
            <w:tcBorders>
              <w:left w:val="single" w:sz="8" w:color="auto"/>
              <w:right w:val="single" w:sz="8" w:color="auto"/>
            </w:tcBorders>
            <w:gridSpan w:val="3"/>
            <w:vMerge w:val="continue"/>
          </w:tcPr>
          <w:p>
            <w:pPr>
              <w:spacing w:after="0"/>
              <w:rPr>
                <w:sz w:val="11"/>
                <w:szCs w:val="11"/>
                <w:color w:val="auto"/>
              </w:rPr>
            </w:pPr>
          </w:p>
        </w:tc>
        <w:tc>
          <w:tcPr>
            <w:tcW w:w="3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July 2013 until his retirement from such</w:t>
            </w:r>
          </w:p>
        </w:tc>
        <w:tc>
          <w:tcPr>
            <w:tcW w:w="8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8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Legal/Governance/​Government</w:t>
            </w:r>
          </w:p>
        </w:tc>
        <w:tc>
          <w:tcPr>
            <w:tcW w:w="0" w:type="dxa"/>
            <w:vAlign w:val="bottom"/>
          </w:tcPr>
          <w:p>
            <w:pPr>
              <w:spacing w:after="0"/>
              <w:rPr>
                <w:sz w:val="1"/>
                <w:szCs w:val="1"/>
                <w:color w:val="auto"/>
              </w:rPr>
            </w:pPr>
          </w:p>
        </w:tc>
      </w:tr>
      <w:tr>
        <w:trPr>
          <w:trHeight w:val="52"/>
        </w:trPr>
        <w:tc>
          <w:tcPr>
            <w:tcW w:w="420" w:type="dxa"/>
            <w:vAlign w:val="bottom"/>
            <w:tcBorders>
              <w:left w:val="single" w:sz="8" w:color="auto"/>
            </w:tcBorders>
          </w:tcPr>
          <w:p>
            <w:pPr>
              <w:spacing w:after="0"/>
              <w:rPr>
                <w:sz w:val="4"/>
                <w:szCs w:val="4"/>
                <w:color w:val="auto"/>
              </w:rPr>
            </w:pPr>
          </w:p>
        </w:tc>
        <w:tc>
          <w:tcPr>
            <w:tcW w:w="1400" w:type="dxa"/>
            <w:vAlign w:val="bottom"/>
            <w:tcBorders>
              <w:right w:val="single" w:sz="8" w:color="auto"/>
            </w:tcBorders>
            <w:gridSpan w:val="2"/>
            <w:vMerge w:val="restart"/>
          </w:tcPr>
          <w:p>
            <w:pPr>
              <w:jc w:val="center"/>
              <w:ind w:right="400"/>
              <w:spacing w:after="0"/>
              <w:rPr>
                <w:sz w:val="20"/>
                <w:szCs w:val="20"/>
                <w:color w:val="auto"/>
              </w:rPr>
            </w:pPr>
            <w:r>
              <w:rPr>
                <w:rFonts w:ascii="Arial" w:cs="Arial" w:eastAsia="Arial" w:hAnsi="Arial"/>
                <w:sz w:val="16"/>
                <w:szCs w:val="16"/>
                <w:b w:val="1"/>
                <w:bCs w:val="1"/>
                <w:i w:val="1"/>
                <w:iCs w:val="1"/>
                <w:color w:val="auto"/>
              </w:rPr>
              <w:t>and CEO</w:t>
            </w:r>
          </w:p>
        </w:tc>
        <w:tc>
          <w:tcPr>
            <w:tcW w:w="340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82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420" w:type="dxa"/>
            <w:vAlign w:val="bottom"/>
            <w:tcBorders>
              <w:left w:val="single" w:sz="8" w:color="auto"/>
            </w:tcBorders>
          </w:tcPr>
          <w:p>
            <w:pPr>
              <w:spacing w:after="0"/>
              <w:rPr>
                <w:sz w:val="14"/>
                <w:szCs w:val="14"/>
                <w:color w:val="auto"/>
              </w:rPr>
            </w:pPr>
          </w:p>
        </w:tc>
        <w:tc>
          <w:tcPr>
            <w:tcW w:w="1400" w:type="dxa"/>
            <w:vAlign w:val="bottom"/>
            <w:tcBorders>
              <w:right w:val="single" w:sz="8" w:color="auto"/>
            </w:tcBorders>
            <w:gridSpan w:val="2"/>
            <w:vMerge w:val="continue"/>
          </w:tcPr>
          <w:p>
            <w:pPr>
              <w:spacing w:after="0"/>
              <w:rPr>
                <w:sz w:val="14"/>
                <w:szCs w:val="14"/>
                <w:color w:val="auto"/>
              </w:rPr>
            </w:pPr>
          </w:p>
        </w:tc>
        <w:tc>
          <w:tcPr>
            <w:tcW w:w="340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position in October 2018. He also served as</w:t>
            </w: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28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gridSpan w:val="2"/>
            <w:vMerge w:val="restart"/>
          </w:tcPr>
          <w:p>
            <w:pPr>
              <w:jc w:val="center"/>
              <w:ind w:right="400"/>
              <w:spacing w:after="0"/>
              <w:rPr>
                <w:sz w:val="20"/>
                <w:szCs w:val="20"/>
                <w:color w:val="auto"/>
              </w:rPr>
            </w:pPr>
            <w:r>
              <w:rPr>
                <w:rFonts w:ascii="Arial" w:cs="Arial" w:eastAsia="Arial" w:hAnsi="Arial"/>
                <w:sz w:val="16"/>
                <w:szCs w:val="16"/>
                <w:b w:val="1"/>
                <w:bCs w:val="1"/>
                <w:color w:val="auto"/>
                <w:w w:val="99"/>
              </w:rPr>
              <w:t>Committees:</w:t>
            </w:r>
          </w:p>
        </w:tc>
        <w:tc>
          <w:tcPr>
            <w:tcW w:w="3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Chief Executive Officer of GP LLC from</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35"/>
        </w:trPr>
        <w:tc>
          <w:tcPr>
            <w:tcW w:w="420" w:type="dxa"/>
            <w:vAlign w:val="bottom"/>
            <w:tcBorders>
              <w:left w:val="single" w:sz="8" w:color="auto"/>
            </w:tcBorders>
          </w:tcPr>
          <w:p>
            <w:pPr>
              <w:spacing w:after="0"/>
              <w:rPr>
                <w:sz w:val="3"/>
                <w:szCs w:val="3"/>
                <w:color w:val="auto"/>
              </w:rPr>
            </w:pPr>
          </w:p>
        </w:tc>
        <w:tc>
          <w:tcPr>
            <w:tcW w:w="1400" w:type="dxa"/>
            <w:vAlign w:val="bottom"/>
            <w:tcBorders>
              <w:right w:val="single" w:sz="8" w:color="auto"/>
            </w:tcBorders>
            <w:gridSpan w:val="2"/>
            <w:vMerge w:val="continue"/>
          </w:tcPr>
          <w:p>
            <w:pPr>
              <w:spacing w:after="0"/>
              <w:rPr>
                <w:sz w:val="3"/>
                <w:szCs w:val="3"/>
                <w:color w:val="auto"/>
              </w:rPr>
            </w:pPr>
          </w:p>
        </w:tc>
        <w:tc>
          <w:tcPr>
            <w:tcW w:w="340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420" w:type="dxa"/>
            <w:vAlign w:val="bottom"/>
            <w:tcBorders>
              <w:left w:val="single" w:sz="8" w:color="auto"/>
            </w:tcBorders>
          </w:tcPr>
          <w:p>
            <w:pPr>
              <w:spacing w:after="0"/>
              <w:rPr>
                <w:sz w:val="15"/>
                <w:szCs w:val="15"/>
                <w:color w:val="auto"/>
              </w:rPr>
            </w:pP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rPr>
              <w:t>None</w:t>
            </w:r>
          </w:p>
        </w:tc>
        <w:tc>
          <w:tcPr>
            <w:tcW w:w="480" w:type="dxa"/>
            <w:vAlign w:val="bottom"/>
            <w:tcBorders>
              <w:right w:val="single" w:sz="8" w:color="auto"/>
            </w:tcBorders>
            <w:vMerge w:val="restart"/>
          </w:tcPr>
          <w:p>
            <w:pPr>
              <w:spacing w:after="0"/>
              <w:rPr>
                <w:sz w:val="15"/>
                <w:szCs w:val="15"/>
                <w:color w:val="auto"/>
              </w:rPr>
            </w:pPr>
          </w:p>
        </w:tc>
        <w:tc>
          <w:tcPr>
            <w:tcW w:w="34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PAA’s formation in 1998 until his retirement</w:t>
            </w:r>
          </w:p>
        </w:tc>
        <w:tc>
          <w:tcPr>
            <w:tcW w:w="8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8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Operations/​Engineering/​Construction</w:t>
            </w:r>
          </w:p>
        </w:tc>
        <w:tc>
          <w:tcPr>
            <w:tcW w:w="0" w:type="dxa"/>
            <w:vAlign w:val="bottom"/>
          </w:tcPr>
          <w:p>
            <w:pPr>
              <w:spacing w:after="0"/>
              <w:rPr>
                <w:sz w:val="1"/>
                <w:szCs w:val="1"/>
                <w:color w:val="auto"/>
              </w:rPr>
            </w:pPr>
          </w:p>
        </w:tc>
      </w:tr>
      <w:tr>
        <w:trPr>
          <w:trHeight w:val="52"/>
        </w:trPr>
        <w:tc>
          <w:tcPr>
            <w:tcW w:w="420" w:type="dxa"/>
            <w:vAlign w:val="bottom"/>
            <w:tcBorders>
              <w:left w:val="single" w:sz="8" w:color="auto"/>
            </w:tcBorders>
          </w:tcPr>
          <w:p>
            <w:pPr>
              <w:spacing w:after="0"/>
              <w:rPr>
                <w:sz w:val="4"/>
                <w:szCs w:val="4"/>
                <w:color w:val="auto"/>
              </w:rPr>
            </w:pPr>
          </w:p>
        </w:tc>
        <w:tc>
          <w:tcPr>
            <w:tcW w:w="920" w:type="dxa"/>
            <w:vAlign w:val="bottom"/>
            <w:vMerge w:val="continue"/>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340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from that position in October 2018. He</w:t>
            </w: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82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420" w:type="dxa"/>
            <w:vAlign w:val="bottom"/>
            <w:tcBorders>
              <w:left w:val="single" w:sz="8" w:color="auto"/>
            </w:tcBorders>
          </w:tcPr>
          <w:p>
            <w:pPr>
              <w:spacing w:after="0"/>
              <w:rPr>
                <w:sz w:val="10"/>
                <w:szCs w:val="10"/>
                <w:color w:val="auto"/>
              </w:rPr>
            </w:pPr>
          </w:p>
        </w:tc>
        <w:tc>
          <w:tcPr>
            <w:tcW w:w="920" w:type="dxa"/>
            <w:vAlign w:val="bottom"/>
            <w:vMerge w:val="continue"/>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34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8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served as a director of PAA’s general partner</w:t>
            </w: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282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or former general partner from PAA’s</w:t>
            </w:r>
          </w:p>
        </w:tc>
        <w:tc>
          <w:tcPr>
            <w:tcW w:w="80" w:type="dxa"/>
            <w:vAlign w:val="bottom"/>
          </w:tcPr>
          <w:p>
            <w:pPr>
              <w:spacing w:after="0"/>
              <w:rPr>
                <w:sz w:val="17"/>
                <w:szCs w:val="17"/>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8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20"/>
        </w:trPr>
        <w:tc>
          <w:tcPr>
            <w:tcW w:w="42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3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formation until November 2016 when the</w:t>
            </w:r>
          </w:p>
        </w:tc>
        <w:tc>
          <w:tcPr>
            <w:tcW w:w="8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28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42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340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of PAGP GP assumed responsibility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for PAA in addition to PAGP and Plains AAP.</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 addition, he was President, Chief</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Executive Officer and director of Plains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Resources Inc. from 1992 to May 2001 and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served in various roles of increasing</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responsibility from 1981 to 1992.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Armstrong served as a director of the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Federal Reserve Bank of Dallas from 2015 to</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2021, retiring as Chair at the end of 2021.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Armstrong also serves as a director of</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Memorial Hermann Health System and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NOV, Inc. Mr. Armstrong is also a member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advisory board of the Maguire Energy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Institute at the Cox School of Business at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Southern Methodist University, the Baker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Institute and Veriten, and is a past Chairman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the National Petroleum Council.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Armstrong’s experience with PAA since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its formation, including as former Chairman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CEO, and his long-time involvement 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energy industry, provide the Board with</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invaluable insight and perspective.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42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2"/>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8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7"/>
              </w:rPr>
              <w:t>JOHN T. RAYMOND</w:t>
            </w: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John T. Raymond, age 52, </w:t>
            </w:r>
            <w:r>
              <w:rPr>
                <w:rFonts w:ascii="Arial" w:cs="Arial" w:eastAsia="Arial" w:hAnsi="Arial"/>
                <w:sz w:val="16"/>
                <w:szCs w:val="16"/>
                <w:color w:val="auto"/>
              </w:rPr>
              <w:t>has served as a</w:t>
            </w:r>
          </w:p>
        </w:tc>
        <w:tc>
          <w:tcPr>
            <w:tcW w:w="80" w:type="dxa"/>
            <w:vAlign w:val="bottom"/>
          </w:tcPr>
          <w:p>
            <w:pPr>
              <w:spacing w:after="0"/>
              <w:rPr>
                <w:sz w:val="18"/>
                <w:szCs w:val="18"/>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8"/>
              </w:rPr>
              <w:t>Board Qualifications:</w:t>
            </w: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20" w:type="dxa"/>
            <w:vAlign w:val="bottom"/>
            <w:tcBorders>
              <w:left w:val="single" w:sz="8" w:color="auto"/>
            </w:tcBorders>
          </w:tcPr>
          <w:p>
            <w:pPr>
              <w:spacing w:after="0"/>
              <w:rPr>
                <w:sz w:val="16"/>
                <w:szCs w:val="16"/>
                <w:color w:val="auto"/>
              </w:rPr>
            </w:pPr>
          </w:p>
        </w:tc>
        <w:tc>
          <w:tcPr>
            <w:tcW w:w="1400" w:type="dxa"/>
            <w:vAlign w:val="bottom"/>
            <w:tcBorders>
              <w:right w:val="single" w:sz="8" w:color="auto"/>
            </w:tcBorders>
            <w:gridSpan w:val="2"/>
            <w:vMerge w:val="restart"/>
          </w:tcPr>
          <w:p>
            <w:pPr>
              <w:jc w:val="center"/>
              <w:ind w:right="400"/>
              <w:spacing w:after="0"/>
              <w:rPr>
                <w:sz w:val="20"/>
                <w:szCs w:val="20"/>
                <w:color w:val="auto"/>
              </w:rPr>
            </w:pPr>
            <w:r>
              <w:rPr>
                <w:rFonts w:ascii="Arial" w:cs="Arial" w:eastAsia="Arial" w:hAnsi="Arial"/>
                <w:sz w:val="16"/>
                <w:szCs w:val="16"/>
                <w:b w:val="1"/>
                <w:bCs w:val="1"/>
                <w:color w:val="auto"/>
              </w:rPr>
              <w:t>Independent</w:t>
            </w: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of PAGP GP since October 2013. He</w:t>
            </w:r>
          </w:p>
        </w:tc>
        <w:tc>
          <w:tcPr>
            <w:tcW w:w="8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8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42"/>
        </w:trPr>
        <w:tc>
          <w:tcPr>
            <w:tcW w:w="420" w:type="dxa"/>
            <w:vAlign w:val="bottom"/>
            <w:tcBorders>
              <w:left w:val="single" w:sz="8" w:color="auto"/>
            </w:tcBorders>
          </w:tcPr>
          <w:p>
            <w:pPr>
              <w:spacing w:after="0"/>
              <w:rPr>
                <w:sz w:val="12"/>
                <w:szCs w:val="12"/>
                <w:color w:val="auto"/>
              </w:rPr>
            </w:pPr>
          </w:p>
        </w:tc>
        <w:tc>
          <w:tcPr>
            <w:tcW w:w="1400" w:type="dxa"/>
            <w:vAlign w:val="bottom"/>
            <w:tcBorders>
              <w:right w:val="single" w:sz="8" w:color="auto"/>
            </w:tcBorders>
            <w:gridSpan w:val="2"/>
            <w:vMerge w:val="continue"/>
          </w:tcPr>
          <w:p>
            <w:pPr>
              <w:spacing w:after="0"/>
              <w:rPr>
                <w:sz w:val="12"/>
                <w:szCs w:val="12"/>
                <w:color w:val="auto"/>
              </w:rPr>
            </w:pPr>
          </w:p>
        </w:tc>
        <w:tc>
          <w:tcPr>
            <w:tcW w:w="3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served as a director of PAA’s general partner</w:t>
            </w: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28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42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340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December 2010 until November 2016.</w:t>
            </w:r>
          </w:p>
        </w:tc>
        <w:tc>
          <w:tcPr>
            <w:tcW w:w="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28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76"/>
        </w:trPr>
        <w:tc>
          <w:tcPr>
            <w:tcW w:w="420" w:type="dxa"/>
            <w:vAlign w:val="bottom"/>
            <w:tcBorders>
              <w:left w:val="single" w:sz="8" w:color="auto"/>
            </w:tcBorders>
          </w:tcPr>
          <w:p>
            <w:pPr>
              <w:spacing w:after="0"/>
              <w:rPr>
                <w:sz w:val="15"/>
                <w:szCs w:val="15"/>
                <w:color w:val="auto"/>
              </w:rPr>
            </w:pPr>
          </w:p>
        </w:tc>
        <w:tc>
          <w:tcPr>
            <w:tcW w:w="1400" w:type="dxa"/>
            <w:vAlign w:val="bottom"/>
            <w:tcBorders>
              <w:right w:val="single" w:sz="8" w:color="auto"/>
            </w:tcBorders>
            <w:gridSpan w:val="2"/>
          </w:tcPr>
          <w:p>
            <w:pPr>
              <w:jc w:val="center"/>
              <w:ind w:right="420"/>
              <w:spacing w:after="0" w:line="175" w:lineRule="exact"/>
              <w:rPr>
                <w:sz w:val="20"/>
                <w:szCs w:val="20"/>
                <w:color w:val="auto"/>
              </w:rPr>
            </w:pPr>
            <w:r>
              <w:rPr>
                <w:rFonts w:ascii="Arial" w:cs="Arial" w:eastAsia="Arial" w:hAnsi="Arial"/>
                <w:sz w:val="16"/>
                <w:szCs w:val="16"/>
                <w:b w:val="1"/>
                <w:bCs w:val="1"/>
                <w:i w:val="1"/>
                <w:iCs w:val="1"/>
                <w:color w:val="auto"/>
              </w:rPr>
              <w:t>since 2010</w:t>
            </w:r>
          </w:p>
        </w:tc>
        <w:tc>
          <w:tcPr>
            <w:tcW w:w="34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Raymond is the founder and majority</w:t>
            </w:r>
          </w:p>
        </w:tc>
        <w:tc>
          <w:tcPr>
            <w:tcW w:w="8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8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62"/>
        </w:trPr>
        <w:tc>
          <w:tcPr>
            <w:tcW w:w="420" w:type="dxa"/>
            <w:vAlign w:val="bottom"/>
            <w:tcBorders>
              <w:left w:val="single" w:sz="8" w:color="auto"/>
            </w:tcBorders>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480" w:type="dxa"/>
            <w:vAlign w:val="bottom"/>
            <w:tcBorders>
              <w:right w:val="single" w:sz="8" w:color="auto"/>
            </w:tcBorders>
            <w:vMerge w:val="restart"/>
          </w:tcPr>
          <w:p>
            <w:pPr>
              <w:jc w:val="right"/>
              <w:ind w:right="400"/>
              <w:spacing w:after="0"/>
              <w:rPr>
                <w:sz w:val="20"/>
                <w:szCs w:val="20"/>
                <w:color w:val="auto"/>
              </w:rPr>
            </w:pPr>
            <w:r>
              <w:rPr>
                <w:rFonts w:ascii="Arial" w:cs="Arial" w:eastAsia="Arial" w:hAnsi="Arial"/>
                <w:sz w:val="8"/>
                <w:szCs w:val="8"/>
                <w:b w:val="1"/>
                <w:bCs w:val="1"/>
                <w:color w:val="auto"/>
                <w:w w:val="73"/>
              </w:rPr>
              <w:t>:</w:t>
            </w:r>
          </w:p>
        </w:tc>
        <w:tc>
          <w:tcPr>
            <w:tcW w:w="3400" w:type="dxa"/>
            <w:vAlign w:val="bottom"/>
            <w:tcBorders>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owner of EMG, which is the management</w:t>
            </w: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28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20" w:type="dxa"/>
            <w:vAlign w:val="bottom"/>
            <w:tcBorders>
              <w:left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80" w:type="dxa"/>
            <w:vAlign w:val="bottom"/>
            <w:tcBorders>
              <w:right w:val="single" w:sz="8" w:color="auto"/>
            </w:tcBorders>
            <w:vMerge w:val="continue"/>
          </w:tcPr>
          <w:p>
            <w:pPr>
              <w:spacing w:after="0"/>
              <w:rPr>
                <w:sz w:val="12"/>
                <w:szCs w:val="12"/>
                <w:color w:val="auto"/>
              </w:rPr>
            </w:pPr>
          </w:p>
        </w:tc>
        <w:tc>
          <w:tcPr>
            <w:tcW w:w="3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company for a series of specialized private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60"/>
        </w:trPr>
        <w:tc>
          <w:tcPr>
            <w:tcW w:w="42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480" w:type="dxa"/>
            <w:vAlign w:val="bottom"/>
            <w:tcBorders>
              <w:right w:val="single" w:sz="8" w:color="auto"/>
            </w:tcBorders>
            <w:vMerge w:val="continue"/>
          </w:tcPr>
          <w:p>
            <w:pPr>
              <w:spacing w:after="0"/>
              <w:rPr>
                <w:sz w:val="5"/>
                <w:szCs w:val="5"/>
                <w:color w:val="auto"/>
              </w:rPr>
            </w:pPr>
          </w:p>
        </w:tc>
        <w:tc>
          <w:tcPr>
            <w:tcW w:w="340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8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rPr>
              <w:t>Compensation (chair)</w:t>
            </w: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equity funds. EMG was founded in 2006 and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focuses on investing across various facets of</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42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340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4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013" w:gutter="0" w:footer="0" w:header="0"/>
          <w:type w:val="continuous"/>
        </w:sectPr>
      </w:pPr>
    </w:p>
    <w:p>
      <w:pPr>
        <w:spacing w:after="0" w:line="1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013"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28"/>
        </w:trPr>
        <w:tc>
          <w:tcPr>
            <w:tcW w:w="420" w:type="dxa"/>
            <w:vAlign w:val="bottom"/>
            <w:tcBorders>
              <w:top w:val="single" w:sz="8" w:color="auto"/>
              <w:left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40" w:type="dxa"/>
            <w:vAlign w:val="bottom"/>
            <w:tcBorders>
              <w:top w:val="single" w:sz="8" w:color="auto"/>
              <w:right w:val="single" w:sz="8" w:color="auto"/>
            </w:tcBorders>
            <w:gridSpan w:val="3"/>
          </w:tcPr>
          <w:p>
            <w:pPr>
              <w:jc w:val="center"/>
              <w:ind w:right="400"/>
              <w:spacing w:after="0"/>
              <w:rPr>
                <w:sz w:val="20"/>
                <w:szCs w:val="20"/>
                <w:color w:val="auto"/>
              </w:rPr>
            </w:pPr>
            <w:r>
              <w:rPr>
                <w:rFonts w:ascii="Arial" w:cs="Arial" w:eastAsia="Arial" w:hAnsi="Arial"/>
                <w:sz w:val="16"/>
                <w:szCs w:val="16"/>
                <w:color w:val="auto"/>
              </w:rPr>
              <w:t>​</w:t>
            </w:r>
          </w:p>
        </w:tc>
        <w:tc>
          <w:tcPr>
            <w:tcW w:w="370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global natural resource industry including the</w:t>
            </w:r>
          </w:p>
        </w:tc>
        <w:tc>
          <w:tcPr>
            <w:tcW w:w="2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top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Legal/Governance/​Government</w:t>
            </w:r>
          </w:p>
        </w:tc>
        <w:tc>
          <w:tcPr>
            <w:tcW w:w="0" w:type="dxa"/>
            <w:vAlign w:val="bottom"/>
          </w:tcPr>
          <w:p>
            <w:pPr>
              <w:spacing w:after="0"/>
              <w:rPr>
                <w:sz w:val="1"/>
                <w:szCs w:val="1"/>
                <w:color w:val="auto"/>
              </w:rPr>
            </w:pPr>
          </w:p>
        </w:tc>
      </w:tr>
      <w:tr>
        <w:trPr>
          <w:trHeight w:val="82"/>
        </w:trPr>
        <w:tc>
          <w:tcPr>
            <w:tcW w:w="42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3700" w:type="dxa"/>
            <w:vAlign w:val="bottom"/>
            <w:tcBorders>
              <w:right w:val="single" w:sz="8" w:color="auto"/>
            </w:tcBorders>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24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upstream and midstream segments of the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energy complex. As of September 30, 2022,</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161"/>
        </w:trPr>
        <w:tc>
          <w:tcPr>
            <w:tcW w:w="420" w:type="dxa"/>
            <w:vAlign w:val="bottom"/>
            <w:tcBorders>
              <w:lef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EMG had approximately $14 billion of assets</w:t>
            </w:r>
          </w:p>
        </w:tc>
        <w:tc>
          <w:tcPr>
            <w:tcW w:w="200" w:type="dxa"/>
            <w:vAlign w:val="bottom"/>
            <w:gridSpan w:val="2"/>
            <w:vMerge w:val="continue"/>
          </w:tcPr>
          <w:p>
            <w:pPr>
              <w:spacing w:after="0"/>
              <w:rPr>
                <w:sz w:val="13"/>
                <w:szCs w:val="13"/>
                <w:color w:val="auto"/>
              </w:rPr>
            </w:pPr>
          </w:p>
        </w:tc>
        <w:tc>
          <w:tcPr>
            <w:tcW w:w="242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420" w:type="dxa"/>
            <w:vAlign w:val="bottom"/>
            <w:tcBorders>
              <w:lef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right w:val="single" w:sz="8" w:color="auto"/>
            </w:tcBorders>
          </w:tcPr>
          <w:p>
            <w:pPr>
              <w:spacing w:after="0"/>
              <w:rPr>
                <w:sz w:val="3"/>
                <w:szCs w:val="3"/>
                <w:color w:val="auto"/>
              </w:rPr>
            </w:pPr>
          </w:p>
        </w:tc>
        <w:tc>
          <w:tcPr>
            <w:tcW w:w="370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under management and approximately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$12 billion in commitments have been allocated</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07"/>
        </w:trPr>
        <w:tc>
          <w:tcPr>
            <w:tcW w:w="420" w:type="dxa"/>
            <w:vAlign w:val="bottom"/>
            <w:tcBorders>
              <w:lef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across the energy sector since inception. From</w:t>
            </w:r>
          </w:p>
        </w:tc>
        <w:tc>
          <w:tcPr>
            <w:tcW w:w="200" w:type="dxa"/>
            <w:vAlign w:val="bottom"/>
            <w:gridSpan w:val="2"/>
            <w:vMerge w:val="continue"/>
          </w:tcPr>
          <w:p>
            <w:pPr>
              <w:spacing w:after="0"/>
              <w:rPr>
                <w:sz w:val="9"/>
                <w:szCs w:val="9"/>
                <w:color w:val="auto"/>
              </w:rPr>
            </w:pPr>
          </w:p>
        </w:tc>
        <w:tc>
          <w:tcPr>
            <w:tcW w:w="24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420" w:type="dxa"/>
            <w:vAlign w:val="bottom"/>
            <w:tcBorders>
              <w:lef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3700" w:type="dxa"/>
            <w:vAlign w:val="bottom"/>
            <w:tcBorders>
              <w:right w:val="single" w:sz="8" w:color="auto"/>
            </w:tcBorders>
            <w:vMerge w:val="continue"/>
          </w:tcPr>
          <w:p>
            <w:pPr>
              <w:spacing w:after="0"/>
              <w:rPr>
                <w:sz w:val="8"/>
                <w:szCs w:val="8"/>
                <w:color w:val="auto"/>
              </w:rPr>
            </w:pP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1998 until founding EMG, Mr. Raymond held</w:t>
            </w:r>
          </w:p>
        </w:tc>
        <w:tc>
          <w:tcPr>
            <w:tcW w:w="200" w:type="dxa"/>
            <w:vAlign w:val="bottom"/>
            <w:gridSpan w:val="2"/>
            <w:vMerge w:val="continue"/>
          </w:tcPr>
          <w:p>
            <w:pPr>
              <w:spacing w:after="0"/>
              <w:rPr>
                <w:sz w:val="16"/>
                <w:szCs w:val="16"/>
                <w:color w:val="auto"/>
              </w:rPr>
            </w:pPr>
          </w:p>
        </w:tc>
        <w:tc>
          <w:tcPr>
            <w:tcW w:w="242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various executive leadership positions with</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07"/>
        </w:trPr>
        <w:tc>
          <w:tcPr>
            <w:tcW w:w="420" w:type="dxa"/>
            <w:vAlign w:val="bottom"/>
            <w:tcBorders>
              <w:lef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several energy companies, including Plains</w:t>
            </w:r>
          </w:p>
        </w:tc>
        <w:tc>
          <w:tcPr>
            <w:tcW w:w="200" w:type="dxa"/>
            <w:vAlign w:val="bottom"/>
            <w:gridSpan w:val="2"/>
            <w:vMerge w:val="continue"/>
          </w:tcPr>
          <w:p>
            <w:pPr>
              <w:spacing w:after="0"/>
              <w:rPr>
                <w:sz w:val="9"/>
                <w:szCs w:val="9"/>
                <w:color w:val="auto"/>
              </w:rPr>
            </w:pPr>
          </w:p>
        </w:tc>
        <w:tc>
          <w:tcPr>
            <w:tcW w:w="24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2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370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Resources Inc. (the publicly traded predecessor</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Energy Evolution</w:t>
            </w: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company to Vulcan Energy), Plains Exploration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Production Company, Kinder Morgan, Inc.</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Ocean Energy, Inc. From 1992 to 1998, he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was a Vice President with Howard Weil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Labouisse Friedrichs, Inc. Mr. Raymond has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been a direct or indirect owner of PAA’s general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partner since 2001 and served on the board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PAA’s general partner from 2001 to 2005. He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serves on numerous other private company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boards and currently serves on the board of NGL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Energy Holdings LLC, the general partner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NGL Energy Partners, L.P., and ESM Acquisition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Corp. Mr. Raymond is also co-founder and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portfolio manager of EMG Advisors.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Raymond received a BSM degree from the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A.B. Freeman School of Business at Tulane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University with dual concentrations in finance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accounting and currently sits on the board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Business School Council. He also serves as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 director on the board of the American Heart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Association, as a member of the MD Anderson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Cancer Center Board of Visitors and is a</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member of YPO. The Board has determined that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Raymond is “independent” under applicable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Nasdaq and SEC rules. We believe that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Raymond’s experience with investment in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management of a variety of upstream and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midstream assets and operations provides a</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valuable resource to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420" w:type="dxa"/>
            <w:vAlign w:val="bottom"/>
            <w:tcBorders>
              <w:left w:val="single" w:sz="8" w:color="auto"/>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2"/>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Borders>
              <w:right w:val="single" w:sz="8" w:color="auto"/>
            </w:tcBorders>
            <w:gridSpan w:val="3"/>
          </w:tcPr>
          <w:p>
            <w:pPr>
              <w:jc w:val="center"/>
              <w:ind w:right="460"/>
              <w:spacing w:after="0"/>
              <w:rPr>
                <w:sz w:val="20"/>
                <w:szCs w:val="20"/>
                <w:color w:val="auto"/>
              </w:rPr>
            </w:pPr>
            <w:r>
              <w:rPr>
                <w:rFonts w:ascii="Arial" w:cs="Arial" w:eastAsia="Arial" w:hAnsi="Arial"/>
                <w:sz w:val="16"/>
                <w:szCs w:val="16"/>
                <w:b w:val="1"/>
                <w:bCs w:val="1"/>
                <w:color w:val="auto"/>
              </w:rPr>
              <w:t>BOBBY S.</w:t>
            </w: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Bobby S. Shackouls, age 72, </w:t>
            </w:r>
            <w:r>
              <w:rPr>
                <w:rFonts w:ascii="Arial" w:cs="Arial" w:eastAsia="Arial" w:hAnsi="Arial"/>
                <w:sz w:val="16"/>
                <w:szCs w:val="16"/>
                <w:color w:val="auto"/>
              </w:rPr>
              <w:t>has served as a</w:t>
            </w:r>
          </w:p>
        </w:tc>
        <w:tc>
          <w:tcPr>
            <w:tcW w:w="80" w:type="dxa"/>
            <w:vAlign w:val="bottom"/>
          </w:tcPr>
          <w:p>
            <w:pPr>
              <w:spacing w:after="0"/>
              <w:rPr>
                <w:sz w:val="18"/>
                <w:szCs w:val="18"/>
                <w:color w:val="auto"/>
              </w:rPr>
            </w:pPr>
          </w:p>
        </w:tc>
        <w:tc>
          <w:tcPr>
            <w:tcW w:w="254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420" w:type="dxa"/>
            <w:vAlign w:val="bottom"/>
            <w:tcBorders>
              <w:left w:val="single" w:sz="8" w:color="auto"/>
            </w:tcBorders>
          </w:tcPr>
          <w:p>
            <w:pPr>
              <w:spacing w:after="0" w:line="20" w:lineRule="exact"/>
              <w:rPr>
                <w:sz w:val="1"/>
                <w:szCs w:val="1"/>
                <w:color w:val="auto"/>
              </w:rPr>
            </w:pPr>
          </w:p>
        </w:tc>
        <w:tc>
          <w:tcPr>
            <w:tcW w:w="1480" w:type="dxa"/>
            <w:vAlign w:val="bottom"/>
            <w:tcBorders>
              <w:right w:val="single" w:sz="8" w:color="auto"/>
            </w:tcBorders>
            <w:gridSpan w:val="4"/>
            <w:vMerge w:val="restart"/>
          </w:tcPr>
          <w:p>
            <w:pPr>
              <w:jc w:val="center"/>
              <w:ind w:right="420"/>
              <w:spacing w:after="0"/>
              <w:rPr>
                <w:sz w:val="20"/>
                <w:szCs w:val="20"/>
                <w:color w:val="auto"/>
              </w:rPr>
            </w:pPr>
            <w:r>
              <w:rPr>
                <w:rFonts w:ascii="Arial" w:cs="Arial" w:eastAsia="Arial" w:hAnsi="Arial"/>
                <w:sz w:val="16"/>
                <w:szCs w:val="16"/>
                <w:b w:val="1"/>
                <w:bCs w:val="1"/>
                <w:color w:val="auto"/>
              </w:rPr>
              <w:t>SHACKOULS</w:t>
            </w: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director of PAGP GP since January 2014 and as</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tcBorders>
              <w:left w:val="single" w:sz="8" w:color="auto"/>
            </w:tcBorders>
          </w:tcPr>
          <w:p>
            <w:pPr>
              <w:spacing w:after="0"/>
              <w:rPr>
                <w:sz w:val="18"/>
                <w:szCs w:val="18"/>
                <w:color w:val="auto"/>
              </w:rPr>
            </w:pPr>
          </w:p>
        </w:tc>
        <w:tc>
          <w:tcPr>
            <w:tcW w:w="1480" w:type="dxa"/>
            <w:vAlign w:val="bottom"/>
            <w:tcBorders>
              <w:right w:val="single" w:sz="8" w:color="auto"/>
            </w:tcBorders>
            <w:gridSpan w:val="4"/>
            <w:vMerge w:val="continue"/>
          </w:tcPr>
          <w:p>
            <w:pPr>
              <w:spacing w:after="0"/>
              <w:rPr>
                <w:sz w:val="18"/>
                <w:szCs w:val="18"/>
                <w:color w:val="auto"/>
              </w:rPr>
            </w:pPr>
          </w:p>
        </w:tc>
        <w:tc>
          <w:tcPr>
            <w:tcW w:w="3700" w:type="dxa"/>
            <w:vAlign w:val="bottom"/>
            <w:tcBorders>
              <w:right w:val="single" w:sz="8" w:color="auto"/>
            </w:tcBorders>
            <w:vMerge w:val="continue"/>
          </w:tcPr>
          <w:p>
            <w:pPr>
              <w:spacing w:after="0"/>
              <w:rPr>
                <w:sz w:val="18"/>
                <w:szCs w:val="18"/>
                <w:color w:val="auto"/>
              </w:rPr>
            </w:pPr>
          </w:p>
        </w:tc>
        <w:tc>
          <w:tcPr>
            <w:tcW w:w="80" w:type="dxa"/>
            <w:vAlign w:val="bottom"/>
            <w:vMerge w:val="restart"/>
          </w:tcPr>
          <w:p>
            <w:pPr>
              <w:spacing w:after="0"/>
              <w:rPr>
                <w:sz w:val="18"/>
                <w:szCs w:val="18"/>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34"/>
        </w:trPr>
        <w:tc>
          <w:tcPr>
            <w:tcW w:w="420" w:type="dxa"/>
            <w:vAlign w:val="bottom"/>
            <w:tcBorders>
              <w:left w:val="single" w:sz="8" w:color="auto"/>
            </w:tcBorders>
            <w:vMerge w:val="restart"/>
          </w:tcPr>
          <w:p>
            <w:pPr>
              <w:spacing w:after="0"/>
              <w:rPr>
                <w:sz w:val="11"/>
                <w:szCs w:val="11"/>
                <w:color w:val="auto"/>
              </w:rPr>
            </w:pPr>
          </w:p>
        </w:tc>
        <w:tc>
          <w:tcPr>
            <w:tcW w:w="1060" w:type="dxa"/>
            <w:vAlign w:val="bottom"/>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Lead Director</w:t>
            </w:r>
          </w:p>
        </w:tc>
        <w:tc>
          <w:tcPr>
            <w:tcW w:w="420" w:type="dxa"/>
            <w:vAlign w:val="bottom"/>
            <w:tcBorders>
              <w:right w:val="single" w:sz="8" w:color="auto"/>
            </w:tcBorders>
            <w:vMerge w:val="restart"/>
          </w:tcPr>
          <w:p>
            <w:pPr>
              <w:spacing w:after="0"/>
              <w:rPr>
                <w:sz w:val="11"/>
                <w:szCs w:val="11"/>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Lead Director since January 2020.</w:t>
            </w:r>
          </w:p>
        </w:tc>
        <w:tc>
          <w:tcPr>
            <w:tcW w:w="8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4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420" w:type="dxa"/>
            <w:vAlign w:val="bottom"/>
            <w:tcBorders>
              <w:left w:val="single" w:sz="8" w:color="auto"/>
            </w:tcBorders>
            <w:vMerge w:val="continue"/>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420" w:type="dxa"/>
            <w:vAlign w:val="bottom"/>
            <w:tcBorders>
              <w:right w:val="single" w:sz="8" w:color="auto"/>
            </w:tcBorders>
            <w:vMerge w:val="continue"/>
          </w:tcPr>
          <w:p>
            <w:pPr>
              <w:spacing w:after="0"/>
              <w:rPr>
                <w:sz w:val="4"/>
                <w:szCs w:val="4"/>
                <w:color w:val="auto"/>
              </w:rPr>
            </w:pPr>
          </w:p>
        </w:tc>
        <w:tc>
          <w:tcPr>
            <w:tcW w:w="370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20" w:type="dxa"/>
            <w:vAlign w:val="bottom"/>
            <w:tcBorders>
              <w:left w:val="single" w:sz="8" w:color="auto"/>
            </w:tcBorders>
            <w:vMerge w:val="continue"/>
          </w:tcPr>
          <w:p>
            <w:pPr>
              <w:spacing w:after="0"/>
              <w:rPr>
                <w:sz w:val="8"/>
                <w:szCs w:val="8"/>
                <w:color w:val="auto"/>
              </w:rPr>
            </w:pPr>
          </w:p>
        </w:tc>
        <w:tc>
          <w:tcPr>
            <w:tcW w:w="1060" w:type="dxa"/>
            <w:vAlign w:val="bottom"/>
            <w:tcBorders>
              <w:bottom w:val="single" w:sz="8" w:color="auto"/>
            </w:tcBorders>
            <w:gridSpan w:val="3"/>
            <w:vMerge w:val="continue"/>
          </w:tcPr>
          <w:p>
            <w:pPr>
              <w:spacing w:after="0"/>
              <w:rPr>
                <w:sz w:val="8"/>
                <w:szCs w:val="8"/>
                <w:color w:val="auto"/>
              </w:rPr>
            </w:pPr>
          </w:p>
        </w:tc>
        <w:tc>
          <w:tcPr>
            <w:tcW w:w="420" w:type="dxa"/>
            <w:vAlign w:val="bottom"/>
            <w:tcBorders>
              <w:right w:val="single" w:sz="8" w:color="auto"/>
            </w:tcBorders>
            <w:vMerge w:val="continue"/>
          </w:tcPr>
          <w:p>
            <w:pPr>
              <w:spacing w:after="0"/>
              <w:rPr>
                <w:sz w:val="8"/>
                <w:szCs w:val="8"/>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Mr. Shackouls served as Chairman of Burlington</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88"/>
        </w:trPr>
        <w:tc>
          <w:tcPr>
            <w:tcW w:w="42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440" w:type="dxa"/>
            <w:vAlign w:val="bottom"/>
            <w:tcBorders>
              <w:right w:val="single" w:sz="8" w:color="auto"/>
            </w:tcBorders>
            <w:gridSpan w:val="3"/>
            <w:vMerge w:val="restart"/>
          </w:tcPr>
          <w:p>
            <w:pPr>
              <w:jc w:val="center"/>
              <w:ind w:right="440"/>
              <w:spacing w:after="0"/>
              <w:rPr>
                <w:sz w:val="20"/>
                <w:szCs w:val="20"/>
                <w:color w:val="auto"/>
              </w:rPr>
            </w:pPr>
            <w:r>
              <w:rPr>
                <w:rFonts w:ascii="Arial" w:cs="Arial" w:eastAsia="Arial" w:hAnsi="Arial"/>
                <w:sz w:val="16"/>
                <w:szCs w:val="16"/>
                <w:b w:val="1"/>
                <w:bCs w:val="1"/>
                <w:color w:val="auto"/>
              </w:rPr>
              <w:t>Independent</w:t>
            </w:r>
          </w:p>
        </w:tc>
        <w:tc>
          <w:tcPr>
            <w:tcW w:w="3700" w:type="dxa"/>
            <w:vAlign w:val="bottom"/>
            <w:tcBorders>
              <w:right w:val="single" w:sz="8" w:color="auto"/>
            </w:tcBorders>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24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Borders>
              <w:right w:val="single" w:sz="8" w:color="auto"/>
            </w:tcBorders>
            <w:gridSpan w:val="3"/>
            <w:vMerge w:val="continue"/>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Resources Inc. from 1997 until its acquisition by</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63"/>
        </w:trPr>
        <w:tc>
          <w:tcPr>
            <w:tcW w:w="190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370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ConocoPhillips in 2006, and continued to serve</w:t>
            </w:r>
          </w:p>
        </w:tc>
        <w:tc>
          <w:tcPr>
            <w:tcW w:w="200" w:type="dxa"/>
            <w:vAlign w:val="bottom"/>
            <w:gridSpan w:val="2"/>
            <w:vMerge w:val="continue"/>
          </w:tcPr>
          <w:p>
            <w:pPr>
              <w:spacing w:after="0"/>
              <w:rPr>
                <w:sz w:val="14"/>
                <w:szCs w:val="14"/>
                <w:color w:val="auto"/>
              </w:rPr>
            </w:pPr>
          </w:p>
        </w:tc>
        <w:tc>
          <w:tcPr>
            <w:tcW w:w="24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00" w:type="dxa"/>
            <w:vAlign w:val="bottom"/>
            <w:tcBorders>
              <w:left w:val="single" w:sz="8" w:color="auto"/>
              <w:right w:val="single" w:sz="8" w:color="auto"/>
            </w:tcBorders>
            <w:gridSpan w:val="5"/>
            <w:vMerge w:val="continue"/>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on the ConocoPhillips Board of Directors until his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Borders>
              <w:right w:val="single" w:sz="8" w:color="auto"/>
            </w:tcBorders>
            <w:gridSpan w:val="3"/>
          </w:tcPr>
          <w:p>
            <w:pPr>
              <w:jc w:val="center"/>
              <w:ind w:right="460"/>
              <w:spacing w:after="0"/>
              <w:rPr>
                <w:sz w:val="20"/>
                <w:szCs w:val="20"/>
                <w:color w:val="auto"/>
              </w:rPr>
            </w:pPr>
            <w:r>
              <w:rPr>
                <w:rFonts w:ascii="Arial" w:cs="Arial" w:eastAsia="Arial" w:hAnsi="Arial"/>
                <w:sz w:val="16"/>
                <w:szCs w:val="16"/>
                <w:b w:val="1"/>
                <w:bCs w:val="1"/>
                <w:i w:val="1"/>
                <w:iCs w:val="1"/>
                <w:color w:val="auto"/>
              </w:rPr>
              <w:t>since 2010</w:t>
            </w: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retirement in May 2011. Prior thereto,</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Legal/Governance/​Government</w:t>
            </w:r>
          </w:p>
        </w:tc>
        <w:tc>
          <w:tcPr>
            <w:tcW w:w="0" w:type="dxa"/>
            <w:vAlign w:val="bottom"/>
          </w:tcPr>
          <w:p>
            <w:pPr>
              <w:spacing w:after="0"/>
              <w:rPr>
                <w:sz w:val="1"/>
                <w:szCs w:val="1"/>
                <w:color w:val="auto"/>
              </w:rPr>
            </w:pPr>
          </w:p>
        </w:tc>
      </w:tr>
      <w:tr>
        <w:trPr>
          <w:trHeight w:val="26"/>
        </w:trPr>
        <w:tc>
          <w:tcPr>
            <w:tcW w:w="42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3700" w:type="dxa"/>
            <w:vAlign w:val="bottom"/>
            <w:tcBorders>
              <w:right w:val="single" w:sz="8" w:color="auto"/>
            </w:tcBorders>
            <w:vMerge w:val="continue"/>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2420" w:type="dxa"/>
            <w:vAlign w:val="bottom"/>
            <w:tcBorders>
              <w:right w:val="single" w:sz="8" w:color="auto"/>
            </w:tcBorders>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420" w:type="dxa"/>
            <w:vAlign w:val="bottom"/>
            <w:tcBorders>
              <w:left w:val="single" w:sz="8" w:color="auto"/>
            </w:tcBorders>
          </w:tcPr>
          <w:p>
            <w:pPr>
              <w:spacing w:after="0"/>
              <w:rPr>
                <w:sz w:val="9"/>
                <w:szCs w:val="9"/>
                <w:color w:val="auto"/>
              </w:rPr>
            </w:pPr>
          </w:p>
        </w:tc>
        <w:tc>
          <w:tcPr>
            <w:tcW w:w="40" w:type="dxa"/>
            <w:vAlign w:val="bottom"/>
            <w:vMerge w:val="restart"/>
          </w:tcPr>
          <w:p>
            <w:pPr>
              <w:spacing w:after="0"/>
              <w:rPr>
                <w:sz w:val="9"/>
                <w:szCs w:val="9"/>
                <w:color w:val="auto"/>
              </w:rPr>
            </w:pPr>
          </w:p>
        </w:tc>
        <w:tc>
          <w:tcPr>
            <w:tcW w:w="1440" w:type="dxa"/>
            <w:vAlign w:val="bottom"/>
            <w:tcBorders>
              <w:right w:val="single" w:sz="8" w:color="auto"/>
            </w:tcBorders>
            <w:gridSpan w:val="3"/>
            <w:vMerge w:val="restart"/>
          </w:tcPr>
          <w:p>
            <w:pPr>
              <w:jc w:val="center"/>
              <w:ind w:right="460"/>
              <w:spacing w:after="0"/>
              <w:rPr>
                <w:sz w:val="20"/>
                <w:szCs w:val="20"/>
                <w:color w:val="auto"/>
              </w:rPr>
            </w:pPr>
            <w:r>
              <w:rPr>
                <w:rFonts w:ascii="Arial" w:cs="Arial" w:eastAsia="Arial" w:hAnsi="Arial"/>
                <w:sz w:val="16"/>
                <w:szCs w:val="16"/>
                <w:b w:val="1"/>
                <w:bCs w:val="1"/>
                <w:color w:val="auto"/>
              </w:rPr>
              <w:t>Committees:</w:t>
            </w: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Mr. Shackouls served as President and Chief</w:t>
            </w:r>
          </w:p>
        </w:tc>
        <w:tc>
          <w:tcPr>
            <w:tcW w:w="200" w:type="dxa"/>
            <w:vAlign w:val="bottom"/>
            <w:gridSpan w:val="2"/>
            <w:vMerge w:val="continue"/>
          </w:tcPr>
          <w:p>
            <w:pPr>
              <w:spacing w:after="0"/>
              <w:rPr>
                <w:sz w:val="9"/>
                <w:szCs w:val="9"/>
                <w:color w:val="auto"/>
              </w:rPr>
            </w:pPr>
          </w:p>
        </w:tc>
        <w:tc>
          <w:tcPr>
            <w:tcW w:w="24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20" w:type="dxa"/>
            <w:vAlign w:val="bottom"/>
            <w:tcBorders>
              <w:left w:val="single" w:sz="8" w:color="auto"/>
            </w:tcBorders>
          </w:tcPr>
          <w:p>
            <w:pPr>
              <w:spacing w:after="0"/>
              <w:rPr>
                <w:sz w:val="9"/>
                <w:szCs w:val="9"/>
                <w:color w:val="auto"/>
              </w:rPr>
            </w:pPr>
          </w:p>
        </w:tc>
        <w:tc>
          <w:tcPr>
            <w:tcW w:w="40" w:type="dxa"/>
            <w:vAlign w:val="bottom"/>
            <w:vMerge w:val="continue"/>
          </w:tcPr>
          <w:p>
            <w:pPr>
              <w:spacing w:after="0"/>
              <w:rPr>
                <w:sz w:val="9"/>
                <w:szCs w:val="9"/>
                <w:color w:val="auto"/>
              </w:rPr>
            </w:pPr>
          </w:p>
        </w:tc>
        <w:tc>
          <w:tcPr>
            <w:tcW w:w="1440" w:type="dxa"/>
            <w:vAlign w:val="bottom"/>
            <w:tcBorders>
              <w:right w:val="single" w:sz="8" w:color="auto"/>
            </w:tcBorders>
            <w:gridSpan w:val="3"/>
            <w:vMerge w:val="continue"/>
          </w:tcPr>
          <w:p>
            <w:pPr>
              <w:spacing w:after="0"/>
              <w:rPr>
                <w:sz w:val="9"/>
                <w:szCs w:val="9"/>
                <w:color w:val="auto"/>
              </w:rPr>
            </w:pPr>
          </w:p>
        </w:tc>
        <w:tc>
          <w:tcPr>
            <w:tcW w:w="370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20"/>
        </w:trPr>
        <w:tc>
          <w:tcPr>
            <w:tcW w:w="4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70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Executive Officer of Meridian Oil, Inc., a wholly</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Borders>
              <w:right w:val="single" w:sz="8" w:color="auto"/>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90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6"/>
                <w:szCs w:val="16"/>
                <w:color w:val="auto"/>
              </w:rPr>
              <w:t>Governance (chair)</w:t>
            </w:r>
          </w:p>
        </w:tc>
        <w:tc>
          <w:tcPr>
            <w:tcW w:w="370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1900" w:type="dxa"/>
            <w:vAlign w:val="bottom"/>
            <w:tcBorders>
              <w:left w:val="single" w:sz="8" w:color="auto"/>
              <w:right w:val="single" w:sz="8" w:color="auto"/>
            </w:tcBorders>
            <w:gridSpan w:val="5"/>
            <w:vMerge w:val="continue"/>
          </w:tcPr>
          <w:p>
            <w:pPr>
              <w:spacing w:after="0"/>
              <w:rPr>
                <w:sz w:val="5"/>
                <w:szCs w:val="5"/>
                <w:color w:val="auto"/>
              </w:rPr>
            </w:pPr>
          </w:p>
        </w:tc>
        <w:tc>
          <w:tcPr>
            <w:tcW w:w="370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900" w:type="dxa"/>
            <w:vAlign w:val="bottom"/>
            <w:tcBorders>
              <w:left w:val="single" w:sz="8" w:color="auto"/>
              <w:right w:val="single" w:sz="8" w:color="auto"/>
            </w:tcBorders>
            <w:gridSpan w:val="5"/>
            <w:vMerge w:val="continue"/>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owned subsidiary of Burlington Resources, from</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54"/>
        </w:trPr>
        <w:tc>
          <w:tcPr>
            <w:tcW w:w="420" w:type="dxa"/>
            <w:vAlign w:val="bottom"/>
            <w:tcBorders>
              <w:lef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1994 to 1995, and as President and Chief</w:t>
            </w:r>
          </w:p>
        </w:tc>
        <w:tc>
          <w:tcPr>
            <w:tcW w:w="200" w:type="dxa"/>
            <w:vAlign w:val="bottom"/>
            <w:gridSpan w:val="2"/>
            <w:vMerge w:val="continue"/>
          </w:tcPr>
          <w:p>
            <w:pPr>
              <w:spacing w:after="0"/>
              <w:rPr>
                <w:sz w:val="4"/>
                <w:szCs w:val="4"/>
                <w:color w:val="auto"/>
              </w:rPr>
            </w:pPr>
          </w:p>
        </w:tc>
        <w:tc>
          <w:tcPr>
            <w:tcW w:w="242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420" w:type="dxa"/>
            <w:vAlign w:val="bottom"/>
            <w:tcBorders>
              <w:lef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370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54"/>
        </w:trPr>
        <w:tc>
          <w:tcPr>
            <w:tcW w:w="420" w:type="dxa"/>
            <w:vAlign w:val="bottom"/>
            <w:tcBorders>
              <w:lef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3700" w:type="dxa"/>
            <w:vAlign w:val="bottom"/>
            <w:tcBorders>
              <w:right w:val="single" w:sz="8" w:color="auto"/>
            </w:tcBorders>
            <w:vMerge w:val="restart"/>
          </w:tcPr>
          <w:p>
            <w:pPr>
              <w:ind w:left="80"/>
              <w:spacing w:after="0" w:line="177" w:lineRule="exact"/>
              <w:rPr>
                <w:sz w:val="20"/>
                <w:szCs w:val="20"/>
                <w:color w:val="auto"/>
              </w:rPr>
            </w:pPr>
            <w:r>
              <w:rPr>
                <w:rFonts w:ascii="Arial" w:cs="Arial" w:eastAsia="Arial" w:hAnsi="Arial"/>
                <w:sz w:val="16"/>
                <w:szCs w:val="16"/>
                <w:color w:val="auto"/>
              </w:rPr>
              <w:t>Executive Officer of Burlington Resources from</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420" w:type="dxa"/>
            <w:vAlign w:val="bottom"/>
            <w:tcBorders>
              <w:lef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3700" w:type="dxa"/>
            <w:vAlign w:val="bottom"/>
            <w:tcBorders>
              <w:right w:val="single" w:sz="8" w:color="auto"/>
            </w:tcBorders>
            <w:vMerge w:val="continue"/>
          </w:tcPr>
          <w:p>
            <w:pPr>
              <w:spacing w:after="0"/>
              <w:rPr>
                <w:sz w:val="10"/>
                <w:szCs w:val="10"/>
                <w:color w:val="auto"/>
              </w:rPr>
            </w:pP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1995 until 2006. Mr. Shackouls served as a</w:t>
            </w:r>
          </w:p>
        </w:tc>
        <w:tc>
          <w:tcPr>
            <w:tcW w:w="200" w:type="dxa"/>
            <w:vAlign w:val="bottom"/>
            <w:gridSpan w:val="2"/>
            <w:vMerge w:val="continue"/>
          </w:tcPr>
          <w:p>
            <w:pPr>
              <w:spacing w:after="0"/>
              <w:rPr>
                <w:sz w:val="16"/>
                <w:szCs w:val="16"/>
                <w:color w:val="auto"/>
              </w:rPr>
            </w:pPr>
          </w:p>
        </w:tc>
        <w:tc>
          <w:tcPr>
            <w:tcW w:w="242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of The Kroger Co. from 1999 until</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20"/>
        </w:trPr>
        <w:tc>
          <w:tcPr>
            <w:tcW w:w="420" w:type="dxa"/>
            <w:vAlign w:val="bottom"/>
            <w:tcBorders>
              <w:lef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January 2021, as a director of Oasis Petroleum</w:t>
            </w:r>
          </w:p>
        </w:tc>
        <w:tc>
          <w:tcPr>
            <w:tcW w:w="200" w:type="dxa"/>
            <w:vAlign w:val="bottom"/>
            <w:gridSpan w:val="2"/>
            <w:vMerge w:val="continue"/>
          </w:tcPr>
          <w:p>
            <w:pPr>
              <w:spacing w:after="0"/>
              <w:rPr>
                <w:sz w:val="10"/>
                <w:szCs w:val="10"/>
                <w:color w:val="auto"/>
              </w:rPr>
            </w:pPr>
          </w:p>
        </w:tc>
        <w:tc>
          <w:tcPr>
            <w:tcW w:w="24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42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370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2012 until November 2020, and as a</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of Quintana Energy Services from</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January 2019 until July 2020. He served as a</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and member of the audit committee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PNGS GP LLC, the general partner of PAA</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Natural Gas Storage, L.P., from April 2010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through December 2013. The Board has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determined that Mr. Shackouls is “independent”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under applicable Nasdaq and SEC</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420" w:type="dxa"/>
            <w:vAlign w:val="bottom"/>
            <w:tcBorders>
              <w:left w:val="single" w:sz="8" w:color="auto"/>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80" w:right="3159" w:hanging="1055"/>
        <w:spacing w:after="0" w:line="221" w:lineRule="auto"/>
        <w:tabs>
          <w:tab w:leader="none" w:pos="3280" w:val="left"/>
        </w:tabs>
        <w:numPr>
          <w:ilvl w:val="0"/>
          <w:numId w:val="36"/>
        </w:numPr>
        <w:rPr>
          <w:rFonts w:ascii="Arial" w:cs="Arial" w:eastAsia="Arial" w:hAnsi="Arial"/>
          <w:sz w:val="32"/>
          <w:szCs w:val="32"/>
          <w:color w:val="auto"/>
          <w:vertAlign w:val="superscript"/>
        </w:rPr>
      </w:pPr>
      <w:r>
        <w:rPr>
          <w:rFonts w:ascii="Arial" w:cs="Arial" w:eastAsia="Arial" w:hAnsi="Arial"/>
          <w:sz w:val="16"/>
          <w:szCs w:val="16"/>
          <w:color w:val="auto"/>
        </w:rPr>
        <w:t>rules. We believe that Mr. Shackouls’ extensive experience within the energy industry offers valuable perspective and, in tandem with his long history of leadership as the CEO of a public company, make him highly qualified to serve as a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-795020</wp:posOffset>
            </wp:positionV>
            <wp:extent cx="5212080" cy="71062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2080" cy="7106285"/>
                    </a:xfrm>
                    <a:prstGeom prst="rect">
                      <a:avLst/>
                    </a:prstGeom>
                    <a:noFill/>
                  </pic:spPr>
                </pic:pic>
              </a:graphicData>
            </a:graphic>
          </wp:anchor>
        </w:drawing>
      </w:r>
    </w:p>
    <w:p>
      <w:pPr>
        <w:spacing w:after="0" w:line="76" w:lineRule="exact"/>
        <w:rPr>
          <w:sz w:val="20"/>
          <w:szCs w:val="20"/>
          <w:color w:val="auto"/>
        </w:rPr>
      </w:pPr>
    </w:p>
    <w:tbl>
      <w:tblPr>
        <w:tblLayout w:type="fixed"/>
        <w:tblInd w:w="1460" w:type="dxa"/>
        <w:tblCellMar>
          <w:top w:w="0" w:type="dxa"/>
          <w:left w:w="0" w:type="dxa"/>
          <w:bottom w:w="0" w:type="dxa"/>
          <w:right w:w="0" w:type="dxa"/>
        </w:tblCellMar>
      </w:tblPr>
      <w:tr>
        <w:trPr>
          <w:trHeight w:val="204"/>
        </w:trPr>
        <w:tc>
          <w:tcPr>
            <w:tcW w:w="16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9"/>
              </w:rPr>
              <w:t>CHRISTOPHER M.</w:t>
            </w:r>
          </w:p>
        </w:tc>
        <w:tc>
          <w:tcPr>
            <w:tcW w:w="3760" w:type="dxa"/>
            <w:vAlign w:val="bottom"/>
          </w:tcPr>
          <w:p>
            <w:pPr>
              <w:ind w:left="180"/>
              <w:spacing w:after="0"/>
              <w:rPr>
                <w:sz w:val="20"/>
                <w:szCs w:val="20"/>
                <w:color w:val="auto"/>
              </w:rPr>
            </w:pPr>
            <w:r>
              <w:rPr>
                <w:rFonts w:ascii="Arial" w:cs="Arial" w:eastAsia="Arial" w:hAnsi="Arial"/>
                <w:sz w:val="16"/>
                <w:szCs w:val="16"/>
                <w:i w:val="1"/>
                <w:iCs w:val="1"/>
                <w:color w:val="auto"/>
              </w:rPr>
              <w:t xml:space="preserve">Christopher M. Temple, age 55, </w:t>
            </w:r>
            <w:r>
              <w:rPr>
                <w:rFonts w:ascii="Arial" w:cs="Arial" w:eastAsia="Arial" w:hAnsi="Arial"/>
                <w:sz w:val="16"/>
                <w:szCs w:val="16"/>
                <w:color w:val="auto"/>
              </w:rPr>
              <w:t>has served as a</w:t>
            </w:r>
          </w:p>
        </w:tc>
        <w:tc>
          <w:tcPr>
            <w:tcW w:w="80" w:type="dxa"/>
            <w:vAlign w:val="bottom"/>
          </w:tcPr>
          <w:p>
            <w:pPr>
              <w:spacing w:after="0"/>
              <w:rPr>
                <w:sz w:val="17"/>
                <w:szCs w:val="17"/>
                <w:color w:val="auto"/>
              </w:rPr>
            </w:pPr>
          </w:p>
        </w:tc>
        <w:tc>
          <w:tcPr>
            <w:tcW w:w="2420" w:type="dxa"/>
            <w:vAlign w:val="bottom"/>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6"/>
                <w:szCs w:val="16"/>
                <w:b w:val="1"/>
                <w:bCs w:val="1"/>
                <w:color w:val="auto"/>
                <w:w w:val="98"/>
              </w:rPr>
              <w:t>TEMPLE</w:t>
            </w:r>
          </w:p>
        </w:tc>
        <w:tc>
          <w:tcPr>
            <w:tcW w:w="3760" w:type="dxa"/>
            <w:vAlign w:val="bottom"/>
            <w:vMerge w:val="restart"/>
          </w:tcPr>
          <w:p>
            <w:pPr>
              <w:ind w:left="180"/>
              <w:spacing w:after="0"/>
              <w:rPr>
                <w:sz w:val="20"/>
                <w:szCs w:val="20"/>
                <w:color w:val="auto"/>
              </w:rPr>
            </w:pPr>
            <w:r>
              <w:rPr>
                <w:rFonts w:ascii="Arial" w:cs="Arial" w:eastAsia="Arial" w:hAnsi="Arial"/>
                <w:sz w:val="16"/>
                <w:szCs w:val="16"/>
                <w:color w:val="auto"/>
              </w:rPr>
              <w:t>director of PAGP GP since November 2016. He</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760" w:type="dxa"/>
            <w:vAlign w:val="bottom"/>
            <w:vMerge w:val="continue"/>
          </w:tcPr>
          <w:p>
            <w:pPr>
              <w:spacing w:after="0"/>
              <w:rPr>
                <w:sz w:val="18"/>
                <w:szCs w:val="18"/>
                <w:color w:val="auto"/>
              </w:rPr>
            </w:pPr>
          </w:p>
        </w:tc>
        <w:tc>
          <w:tcPr>
            <w:tcW w:w="80" w:type="dxa"/>
            <w:vAlign w:val="bottom"/>
            <w:vMerge w:val="restart"/>
          </w:tcPr>
          <w:p>
            <w:pPr>
              <w:spacing w:after="0"/>
              <w:rPr>
                <w:sz w:val="18"/>
                <w:szCs w:val="18"/>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300" w:type="dxa"/>
            <w:vAlign w:val="bottom"/>
            <w:gridSpan w:val="2"/>
            <w:vMerge w:val="restart"/>
          </w:tcPr>
          <w:p>
            <w:pPr>
              <w:ind w:left="4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34"/>
        </w:trPr>
        <w:tc>
          <w:tcPr>
            <w:tcW w:w="280" w:type="dxa"/>
            <w:vAlign w:val="bottom"/>
          </w:tcPr>
          <w:p>
            <w:pPr>
              <w:spacing w:after="0"/>
              <w:rPr>
                <w:sz w:val="11"/>
                <w:szCs w:val="11"/>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6"/>
                <w:szCs w:val="16"/>
                <w:b w:val="1"/>
                <w:bCs w:val="1"/>
                <w:color w:val="auto"/>
              </w:rPr>
              <w:t>Independent</w:t>
            </w:r>
          </w:p>
        </w:tc>
        <w:tc>
          <w:tcPr>
            <w:tcW w:w="3760" w:type="dxa"/>
            <w:vAlign w:val="bottom"/>
            <w:vMerge w:val="restart"/>
          </w:tcPr>
          <w:p>
            <w:pPr>
              <w:ind w:left="180"/>
              <w:spacing w:after="0"/>
              <w:rPr>
                <w:sz w:val="20"/>
                <w:szCs w:val="20"/>
                <w:color w:val="auto"/>
              </w:rPr>
            </w:pPr>
            <w:r>
              <w:rPr>
                <w:rFonts w:ascii="Arial" w:cs="Arial" w:eastAsia="Arial" w:hAnsi="Arial"/>
                <w:sz w:val="16"/>
                <w:szCs w:val="16"/>
                <w:color w:val="auto"/>
              </w:rPr>
              <w:t>served as a director of PAA’s general partner</w:t>
            </w:r>
          </w:p>
        </w:tc>
        <w:tc>
          <w:tcPr>
            <w:tcW w:w="8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8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37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760" w:type="dxa"/>
            <w:vAlign w:val="bottom"/>
            <w:vMerge w:val="restart"/>
          </w:tcPr>
          <w:p>
            <w:pPr>
              <w:ind w:left="180"/>
              <w:spacing w:after="0"/>
              <w:rPr>
                <w:sz w:val="20"/>
                <w:szCs w:val="20"/>
                <w:color w:val="auto"/>
              </w:rPr>
            </w:pPr>
            <w:r>
              <w:rPr>
                <w:rFonts w:ascii="Arial" w:cs="Arial" w:eastAsia="Arial" w:hAnsi="Arial"/>
                <w:sz w:val="16"/>
                <w:szCs w:val="16"/>
                <w:color w:val="auto"/>
              </w:rPr>
              <w:t>from May 2009 until November 2016. He is</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300" w:type="dxa"/>
            <w:vAlign w:val="bottom"/>
            <w:gridSpan w:val="2"/>
            <w:vMerge w:val="restart"/>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61"/>
        </w:trPr>
        <w:tc>
          <w:tcPr>
            <w:tcW w:w="1640" w:type="dxa"/>
            <w:vAlign w:val="bottom"/>
            <w:gridSpan w:val="3"/>
            <w:vMerge w:val="restart"/>
          </w:tcPr>
          <w:p>
            <w:pPr>
              <w:jc w:val="center"/>
              <w:ind w:right="160"/>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760" w:type="dxa"/>
            <w:vAlign w:val="bottom"/>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640" w:type="dxa"/>
            <w:vAlign w:val="bottom"/>
            <w:gridSpan w:val="3"/>
            <w:vMerge w:val="continue"/>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President of DelTex Capital LLC (a private</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300" w:type="dxa"/>
            <w:vAlign w:val="bottom"/>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1360" w:type="dxa"/>
            <w:vAlign w:val="bottom"/>
            <w:gridSpan w:val="2"/>
          </w:tcPr>
          <w:p>
            <w:pPr>
              <w:jc w:val="center"/>
              <w:ind w:right="380"/>
              <w:spacing w:after="0" w:line="178" w:lineRule="exact"/>
              <w:rPr>
                <w:sz w:val="20"/>
                <w:szCs w:val="20"/>
                <w:color w:val="auto"/>
              </w:rPr>
            </w:pPr>
            <w:r>
              <w:rPr>
                <w:rFonts w:ascii="Arial" w:cs="Arial" w:eastAsia="Arial" w:hAnsi="Arial"/>
                <w:sz w:val="16"/>
                <w:szCs w:val="16"/>
                <w:b w:val="1"/>
                <w:bCs w:val="1"/>
                <w:i w:val="1"/>
                <w:iCs w:val="1"/>
                <w:color w:val="auto"/>
              </w:rPr>
              <w:t>since 2009</w:t>
            </w:r>
          </w:p>
        </w:tc>
        <w:tc>
          <w:tcPr>
            <w:tcW w:w="3760" w:type="dxa"/>
            <w:vAlign w:val="bottom"/>
          </w:tcPr>
          <w:p>
            <w:pPr>
              <w:ind w:left="180"/>
              <w:spacing w:after="0" w:line="178" w:lineRule="exact"/>
              <w:rPr>
                <w:sz w:val="20"/>
                <w:szCs w:val="20"/>
                <w:color w:val="auto"/>
              </w:rPr>
            </w:pPr>
            <w:r>
              <w:rPr>
                <w:rFonts w:ascii="Arial" w:cs="Arial" w:eastAsia="Arial" w:hAnsi="Arial"/>
                <w:sz w:val="16"/>
                <w:szCs w:val="16"/>
                <w:color w:val="auto"/>
              </w:rPr>
              <w:t>investment firm) and serves as a Senior Advisor</w:t>
            </w:r>
          </w:p>
        </w:tc>
        <w:tc>
          <w:tcPr>
            <w:tcW w:w="200" w:type="dxa"/>
            <w:vAlign w:val="bottom"/>
            <w:gridSpan w:val="2"/>
            <w:vMerge w:val="continue"/>
          </w:tcPr>
          <w:p>
            <w:pPr>
              <w:spacing w:after="0"/>
              <w:rPr>
                <w:sz w:val="15"/>
                <w:szCs w:val="15"/>
                <w:color w:val="auto"/>
              </w:rPr>
            </w:pPr>
          </w:p>
        </w:tc>
        <w:tc>
          <w:tcPr>
            <w:tcW w:w="2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rPr>
              <w:t>Committees:</w:t>
            </w:r>
          </w:p>
        </w:tc>
        <w:tc>
          <w:tcPr>
            <w:tcW w:w="3760" w:type="dxa"/>
            <w:vAlign w:val="bottom"/>
          </w:tcPr>
          <w:p>
            <w:pPr>
              <w:ind w:left="180"/>
              <w:spacing w:after="0"/>
              <w:rPr>
                <w:sz w:val="20"/>
                <w:szCs w:val="20"/>
                <w:color w:val="auto"/>
              </w:rPr>
            </w:pPr>
            <w:r>
              <w:rPr>
                <w:rFonts w:ascii="Arial" w:cs="Arial" w:eastAsia="Arial" w:hAnsi="Arial"/>
                <w:sz w:val="16"/>
                <w:szCs w:val="16"/>
                <w:color w:val="auto"/>
              </w:rPr>
              <w:t>to Tailwind Capital. As part of his role as 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09"/>
        </w:trPr>
        <w:tc>
          <w:tcPr>
            <w:tcW w:w="28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3760" w:type="dxa"/>
            <w:vAlign w:val="bottom"/>
            <w:vMerge w:val="restart"/>
          </w:tcPr>
          <w:p>
            <w:pPr>
              <w:ind w:left="180"/>
              <w:spacing w:after="0"/>
              <w:rPr>
                <w:sz w:val="20"/>
                <w:szCs w:val="20"/>
                <w:color w:val="auto"/>
              </w:rPr>
            </w:pPr>
            <w:r>
              <w:rPr>
                <w:rFonts w:ascii="Arial" w:cs="Arial" w:eastAsia="Arial" w:hAnsi="Arial"/>
                <w:sz w:val="16"/>
                <w:szCs w:val="16"/>
                <w:color w:val="auto"/>
              </w:rPr>
              <w:t>Senior Advisor with Tailwind Capital, Mr. Temple</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300" w:type="dxa"/>
            <w:vAlign w:val="bottom"/>
            <w:gridSpan w:val="2"/>
            <w:vMerge w:val="restart"/>
          </w:tcPr>
          <w:p>
            <w:pPr>
              <w:ind w:left="40"/>
              <w:spacing w:after="0"/>
              <w:rPr>
                <w:sz w:val="20"/>
                <w:szCs w:val="20"/>
                <w:color w:val="auto"/>
              </w:rPr>
            </w:pPr>
            <w:r>
              <w:rPr>
                <w:rFonts w:ascii="Arial" w:cs="Arial" w:eastAsia="Arial" w:hAnsi="Arial"/>
                <w:sz w:val="16"/>
                <w:szCs w:val="16"/>
                <w:color w:val="auto"/>
              </w:rPr>
              <w:t>Legal/Governance/​Government</w:t>
            </w:r>
          </w:p>
        </w:tc>
        <w:tc>
          <w:tcPr>
            <w:tcW w:w="0" w:type="dxa"/>
            <w:vAlign w:val="bottom"/>
          </w:tcPr>
          <w:p>
            <w:pPr>
              <w:spacing w:after="0"/>
              <w:rPr>
                <w:sz w:val="1"/>
                <w:szCs w:val="1"/>
                <w:color w:val="auto"/>
              </w:rPr>
            </w:pPr>
          </w:p>
        </w:tc>
      </w:tr>
      <w:tr>
        <w:trPr>
          <w:trHeight w:val="60"/>
        </w:trPr>
        <w:tc>
          <w:tcPr>
            <w:tcW w:w="280" w:type="dxa"/>
            <w:vAlign w:val="bottom"/>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640" w:type="dxa"/>
            <w:vAlign w:val="bottom"/>
            <w:gridSpan w:val="3"/>
            <w:vMerge w:val="restart"/>
          </w:tcPr>
          <w:p>
            <w:pPr>
              <w:jc w:val="center"/>
              <w:ind w:right="120"/>
              <w:spacing w:after="0"/>
              <w:rPr>
                <w:sz w:val="20"/>
                <w:szCs w:val="20"/>
                <w:color w:val="auto"/>
              </w:rPr>
            </w:pPr>
            <w:r>
              <w:rPr>
                <w:rFonts w:ascii="Arial" w:cs="Arial" w:eastAsia="Arial" w:hAnsi="Arial"/>
                <w:sz w:val="16"/>
                <w:szCs w:val="16"/>
                <w:color w:val="auto"/>
              </w:rPr>
              <w:t>Compensation</w:t>
            </w:r>
          </w:p>
        </w:tc>
        <w:tc>
          <w:tcPr>
            <w:tcW w:w="3760" w:type="dxa"/>
            <w:vAlign w:val="bottom"/>
            <w:vMerge w:val="restart"/>
          </w:tcPr>
          <w:p>
            <w:pPr>
              <w:ind w:left="180"/>
              <w:spacing w:after="0"/>
              <w:rPr>
                <w:sz w:val="20"/>
                <w:szCs w:val="20"/>
                <w:color w:val="auto"/>
              </w:rPr>
            </w:pPr>
            <w:r>
              <w:rPr>
                <w:rFonts w:ascii="Arial" w:cs="Arial" w:eastAsia="Arial" w:hAnsi="Arial"/>
                <w:sz w:val="16"/>
                <w:szCs w:val="16"/>
                <w:color w:val="auto"/>
              </w:rPr>
              <w:t>serves on the board of HMT Tank, LLC and on</w:t>
            </w:r>
          </w:p>
        </w:tc>
        <w:tc>
          <w:tcPr>
            <w:tcW w:w="200" w:type="dxa"/>
            <w:vAlign w:val="bottom"/>
            <w:gridSpan w:val="2"/>
            <w:vMerge w:val="continue"/>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640" w:type="dxa"/>
            <w:vAlign w:val="bottom"/>
            <w:gridSpan w:val="3"/>
            <w:vMerge w:val="continue"/>
          </w:tcPr>
          <w:p>
            <w:pPr>
              <w:spacing w:after="0"/>
              <w:rPr>
                <w:sz w:val="8"/>
                <w:szCs w:val="8"/>
                <w:color w:val="auto"/>
              </w:rPr>
            </w:pPr>
          </w:p>
        </w:tc>
        <w:tc>
          <w:tcPr>
            <w:tcW w:w="3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00" w:type="dxa"/>
            <w:vAlign w:val="bottom"/>
            <w:gridSpan w:val="2"/>
            <w:vMerge w:val="restart"/>
          </w:tcPr>
          <w:p>
            <w:pPr>
              <w:ind w:left="4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119"/>
        </w:trPr>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760" w:type="dxa"/>
            <w:vAlign w:val="bottom"/>
            <w:vMerge w:val="restart"/>
          </w:tcPr>
          <w:p>
            <w:pPr>
              <w:ind w:left="180"/>
              <w:spacing w:after="0"/>
              <w:rPr>
                <w:sz w:val="20"/>
                <w:szCs w:val="20"/>
                <w:color w:val="auto"/>
              </w:rPr>
            </w:pPr>
            <w:r>
              <w:rPr>
                <w:rFonts w:ascii="Arial" w:cs="Arial" w:eastAsia="Arial" w:hAnsi="Arial"/>
                <w:sz w:val="16"/>
                <w:szCs w:val="16"/>
                <w:color w:val="auto"/>
              </w:rPr>
              <w:t>the board of Loenbro, Inc. He also serves on the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80" w:type="dxa"/>
            <w:vAlign w:val="bottom"/>
          </w:tcPr>
          <w:p>
            <w:pPr>
              <w:spacing w:after="0"/>
              <w:rPr>
                <w:sz w:val="5"/>
                <w:szCs w:val="5"/>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6"/>
                <w:szCs w:val="16"/>
                <w:color w:val="auto"/>
              </w:rPr>
              <w:t>HSES</w:t>
            </w:r>
          </w:p>
        </w:tc>
        <w:tc>
          <w:tcPr>
            <w:tcW w:w="37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board and is chairman of the audit committee of</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300" w:type="dxa"/>
            <w:vAlign w:val="bottom"/>
            <w:gridSpan w:val="2"/>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Owl Rock Capital Corporation, Owl Rock Capital</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300" w:type="dxa"/>
            <w:vAlign w:val="bottom"/>
            <w:gridSpan w:val="2"/>
            <w:vMerge w:val="restart"/>
          </w:tcPr>
          <w:p>
            <w:pPr>
              <w:ind w:left="4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Corporation II, Owl Rock Capital Corporation III,</w:t>
            </w:r>
          </w:p>
        </w:tc>
        <w:tc>
          <w:tcPr>
            <w:tcW w:w="200" w:type="dxa"/>
            <w:vAlign w:val="bottom"/>
            <w:gridSpan w:val="2"/>
            <w:vMerge w:val="continue"/>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Owl Rock Core Income Corporation, Owl Rock</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300" w:type="dxa"/>
            <w:vAlign w:val="bottom"/>
            <w:gridSpan w:val="2"/>
            <w:vMerge w:val="restart"/>
          </w:tcPr>
          <w:p>
            <w:pPr>
              <w:ind w:left="40"/>
              <w:spacing w:after="0"/>
              <w:rPr>
                <w:sz w:val="20"/>
                <w:szCs w:val="20"/>
                <w:color w:val="auto"/>
              </w:rPr>
            </w:pPr>
            <w:r>
              <w:rPr>
                <w:rFonts w:ascii="Arial" w:cs="Arial" w:eastAsia="Arial" w:hAnsi="Arial"/>
                <w:sz w:val="16"/>
                <w:szCs w:val="16"/>
                <w:color w:val="auto"/>
              </w:rPr>
              <w:t>Cybersecurity/IT</w:t>
            </w: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760" w:type="dxa"/>
            <w:vAlign w:val="bottom"/>
            <w:vMerge w:val="restart"/>
          </w:tcPr>
          <w:p>
            <w:pPr>
              <w:ind w:left="180"/>
              <w:spacing w:after="0"/>
              <w:rPr>
                <w:sz w:val="20"/>
                <w:szCs w:val="20"/>
                <w:color w:val="auto"/>
              </w:rPr>
            </w:pPr>
            <w:r>
              <w:rPr>
                <w:rFonts w:ascii="Arial" w:cs="Arial" w:eastAsia="Arial" w:hAnsi="Arial"/>
                <w:sz w:val="16"/>
                <w:szCs w:val="16"/>
                <w:color w:val="auto"/>
              </w:rPr>
              <w:t>Technology Finance Corporation, Owl Rock</w:t>
            </w:r>
          </w:p>
        </w:tc>
        <w:tc>
          <w:tcPr>
            <w:tcW w:w="200" w:type="dxa"/>
            <w:vAlign w:val="bottom"/>
            <w:gridSpan w:val="2"/>
            <w:vMerge w:val="continue"/>
          </w:tcPr>
          <w:p>
            <w:pPr>
              <w:spacing w:after="0"/>
              <w:rPr>
                <w:sz w:val="8"/>
                <w:szCs w:val="8"/>
                <w:color w:val="auto"/>
              </w:rPr>
            </w:pPr>
          </w:p>
        </w:tc>
        <w:tc>
          <w:tcPr>
            <w:tcW w:w="2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Technology Fund II and Owl Rock Technology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Income Fund. Mr. Temple served as the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President of Vulcan Capital, the private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investment group of Vulcan Inc., from May 2009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until December 2009 and as Vice President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Vulcan Capital from September 2008 to</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May 2009. Mr. Temple served as Chairman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Brawler Industries, LLC from September 2012 to</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July 2016, as a director of Clear Channel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Outdoor Holdings from April 2011 through</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May 2017, and as a director of Charter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Communications, Inc. from November 2009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through January 2011. Prior to joining Vulcan in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September 2008, Mr. Temple served as 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managing director at Tailwind Capital LLC from</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May to August 2008. Prior to joining Tailwind,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Mr. Temple was a managing director at Friend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Skoler &amp; Co., Inc. from May 2005 to May 2008.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From April 1996 to December 2004, Mr. Temple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was a managing director at Thayer Capital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Partners. Additionally, Mr. Temple was a licensed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CPA serving clients in the energy sector with</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KPMG in Houston, Texas from 1989 to 1993.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Mr. Temple holds a BBA, magna cum laude,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from the University of Texas and an MBA from</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Harvard. The Board has determined that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Mr. Temple is “independent” under applicable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Nasdaq and SEC rules. Mr. Temple has a broad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investment management background across a</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variety of business sectors, as well as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experience in the energy sector. We believe that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this background, along with the leadership</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attributes indicated by his executive experience,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provide an important source of insight and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6"/>
                <w:szCs w:val="16"/>
                <w:color w:val="auto"/>
              </w:rPr>
              <w:t>perspective to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Class II Directors (terms expire in 2025):</w:t>
      </w:r>
    </w:p>
    <w:p>
      <w:pPr>
        <w:spacing w:after="0" w:line="143" w:lineRule="exact"/>
        <w:rPr>
          <w:sz w:val="20"/>
          <w:szCs w:val="20"/>
          <w:color w:val="auto"/>
        </w:rPr>
      </w:pPr>
    </w:p>
    <w:tbl>
      <w:tblPr>
        <w:tblLayout w:type="fixed"/>
        <w:tblInd w:w="1270" w:type="dxa"/>
        <w:tblCellMar>
          <w:top w:w="0" w:type="dxa"/>
          <w:left w:w="0" w:type="dxa"/>
          <w:bottom w:w="0" w:type="dxa"/>
          <w:right w:w="0" w:type="dxa"/>
        </w:tblCellMar>
      </w:tblPr>
      <w:tr>
        <w:trPr>
          <w:trHeight w:val="230"/>
        </w:trPr>
        <w:tc>
          <w:tcPr>
            <w:tcW w:w="190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8"/>
              </w:rPr>
              <w:t>VICTOR BURK</w:t>
            </w:r>
          </w:p>
        </w:tc>
        <w:tc>
          <w:tcPr>
            <w:tcW w:w="37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Victor Burk, age 73, </w:t>
            </w:r>
            <w:r>
              <w:rPr>
                <w:rFonts w:ascii="Arial" w:cs="Arial" w:eastAsia="Arial" w:hAnsi="Arial"/>
                <w:sz w:val="16"/>
                <w:szCs w:val="16"/>
                <w:color w:val="auto"/>
              </w:rPr>
              <w:t>has served as a director of</w:t>
            </w:r>
          </w:p>
        </w:tc>
        <w:tc>
          <w:tcPr>
            <w:tcW w:w="80" w:type="dxa"/>
            <w:vAlign w:val="bottom"/>
            <w:tcBorders>
              <w:top w:val="single" w:sz="8" w:color="auto"/>
            </w:tcBorders>
          </w:tcPr>
          <w:p>
            <w:pPr>
              <w:spacing w:after="0"/>
              <w:rPr>
                <w:sz w:val="19"/>
                <w:szCs w:val="19"/>
                <w:color w:val="auto"/>
              </w:rPr>
            </w:pPr>
          </w:p>
        </w:tc>
        <w:tc>
          <w:tcPr>
            <w:tcW w:w="25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460" w:type="dxa"/>
            <w:vAlign w:val="bottom"/>
            <w:tcBorders>
              <w:lef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PAGP GP since January 2014. He is a Senior</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0" w:type="dxa"/>
            <w:vAlign w:val="bottom"/>
            <w:tcBorders>
              <w:left w:val="single" w:sz="8" w:color="auto"/>
            </w:tcBorders>
          </w:tcPr>
          <w:p>
            <w:pPr>
              <w:spacing w:after="0"/>
              <w:rPr>
                <w:sz w:val="15"/>
                <w:szCs w:val="15"/>
                <w:color w:val="auto"/>
              </w:rPr>
            </w:pPr>
          </w:p>
        </w:tc>
        <w:tc>
          <w:tcPr>
            <w:tcW w:w="14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6"/>
                <w:szCs w:val="16"/>
                <w:b w:val="1"/>
                <w:bCs w:val="1"/>
                <w:color w:val="auto"/>
              </w:rPr>
              <w:t>Independent</w:t>
            </w:r>
          </w:p>
        </w:tc>
        <w:tc>
          <w:tcPr>
            <w:tcW w:w="3700" w:type="dxa"/>
            <w:vAlign w:val="bottom"/>
            <w:tcBorders>
              <w:right w:val="single" w:sz="8" w:color="auto"/>
            </w:tcBorders>
            <w:vMerge w:val="continue"/>
          </w:tcPr>
          <w:p>
            <w:pPr>
              <w:spacing w:after="0"/>
              <w:rPr>
                <w:sz w:val="15"/>
                <w:szCs w:val="15"/>
                <w:color w:val="auto"/>
              </w:rPr>
            </w:pPr>
          </w:p>
        </w:tc>
        <w:tc>
          <w:tcPr>
            <w:tcW w:w="80" w:type="dxa"/>
            <w:vAlign w:val="bottom"/>
            <w:vMerge w:val="restart"/>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1440" w:type="dxa"/>
            <w:vAlign w:val="bottom"/>
            <w:tcBorders>
              <w:right w:val="single" w:sz="8" w:color="auto"/>
            </w:tcBorders>
            <w:gridSpan w:val="2"/>
            <w:vMerge w:val="continue"/>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Advisor for Alvarez and Marsal, a privately</w:t>
            </w:r>
          </w:p>
        </w:tc>
        <w:tc>
          <w:tcPr>
            <w:tcW w:w="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2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owned professional services firm, where he</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34"/>
        </w:trPr>
        <w:tc>
          <w:tcPr>
            <w:tcW w:w="460" w:type="dxa"/>
            <w:vAlign w:val="bottom"/>
            <w:tcBorders>
              <w:left w:val="single" w:sz="8" w:color="auto"/>
            </w:tcBorders>
          </w:tcPr>
          <w:p>
            <w:pPr>
              <w:spacing w:after="0"/>
              <w:rPr>
                <w:sz w:val="11"/>
                <w:szCs w:val="11"/>
                <w:color w:val="auto"/>
              </w:rPr>
            </w:pPr>
          </w:p>
        </w:tc>
        <w:tc>
          <w:tcPr>
            <w:tcW w:w="1440" w:type="dxa"/>
            <w:vAlign w:val="bottom"/>
            <w:tcBorders>
              <w:right w:val="single" w:sz="8" w:color="auto"/>
            </w:tcBorders>
            <w:gridSpan w:val="2"/>
            <w:vMerge w:val="restart"/>
          </w:tcPr>
          <w:p>
            <w:pPr>
              <w:jc w:val="center"/>
              <w:ind w:right="379"/>
              <w:spacing w:after="0"/>
              <w:rPr>
                <w:sz w:val="20"/>
                <w:szCs w:val="20"/>
                <w:color w:val="auto"/>
              </w:rPr>
            </w:pPr>
            <w:r>
              <w:rPr>
                <w:rFonts w:ascii="Arial" w:cs="Arial" w:eastAsia="Arial" w:hAnsi="Arial"/>
                <w:sz w:val="16"/>
                <w:szCs w:val="16"/>
                <w:b w:val="1"/>
                <w:bCs w:val="1"/>
                <w:i w:val="1"/>
                <w:iCs w:val="1"/>
                <w:color w:val="auto"/>
              </w:rPr>
              <w:t>since 2010</w:t>
            </w:r>
          </w:p>
        </w:tc>
        <w:tc>
          <w:tcPr>
            <w:tcW w:w="370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5"/>
                <w:szCs w:val="15"/>
                <w:color w:val="auto"/>
              </w:rPr>
              <w:t>served as Managing Director from April 2009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60" w:type="dxa"/>
            <w:vAlign w:val="bottom"/>
            <w:tcBorders>
              <w:left w:val="single" w:sz="8" w:color="auto"/>
            </w:tcBorders>
          </w:tcPr>
          <w:p>
            <w:pPr>
              <w:spacing w:after="0"/>
              <w:rPr>
                <w:sz w:val="8"/>
                <w:szCs w:val="8"/>
                <w:color w:val="auto"/>
              </w:rPr>
            </w:pPr>
          </w:p>
        </w:tc>
        <w:tc>
          <w:tcPr>
            <w:tcW w:w="1440" w:type="dxa"/>
            <w:vAlign w:val="bottom"/>
            <w:tcBorders>
              <w:right w:val="single" w:sz="8" w:color="auto"/>
            </w:tcBorders>
            <w:gridSpan w:val="2"/>
            <w:vMerge w:val="continue"/>
          </w:tcPr>
          <w:p>
            <w:pPr>
              <w:spacing w:after="0"/>
              <w:rPr>
                <w:sz w:val="8"/>
                <w:szCs w:val="8"/>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through December 2022. From 2005 to 2009,</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88"/>
        </w:trPr>
        <w:tc>
          <w:tcPr>
            <w:tcW w:w="460" w:type="dxa"/>
            <w:vAlign w:val="bottom"/>
            <w:tcBorders>
              <w:left w:val="single" w:sz="8" w:color="auto"/>
            </w:tcBorders>
          </w:tcPr>
          <w:p>
            <w:pPr>
              <w:spacing w:after="0"/>
              <w:rPr>
                <w:sz w:val="7"/>
                <w:szCs w:val="7"/>
                <w:color w:val="auto"/>
              </w:rPr>
            </w:pPr>
          </w:p>
        </w:tc>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w w:val="98"/>
              </w:rPr>
              <w:t>Committees</w:t>
            </w:r>
          </w:p>
        </w:tc>
        <w:tc>
          <w:tcPr>
            <w:tcW w:w="520" w:type="dxa"/>
            <w:vAlign w:val="bottom"/>
            <w:tcBorders>
              <w:right w:val="single" w:sz="8" w:color="auto"/>
            </w:tcBorders>
            <w:vMerge w:val="restart"/>
          </w:tcPr>
          <w:p>
            <w:pPr>
              <w:jc w:val="right"/>
              <w:ind w:right="379"/>
              <w:spacing w:after="0"/>
              <w:rPr>
                <w:sz w:val="20"/>
                <w:szCs w:val="20"/>
                <w:color w:val="auto"/>
              </w:rPr>
            </w:pPr>
            <w:r>
              <w:rPr>
                <w:rFonts w:ascii="Arial" w:cs="Arial" w:eastAsia="Arial" w:hAnsi="Arial"/>
                <w:sz w:val="16"/>
                <w:szCs w:val="16"/>
                <w:b w:val="1"/>
                <w:bCs w:val="1"/>
                <w:color w:val="auto"/>
                <w:w w:val="74"/>
              </w:rPr>
              <w:t>:</w:t>
            </w:r>
          </w:p>
        </w:tc>
        <w:tc>
          <w:tcPr>
            <w:tcW w:w="3700" w:type="dxa"/>
            <w:vAlign w:val="bottom"/>
            <w:tcBorders>
              <w:right w:val="single" w:sz="8" w:color="auto"/>
            </w:tcBorders>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24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460" w:type="dxa"/>
            <w:vAlign w:val="bottom"/>
            <w:tcBorders>
              <w:left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520" w:type="dxa"/>
            <w:vAlign w:val="bottom"/>
            <w:tcBorders>
              <w:right w:val="single" w:sz="8" w:color="auto"/>
            </w:tcBorders>
            <w:vMerge w:val="continue"/>
          </w:tcPr>
          <w:p>
            <w:pPr>
              <w:spacing w:after="0"/>
              <w:rPr>
                <w:sz w:val="14"/>
                <w:szCs w:val="14"/>
                <w:color w:val="auto"/>
              </w:rPr>
            </w:pPr>
          </w:p>
        </w:tc>
        <w:tc>
          <w:tcPr>
            <w:tcW w:w="3700" w:type="dxa"/>
            <w:vAlign w:val="bottom"/>
            <w:tcBorders>
              <w:right w:val="single" w:sz="8" w:color="auto"/>
            </w:tcBorders>
          </w:tcPr>
          <w:p>
            <w:pPr>
              <w:ind w:left="80"/>
              <w:spacing w:after="0" w:line="170" w:lineRule="exact"/>
              <w:rPr>
                <w:sz w:val="20"/>
                <w:szCs w:val="20"/>
                <w:color w:val="auto"/>
              </w:rPr>
            </w:pPr>
            <w:r>
              <w:rPr>
                <w:rFonts w:ascii="Arial" w:cs="Arial" w:eastAsia="Arial" w:hAnsi="Arial"/>
                <w:sz w:val="16"/>
                <w:szCs w:val="16"/>
                <w:color w:val="auto"/>
              </w:rPr>
              <w:t>Mr. Burk was the global energy practice leader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Borders>
              <w:right w:val="single" w:sz="8" w:color="auto"/>
            </w:tcBorders>
            <w:gridSpan w:val="2"/>
          </w:tcPr>
          <w:p>
            <w:pPr>
              <w:ind w:left="40"/>
              <w:spacing w:after="0" w:line="170"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88"/>
        </w:trPr>
        <w:tc>
          <w:tcPr>
            <w:tcW w:w="460" w:type="dxa"/>
            <w:vAlign w:val="bottom"/>
            <w:tcBorders>
              <w:left w:val="single" w:sz="8" w:color="auto"/>
            </w:tcBorders>
          </w:tcPr>
          <w:p>
            <w:pPr>
              <w:spacing w:after="0"/>
              <w:rPr>
                <w:sz w:val="16"/>
                <w:szCs w:val="16"/>
                <w:color w:val="auto"/>
              </w:rPr>
            </w:pPr>
          </w:p>
        </w:tc>
        <w:tc>
          <w:tcPr>
            <w:tcW w:w="1440" w:type="dxa"/>
            <w:vAlign w:val="bottom"/>
            <w:tcBorders>
              <w:right w:val="single" w:sz="8" w:color="auto"/>
            </w:tcBorders>
            <w:gridSpan w:val="2"/>
            <w:vMerge w:val="restart"/>
          </w:tcPr>
          <w:p>
            <w:pPr>
              <w:jc w:val="center"/>
              <w:ind w:right="379"/>
              <w:spacing w:after="0"/>
              <w:rPr>
                <w:sz w:val="20"/>
                <w:szCs w:val="20"/>
                <w:color w:val="auto"/>
              </w:rPr>
            </w:pPr>
            <w:r>
              <w:rPr>
                <w:rFonts w:ascii="Arial" w:cs="Arial" w:eastAsia="Arial" w:hAnsi="Arial"/>
                <w:sz w:val="16"/>
                <w:szCs w:val="16"/>
                <w:color w:val="auto"/>
                <w:w w:val="99"/>
              </w:rPr>
              <w:t>Audit (chair)</w:t>
            </w: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for Spencer Stuart, a privately owned executive</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Legal/Governance/​Government</w:t>
            </w:r>
          </w:p>
        </w:tc>
        <w:tc>
          <w:tcPr>
            <w:tcW w:w="0" w:type="dxa"/>
            <w:vAlign w:val="bottom"/>
          </w:tcPr>
          <w:p>
            <w:pPr>
              <w:spacing w:after="0"/>
              <w:rPr>
                <w:sz w:val="1"/>
                <w:szCs w:val="1"/>
                <w:color w:val="auto"/>
              </w:rPr>
            </w:pPr>
          </w:p>
        </w:tc>
      </w:tr>
      <w:tr>
        <w:trPr>
          <w:trHeight w:val="120"/>
        </w:trPr>
        <w:tc>
          <w:tcPr>
            <w:tcW w:w="460" w:type="dxa"/>
            <w:vAlign w:val="bottom"/>
            <w:tcBorders>
              <w:left w:val="single" w:sz="8" w:color="auto"/>
            </w:tcBorders>
          </w:tcPr>
          <w:p>
            <w:pPr>
              <w:spacing w:after="0"/>
              <w:rPr>
                <w:sz w:val="10"/>
                <w:szCs w:val="10"/>
                <w:color w:val="auto"/>
              </w:rPr>
            </w:pPr>
          </w:p>
        </w:tc>
        <w:tc>
          <w:tcPr>
            <w:tcW w:w="1440" w:type="dxa"/>
            <w:vAlign w:val="bottom"/>
            <w:tcBorders>
              <w:right w:val="single" w:sz="8" w:color="auto"/>
            </w:tcBorders>
            <w:gridSpan w:val="2"/>
            <w:vMerge w:val="continue"/>
          </w:tcPr>
          <w:p>
            <w:pPr>
              <w:spacing w:after="0"/>
              <w:rPr>
                <w:sz w:val="10"/>
                <w:szCs w:val="10"/>
                <w:color w:val="auto"/>
              </w:rPr>
            </w:pPr>
          </w:p>
        </w:tc>
        <w:tc>
          <w:tcPr>
            <w:tcW w:w="370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recruiting firm. Prior to joining Spencer Stuart,</w:t>
            </w:r>
          </w:p>
        </w:tc>
        <w:tc>
          <w:tcPr>
            <w:tcW w:w="200" w:type="dxa"/>
            <w:vAlign w:val="bottom"/>
            <w:gridSpan w:val="2"/>
            <w:vMerge w:val="continue"/>
          </w:tcPr>
          <w:p>
            <w:pPr>
              <w:spacing w:after="0"/>
              <w:rPr>
                <w:sz w:val="10"/>
                <w:szCs w:val="10"/>
                <w:color w:val="auto"/>
              </w:rPr>
            </w:pPr>
          </w:p>
        </w:tc>
        <w:tc>
          <w:tcPr>
            <w:tcW w:w="24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46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3700" w:type="dxa"/>
            <w:vAlign w:val="bottom"/>
            <w:tcBorders>
              <w:right w:val="single" w:sz="8" w:color="auto"/>
            </w:tcBorders>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242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Burk served as managing partner of Deloitte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&amp; Touche’s global oil and natural gas group from</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34"/>
        </w:trPr>
        <w:tc>
          <w:tcPr>
            <w:tcW w:w="460" w:type="dxa"/>
            <w:vAlign w:val="bottom"/>
            <w:tcBorders>
              <w:lef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2002 to 2005. He began his professional career</w:t>
            </w:r>
          </w:p>
        </w:tc>
        <w:tc>
          <w:tcPr>
            <w:tcW w:w="200" w:type="dxa"/>
            <w:vAlign w:val="bottom"/>
            <w:gridSpan w:val="2"/>
            <w:vMerge w:val="continue"/>
          </w:tcPr>
          <w:p>
            <w:pPr>
              <w:spacing w:after="0"/>
              <w:rPr>
                <w:sz w:val="11"/>
                <w:szCs w:val="11"/>
                <w:color w:val="auto"/>
              </w:rPr>
            </w:pPr>
          </w:p>
        </w:tc>
        <w:tc>
          <w:tcPr>
            <w:tcW w:w="24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46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370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 1972 with Arthur Andersen and served as</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5"/>
        </w:trPr>
        <w:tc>
          <w:tcPr>
            <w:tcW w:w="4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managing partner of Arthur Andersen’s global oil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natural gas group from 1989 until 2002.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Burk served on the board of directors and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audit committee of EV Energy Partners, L.P. from</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September 2006 until June 2018. Mr. Burk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served as a director and as chair of the audit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committee of PNGS GP LLC, the general partner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PAA Natural Gas Storage, L.P., from</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April 2010 through December 2013. Mr. Burk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also serves as a board member of the Sam</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Houston Area Council of the Boy Scouts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America. He received a BBA in Accounting from</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Stephen F. Austin State University, graduating</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highest honors. The Board has determined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that Mr. Burk is “independent” under applicable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Nasdaq and SEC rules and qualifies as an “Audit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Committee Financial Expert.” We believe that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Burk’s background, spanning over 30 years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extensive public accounting and consulting</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experience in the energy industry, coupled with</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his demonstrated leadership abilities, bring</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valuable experience and insight to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gridSpan w:val="2"/>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right w:val="single" w:sz="8" w:color="auto"/>
            </w:tcBorders>
            <w:gridSpan w:val="3"/>
          </w:tcPr>
          <w:p>
            <w:pPr>
              <w:jc w:val="center"/>
              <w:spacing w:after="0" w:line="155" w:lineRule="exact"/>
              <w:rPr>
                <w:sz w:val="20"/>
                <w:szCs w:val="20"/>
                <w:color w:val="auto"/>
              </w:rPr>
            </w:pPr>
            <w:r>
              <w:rPr>
                <w:rFonts w:ascii="Arial" w:cs="Arial" w:eastAsia="Arial" w:hAnsi="Arial"/>
                <w:sz w:val="16"/>
                <w:szCs w:val="16"/>
                <w:b w:val="1"/>
                <w:bCs w:val="1"/>
                <w:color w:val="auto"/>
                <w:w w:val="98"/>
              </w:rPr>
              <w:t>KEVIN S. MCCARTHY</w:t>
            </w:r>
          </w:p>
        </w:tc>
        <w:tc>
          <w:tcPr>
            <w:tcW w:w="370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i w:val="1"/>
                <w:iCs w:val="1"/>
                <w:color w:val="auto"/>
              </w:rPr>
              <w:t xml:space="preserve">Kevin S. McCarthy, age 63, </w:t>
            </w:r>
            <w:r>
              <w:rPr>
                <w:rFonts w:ascii="Arial" w:cs="Arial" w:eastAsia="Arial" w:hAnsi="Arial"/>
                <w:sz w:val="16"/>
                <w:szCs w:val="16"/>
                <w:color w:val="auto"/>
              </w:rPr>
              <w:t>has served as a</w:t>
            </w:r>
          </w:p>
        </w:tc>
        <w:tc>
          <w:tcPr>
            <w:tcW w:w="80" w:type="dxa"/>
            <w:vAlign w:val="bottom"/>
          </w:tcPr>
          <w:p>
            <w:pPr>
              <w:spacing w:after="0"/>
              <w:rPr>
                <w:sz w:val="14"/>
                <w:szCs w:val="14"/>
                <w:color w:val="auto"/>
              </w:rPr>
            </w:pPr>
          </w:p>
        </w:tc>
        <w:tc>
          <w:tcPr>
            <w:tcW w:w="2540" w:type="dxa"/>
            <w:vAlign w:val="bottom"/>
            <w:tcBorders>
              <w:right w:val="single" w:sz="8" w:color="auto"/>
            </w:tcBorders>
            <w:gridSpan w:val="3"/>
          </w:tcPr>
          <w:p>
            <w:pPr>
              <w:spacing w:after="0" w:line="155"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460" w:type="dxa"/>
            <w:vAlign w:val="bottom"/>
            <w:tcBorders>
              <w:lef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director of PAGP GP since October 2020. He</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0" w:type="dxa"/>
            <w:vAlign w:val="bottom"/>
            <w:tcBorders>
              <w:left w:val="single" w:sz="8" w:color="auto"/>
            </w:tcBorders>
          </w:tcPr>
          <w:p>
            <w:pPr>
              <w:spacing w:after="0"/>
              <w:rPr>
                <w:sz w:val="15"/>
                <w:szCs w:val="15"/>
                <w:color w:val="auto"/>
              </w:rPr>
            </w:pPr>
          </w:p>
        </w:tc>
        <w:tc>
          <w:tcPr>
            <w:tcW w:w="14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6"/>
                <w:szCs w:val="16"/>
                <w:b w:val="1"/>
                <w:bCs w:val="1"/>
                <w:color w:val="auto"/>
              </w:rPr>
              <w:t>Independent</w:t>
            </w:r>
          </w:p>
        </w:tc>
        <w:tc>
          <w:tcPr>
            <w:tcW w:w="3700" w:type="dxa"/>
            <w:vAlign w:val="bottom"/>
            <w:tcBorders>
              <w:right w:val="single" w:sz="8" w:color="auto"/>
            </w:tcBorders>
            <w:vMerge w:val="continue"/>
          </w:tcPr>
          <w:p>
            <w:pPr>
              <w:spacing w:after="0"/>
              <w:rPr>
                <w:sz w:val="15"/>
                <w:szCs w:val="15"/>
                <w:color w:val="auto"/>
              </w:rPr>
            </w:pPr>
          </w:p>
        </w:tc>
        <w:tc>
          <w:tcPr>
            <w:tcW w:w="80" w:type="dxa"/>
            <w:vAlign w:val="bottom"/>
            <w:vMerge w:val="restart"/>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1440" w:type="dxa"/>
            <w:vAlign w:val="bottom"/>
            <w:tcBorders>
              <w:right w:val="single" w:sz="8" w:color="auto"/>
            </w:tcBorders>
            <w:gridSpan w:val="2"/>
            <w:vMerge w:val="continue"/>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currently serves as Vice Chairman at Kayne</w:t>
            </w:r>
          </w:p>
        </w:tc>
        <w:tc>
          <w:tcPr>
            <w:tcW w:w="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2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Anderson, where he co-founded the firm’s</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34"/>
        </w:trPr>
        <w:tc>
          <w:tcPr>
            <w:tcW w:w="460" w:type="dxa"/>
            <w:vAlign w:val="bottom"/>
            <w:tcBorders>
              <w:left w:val="single" w:sz="8" w:color="auto"/>
            </w:tcBorders>
          </w:tcPr>
          <w:p>
            <w:pPr>
              <w:spacing w:after="0"/>
              <w:rPr>
                <w:sz w:val="11"/>
                <w:szCs w:val="11"/>
                <w:color w:val="auto"/>
              </w:rPr>
            </w:pPr>
          </w:p>
        </w:tc>
        <w:tc>
          <w:tcPr>
            <w:tcW w:w="1440" w:type="dxa"/>
            <w:vAlign w:val="bottom"/>
            <w:tcBorders>
              <w:right w:val="single" w:sz="8" w:color="auto"/>
            </w:tcBorders>
            <w:gridSpan w:val="2"/>
            <w:vMerge w:val="restart"/>
          </w:tcPr>
          <w:p>
            <w:pPr>
              <w:jc w:val="center"/>
              <w:ind w:right="379"/>
              <w:spacing w:after="0"/>
              <w:rPr>
                <w:sz w:val="20"/>
                <w:szCs w:val="20"/>
                <w:color w:val="auto"/>
              </w:rPr>
            </w:pPr>
            <w:r>
              <w:rPr>
                <w:rFonts w:ascii="Arial" w:cs="Arial" w:eastAsia="Arial" w:hAnsi="Arial"/>
                <w:sz w:val="16"/>
                <w:szCs w:val="16"/>
                <w:b w:val="1"/>
                <w:bCs w:val="1"/>
                <w:i w:val="1"/>
                <w:iCs w:val="1"/>
                <w:color w:val="auto"/>
              </w:rPr>
              <w:t>since 2020</w:t>
            </w:r>
          </w:p>
        </w:tc>
        <w:tc>
          <w:tcPr>
            <w:tcW w:w="370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5"/>
                <w:szCs w:val="15"/>
                <w:color w:val="auto"/>
              </w:rPr>
              <w:t>energy infrastructure securities activities,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60" w:type="dxa"/>
            <w:vAlign w:val="bottom"/>
            <w:tcBorders>
              <w:left w:val="single" w:sz="8" w:color="auto"/>
            </w:tcBorders>
          </w:tcPr>
          <w:p>
            <w:pPr>
              <w:spacing w:after="0"/>
              <w:rPr>
                <w:sz w:val="8"/>
                <w:szCs w:val="8"/>
                <w:color w:val="auto"/>
              </w:rPr>
            </w:pPr>
          </w:p>
        </w:tc>
        <w:tc>
          <w:tcPr>
            <w:tcW w:w="1440" w:type="dxa"/>
            <w:vAlign w:val="bottom"/>
            <w:tcBorders>
              <w:right w:val="single" w:sz="8" w:color="auto"/>
            </w:tcBorders>
            <w:gridSpan w:val="2"/>
            <w:vMerge w:val="continue"/>
          </w:tcPr>
          <w:p>
            <w:pPr>
              <w:spacing w:after="0"/>
              <w:rPr>
                <w:sz w:val="8"/>
                <w:szCs w:val="8"/>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served as CEO and Chairman of the Board of</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88"/>
        </w:trPr>
        <w:tc>
          <w:tcPr>
            <w:tcW w:w="460" w:type="dxa"/>
            <w:vAlign w:val="bottom"/>
            <w:tcBorders>
              <w:left w:val="single" w:sz="8" w:color="auto"/>
            </w:tcBorders>
          </w:tcPr>
          <w:p>
            <w:pPr>
              <w:spacing w:after="0"/>
              <w:rPr>
                <w:sz w:val="7"/>
                <w:szCs w:val="7"/>
                <w:color w:val="auto"/>
              </w:rPr>
            </w:pPr>
          </w:p>
        </w:tc>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w w:val="98"/>
              </w:rPr>
              <w:t>Committees</w:t>
            </w:r>
          </w:p>
        </w:tc>
        <w:tc>
          <w:tcPr>
            <w:tcW w:w="520" w:type="dxa"/>
            <w:vAlign w:val="bottom"/>
            <w:tcBorders>
              <w:right w:val="single" w:sz="8" w:color="auto"/>
            </w:tcBorders>
            <w:vMerge w:val="restart"/>
          </w:tcPr>
          <w:p>
            <w:pPr>
              <w:jc w:val="right"/>
              <w:ind w:right="379"/>
              <w:spacing w:after="0"/>
              <w:rPr>
                <w:sz w:val="20"/>
                <w:szCs w:val="20"/>
                <w:color w:val="auto"/>
              </w:rPr>
            </w:pPr>
            <w:r>
              <w:rPr>
                <w:rFonts w:ascii="Arial" w:cs="Arial" w:eastAsia="Arial" w:hAnsi="Arial"/>
                <w:sz w:val="16"/>
                <w:szCs w:val="16"/>
                <w:b w:val="1"/>
                <w:bCs w:val="1"/>
                <w:color w:val="auto"/>
                <w:w w:val="74"/>
              </w:rPr>
              <w:t>:</w:t>
            </w:r>
          </w:p>
        </w:tc>
        <w:tc>
          <w:tcPr>
            <w:tcW w:w="3700" w:type="dxa"/>
            <w:vAlign w:val="bottom"/>
            <w:tcBorders>
              <w:right w:val="single" w:sz="8" w:color="auto"/>
            </w:tcBorders>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24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460" w:type="dxa"/>
            <w:vAlign w:val="bottom"/>
            <w:tcBorders>
              <w:left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520" w:type="dxa"/>
            <w:vAlign w:val="bottom"/>
            <w:tcBorders>
              <w:right w:val="single" w:sz="8" w:color="auto"/>
            </w:tcBorders>
            <w:vMerge w:val="continue"/>
          </w:tcPr>
          <w:p>
            <w:pPr>
              <w:spacing w:after="0"/>
              <w:rPr>
                <w:sz w:val="14"/>
                <w:szCs w:val="14"/>
                <w:color w:val="auto"/>
              </w:rPr>
            </w:pPr>
          </w:p>
        </w:tc>
        <w:tc>
          <w:tcPr>
            <w:tcW w:w="3700" w:type="dxa"/>
            <w:vAlign w:val="bottom"/>
            <w:tcBorders>
              <w:right w:val="single" w:sz="8" w:color="auto"/>
            </w:tcBorders>
          </w:tcPr>
          <w:p>
            <w:pPr>
              <w:ind w:left="80"/>
              <w:spacing w:after="0" w:line="170" w:lineRule="exact"/>
              <w:rPr>
                <w:sz w:val="20"/>
                <w:szCs w:val="20"/>
                <w:color w:val="auto"/>
              </w:rPr>
            </w:pPr>
            <w:r>
              <w:rPr>
                <w:rFonts w:ascii="Arial" w:cs="Arial" w:eastAsia="Arial" w:hAnsi="Arial"/>
                <w:sz w:val="16"/>
                <w:szCs w:val="16"/>
                <w:color w:val="auto"/>
              </w:rPr>
              <w:t>Directors for Kayne Anderson’s closed-end funds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Borders>
              <w:right w:val="single" w:sz="8" w:color="auto"/>
            </w:tcBorders>
            <w:gridSpan w:val="2"/>
          </w:tcPr>
          <w:p>
            <w:pPr>
              <w:ind w:left="40"/>
              <w:spacing w:after="0" w:line="170"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88"/>
        </w:trPr>
        <w:tc>
          <w:tcPr>
            <w:tcW w:w="460" w:type="dxa"/>
            <w:vAlign w:val="bottom"/>
            <w:tcBorders>
              <w:left w:val="single" w:sz="8" w:color="auto"/>
            </w:tcBorders>
          </w:tcPr>
          <w:p>
            <w:pPr>
              <w:spacing w:after="0"/>
              <w:rPr>
                <w:sz w:val="16"/>
                <w:szCs w:val="16"/>
                <w:color w:val="auto"/>
              </w:rPr>
            </w:pPr>
          </w:p>
        </w:tc>
        <w:tc>
          <w:tcPr>
            <w:tcW w:w="1440" w:type="dxa"/>
            <w:vAlign w:val="bottom"/>
            <w:tcBorders>
              <w:right w:val="single" w:sz="8" w:color="auto"/>
            </w:tcBorders>
            <w:gridSpan w:val="2"/>
            <w:vMerge w:val="restart"/>
          </w:tcPr>
          <w:p>
            <w:pPr>
              <w:jc w:val="center"/>
              <w:ind w:right="359"/>
              <w:spacing w:after="0"/>
              <w:rPr>
                <w:sz w:val="20"/>
                <w:szCs w:val="20"/>
                <w:color w:val="auto"/>
              </w:rPr>
            </w:pPr>
            <w:r>
              <w:rPr>
                <w:rFonts w:ascii="Arial" w:cs="Arial" w:eastAsia="Arial" w:hAnsi="Arial"/>
                <w:sz w:val="16"/>
                <w:szCs w:val="16"/>
                <w:color w:val="auto"/>
              </w:rPr>
              <w:t>Governance</w:t>
            </w: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2004 through July 2019. Prior to joining</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Legal/Governance/​Government</w:t>
            </w:r>
          </w:p>
        </w:tc>
        <w:tc>
          <w:tcPr>
            <w:tcW w:w="0" w:type="dxa"/>
            <w:vAlign w:val="bottom"/>
          </w:tcPr>
          <w:p>
            <w:pPr>
              <w:spacing w:after="0"/>
              <w:rPr>
                <w:sz w:val="1"/>
                <w:szCs w:val="1"/>
                <w:color w:val="auto"/>
              </w:rPr>
            </w:pPr>
          </w:p>
        </w:tc>
      </w:tr>
      <w:tr>
        <w:trPr>
          <w:trHeight w:val="120"/>
        </w:trPr>
        <w:tc>
          <w:tcPr>
            <w:tcW w:w="460" w:type="dxa"/>
            <w:vAlign w:val="bottom"/>
            <w:tcBorders>
              <w:left w:val="single" w:sz="8" w:color="auto"/>
            </w:tcBorders>
          </w:tcPr>
          <w:p>
            <w:pPr>
              <w:spacing w:after="0"/>
              <w:rPr>
                <w:sz w:val="10"/>
                <w:szCs w:val="10"/>
                <w:color w:val="auto"/>
              </w:rPr>
            </w:pPr>
          </w:p>
        </w:tc>
        <w:tc>
          <w:tcPr>
            <w:tcW w:w="1440" w:type="dxa"/>
            <w:vAlign w:val="bottom"/>
            <w:tcBorders>
              <w:right w:val="single" w:sz="8" w:color="auto"/>
            </w:tcBorders>
            <w:gridSpan w:val="2"/>
            <w:vMerge w:val="continue"/>
          </w:tcPr>
          <w:p>
            <w:pPr>
              <w:spacing w:after="0"/>
              <w:rPr>
                <w:sz w:val="10"/>
                <w:szCs w:val="10"/>
                <w:color w:val="auto"/>
              </w:rPr>
            </w:pPr>
          </w:p>
        </w:tc>
        <w:tc>
          <w:tcPr>
            <w:tcW w:w="370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Kayne Anderson in 2004, Mr. McCarthy was</w:t>
            </w:r>
          </w:p>
        </w:tc>
        <w:tc>
          <w:tcPr>
            <w:tcW w:w="200" w:type="dxa"/>
            <w:vAlign w:val="bottom"/>
            <w:gridSpan w:val="2"/>
            <w:vMerge w:val="continue"/>
          </w:tcPr>
          <w:p>
            <w:pPr>
              <w:spacing w:after="0"/>
              <w:rPr>
                <w:sz w:val="10"/>
                <w:szCs w:val="10"/>
                <w:color w:val="auto"/>
              </w:rPr>
            </w:pPr>
          </w:p>
        </w:tc>
        <w:tc>
          <w:tcPr>
            <w:tcW w:w="24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46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3700" w:type="dxa"/>
            <w:vAlign w:val="bottom"/>
            <w:tcBorders>
              <w:right w:val="single" w:sz="8" w:color="auto"/>
            </w:tcBorders>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242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global head of energy investment banking at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UBS Securities LLC and held similar positions at</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34"/>
        </w:trPr>
        <w:tc>
          <w:tcPr>
            <w:tcW w:w="460" w:type="dxa"/>
            <w:vAlign w:val="bottom"/>
            <w:tcBorders>
              <w:lef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37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PaineWebber Incorporated and Dean Witter</w:t>
            </w:r>
          </w:p>
        </w:tc>
        <w:tc>
          <w:tcPr>
            <w:tcW w:w="200" w:type="dxa"/>
            <w:vAlign w:val="bottom"/>
            <w:gridSpan w:val="2"/>
            <w:vMerge w:val="continue"/>
          </w:tcPr>
          <w:p>
            <w:pPr>
              <w:spacing w:after="0"/>
              <w:rPr>
                <w:sz w:val="11"/>
                <w:szCs w:val="11"/>
                <w:color w:val="auto"/>
              </w:rPr>
            </w:pPr>
          </w:p>
        </w:tc>
        <w:tc>
          <w:tcPr>
            <w:tcW w:w="24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46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370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Reynolds. Mr. McCarthy serves as a director of</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75"/>
        </w:trPr>
        <w:tc>
          <w:tcPr>
            <w:tcW w:w="46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7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Kinetik Holdings Inc. and Chord Energy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Corporation (formerly Whiting Petroleum</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Corporation), and previously served as a director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Range Resources Corporation, ONEOK, Inc.,</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Emerge Energy Services LP and K-Sea</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Transportation Partners L.P. He also sits on the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of directors of the Gladney Fund.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McCarthy earned a BA in economics and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geology from Amherst College and an MBA in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Finance from the Wharton School at the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University of Pennsylvania. The Board has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determined that Mr. McCarthy is “independent”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under applicable Nasdaq and SEC rules.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McCarthy’s extensive investment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management background and involvement in the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energy sector, along with the breadth and depth</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his market and industry knowledge, brings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substantial experience, insight and skill to the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460" w:type="dxa"/>
            <w:vAlign w:val="bottom"/>
            <w:tcBorders>
              <w:left w:val="single" w:sz="8" w:color="auto"/>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30"/>
        </w:trPr>
        <w:tc>
          <w:tcPr>
            <w:tcW w:w="192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7"/>
              </w:rPr>
              <w:t>HARRY N. PEFANIS</w:t>
            </w:r>
          </w:p>
        </w:tc>
        <w:tc>
          <w:tcPr>
            <w:tcW w:w="36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Harry N. Pefanis, age 65, </w:t>
            </w:r>
            <w:r>
              <w:rPr>
                <w:rFonts w:ascii="Arial" w:cs="Arial" w:eastAsia="Arial" w:hAnsi="Arial"/>
                <w:sz w:val="16"/>
                <w:szCs w:val="16"/>
                <w:color w:val="auto"/>
              </w:rPr>
              <w:t>has served as a</w:t>
            </w:r>
          </w:p>
        </w:tc>
        <w:tc>
          <w:tcPr>
            <w:tcW w:w="80" w:type="dxa"/>
            <w:vAlign w:val="bottom"/>
            <w:tcBorders>
              <w:top w:val="single" w:sz="8" w:color="auto"/>
            </w:tcBorders>
          </w:tcPr>
          <w:p>
            <w:pPr>
              <w:spacing w:after="0"/>
              <w:rPr>
                <w:sz w:val="19"/>
                <w:szCs w:val="19"/>
                <w:color w:val="auto"/>
              </w:rPr>
            </w:pPr>
          </w:p>
        </w:tc>
        <w:tc>
          <w:tcPr>
            <w:tcW w:w="25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480" w:type="dxa"/>
            <w:vAlign w:val="bottom"/>
            <w:tcBorders>
              <w:lef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director of PAGP GP since February 2017 and</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Not Independent</w:t>
            </w:r>
          </w:p>
        </w:tc>
        <w:tc>
          <w:tcPr>
            <w:tcW w:w="3680" w:type="dxa"/>
            <w:vAlign w:val="bottom"/>
            <w:tcBorders>
              <w:right w:val="single" w:sz="8" w:color="auto"/>
            </w:tcBorders>
            <w:vMerge w:val="continue"/>
          </w:tcPr>
          <w:p>
            <w:pPr>
              <w:spacing w:after="0"/>
              <w:rPr>
                <w:sz w:val="18"/>
                <w:szCs w:val="18"/>
                <w:color w:val="auto"/>
              </w:rPr>
            </w:pPr>
          </w:p>
        </w:tc>
        <w:tc>
          <w:tcPr>
            <w:tcW w:w="80" w:type="dxa"/>
            <w:vAlign w:val="bottom"/>
            <w:vMerge w:val="restart"/>
          </w:tcPr>
          <w:p>
            <w:pPr>
              <w:spacing w:after="0"/>
              <w:rPr>
                <w:sz w:val="18"/>
                <w:szCs w:val="18"/>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42"/>
        </w:trPr>
        <w:tc>
          <w:tcPr>
            <w:tcW w:w="1920" w:type="dxa"/>
            <w:vAlign w:val="bottom"/>
            <w:tcBorders>
              <w:left w:val="single" w:sz="8" w:color="auto"/>
              <w:right w:val="single" w:sz="8" w:color="auto"/>
            </w:tcBorders>
            <w:gridSpan w:val="3"/>
            <w:vMerge w:val="continue"/>
          </w:tcPr>
          <w:p>
            <w:pPr>
              <w:spacing w:after="0"/>
              <w:rPr>
                <w:sz w:val="12"/>
                <w:szCs w:val="12"/>
                <w:color w:val="auto"/>
              </w:rPr>
            </w:pPr>
          </w:p>
        </w:tc>
        <w:tc>
          <w:tcPr>
            <w:tcW w:w="3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as President of PAGP GP and GP LLC since</w:t>
            </w:r>
          </w:p>
        </w:tc>
        <w:tc>
          <w:tcPr>
            <w:tcW w:w="8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4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8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36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March 2021. He previously served as President</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88"/>
        </w:trPr>
        <w:tc>
          <w:tcPr>
            <w:tcW w:w="480" w:type="dxa"/>
            <w:vAlign w:val="bottom"/>
            <w:tcBorders>
              <w:left w:val="single" w:sz="8" w:color="auto"/>
            </w:tcBorders>
          </w:tcPr>
          <w:p>
            <w:pPr>
              <w:spacing w:after="0"/>
              <w:rPr>
                <w:sz w:val="16"/>
                <w:szCs w:val="16"/>
                <w:color w:val="auto"/>
              </w:rPr>
            </w:pPr>
          </w:p>
        </w:tc>
        <w:tc>
          <w:tcPr>
            <w:tcW w:w="144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i w:val="1"/>
                <w:iCs w:val="1"/>
                <w:color w:val="auto"/>
              </w:rPr>
              <w:t>since 2017</w:t>
            </w: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Chief Commercial Officer of PAGP GP and</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63"/>
        </w:trPr>
        <w:tc>
          <w:tcPr>
            <w:tcW w:w="480" w:type="dxa"/>
            <w:vAlign w:val="bottom"/>
            <w:tcBorders>
              <w:left w:val="single" w:sz="8" w:color="auto"/>
            </w:tcBorders>
          </w:tcPr>
          <w:p>
            <w:pPr>
              <w:spacing w:after="0"/>
              <w:rPr>
                <w:sz w:val="14"/>
                <w:szCs w:val="14"/>
                <w:color w:val="auto"/>
              </w:rPr>
            </w:pPr>
          </w:p>
        </w:tc>
        <w:tc>
          <w:tcPr>
            <w:tcW w:w="1440" w:type="dxa"/>
            <w:vAlign w:val="bottom"/>
            <w:tcBorders>
              <w:right w:val="single" w:sz="8" w:color="auto"/>
            </w:tcBorders>
            <w:gridSpan w:val="2"/>
            <w:vMerge w:val="restart"/>
          </w:tcPr>
          <w:p>
            <w:pPr>
              <w:jc w:val="center"/>
              <w:ind w:right="460"/>
              <w:spacing w:after="0"/>
              <w:rPr>
                <w:sz w:val="20"/>
                <w:szCs w:val="20"/>
                <w:color w:val="auto"/>
              </w:rPr>
            </w:pPr>
            <w:r>
              <w:rPr>
                <w:rFonts w:ascii="Arial" w:cs="Arial" w:eastAsia="Arial" w:hAnsi="Arial"/>
                <w:sz w:val="16"/>
                <w:szCs w:val="16"/>
                <w:b w:val="1"/>
                <w:bCs w:val="1"/>
                <w:i w:val="1"/>
                <w:iCs w:val="1"/>
                <w:color w:val="auto"/>
              </w:rPr>
              <w:t>President</w:t>
            </w:r>
          </w:p>
        </w:tc>
        <w:tc>
          <w:tcPr>
            <w:tcW w:w="36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GP LLC from January 2018 until March 2021. He</w:t>
            </w:r>
          </w:p>
        </w:tc>
        <w:tc>
          <w:tcPr>
            <w:tcW w:w="200" w:type="dxa"/>
            <w:vAlign w:val="bottom"/>
            <w:gridSpan w:val="2"/>
            <w:vMerge w:val="continue"/>
          </w:tcPr>
          <w:p>
            <w:pPr>
              <w:spacing w:after="0"/>
              <w:rPr>
                <w:sz w:val="14"/>
                <w:szCs w:val="14"/>
                <w:color w:val="auto"/>
              </w:rPr>
            </w:pPr>
          </w:p>
        </w:tc>
        <w:tc>
          <w:tcPr>
            <w:tcW w:w="24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80" w:type="dxa"/>
            <w:vAlign w:val="bottom"/>
            <w:tcBorders>
              <w:left w:val="single" w:sz="8" w:color="auto"/>
            </w:tcBorders>
          </w:tcPr>
          <w:p>
            <w:pPr>
              <w:spacing w:after="0"/>
              <w:rPr>
                <w:sz w:val="19"/>
                <w:szCs w:val="19"/>
                <w:color w:val="auto"/>
              </w:rPr>
            </w:pPr>
          </w:p>
        </w:tc>
        <w:tc>
          <w:tcPr>
            <w:tcW w:w="1440" w:type="dxa"/>
            <w:vAlign w:val="bottom"/>
            <w:tcBorders>
              <w:right w:val="single" w:sz="8" w:color="auto"/>
            </w:tcBorders>
            <w:gridSpan w:val="2"/>
            <w:vMerge w:val="continue"/>
          </w:tcPr>
          <w:p>
            <w:pPr>
              <w:spacing w:after="0"/>
              <w:rPr>
                <w:sz w:val="19"/>
                <w:szCs w:val="19"/>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served as President and Chief Operating Officer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210"/>
        </w:trPr>
        <w:tc>
          <w:tcPr>
            <w:tcW w:w="480" w:type="dxa"/>
            <w:vAlign w:val="bottom"/>
            <w:tcBorders>
              <w:left w:val="single" w:sz="8" w:color="auto"/>
            </w:tcBorders>
          </w:tcPr>
          <w:p>
            <w:pPr>
              <w:spacing w:after="0"/>
              <w:rPr>
                <w:sz w:val="18"/>
                <w:szCs w:val="18"/>
                <w:color w:val="auto"/>
              </w:rPr>
            </w:pPr>
          </w:p>
        </w:tc>
        <w:tc>
          <w:tcPr>
            <w:tcW w:w="144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6"/>
                <w:szCs w:val="16"/>
                <w:b w:val="1"/>
                <w:bCs w:val="1"/>
                <w:color w:val="auto"/>
                <w:w w:val="99"/>
              </w:rPr>
              <w:t>Committees:</w:t>
            </w: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GP LLC from PAA’s formation in 1998 through</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Legal/Governance/​Government</w:t>
            </w:r>
          </w:p>
        </w:tc>
        <w:tc>
          <w:tcPr>
            <w:tcW w:w="0" w:type="dxa"/>
            <w:vAlign w:val="bottom"/>
          </w:tcPr>
          <w:p>
            <w:pPr>
              <w:spacing w:after="0"/>
              <w:rPr>
                <w:sz w:val="1"/>
                <w:szCs w:val="1"/>
                <w:color w:val="auto"/>
              </w:rPr>
            </w:pPr>
          </w:p>
        </w:tc>
      </w:tr>
      <w:tr>
        <w:trPr>
          <w:trHeight w:val="67"/>
        </w:trPr>
        <w:tc>
          <w:tcPr>
            <w:tcW w:w="480" w:type="dxa"/>
            <w:vAlign w:val="bottom"/>
            <w:tcBorders>
              <w:left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3680" w:type="dxa"/>
            <w:vAlign w:val="bottom"/>
            <w:tcBorders>
              <w:right w:val="single" w:sz="8" w:color="auto"/>
            </w:tcBorders>
            <w:vMerge w:val="restart"/>
          </w:tcPr>
          <w:p>
            <w:pPr>
              <w:ind w:left="80"/>
              <w:spacing w:after="0" w:line="161" w:lineRule="exact"/>
              <w:rPr>
                <w:sz w:val="20"/>
                <w:szCs w:val="20"/>
                <w:color w:val="auto"/>
              </w:rPr>
            </w:pPr>
            <w:r>
              <w:rPr>
                <w:rFonts w:ascii="Arial" w:cs="Arial" w:eastAsia="Arial" w:hAnsi="Arial"/>
                <w:sz w:val="16"/>
                <w:szCs w:val="16"/>
                <w:color w:val="auto"/>
              </w:rPr>
              <w:t>December 2017, and as President and Chief</w:t>
            </w:r>
          </w:p>
        </w:tc>
        <w:tc>
          <w:tcPr>
            <w:tcW w:w="200" w:type="dxa"/>
            <w:vAlign w:val="bottom"/>
            <w:gridSpan w:val="2"/>
            <w:vMerge w:val="continue"/>
          </w:tcPr>
          <w:p>
            <w:pPr>
              <w:spacing w:after="0"/>
              <w:rPr>
                <w:sz w:val="5"/>
                <w:szCs w:val="5"/>
                <w:color w:val="auto"/>
              </w:rPr>
            </w:pPr>
          </w:p>
        </w:tc>
        <w:tc>
          <w:tcPr>
            <w:tcW w:w="24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80" w:type="dxa"/>
            <w:vAlign w:val="bottom"/>
            <w:tcBorders>
              <w:left w:val="single" w:sz="8" w:color="auto"/>
            </w:tcBorders>
          </w:tcPr>
          <w:p>
            <w:pPr>
              <w:spacing w:after="0"/>
              <w:rPr>
                <w:sz w:val="8"/>
                <w:szCs w:val="8"/>
                <w:color w:val="auto"/>
              </w:rPr>
            </w:pPr>
          </w:p>
        </w:tc>
        <w:tc>
          <w:tcPr>
            <w:tcW w:w="1440" w:type="dxa"/>
            <w:vAlign w:val="bottom"/>
            <w:tcBorders>
              <w:right w:val="single" w:sz="8" w:color="auto"/>
            </w:tcBorders>
            <w:gridSpan w:val="2"/>
            <w:vMerge w:val="restart"/>
          </w:tcPr>
          <w:p>
            <w:pPr>
              <w:jc w:val="center"/>
              <w:ind w:right="440"/>
              <w:spacing w:after="0"/>
              <w:rPr>
                <w:sz w:val="20"/>
                <w:szCs w:val="20"/>
                <w:color w:val="auto"/>
              </w:rPr>
            </w:pPr>
            <w:r>
              <w:rPr>
                <w:rFonts w:ascii="Arial" w:cs="Arial" w:eastAsia="Arial" w:hAnsi="Arial"/>
                <w:sz w:val="16"/>
                <w:szCs w:val="16"/>
                <w:color w:val="auto"/>
              </w:rPr>
              <w:t>None</w:t>
            </w:r>
          </w:p>
        </w:tc>
        <w:tc>
          <w:tcPr>
            <w:tcW w:w="368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1440" w:type="dxa"/>
            <w:vAlign w:val="bottom"/>
            <w:tcBorders>
              <w:right w:val="single" w:sz="8" w:color="auto"/>
            </w:tcBorders>
            <w:gridSpan w:val="2"/>
            <w:vMerge w:val="continue"/>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Operating Officer of PAGP GP from July 2013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through December 2017. He was also a director</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3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of PAA’s former general partner. In addition, he</w:t>
            </w:r>
          </w:p>
        </w:tc>
        <w:tc>
          <w:tcPr>
            <w:tcW w:w="200" w:type="dxa"/>
            <w:vAlign w:val="bottom"/>
            <w:gridSpan w:val="2"/>
            <w:vMerge w:val="continue"/>
          </w:tcPr>
          <w:p>
            <w:pPr>
              <w:spacing w:after="0"/>
              <w:rPr>
                <w:sz w:val="4"/>
                <w:szCs w:val="4"/>
                <w:color w:val="auto"/>
              </w:rPr>
            </w:pPr>
          </w:p>
        </w:tc>
        <w:tc>
          <w:tcPr>
            <w:tcW w:w="242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480" w:type="dxa"/>
            <w:vAlign w:val="bottom"/>
            <w:tcBorders>
              <w:lef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368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3680" w:type="dxa"/>
            <w:vAlign w:val="bottom"/>
            <w:tcBorders>
              <w:right w:val="single" w:sz="8" w:color="auto"/>
            </w:tcBorders>
            <w:vMerge w:val="restart"/>
          </w:tcPr>
          <w:p>
            <w:pPr>
              <w:ind w:left="80"/>
              <w:spacing w:after="0" w:line="177" w:lineRule="exact"/>
              <w:rPr>
                <w:sz w:val="20"/>
                <w:szCs w:val="20"/>
                <w:color w:val="auto"/>
              </w:rPr>
            </w:pPr>
            <w:r>
              <w:rPr>
                <w:rFonts w:ascii="Arial" w:cs="Arial" w:eastAsia="Arial" w:hAnsi="Arial"/>
                <w:sz w:val="16"/>
                <w:szCs w:val="16"/>
                <w:color w:val="auto"/>
              </w:rPr>
              <w:t>was Executive Vice President — Midstream of</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48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680" w:type="dxa"/>
            <w:vAlign w:val="bottom"/>
            <w:tcBorders>
              <w:right w:val="single" w:sz="8" w:color="auto"/>
            </w:tcBorders>
            <w:vMerge w:val="continue"/>
          </w:tcPr>
          <w:p>
            <w:pPr>
              <w:spacing w:after="0"/>
              <w:rPr>
                <w:sz w:val="10"/>
                <w:szCs w:val="10"/>
                <w:color w:val="auto"/>
              </w:rPr>
            </w:pP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Plains Resources from May 1998 to May 2001.</w:t>
            </w:r>
          </w:p>
        </w:tc>
        <w:tc>
          <w:tcPr>
            <w:tcW w:w="200" w:type="dxa"/>
            <w:vAlign w:val="bottom"/>
            <w:gridSpan w:val="2"/>
            <w:vMerge w:val="continue"/>
          </w:tcPr>
          <w:p>
            <w:pPr>
              <w:spacing w:after="0"/>
              <w:rPr>
                <w:sz w:val="16"/>
                <w:szCs w:val="16"/>
                <w:color w:val="auto"/>
              </w:rPr>
            </w:pPr>
          </w:p>
        </w:tc>
        <w:tc>
          <w:tcPr>
            <w:tcW w:w="242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He previously served Plains Resources as:</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20"/>
        </w:trPr>
        <w:tc>
          <w:tcPr>
            <w:tcW w:w="48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Senior Vice President from February 1996 until</w:t>
            </w:r>
          </w:p>
        </w:tc>
        <w:tc>
          <w:tcPr>
            <w:tcW w:w="200" w:type="dxa"/>
            <w:vAlign w:val="bottom"/>
            <w:gridSpan w:val="2"/>
            <w:vMerge w:val="continue"/>
          </w:tcPr>
          <w:p>
            <w:pPr>
              <w:spacing w:after="0"/>
              <w:rPr>
                <w:sz w:val="10"/>
                <w:szCs w:val="10"/>
                <w:color w:val="auto"/>
              </w:rPr>
            </w:pPr>
          </w:p>
        </w:tc>
        <w:tc>
          <w:tcPr>
            <w:tcW w:w="24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48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36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May 1998; Vice President — Products Marketing</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1988 to February 1996; Manager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Products Marketing from 1987 to 1988; and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Special Assistant for Corporate Planning from</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1983 to 1987. Mr. Pefanis was also President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several former midstream subsidiaries of Plains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Resources prior to PAA’s formation. Mr. Pefanis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served as a director of Oasis Midstream</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Partners, L.P. from July 2018 until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February 2022. He is also a director of the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Memorial Hermann Foundation and a trustee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University of Oklahoma Foundation.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Pefanis’s involvement with PAA since its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formation and his considerable operational,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commercial, accounting and financial experience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brings important and valuable skills to the Board.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480" w:type="dxa"/>
            <w:vAlign w:val="bottom"/>
            <w:tcBorders>
              <w:left w:val="single" w:sz="8" w:color="auto"/>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gridSpan w:val="2"/>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920" w:type="dxa"/>
            <w:vAlign w:val="bottom"/>
            <w:tcBorders>
              <w:left w:val="single" w:sz="8" w:color="auto"/>
              <w:right w:val="single" w:sz="8" w:color="auto"/>
            </w:tcBorders>
            <w:gridSpan w:val="3"/>
          </w:tcPr>
          <w:p>
            <w:pPr>
              <w:jc w:val="center"/>
              <w:spacing w:after="0" w:line="155" w:lineRule="exact"/>
              <w:rPr>
                <w:sz w:val="20"/>
                <w:szCs w:val="20"/>
                <w:color w:val="auto"/>
              </w:rPr>
            </w:pPr>
            <w:r>
              <w:rPr>
                <w:rFonts w:ascii="Arial" w:cs="Arial" w:eastAsia="Arial" w:hAnsi="Arial"/>
                <w:sz w:val="16"/>
                <w:szCs w:val="16"/>
                <w:b w:val="1"/>
                <w:bCs w:val="1"/>
                <w:color w:val="auto"/>
                <w:w w:val="99"/>
              </w:rPr>
              <w:t>GARY R. PETERSEN</w:t>
            </w:r>
          </w:p>
        </w:tc>
        <w:tc>
          <w:tcPr>
            <w:tcW w:w="36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i w:val="1"/>
                <w:iCs w:val="1"/>
                <w:color w:val="auto"/>
              </w:rPr>
              <w:t xml:space="preserve">Gary R. Petersen, age 76, </w:t>
            </w:r>
            <w:r>
              <w:rPr>
                <w:rFonts w:ascii="Arial" w:cs="Arial" w:eastAsia="Arial" w:hAnsi="Arial"/>
                <w:sz w:val="16"/>
                <w:szCs w:val="16"/>
                <w:color w:val="auto"/>
              </w:rPr>
              <w:t>has served as a</w:t>
            </w:r>
          </w:p>
        </w:tc>
        <w:tc>
          <w:tcPr>
            <w:tcW w:w="80" w:type="dxa"/>
            <w:vAlign w:val="bottom"/>
          </w:tcPr>
          <w:p>
            <w:pPr>
              <w:spacing w:after="0"/>
              <w:rPr>
                <w:sz w:val="14"/>
                <w:szCs w:val="14"/>
                <w:color w:val="auto"/>
              </w:rPr>
            </w:pPr>
          </w:p>
        </w:tc>
        <w:tc>
          <w:tcPr>
            <w:tcW w:w="2540" w:type="dxa"/>
            <w:vAlign w:val="bottom"/>
            <w:tcBorders>
              <w:right w:val="single" w:sz="8" w:color="auto"/>
            </w:tcBorders>
            <w:gridSpan w:val="3"/>
          </w:tcPr>
          <w:p>
            <w:pPr>
              <w:spacing w:after="0" w:line="155"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480" w:type="dxa"/>
            <w:vAlign w:val="bottom"/>
            <w:tcBorders>
              <w:lef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director of PAGP GP since November 2016. He</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Borders>
              <w:left w:val="single" w:sz="8" w:color="auto"/>
            </w:tcBorders>
          </w:tcPr>
          <w:p>
            <w:pPr>
              <w:spacing w:after="0"/>
              <w:rPr>
                <w:sz w:val="18"/>
                <w:szCs w:val="18"/>
                <w:color w:val="auto"/>
              </w:rPr>
            </w:pPr>
          </w:p>
        </w:tc>
        <w:tc>
          <w:tcPr>
            <w:tcW w:w="1440" w:type="dxa"/>
            <w:vAlign w:val="bottom"/>
            <w:tcBorders>
              <w:right w:val="single" w:sz="8" w:color="auto"/>
            </w:tcBorders>
            <w:gridSpan w:val="2"/>
            <w:vMerge w:val="restart"/>
          </w:tcPr>
          <w:p>
            <w:pPr>
              <w:jc w:val="center"/>
              <w:ind w:right="440"/>
              <w:spacing w:after="0"/>
              <w:rPr>
                <w:sz w:val="20"/>
                <w:szCs w:val="20"/>
                <w:color w:val="auto"/>
              </w:rPr>
            </w:pPr>
            <w:r>
              <w:rPr>
                <w:rFonts w:ascii="Arial" w:cs="Arial" w:eastAsia="Arial" w:hAnsi="Arial"/>
                <w:sz w:val="16"/>
                <w:szCs w:val="16"/>
                <w:b w:val="1"/>
                <w:bCs w:val="1"/>
                <w:color w:val="auto"/>
              </w:rPr>
              <w:t>Independent</w:t>
            </w:r>
          </w:p>
        </w:tc>
        <w:tc>
          <w:tcPr>
            <w:tcW w:w="3680" w:type="dxa"/>
            <w:vAlign w:val="bottom"/>
            <w:tcBorders>
              <w:right w:val="single" w:sz="8" w:color="auto"/>
            </w:tcBorders>
            <w:vMerge w:val="continue"/>
          </w:tcPr>
          <w:p>
            <w:pPr>
              <w:spacing w:after="0"/>
              <w:rPr>
                <w:sz w:val="18"/>
                <w:szCs w:val="18"/>
                <w:color w:val="auto"/>
              </w:rPr>
            </w:pPr>
          </w:p>
        </w:tc>
        <w:tc>
          <w:tcPr>
            <w:tcW w:w="80" w:type="dxa"/>
            <w:vAlign w:val="bottom"/>
            <w:vMerge w:val="restart"/>
          </w:tcPr>
          <w:p>
            <w:pPr>
              <w:spacing w:after="0"/>
              <w:rPr>
                <w:sz w:val="18"/>
                <w:szCs w:val="18"/>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42"/>
        </w:trPr>
        <w:tc>
          <w:tcPr>
            <w:tcW w:w="480" w:type="dxa"/>
            <w:vAlign w:val="bottom"/>
            <w:tcBorders>
              <w:left w:val="single" w:sz="8" w:color="auto"/>
            </w:tcBorders>
          </w:tcPr>
          <w:p>
            <w:pPr>
              <w:spacing w:after="0"/>
              <w:rPr>
                <w:sz w:val="12"/>
                <w:szCs w:val="12"/>
                <w:color w:val="auto"/>
              </w:rPr>
            </w:pPr>
          </w:p>
        </w:tc>
        <w:tc>
          <w:tcPr>
            <w:tcW w:w="1440" w:type="dxa"/>
            <w:vAlign w:val="bottom"/>
            <w:tcBorders>
              <w:right w:val="single" w:sz="8" w:color="auto"/>
            </w:tcBorders>
            <w:gridSpan w:val="2"/>
            <w:vMerge w:val="continue"/>
          </w:tcPr>
          <w:p>
            <w:pPr>
              <w:spacing w:after="0"/>
              <w:rPr>
                <w:sz w:val="12"/>
                <w:szCs w:val="12"/>
                <w:color w:val="auto"/>
              </w:rPr>
            </w:pPr>
          </w:p>
        </w:tc>
        <w:tc>
          <w:tcPr>
            <w:tcW w:w="3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served as a director of PAA’s general partner</w:t>
            </w:r>
          </w:p>
        </w:tc>
        <w:tc>
          <w:tcPr>
            <w:tcW w:w="8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4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8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36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June 2001 until November 2016.</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88"/>
        </w:trPr>
        <w:tc>
          <w:tcPr>
            <w:tcW w:w="480" w:type="dxa"/>
            <w:vAlign w:val="bottom"/>
            <w:tcBorders>
              <w:left w:val="single" w:sz="8" w:color="auto"/>
            </w:tcBorders>
          </w:tcPr>
          <w:p>
            <w:pPr>
              <w:spacing w:after="0"/>
              <w:rPr>
                <w:sz w:val="16"/>
                <w:szCs w:val="16"/>
                <w:color w:val="auto"/>
              </w:rPr>
            </w:pPr>
          </w:p>
        </w:tc>
        <w:tc>
          <w:tcPr>
            <w:tcW w:w="144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i w:val="1"/>
                <w:iCs w:val="1"/>
                <w:color w:val="auto"/>
              </w:rPr>
              <w:t>since 2001</w:t>
            </w: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Petersen is a Managing Partner of EnCap,</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63"/>
        </w:trPr>
        <w:tc>
          <w:tcPr>
            <w:tcW w:w="480" w:type="dxa"/>
            <w:vAlign w:val="bottom"/>
            <w:tcBorders>
              <w:left w:val="single" w:sz="8" w:color="auto"/>
            </w:tcBorders>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520" w:type="dxa"/>
            <w:vAlign w:val="bottom"/>
            <w:tcBorders>
              <w:right w:val="single" w:sz="8" w:color="auto"/>
            </w:tcBorders>
            <w:vMerge w:val="restart"/>
          </w:tcPr>
          <w:p>
            <w:pPr>
              <w:jc w:val="right"/>
              <w:ind w:right="440"/>
              <w:spacing w:after="0"/>
              <w:rPr>
                <w:sz w:val="20"/>
                <w:szCs w:val="20"/>
                <w:color w:val="auto"/>
              </w:rPr>
            </w:pPr>
            <w:r>
              <w:rPr>
                <w:rFonts w:ascii="Arial" w:cs="Arial" w:eastAsia="Arial" w:hAnsi="Arial"/>
                <w:sz w:val="8"/>
                <w:szCs w:val="8"/>
                <w:b w:val="1"/>
                <w:bCs w:val="1"/>
                <w:color w:val="auto"/>
                <w:w w:val="73"/>
              </w:rPr>
              <w:t>:</w:t>
            </w:r>
          </w:p>
        </w:tc>
        <w:tc>
          <w:tcPr>
            <w:tcW w:w="36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an investment management firm which he co-</w:t>
            </w:r>
          </w:p>
        </w:tc>
        <w:tc>
          <w:tcPr>
            <w:tcW w:w="200" w:type="dxa"/>
            <w:vAlign w:val="bottom"/>
            <w:gridSpan w:val="2"/>
            <w:vMerge w:val="continue"/>
          </w:tcPr>
          <w:p>
            <w:pPr>
              <w:spacing w:after="0"/>
              <w:rPr>
                <w:sz w:val="14"/>
                <w:szCs w:val="14"/>
                <w:color w:val="auto"/>
              </w:rPr>
            </w:pPr>
          </w:p>
        </w:tc>
        <w:tc>
          <w:tcPr>
            <w:tcW w:w="242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80" w:type="dxa"/>
            <w:vAlign w:val="bottom"/>
            <w:tcBorders>
              <w:left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3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founded in 1988. He also served as a director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60"/>
        </w:trPr>
        <w:tc>
          <w:tcPr>
            <w:tcW w:w="48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tcBorders>
              <w:right w:val="single" w:sz="8" w:color="auto"/>
            </w:tcBorders>
            <w:vMerge w:val="continue"/>
          </w:tcPr>
          <w:p>
            <w:pPr>
              <w:spacing w:after="0"/>
              <w:rPr>
                <w:sz w:val="5"/>
                <w:szCs w:val="5"/>
                <w:color w:val="auto"/>
              </w:rPr>
            </w:pPr>
          </w:p>
        </w:tc>
        <w:tc>
          <w:tcPr>
            <w:tcW w:w="36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rPr>
              <w:t>Compensation</w:t>
            </w: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EV Energy Partners, L.P. from September 2006</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Legal/Governance/​Government</w:t>
            </w:r>
          </w:p>
        </w:tc>
        <w:tc>
          <w:tcPr>
            <w:tcW w:w="0" w:type="dxa"/>
            <w:vAlign w:val="bottom"/>
          </w:tcPr>
          <w:p>
            <w:pPr>
              <w:spacing w:after="0"/>
              <w:rPr>
                <w:sz w:val="1"/>
                <w:szCs w:val="1"/>
                <w:color w:val="auto"/>
              </w:rPr>
            </w:pPr>
          </w:p>
        </w:tc>
      </w:tr>
      <w:tr>
        <w:trPr>
          <w:trHeight w:val="94"/>
        </w:trPr>
        <w:tc>
          <w:tcPr>
            <w:tcW w:w="48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3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until June 2018. He had previously served as</w:t>
            </w:r>
          </w:p>
        </w:tc>
        <w:tc>
          <w:tcPr>
            <w:tcW w:w="200" w:type="dxa"/>
            <w:vAlign w:val="bottom"/>
            <w:gridSpan w:val="2"/>
            <w:vMerge w:val="continue"/>
          </w:tcPr>
          <w:p>
            <w:pPr>
              <w:spacing w:after="0"/>
              <w:rPr>
                <w:sz w:val="8"/>
                <w:szCs w:val="8"/>
                <w:color w:val="auto"/>
              </w:rPr>
            </w:pPr>
          </w:p>
        </w:tc>
        <w:tc>
          <w:tcPr>
            <w:tcW w:w="24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80" w:type="dxa"/>
            <w:vAlign w:val="bottom"/>
            <w:tcBorders>
              <w:left w:val="single" w:sz="8" w:color="auto"/>
            </w:tcBorders>
          </w:tcPr>
          <w:p>
            <w:pPr>
              <w:spacing w:after="0"/>
              <w:rPr>
                <w:sz w:val="8"/>
                <w:szCs w:val="8"/>
                <w:color w:val="auto"/>
              </w:rPr>
            </w:pPr>
          </w:p>
        </w:tc>
        <w:tc>
          <w:tcPr>
            <w:tcW w:w="1440" w:type="dxa"/>
            <w:vAlign w:val="bottom"/>
            <w:tcBorders>
              <w:right w:val="single" w:sz="8" w:color="auto"/>
            </w:tcBorders>
            <w:gridSpan w:val="2"/>
            <w:vMerge w:val="restart"/>
          </w:tcPr>
          <w:p>
            <w:pPr>
              <w:jc w:val="center"/>
              <w:ind w:right="440"/>
              <w:spacing w:after="0"/>
              <w:rPr>
                <w:sz w:val="20"/>
                <w:szCs w:val="20"/>
                <w:color w:val="auto"/>
              </w:rPr>
            </w:pPr>
            <w:r>
              <w:rPr>
                <w:rFonts w:ascii="Arial" w:cs="Arial" w:eastAsia="Arial" w:hAnsi="Arial"/>
                <w:sz w:val="16"/>
                <w:szCs w:val="16"/>
                <w:color w:val="auto"/>
              </w:rPr>
              <w:t>Governance</w:t>
            </w:r>
          </w:p>
        </w:tc>
        <w:tc>
          <w:tcPr>
            <w:tcW w:w="368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Relations</w:t>
            </w: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1440" w:type="dxa"/>
            <w:vAlign w:val="bottom"/>
            <w:tcBorders>
              <w:right w:val="single" w:sz="8" w:color="auto"/>
            </w:tcBorders>
            <w:gridSpan w:val="2"/>
            <w:vMerge w:val="continue"/>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Senior Vice President and Manager of the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Corporate Finance Division of the Energy</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88"/>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Banking Group for RepublicBank Corporation.</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Prior to his position at RepublicBank, he was</w:t>
            </w:r>
          </w:p>
        </w:tc>
        <w:tc>
          <w:tcPr>
            <w:tcW w:w="200" w:type="dxa"/>
            <w:vAlign w:val="bottom"/>
            <w:gridSpan w:val="2"/>
            <w:vMerge w:val="continue"/>
          </w:tcPr>
          <w:p>
            <w:pPr>
              <w:spacing w:after="0"/>
              <w:rPr>
                <w:sz w:val="16"/>
                <w:szCs w:val="16"/>
                <w:color w:val="auto"/>
              </w:rPr>
            </w:pPr>
          </w:p>
        </w:tc>
        <w:tc>
          <w:tcPr>
            <w:tcW w:w="242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Executive Vice President and a member of the</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24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93"/>
        </w:trPr>
        <w:tc>
          <w:tcPr>
            <w:tcW w:w="48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3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Board of Directors of Nicklos Oil &amp; Gas</w:t>
            </w:r>
          </w:p>
        </w:tc>
        <w:tc>
          <w:tcPr>
            <w:tcW w:w="200" w:type="dxa"/>
            <w:vAlign w:val="bottom"/>
            <w:gridSpan w:val="2"/>
            <w:vMerge w:val="continue"/>
          </w:tcPr>
          <w:p>
            <w:pPr>
              <w:spacing w:after="0"/>
              <w:rPr>
                <w:sz w:val="8"/>
                <w:szCs w:val="8"/>
                <w:color w:val="auto"/>
              </w:rPr>
            </w:pPr>
          </w:p>
        </w:tc>
        <w:tc>
          <w:tcPr>
            <w:tcW w:w="24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8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368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Company from 1979 to 1984. He served from</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1970 to 1971 in the U.S. Army as a First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Lieutenant in the Finance Corps and as an Army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Officer in the Army Security Agency. He is a</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member of the Independent Petroleum</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Association of America, the Houston Producers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Forum and the Petroleum Club of Houston.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Petersen is a director of the Memorial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Hermann Health System and the Houston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Museum of Natural Science. He also sits on the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of trustees of The Council on Recovery.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Mr. Petersen holds BBA and MBA degrees in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finance from Texas Tech University. The Board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8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has determined that Mr. Petersen is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“independent” under applicable Nasdaq and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SEC rules. Mr. Petersen has been involved in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energy sector for over 35 years, garnering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extensive knowledge of the energy sectors’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various cycles, as well as the current market and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industry knowledge that comes with</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6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management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480" w:type="dxa"/>
            <w:vAlign w:val="bottom"/>
            <w:tcBorders>
              <w:left w:val="single" w:sz="8" w:color="auto"/>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368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107" w:gutter="0" w:footer="0" w:header="0"/>
        </w:sectPr>
      </w:pPr>
    </w:p>
    <w:p>
      <w:pPr>
        <w:spacing w:after="0" w:line="1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107"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544195</wp:posOffset>
            </wp:positionV>
            <wp:extent cx="5212080" cy="7029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20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approximately $18 billion of energy-related</w:t>
      </w:r>
    </w:p>
    <w:p>
      <w:pPr>
        <w:spacing w:after="0" w:line="31"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investments. In tandem with the leadership qualities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evidenced by his executive background, we believe</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that Mr. Petersen brings numerous valuable attributes</w:t>
      </w:r>
    </w:p>
    <w:p>
      <w:pPr>
        <w:spacing w:after="0" w:line="15"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EXECUTIVE OFFICERS</w:t>
      </w:r>
    </w:p>
    <w:p>
      <w:pPr>
        <w:spacing w:after="0" w:line="158" w:lineRule="exact"/>
        <w:rPr>
          <w:sz w:val="20"/>
          <w:szCs w:val="20"/>
          <w:color w:val="auto"/>
        </w:rPr>
      </w:pPr>
    </w:p>
    <w:p>
      <w:pPr>
        <w:ind w:left="1260" w:right="520" w:firstLine="360"/>
        <w:spacing w:after="0" w:line="261" w:lineRule="auto"/>
        <w:rPr>
          <w:sz w:val="20"/>
          <w:szCs w:val="20"/>
          <w:color w:val="auto"/>
        </w:rPr>
      </w:pPr>
      <w:r>
        <w:rPr>
          <w:rFonts w:ascii="Arial" w:cs="Arial" w:eastAsia="Arial" w:hAnsi="Arial"/>
          <w:sz w:val="18"/>
          <w:szCs w:val="18"/>
          <w:color w:val="auto"/>
        </w:rPr>
        <w:t>The following table sets forth certain information with respect to our executive officers (for purposes of Item 401(b) of Regulation S-K) as of the date of this proxy statement. Executive officers are appointed by the Board. There is no family relationship between any executive officer and director.</w:t>
      </w:r>
    </w:p>
    <w:p>
      <w:pPr>
        <w:spacing w:after="0" w:line="140"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2000" w:type="dxa"/>
            <w:vAlign w:val="bottom"/>
            <w:tcBorders>
              <w:left w:val="single" w:sz="8" w:color="424E6A"/>
            </w:tcBorders>
            <w:shd w:val="clear" w:color="auto" w:fill="424E6A"/>
          </w:tcPr>
          <w:p>
            <w:pPr>
              <w:spacing w:after="0"/>
              <w:rPr>
                <w:sz w:val="17"/>
                <w:szCs w:val="17"/>
                <w:color w:val="auto"/>
              </w:rPr>
            </w:pPr>
          </w:p>
        </w:tc>
        <w:tc>
          <w:tcPr>
            <w:tcW w:w="540" w:type="dxa"/>
            <w:vAlign w:val="bottom"/>
            <w:tcBorders>
              <w:right w:val="single" w:sz="8" w:color="424E6A"/>
            </w:tcBorders>
            <w:shd w:val="clear" w:color="auto" w:fill="424E6A"/>
          </w:tcPr>
          <w:p>
            <w:pPr>
              <w:spacing w:after="0"/>
              <w:rPr>
                <w:sz w:val="17"/>
                <w:szCs w:val="17"/>
                <w:color w:val="auto"/>
              </w:rPr>
            </w:pPr>
          </w:p>
        </w:tc>
        <w:tc>
          <w:tcPr>
            <w:tcW w:w="880" w:type="dxa"/>
            <w:vAlign w:val="bottom"/>
            <w:shd w:val="clear" w:color="auto" w:fill="424E6A"/>
          </w:tcPr>
          <w:p>
            <w:pPr>
              <w:jc w:val="center"/>
              <w:ind w:left="183"/>
              <w:spacing w:after="0"/>
              <w:rPr>
                <w:sz w:val="20"/>
                <w:szCs w:val="20"/>
                <w:color w:val="auto"/>
              </w:rPr>
            </w:pPr>
            <w:r>
              <w:rPr>
                <w:rFonts w:ascii="Arial" w:cs="Arial" w:eastAsia="Arial" w:hAnsi="Arial"/>
                <w:sz w:val="14"/>
                <w:szCs w:val="14"/>
                <w:b w:val="1"/>
                <w:bCs w:val="1"/>
                <w:color w:val="FFFFFF"/>
                <w:w w:val="98"/>
              </w:rPr>
              <w:t>Age</w:t>
            </w:r>
          </w:p>
        </w:tc>
        <w:tc>
          <w:tcPr>
            <w:tcW w:w="32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4900" w:type="dxa"/>
            <w:vAlign w:val="bottom"/>
            <w:tcBorders>
              <w:right w:val="single" w:sz="8" w:color="424E6A"/>
            </w:tcBorders>
            <w:shd w:val="clear" w:color="auto" w:fill="424E6A"/>
          </w:tcPr>
          <w:p>
            <w:pPr>
              <w:spacing w:after="0"/>
              <w:rPr>
                <w:sz w:val="17"/>
                <w:szCs w:val="17"/>
                <w:color w:val="auto"/>
              </w:rPr>
            </w:pPr>
          </w:p>
        </w:tc>
      </w:tr>
      <w:tr>
        <w:trPr>
          <w:trHeight w:val="198"/>
        </w:trPr>
        <w:tc>
          <w:tcPr>
            <w:tcW w:w="2000" w:type="dxa"/>
            <w:vAlign w:val="bottom"/>
            <w:tcBorders>
              <w:left w:val="single" w:sz="8" w:color="424E6A"/>
            </w:tcBorders>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w:t>
            </w:r>
          </w:p>
        </w:tc>
        <w:tc>
          <w:tcPr>
            <w:tcW w:w="1820" w:type="dxa"/>
            <w:vAlign w:val="bottom"/>
            <w:gridSpan w:val="4"/>
            <w:shd w:val="clear" w:color="auto" w:fill="424E6A"/>
          </w:tcPr>
          <w:p>
            <w:pPr>
              <w:ind w:left="48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(as of 3/27/23) </w:t>
            </w:r>
            <w:r>
              <w:rPr>
                <w:rFonts w:ascii="Arial" w:cs="Arial" w:eastAsia="Arial" w:hAnsi="Arial"/>
                <w:sz w:val="22"/>
                <w:szCs w:val="22"/>
                <w:b w:val="1"/>
                <w:bCs w:val="1"/>
                <w:color w:val="FFFFFF"/>
                <w:vertAlign w:val="subscript"/>
              </w:rPr>
              <w:t>​ ​</w:t>
            </w:r>
          </w:p>
        </w:tc>
        <w:tc>
          <w:tcPr>
            <w:tcW w:w="4900" w:type="dxa"/>
            <w:vAlign w:val="bottom"/>
            <w:tcBorders>
              <w:right w:val="single" w:sz="8" w:color="424E6A"/>
            </w:tcBorders>
            <w:shd w:val="clear" w:color="auto" w:fill="424E6A"/>
          </w:tcPr>
          <w:p>
            <w:pPr>
              <w:ind w:left="2140"/>
              <w:spacing w:after="0"/>
              <w:rPr>
                <w:sz w:val="20"/>
                <w:szCs w:val="20"/>
                <w:color w:val="auto"/>
              </w:rPr>
            </w:pPr>
            <w:r>
              <w:rPr>
                <w:rFonts w:ascii="Arial" w:cs="Arial" w:eastAsia="Arial" w:hAnsi="Arial"/>
                <w:sz w:val="14"/>
                <w:szCs w:val="14"/>
                <w:b w:val="1"/>
                <w:bCs w:val="1"/>
                <w:color w:val="FFFFFF"/>
              </w:rPr>
              <w:t>Position</w:t>
            </w:r>
          </w:p>
        </w:tc>
      </w:tr>
      <w:tr>
        <w:trPr>
          <w:trHeight w:val="256"/>
        </w:trPr>
        <w:tc>
          <w:tcPr>
            <w:tcW w:w="200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540" w:type="dxa"/>
            <w:vAlign w:val="bottom"/>
            <w:tcBorders>
              <w:bottom w:val="single" w:sz="8" w:color="424E6A"/>
              <w:right w:val="single" w:sz="8" w:color="424E6A"/>
            </w:tcBorders>
            <w:shd w:val="clear" w:color="auto" w:fill="D9DCE1"/>
          </w:tcPr>
          <w:p>
            <w:pPr>
              <w:spacing w:after="0"/>
              <w:rPr>
                <w:sz w:val="22"/>
                <w:szCs w:val="22"/>
                <w:color w:val="auto"/>
              </w:rPr>
            </w:pPr>
          </w:p>
        </w:tc>
        <w:tc>
          <w:tcPr>
            <w:tcW w:w="880" w:type="dxa"/>
            <w:vAlign w:val="bottom"/>
            <w:tcBorders>
              <w:bottom w:val="single" w:sz="8" w:color="424E6A"/>
            </w:tcBorders>
            <w:shd w:val="clear" w:color="auto" w:fill="D9DCE1"/>
          </w:tcPr>
          <w:p>
            <w:pPr>
              <w:jc w:val="center"/>
              <w:ind w:left="203"/>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62</w:t>
            </w:r>
          </w:p>
        </w:tc>
        <w:tc>
          <w:tcPr>
            <w:tcW w:w="320" w:type="dxa"/>
            <w:vAlign w:val="bottom"/>
            <w:tcBorders>
              <w:bottom w:val="single" w:sz="8" w:color="424E6A"/>
              <w:right w:val="single" w:sz="8" w:color="424E6A"/>
            </w:tcBorders>
            <w:shd w:val="clear" w:color="auto" w:fill="D9DCE1"/>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spacing w:after="0"/>
              <w:rPr>
                <w:sz w:val="22"/>
                <w:szCs w:val="22"/>
                <w:color w:val="auto"/>
              </w:rPr>
            </w:pPr>
          </w:p>
        </w:tc>
        <w:tc>
          <w:tcPr>
            <w:tcW w:w="49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50"/>
        </w:trPr>
        <w:tc>
          <w:tcPr>
            <w:tcW w:w="200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Harry N. Pefanis*</w:t>
            </w:r>
          </w:p>
        </w:tc>
        <w:tc>
          <w:tcPr>
            <w:tcW w:w="540" w:type="dxa"/>
            <w:vAlign w:val="bottom"/>
            <w:tcBorders>
              <w:bottom w:val="single" w:sz="8" w:color="424E6A"/>
              <w:right w:val="single" w:sz="8" w:color="424E6A"/>
            </w:tcBorders>
          </w:tcPr>
          <w:p>
            <w:pPr>
              <w:spacing w:after="0"/>
              <w:rPr>
                <w:sz w:val="21"/>
                <w:szCs w:val="21"/>
                <w:color w:val="auto"/>
              </w:rPr>
            </w:pPr>
          </w:p>
        </w:tc>
        <w:tc>
          <w:tcPr>
            <w:tcW w:w="880" w:type="dxa"/>
            <w:vAlign w:val="bottom"/>
            <w:tcBorders>
              <w:bottom w:val="single" w:sz="8" w:color="424E6A"/>
            </w:tcBorders>
          </w:tcPr>
          <w:p>
            <w:pPr>
              <w:jc w:val="center"/>
              <w:ind w:left="20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65</w:t>
            </w:r>
          </w:p>
        </w:tc>
        <w:tc>
          <w:tcPr>
            <w:tcW w:w="320" w:type="dxa"/>
            <w:vAlign w:val="bottom"/>
            <w:tcBorders>
              <w:bottom w:val="single" w:sz="8" w:color="424E6A"/>
              <w:right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spacing w:after="0"/>
              <w:rPr>
                <w:sz w:val="21"/>
                <w:szCs w:val="21"/>
                <w:color w:val="auto"/>
              </w:rPr>
            </w:pPr>
          </w:p>
        </w:tc>
        <w:tc>
          <w:tcPr>
            <w:tcW w:w="49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President and Director</w:t>
            </w:r>
          </w:p>
        </w:tc>
      </w:tr>
      <w:tr>
        <w:trPr>
          <w:trHeight w:val="250"/>
        </w:trPr>
        <w:tc>
          <w:tcPr>
            <w:tcW w:w="200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540" w:type="dxa"/>
            <w:vAlign w:val="bottom"/>
            <w:tcBorders>
              <w:bottom w:val="single" w:sz="8" w:color="424E6A"/>
              <w:right w:val="single" w:sz="8" w:color="424E6A"/>
            </w:tcBorders>
            <w:shd w:val="clear" w:color="auto" w:fill="D9DCE1"/>
          </w:tcPr>
          <w:p>
            <w:pPr>
              <w:spacing w:after="0"/>
              <w:rPr>
                <w:sz w:val="21"/>
                <w:szCs w:val="21"/>
                <w:color w:val="auto"/>
              </w:rPr>
            </w:pPr>
          </w:p>
        </w:tc>
        <w:tc>
          <w:tcPr>
            <w:tcW w:w="880" w:type="dxa"/>
            <w:vAlign w:val="bottom"/>
            <w:tcBorders>
              <w:bottom w:val="single" w:sz="8" w:color="424E6A"/>
            </w:tcBorders>
            <w:shd w:val="clear" w:color="auto" w:fill="D9DCE1"/>
          </w:tcPr>
          <w:p>
            <w:pPr>
              <w:jc w:val="center"/>
              <w:ind w:left="20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59</w:t>
            </w:r>
          </w:p>
        </w:tc>
        <w:tc>
          <w:tcPr>
            <w:tcW w:w="320" w:type="dxa"/>
            <w:vAlign w:val="bottom"/>
            <w:tcBorders>
              <w:bottom w:val="single" w:sz="8" w:color="424E6A"/>
              <w:right w:val="single" w:sz="8" w:color="424E6A"/>
            </w:tcBorders>
            <w:shd w:val="clear" w:color="auto" w:fill="D9DCE1"/>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spacing w:after="0"/>
              <w:rPr>
                <w:sz w:val="21"/>
                <w:szCs w:val="21"/>
                <w:color w:val="auto"/>
              </w:rPr>
            </w:pPr>
          </w:p>
        </w:tc>
        <w:tc>
          <w:tcPr>
            <w:tcW w:w="49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50"/>
        </w:trPr>
        <w:tc>
          <w:tcPr>
            <w:tcW w:w="200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Richard K. McGee</w:t>
            </w:r>
          </w:p>
        </w:tc>
        <w:tc>
          <w:tcPr>
            <w:tcW w:w="540" w:type="dxa"/>
            <w:vAlign w:val="bottom"/>
            <w:tcBorders>
              <w:bottom w:val="single" w:sz="8" w:color="424E6A"/>
              <w:right w:val="single" w:sz="8" w:color="424E6A"/>
            </w:tcBorders>
          </w:tcPr>
          <w:p>
            <w:pPr>
              <w:spacing w:after="0"/>
              <w:rPr>
                <w:sz w:val="21"/>
                <w:szCs w:val="21"/>
                <w:color w:val="auto"/>
              </w:rPr>
            </w:pPr>
          </w:p>
        </w:tc>
        <w:tc>
          <w:tcPr>
            <w:tcW w:w="880" w:type="dxa"/>
            <w:vAlign w:val="bottom"/>
            <w:tcBorders>
              <w:bottom w:val="single" w:sz="8" w:color="424E6A"/>
            </w:tcBorders>
          </w:tcPr>
          <w:p>
            <w:pPr>
              <w:jc w:val="center"/>
              <w:ind w:left="20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62</w:t>
            </w:r>
          </w:p>
        </w:tc>
        <w:tc>
          <w:tcPr>
            <w:tcW w:w="320" w:type="dxa"/>
            <w:vAlign w:val="bottom"/>
            <w:tcBorders>
              <w:bottom w:val="single" w:sz="8" w:color="424E6A"/>
              <w:right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spacing w:after="0"/>
              <w:rPr>
                <w:sz w:val="21"/>
                <w:szCs w:val="21"/>
                <w:color w:val="auto"/>
              </w:rPr>
            </w:pPr>
          </w:p>
        </w:tc>
        <w:tc>
          <w:tcPr>
            <w:tcW w:w="49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50"/>
        </w:trPr>
        <w:tc>
          <w:tcPr>
            <w:tcW w:w="200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Chris R. Chandler</w:t>
            </w:r>
          </w:p>
        </w:tc>
        <w:tc>
          <w:tcPr>
            <w:tcW w:w="540" w:type="dxa"/>
            <w:vAlign w:val="bottom"/>
            <w:tcBorders>
              <w:bottom w:val="single" w:sz="8" w:color="424E6A"/>
              <w:right w:val="single" w:sz="8" w:color="424E6A"/>
            </w:tcBorders>
            <w:shd w:val="clear" w:color="auto" w:fill="D9DCE1"/>
          </w:tcPr>
          <w:p>
            <w:pPr>
              <w:spacing w:after="0"/>
              <w:rPr>
                <w:sz w:val="21"/>
                <w:szCs w:val="21"/>
                <w:color w:val="auto"/>
              </w:rPr>
            </w:pPr>
          </w:p>
        </w:tc>
        <w:tc>
          <w:tcPr>
            <w:tcW w:w="880" w:type="dxa"/>
            <w:vAlign w:val="bottom"/>
            <w:tcBorders>
              <w:bottom w:val="single" w:sz="8" w:color="424E6A"/>
            </w:tcBorders>
            <w:shd w:val="clear" w:color="auto" w:fill="D9DCE1"/>
          </w:tcPr>
          <w:p>
            <w:pPr>
              <w:jc w:val="center"/>
              <w:ind w:left="20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51</w:t>
            </w:r>
          </w:p>
        </w:tc>
        <w:tc>
          <w:tcPr>
            <w:tcW w:w="320" w:type="dxa"/>
            <w:vAlign w:val="bottom"/>
            <w:tcBorders>
              <w:bottom w:val="single" w:sz="8" w:color="424E6A"/>
              <w:right w:val="single" w:sz="8" w:color="424E6A"/>
            </w:tcBorders>
            <w:shd w:val="clear" w:color="auto" w:fill="D9DCE1"/>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spacing w:after="0"/>
              <w:rPr>
                <w:sz w:val="21"/>
                <w:szCs w:val="21"/>
                <w:color w:val="auto"/>
              </w:rPr>
            </w:pPr>
          </w:p>
        </w:tc>
        <w:tc>
          <w:tcPr>
            <w:tcW w:w="49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Executive Vice President and Chief Operating Officer</w:t>
            </w:r>
          </w:p>
        </w:tc>
      </w:tr>
      <w:tr>
        <w:trPr>
          <w:trHeight w:val="250"/>
        </w:trPr>
        <w:tc>
          <w:tcPr>
            <w:tcW w:w="200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Jeremy L. Goebel</w:t>
            </w:r>
          </w:p>
        </w:tc>
        <w:tc>
          <w:tcPr>
            <w:tcW w:w="540" w:type="dxa"/>
            <w:vAlign w:val="bottom"/>
            <w:tcBorders>
              <w:bottom w:val="single" w:sz="8" w:color="424E6A"/>
              <w:right w:val="single" w:sz="8" w:color="424E6A"/>
            </w:tcBorders>
          </w:tcPr>
          <w:p>
            <w:pPr>
              <w:spacing w:after="0"/>
              <w:rPr>
                <w:sz w:val="21"/>
                <w:szCs w:val="21"/>
                <w:color w:val="auto"/>
              </w:rPr>
            </w:pPr>
          </w:p>
        </w:tc>
        <w:tc>
          <w:tcPr>
            <w:tcW w:w="880" w:type="dxa"/>
            <w:vAlign w:val="bottom"/>
            <w:tcBorders>
              <w:bottom w:val="single" w:sz="8" w:color="424E6A"/>
            </w:tcBorders>
          </w:tcPr>
          <w:p>
            <w:pPr>
              <w:jc w:val="center"/>
              <w:ind w:left="20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45</w:t>
            </w:r>
          </w:p>
        </w:tc>
        <w:tc>
          <w:tcPr>
            <w:tcW w:w="320" w:type="dxa"/>
            <w:vAlign w:val="bottom"/>
            <w:tcBorders>
              <w:bottom w:val="single" w:sz="8" w:color="424E6A"/>
              <w:right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spacing w:after="0"/>
              <w:rPr>
                <w:sz w:val="21"/>
                <w:szCs w:val="21"/>
                <w:color w:val="auto"/>
              </w:rPr>
            </w:pPr>
          </w:p>
        </w:tc>
        <w:tc>
          <w:tcPr>
            <w:tcW w:w="49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Executive Vice President and Chief Commercial Officer</w:t>
            </w:r>
          </w:p>
        </w:tc>
      </w:tr>
      <w:tr>
        <w:trPr>
          <w:trHeight w:val="250"/>
        </w:trPr>
        <w:tc>
          <w:tcPr>
            <w:tcW w:w="200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Chris Herbold</w:t>
            </w:r>
          </w:p>
        </w:tc>
        <w:tc>
          <w:tcPr>
            <w:tcW w:w="540" w:type="dxa"/>
            <w:vAlign w:val="bottom"/>
            <w:tcBorders>
              <w:bottom w:val="single" w:sz="8" w:color="424E6A"/>
              <w:right w:val="single" w:sz="8" w:color="424E6A"/>
            </w:tcBorders>
            <w:shd w:val="clear" w:color="auto" w:fill="D9DCE1"/>
          </w:tcPr>
          <w:p>
            <w:pPr>
              <w:spacing w:after="0"/>
              <w:rPr>
                <w:sz w:val="21"/>
                <w:szCs w:val="21"/>
                <w:color w:val="auto"/>
              </w:rPr>
            </w:pPr>
          </w:p>
        </w:tc>
        <w:tc>
          <w:tcPr>
            <w:tcW w:w="880" w:type="dxa"/>
            <w:vAlign w:val="bottom"/>
            <w:tcBorders>
              <w:bottom w:val="single" w:sz="8" w:color="424E6A"/>
            </w:tcBorders>
            <w:shd w:val="clear" w:color="auto" w:fill="D9DCE1"/>
          </w:tcPr>
          <w:p>
            <w:pPr>
              <w:jc w:val="center"/>
              <w:ind w:left="20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50</w:t>
            </w:r>
          </w:p>
        </w:tc>
        <w:tc>
          <w:tcPr>
            <w:tcW w:w="320" w:type="dxa"/>
            <w:vAlign w:val="bottom"/>
            <w:tcBorders>
              <w:bottom w:val="single" w:sz="8" w:color="424E6A"/>
              <w:right w:val="single" w:sz="8" w:color="424E6A"/>
            </w:tcBorders>
            <w:shd w:val="clear" w:color="auto" w:fill="D9DCE1"/>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spacing w:after="0"/>
              <w:rPr>
                <w:sz w:val="21"/>
                <w:szCs w:val="21"/>
                <w:color w:val="auto"/>
              </w:rPr>
            </w:pPr>
          </w:p>
        </w:tc>
        <w:tc>
          <w:tcPr>
            <w:tcW w:w="49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Senior Vice President, Finance and Chief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6" w:lineRule="exact"/>
        <w:rPr>
          <w:sz w:val="20"/>
          <w:szCs w:val="20"/>
          <w:color w:val="auto"/>
        </w:rPr>
      </w:pPr>
    </w:p>
    <w:p>
      <w:pPr>
        <w:ind w:left="1620" w:right="600" w:hanging="360"/>
        <w:spacing w:after="0" w:line="287"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Biographical information for Messrs. Chiang and Pefanis is located under Proposal 1 — Election of Class I Directors.</w:t>
      </w:r>
    </w:p>
    <w:p>
      <w:pPr>
        <w:spacing w:after="0" w:line="7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Al Swanson </w:t>
      </w:r>
      <w:r>
        <w:rPr>
          <w:rFonts w:ascii="Arial" w:cs="Arial" w:eastAsia="Arial" w:hAnsi="Arial"/>
          <w:sz w:val="18"/>
          <w:szCs w:val="18"/>
          <w:color w:val="auto"/>
        </w:rPr>
        <w:t>has served as Executive Vice President and Chief Financial Officer of GP LLC since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February 2011. He previously served as Senior Vice President and Chief Financial Officer from</w:t>
      </w:r>
    </w:p>
    <w:p>
      <w:pPr>
        <w:ind w:left="1260"/>
        <w:spacing w:after="0" w:line="234" w:lineRule="auto"/>
        <w:rPr>
          <w:sz w:val="20"/>
          <w:szCs w:val="20"/>
          <w:color w:val="auto"/>
        </w:rPr>
      </w:pPr>
      <w:r>
        <w:rPr>
          <w:rFonts w:ascii="Arial" w:cs="Arial" w:eastAsia="Arial" w:hAnsi="Arial"/>
          <w:sz w:val="18"/>
          <w:szCs w:val="18"/>
          <w:color w:val="auto"/>
        </w:rPr>
        <w:t>November 2008 through February 2011, as Senior Vice President — Finance from August 2008 until</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November 2008 and as Senior Vice President — Finance and Treasurer from August 2007 until</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August 2008. He served as Vice President — Finance and Treasurer from August 2005 to August 2007,</w:t>
      </w:r>
    </w:p>
    <w:p>
      <w:pPr>
        <w:ind w:left="1260"/>
        <w:spacing w:after="0" w:line="234" w:lineRule="auto"/>
        <w:rPr>
          <w:sz w:val="20"/>
          <w:szCs w:val="20"/>
          <w:color w:val="auto"/>
        </w:rPr>
      </w:pPr>
      <w:r>
        <w:rPr>
          <w:rFonts w:ascii="Arial" w:cs="Arial" w:eastAsia="Arial" w:hAnsi="Arial"/>
          <w:sz w:val="18"/>
          <w:szCs w:val="18"/>
          <w:color w:val="auto"/>
        </w:rPr>
        <w:t>as Vice President and Treasurer from February 2004 to August 2005 and as Treasurer from May 2001</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February 2004. In addition, he held finance related positions at Plains Resources including Treasurer</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from February 2001 to May 2001 and Director of Treasury from November 2000 to February 2001. Prior</w:t>
      </w:r>
    </w:p>
    <w:p>
      <w:pPr>
        <w:ind w:left="1260"/>
        <w:spacing w:after="0" w:line="234" w:lineRule="auto"/>
        <w:rPr>
          <w:sz w:val="20"/>
          <w:szCs w:val="20"/>
          <w:color w:val="auto"/>
        </w:rPr>
      </w:pPr>
      <w:r>
        <w:rPr>
          <w:rFonts w:ascii="Arial" w:cs="Arial" w:eastAsia="Arial" w:hAnsi="Arial"/>
          <w:sz w:val="18"/>
          <w:szCs w:val="18"/>
          <w:color w:val="auto"/>
        </w:rPr>
        <w:t>to joining Plains Resources, he served as Treasurer of Santa Fe Snyder Corporation from 1999 to</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October 2000 and in various capacities at Snyder Oil Corporation including Director of Corporate</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Finance from 1998, Controller — SOCO Offshore, Inc. from 1997, and Accounting Manager from 1992.</w:t>
      </w:r>
    </w:p>
    <w:p>
      <w:pPr>
        <w:ind w:left="1260"/>
        <w:spacing w:after="0" w:line="234" w:lineRule="auto"/>
        <w:rPr>
          <w:sz w:val="20"/>
          <w:szCs w:val="20"/>
          <w:color w:val="auto"/>
        </w:rPr>
      </w:pPr>
      <w:r>
        <w:rPr>
          <w:rFonts w:ascii="Arial" w:cs="Arial" w:eastAsia="Arial" w:hAnsi="Arial"/>
          <w:sz w:val="18"/>
          <w:szCs w:val="18"/>
          <w:color w:val="auto"/>
        </w:rPr>
        <w:t>Mr. Swanson began his career with Apache Corporation in 1986 serving in internal audit and</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accounting. Mr. Swanson also serves as Executive Vice President and Chief Financial Officer of PAGP</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GP.</w:t>
      </w:r>
    </w:p>
    <w:p>
      <w:pPr>
        <w:spacing w:after="0" w:line="126" w:lineRule="exact"/>
        <w:rPr>
          <w:sz w:val="20"/>
          <w:szCs w:val="20"/>
          <w:color w:val="auto"/>
        </w:rPr>
      </w:pPr>
    </w:p>
    <w:p>
      <w:pPr>
        <w:ind w:left="1260" w:right="580" w:firstLine="360"/>
        <w:spacing w:after="0" w:line="245" w:lineRule="auto"/>
        <w:rPr>
          <w:sz w:val="20"/>
          <w:szCs w:val="20"/>
          <w:color w:val="auto"/>
        </w:rPr>
      </w:pPr>
      <w:r>
        <w:rPr>
          <w:rFonts w:ascii="Arial" w:cs="Arial" w:eastAsia="Arial" w:hAnsi="Arial"/>
          <w:sz w:val="18"/>
          <w:szCs w:val="18"/>
          <w:i w:val="1"/>
          <w:iCs w:val="1"/>
          <w:color w:val="auto"/>
        </w:rPr>
        <w:t xml:space="preserve">Richard K. McGee </w:t>
      </w:r>
      <w:r>
        <w:rPr>
          <w:rFonts w:ascii="Arial" w:cs="Arial" w:eastAsia="Arial" w:hAnsi="Arial"/>
          <w:sz w:val="18"/>
          <w:szCs w:val="18"/>
          <w:color w:val="auto"/>
        </w:rPr>
        <w:t>has served as Executive Vice President, General Counsel and Secretary of GP</w:t>
      </w:r>
      <w:r>
        <w:rPr>
          <w:rFonts w:ascii="Arial" w:cs="Arial" w:eastAsia="Arial" w:hAnsi="Arial"/>
          <w:sz w:val="18"/>
          <w:szCs w:val="18"/>
          <w:i w:val="1"/>
          <w:iCs w:val="1"/>
          <w:color w:val="auto"/>
        </w:rPr>
        <w:t xml:space="preserve"> </w:t>
      </w:r>
      <w:r>
        <w:rPr>
          <w:rFonts w:ascii="Arial" w:cs="Arial" w:eastAsia="Arial" w:hAnsi="Arial"/>
          <w:sz w:val="18"/>
          <w:szCs w:val="18"/>
          <w:color w:val="auto"/>
        </w:rPr>
        <w:t>LLC since February 2013. He served as Vice President, General Counsel and Secretary from</w:t>
      </w:r>
    </w:p>
    <w:p>
      <w:pPr>
        <w:ind w:left="1260" w:right="560"/>
        <w:spacing w:after="0" w:line="242" w:lineRule="auto"/>
        <w:rPr>
          <w:sz w:val="20"/>
          <w:szCs w:val="20"/>
          <w:color w:val="auto"/>
        </w:rPr>
      </w:pPr>
      <w:r>
        <w:rPr>
          <w:rFonts w:ascii="Arial" w:cs="Arial" w:eastAsia="Arial" w:hAnsi="Arial"/>
          <w:sz w:val="18"/>
          <w:szCs w:val="18"/>
          <w:color w:val="auto"/>
        </w:rPr>
        <w:t>March 2012 until February 2013 and served as Vice President and Deputy General Counsel from August 2011 through March 2012. He also served as Vice President — 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 Mr. McGee also serves as Executive Vice President, General Counsel and Secretary of PAGP GP.</w:t>
      </w:r>
    </w:p>
    <w:p>
      <w:pPr>
        <w:spacing w:after="0" w:line="115" w:lineRule="exact"/>
        <w:rPr>
          <w:sz w:val="20"/>
          <w:szCs w:val="20"/>
          <w:color w:val="auto"/>
        </w:rPr>
      </w:pPr>
    </w:p>
    <w:p>
      <w:pPr>
        <w:ind w:left="1260" w:right="540" w:firstLine="360"/>
        <w:spacing w:after="0" w:line="246" w:lineRule="auto"/>
        <w:rPr>
          <w:sz w:val="20"/>
          <w:szCs w:val="20"/>
          <w:color w:val="auto"/>
        </w:rPr>
      </w:pPr>
      <w:r>
        <w:rPr>
          <w:rFonts w:ascii="Arial" w:cs="Arial" w:eastAsia="Arial" w:hAnsi="Arial"/>
          <w:sz w:val="18"/>
          <w:szCs w:val="18"/>
          <w:i w:val="1"/>
          <w:iCs w:val="1"/>
          <w:color w:val="auto"/>
        </w:rPr>
        <w:t xml:space="preserve">Chris R. Chandler </w:t>
      </w:r>
      <w:r>
        <w:rPr>
          <w:rFonts w:ascii="Arial" w:cs="Arial" w:eastAsia="Arial" w:hAnsi="Arial"/>
          <w:sz w:val="18"/>
          <w:szCs w:val="18"/>
          <w:color w:val="auto"/>
        </w:rPr>
        <w:t>has served as Executive Vice President and Chief Operating Officer of GP LLC</w:t>
      </w:r>
      <w:r>
        <w:rPr>
          <w:rFonts w:ascii="Arial" w:cs="Arial" w:eastAsia="Arial" w:hAnsi="Arial"/>
          <w:sz w:val="18"/>
          <w:szCs w:val="18"/>
          <w:i w:val="1"/>
          <w:iCs w:val="1"/>
          <w:color w:val="auto"/>
        </w:rPr>
        <w:t xml:space="preserve"> </w:t>
      </w:r>
      <w:r>
        <w:rPr>
          <w:rFonts w:ascii="Arial" w:cs="Arial" w:eastAsia="Arial" w:hAnsi="Arial"/>
          <w:sz w:val="18"/>
          <w:szCs w:val="18"/>
          <w:color w:val="auto"/>
        </w:rPr>
        <w:t>since March 2019. He served as Senior Vice President — Strategic Planning and Acquisitions since joining Plains in May 2018 until March 2019. Mr. Chandler has more than 25 years of energy industry experience. Prior to joining Plains, he served in a number of leadership roles at Phillips 66, most recently as General Manager — Corporate Strategy, and previously as General Manager — Midstream Commercial and Business Development, as well as numerous leadership roles in refining. Mr. Chandler also serves as Executive Vice President and Chief Operating Officer of PAGP GP.</w:t>
      </w:r>
    </w:p>
    <w:p>
      <w:pPr>
        <w:spacing w:after="0" w:line="108" w:lineRule="exact"/>
        <w:rPr>
          <w:sz w:val="20"/>
          <w:szCs w:val="20"/>
          <w:color w:val="auto"/>
        </w:rPr>
      </w:pPr>
    </w:p>
    <w:p>
      <w:pPr>
        <w:ind w:left="1260" w:right="880" w:firstLine="360"/>
        <w:spacing w:after="0" w:line="301" w:lineRule="auto"/>
        <w:rPr>
          <w:sz w:val="20"/>
          <w:szCs w:val="20"/>
          <w:color w:val="auto"/>
        </w:rPr>
      </w:pPr>
      <w:r>
        <w:rPr>
          <w:rFonts w:ascii="Arial" w:cs="Arial" w:eastAsia="Arial" w:hAnsi="Arial"/>
          <w:sz w:val="17"/>
          <w:szCs w:val="17"/>
          <w:i w:val="1"/>
          <w:iCs w:val="1"/>
          <w:color w:val="auto"/>
        </w:rPr>
        <w:t xml:space="preserve">Jeremy L. Goebel </w:t>
      </w:r>
      <w:r>
        <w:rPr>
          <w:rFonts w:ascii="Arial" w:cs="Arial" w:eastAsia="Arial" w:hAnsi="Arial"/>
          <w:sz w:val="17"/>
          <w:szCs w:val="17"/>
          <w:color w:val="auto"/>
        </w:rPr>
        <w:t>has served as Executive Vice President and Chief Commercial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2021. He previously served as Executive Vice President — Commercial of GP LLC from</w:t>
      </w:r>
    </w:p>
    <w:p>
      <w:pPr>
        <w:sectPr>
          <w:pgSz w:w="11900" w:h="16838" w:orient="portrait"/>
          <w:cols w:equalWidth="0" w:num="1">
            <w:col w:w="9980"/>
          </w:cols>
          <w:pgMar w:left="580" w:top="97" w:right="1339" w:bottom="1440" w:gutter="0" w:footer="0" w:header="0"/>
        </w:sectPr>
      </w:pP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80"/>
          </w:cols>
          <w:pgMar w:left="580" w:top="97" w:right="1339"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19"/>
        <w:spacing w:after="0" w:line="255" w:lineRule="auto"/>
        <w:rPr>
          <w:sz w:val="20"/>
          <w:szCs w:val="20"/>
          <w:color w:val="auto"/>
        </w:rPr>
      </w:pPr>
      <w:r>
        <w:rPr>
          <w:rFonts w:ascii="Arial" w:cs="Arial" w:eastAsia="Arial" w:hAnsi="Arial"/>
          <w:sz w:val="18"/>
          <w:szCs w:val="18"/>
          <w:color w:val="auto"/>
        </w:rPr>
        <w:t>March 2019 until March 2021, as Senior Group Vice President — Commercial from May 2018 to March 2019, as Senior Vice President — Acquisitions and Strategic Planning from April 2017 until May 2018, as Vice President — Acquisitions and Strategic Planning from July 2015 until April 2017, as Assistant Vice President — Lease Supply from July 2014 until July 2015, and as Managing Director —  Acquisitions and Strategic Planning from January 2013 until July 2014. Prior to joining Plains in 2013, he was employed by Simmons &amp; Company International. Mr. Goebel has over 20 years of energy and investment banking experience. Mr. Goebel also serves as Executive Vice President and Chief Commercial Officer of PAGP GP.</w:t>
      </w:r>
    </w:p>
    <w:p>
      <w:pPr>
        <w:spacing w:after="0" w:line="117" w:lineRule="exact"/>
        <w:rPr>
          <w:sz w:val="20"/>
          <w:szCs w:val="20"/>
          <w:color w:val="auto"/>
        </w:rPr>
      </w:pPr>
    </w:p>
    <w:p>
      <w:pPr>
        <w:jc w:val="both"/>
        <w:ind w:left="1260" w:right="539" w:firstLine="360"/>
        <w:spacing w:after="0" w:line="270" w:lineRule="auto"/>
        <w:rPr>
          <w:sz w:val="20"/>
          <w:szCs w:val="20"/>
          <w:color w:val="auto"/>
        </w:rPr>
      </w:pPr>
      <w:r>
        <w:rPr>
          <w:rFonts w:ascii="Arial" w:cs="Arial" w:eastAsia="Arial" w:hAnsi="Arial"/>
          <w:sz w:val="17"/>
          <w:szCs w:val="17"/>
          <w:i w:val="1"/>
          <w:iCs w:val="1"/>
          <w:color w:val="auto"/>
        </w:rPr>
        <w:t xml:space="preserve">Chris Herbold </w:t>
      </w:r>
      <w:r>
        <w:rPr>
          <w:rFonts w:ascii="Arial" w:cs="Arial" w:eastAsia="Arial" w:hAnsi="Arial"/>
          <w:sz w:val="17"/>
          <w:szCs w:val="17"/>
          <w:color w:val="auto"/>
        </w:rPr>
        <w:t>has served as Senior Vice President, Finance and Chief Accounting Officer of GP</w:t>
      </w:r>
      <w:r>
        <w:rPr>
          <w:rFonts w:ascii="Arial" w:cs="Arial" w:eastAsia="Arial" w:hAnsi="Arial"/>
          <w:sz w:val="17"/>
          <w:szCs w:val="17"/>
          <w:i w:val="1"/>
          <w:iCs w:val="1"/>
          <w:color w:val="auto"/>
        </w:rPr>
        <w:t xml:space="preserve"> </w:t>
      </w:r>
      <w:r>
        <w:rPr>
          <w:rFonts w:ascii="Arial" w:cs="Arial" w:eastAsia="Arial" w:hAnsi="Arial"/>
          <w:sz w:val="17"/>
          <w:szCs w:val="17"/>
          <w:color w:val="auto"/>
        </w:rPr>
        <w:t>LLC since August 2021, and served as Senior Vice President and Chief Accounting Officer of GP LLC from August 2018 until August 2021. He served as Vice President — Accounting and Chief Accounting Officer from August 2010 until August 2018. He served as Controller of PAA from 2008 until</w:t>
      </w:r>
    </w:p>
    <w:p>
      <w:pPr>
        <w:spacing w:after="0" w:line="2"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 Mr. Herbold also serves as Senior Vice President, Finance and Chief Accounting Officer of PAGP 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Report</w:t>
      </w:r>
    </w:p>
    <w:p>
      <w:pPr>
        <w:spacing w:after="0" w:line="158"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8"/>
          <w:szCs w:val="18"/>
          <w:color w:val="auto"/>
        </w:rPr>
        <w:t>The Compensation Committee reviews and makes recommendations to the Board regarding the compensation for our executive officers and directors. In fulfilling its oversight responsibilities, the Compensation Committee reviewed and discussed the following Compensation Discussion and Analysis (sometimes referred to as “CD&amp;A”) with management and, based on such review and discussion, has recommended to the Board that the Compensation Discussion and Analysis be included in this proxy statement.</w:t>
      </w:r>
    </w:p>
    <w:p>
      <w:pPr>
        <w:spacing w:after="0" w:line="1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John T. Raymond, </w:t>
      </w:r>
      <w:r>
        <w:rPr>
          <w:rFonts w:ascii="Arial" w:cs="Arial" w:eastAsia="Arial" w:hAnsi="Arial"/>
          <w:sz w:val="18"/>
          <w:szCs w:val="18"/>
          <w:i w:val="1"/>
          <w:iCs w:val="1"/>
          <w:color w:val="auto"/>
        </w:rPr>
        <w:t>Chair</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Gary R. Petersen</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Christopher M. Temple</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44" w:lineRule="exact"/>
        <w:rPr>
          <w:sz w:val="20"/>
          <w:szCs w:val="20"/>
          <w:color w:val="auto"/>
        </w:rPr>
      </w:pPr>
    </w:p>
    <w:p>
      <w:pPr>
        <w:ind w:left="1260" w:right="559" w:firstLine="360"/>
        <w:spacing w:after="0" w:line="268" w:lineRule="auto"/>
        <w:rPr>
          <w:sz w:val="20"/>
          <w:szCs w:val="20"/>
          <w:color w:val="auto"/>
        </w:rPr>
      </w:pPr>
      <w:r>
        <w:rPr>
          <w:rFonts w:ascii="Arial" w:cs="Arial" w:eastAsia="Arial" w:hAnsi="Arial"/>
          <w:sz w:val="18"/>
          <w:szCs w:val="18"/>
          <w:color w:val="auto"/>
        </w:rPr>
        <w:t>For 2022, our Named Executive Officers (sometimes referred to as “NEOs”) include our CEO, our President, our CFO, and the three most highly compensated executive officers (other than our CEO and CFO). Our NEOs for 2022 include the following individuals:</w:t>
      </w:r>
    </w:p>
    <w:p>
      <w:pPr>
        <w:spacing w:after="0" w:line="97" w:lineRule="exact"/>
        <w:rPr>
          <w:sz w:val="20"/>
          <w:szCs w:val="20"/>
          <w:color w:val="auto"/>
        </w:rPr>
      </w:pPr>
    </w:p>
    <w:tbl>
      <w:tblPr>
        <w:tblLayout w:type="fixed"/>
        <w:tblInd w:w="1630" w:type="dxa"/>
        <w:tblCellMar>
          <w:top w:w="0" w:type="dxa"/>
          <w:left w:w="0" w:type="dxa"/>
          <w:bottom w:w="0" w:type="dxa"/>
          <w:right w:w="0" w:type="dxa"/>
        </w:tblCellMar>
      </w:tblPr>
      <w:tr>
        <w:trPr>
          <w:trHeight w:val="335"/>
        </w:trPr>
        <w:tc>
          <w:tcPr>
            <w:tcW w:w="2880" w:type="dxa"/>
            <w:vAlign w:val="bottom"/>
            <w:tcBorders>
              <w:left w:val="single" w:sz="8" w:color="424E6A"/>
            </w:tcBorders>
            <w:shd w:val="clear" w:color="auto" w:fill="424E6A"/>
          </w:tcPr>
          <w:p>
            <w:pPr>
              <w:ind w:left="2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Named Executive Officer</w:t>
            </w:r>
          </w:p>
        </w:tc>
        <w:tc>
          <w:tcPr>
            <w:tcW w:w="2400" w:type="dxa"/>
            <w:vAlign w:val="bottom"/>
            <w:gridSpan w:val="2"/>
            <w:shd w:val="clear" w:color="auto" w:fill="424E6A"/>
          </w:tcPr>
          <w:p>
            <w:pPr>
              <w:ind w:left="1120"/>
              <w:spacing w:after="0"/>
              <w:rPr>
                <w:sz w:val="20"/>
                <w:szCs w:val="20"/>
                <w:color w:val="auto"/>
              </w:rPr>
            </w:pPr>
            <w:r>
              <w:rPr>
                <w:rFonts w:ascii="Arial" w:cs="Arial" w:eastAsia="Arial" w:hAnsi="Arial"/>
                <w:sz w:val="14"/>
                <w:szCs w:val="14"/>
                <w:b w:val="1"/>
                <w:bCs w:val="1"/>
                <w:color w:val="FFFFFF"/>
              </w:rPr>
              <w:t>​ ​</w:t>
            </w:r>
          </w:p>
        </w:tc>
        <w:tc>
          <w:tcPr>
            <w:tcW w:w="1920" w:type="dxa"/>
            <w:vAlign w:val="bottom"/>
            <w:shd w:val="clear" w:color="auto" w:fill="424E6A"/>
          </w:tcPr>
          <w:p>
            <w:pPr>
              <w:ind w:left="300"/>
              <w:spacing w:after="0"/>
              <w:rPr>
                <w:sz w:val="20"/>
                <w:szCs w:val="20"/>
                <w:color w:val="auto"/>
              </w:rPr>
            </w:pPr>
            <w:r>
              <w:rPr>
                <w:rFonts w:ascii="Arial" w:cs="Arial" w:eastAsia="Arial" w:hAnsi="Arial"/>
                <w:sz w:val="14"/>
                <w:szCs w:val="14"/>
                <w:b w:val="1"/>
                <w:bCs w:val="1"/>
                <w:color w:val="FFFFFF"/>
              </w:rPr>
              <w:t>Title</w:t>
            </w:r>
          </w:p>
        </w:tc>
        <w:tc>
          <w:tcPr>
            <w:tcW w:w="28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r>
      <w:tr>
        <w:trPr>
          <w:trHeight w:val="256"/>
        </w:trPr>
        <w:tc>
          <w:tcPr>
            <w:tcW w:w="2880" w:type="dxa"/>
            <w:vAlign w:val="bottom"/>
            <w:tcBorders>
              <w:left w:val="single" w:sz="8" w:color="424E6A"/>
              <w:bottom w:val="single" w:sz="8" w:color="424E6A"/>
            </w:tcBorders>
            <w:shd w:val="clear" w:color="auto" w:fill="D9DCE1"/>
          </w:tcPr>
          <w:p>
            <w:pPr>
              <w:ind w:left="2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Willie Chiang</w:t>
            </w:r>
          </w:p>
        </w:tc>
        <w:tc>
          <w:tcPr>
            <w:tcW w:w="1240" w:type="dxa"/>
            <w:vAlign w:val="bottom"/>
            <w:tcBorders>
              <w:bottom w:val="single" w:sz="8" w:color="424E6A"/>
              <w:right w:val="single" w:sz="8" w:color="424E6A"/>
            </w:tcBorders>
            <w:shd w:val="clear" w:color="auto" w:fill="D9DCE1"/>
          </w:tcPr>
          <w:p>
            <w:pPr>
              <w:ind w:left="1120"/>
              <w:spacing w:after="0"/>
              <w:rPr>
                <w:sz w:val="20"/>
                <w:szCs w:val="20"/>
                <w:color w:val="auto"/>
              </w:rPr>
            </w:pPr>
            <w:r>
              <w:rPr>
                <w:rFonts w:ascii="Arial" w:cs="Arial" w:eastAsia="Arial" w:hAnsi="Arial"/>
                <w:sz w:val="18"/>
                <w:szCs w:val="18"/>
                <w:color w:val="auto"/>
              </w:rPr>
              <w:t>​</w:t>
            </w:r>
          </w:p>
        </w:tc>
        <w:tc>
          <w:tcPr>
            <w:tcW w:w="3360" w:type="dxa"/>
            <w:vAlign w:val="bottom"/>
            <w:tcBorders>
              <w:bottom w:val="single" w:sz="8" w:color="424E6A"/>
              <w:right w:val="single" w:sz="8" w:color="424E6A"/>
            </w:tcBorders>
            <w:gridSpan w:val="3"/>
            <w:shd w:val="clear" w:color="auto" w:fill="D9DCE1"/>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Chairman and Chief Executive Officer </w:t>
            </w:r>
            <w:r>
              <w:rPr>
                <w:rFonts w:ascii="Arial" w:cs="Arial" w:eastAsia="Arial" w:hAnsi="Arial"/>
                <w:sz w:val="29"/>
                <w:szCs w:val="29"/>
                <w:color w:val="auto"/>
                <w:vertAlign w:val="superscript"/>
              </w:rPr>
              <w:t>​</w:t>
            </w:r>
          </w:p>
        </w:tc>
      </w:tr>
      <w:tr>
        <w:trPr>
          <w:trHeight w:val="250"/>
        </w:trPr>
        <w:tc>
          <w:tcPr>
            <w:tcW w:w="2880" w:type="dxa"/>
            <w:vAlign w:val="bottom"/>
            <w:tcBorders>
              <w:left w:val="single" w:sz="8" w:color="424E6A"/>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Harry Pefanis</w:t>
            </w:r>
          </w:p>
        </w:tc>
        <w:tc>
          <w:tcPr>
            <w:tcW w:w="1240" w:type="dxa"/>
            <w:vAlign w:val="bottom"/>
            <w:tcBorders>
              <w:bottom w:val="single" w:sz="8" w:color="424E6A"/>
              <w:right w:val="single" w:sz="8" w:color="424E6A"/>
            </w:tcBorders>
          </w:tcPr>
          <w:p>
            <w:pPr>
              <w:ind w:left="1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President</w:t>
            </w:r>
          </w:p>
        </w:tc>
        <w:tc>
          <w:tcPr>
            <w:tcW w:w="1920" w:type="dxa"/>
            <w:vAlign w:val="bottom"/>
            <w:tcBorders>
              <w:bottom w:val="single" w:sz="8" w:color="424E6A"/>
            </w:tcBorders>
          </w:tcPr>
          <w:p>
            <w:pPr>
              <w:spacing w:after="0"/>
              <w:rPr>
                <w:sz w:val="21"/>
                <w:szCs w:val="21"/>
                <w:color w:val="auto"/>
              </w:rPr>
            </w:pPr>
          </w:p>
        </w:tc>
        <w:tc>
          <w:tcPr>
            <w:tcW w:w="28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r>
      <w:tr>
        <w:trPr>
          <w:trHeight w:val="250"/>
        </w:trPr>
        <w:tc>
          <w:tcPr>
            <w:tcW w:w="2880" w:type="dxa"/>
            <w:vAlign w:val="bottom"/>
            <w:tcBorders>
              <w:left w:val="single" w:sz="8" w:color="424E6A"/>
              <w:bottom w:val="single" w:sz="8" w:color="424E6A"/>
            </w:tcBorders>
            <w:shd w:val="clear" w:color="auto" w:fill="D9DCE1"/>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Al Swanson</w:t>
            </w:r>
          </w:p>
        </w:tc>
        <w:tc>
          <w:tcPr>
            <w:tcW w:w="1240" w:type="dxa"/>
            <w:vAlign w:val="bottom"/>
            <w:tcBorders>
              <w:bottom w:val="single" w:sz="8" w:color="424E6A"/>
              <w:right w:val="single" w:sz="8" w:color="424E6A"/>
            </w:tcBorders>
            <w:shd w:val="clear" w:color="auto" w:fill="D9DCE1"/>
          </w:tcPr>
          <w:p>
            <w:pPr>
              <w:ind w:left="1120"/>
              <w:spacing w:after="0"/>
              <w:rPr>
                <w:sz w:val="20"/>
                <w:szCs w:val="20"/>
                <w:color w:val="auto"/>
              </w:rPr>
            </w:pPr>
            <w:r>
              <w:rPr>
                <w:rFonts w:ascii="Arial" w:cs="Arial" w:eastAsia="Arial" w:hAnsi="Arial"/>
                <w:sz w:val="18"/>
                <w:szCs w:val="18"/>
                <w:color w:val="auto"/>
              </w:rPr>
              <w:t>​</w:t>
            </w:r>
          </w:p>
        </w:tc>
        <w:tc>
          <w:tcPr>
            <w:tcW w:w="3080" w:type="dxa"/>
            <w:vAlign w:val="bottom"/>
            <w:tcBorders>
              <w:bottom w:val="single" w:sz="8" w:color="424E6A"/>
            </w:tcBorders>
            <w:gridSpan w:val="2"/>
            <w:shd w:val="clear" w:color="auto" w:fill="D9DCE1"/>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and Chief Financial Officer</w:t>
            </w:r>
          </w:p>
        </w:tc>
        <w:tc>
          <w:tcPr>
            <w:tcW w:w="28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r>
      <w:tr>
        <w:trPr>
          <w:trHeight w:val="250"/>
        </w:trPr>
        <w:tc>
          <w:tcPr>
            <w:tcW w:w="2880" w:type="dxa"/>
            <w:vAlign w:val="bottom"/>
            <w:tcBorders>
              <w:left w:val="single" w:sz="8" w:color="424E6A"/>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Richard McGee</w:t>
            </w:r>
          </w:p>
        </w:tc>
        <w:tc>
          <w:tcPr>
            <w:tcW w:w="1240" w:type="dxa"/>
            <w:vAlign w:val="bottom"/>
            <w:tcBorders>
              <w:bottom w:val="single" w:sz="8" w:color="424E6A"/>
              <w:right w:val="single" w:sz="8" w:color="424E6A"/>
            </w:tcBorders>
          </w:tcPr>
          <w:p>
            <w:pPr>
              <w:ind w:left="1120"/>
              <w:spacing w:after="0"/>
              <w:rPr>
                <w:sz w:val="20"/>
                <w:szCs w:val="20"/>
                <w:color w:val="auto"/>
              </w:rPr>
            </w:pPr>
            <w:r>
              <w:rPr>
                <w:rFonts w:ascii="Arial" w:cs="Arial" w:eastAsia="Arial" w:hAnsi="Arial"/>
                <w:sz w:val="18"/>
                <w:szCs w:val="18"/>
                <w:color w:val="auto"/>
              </w:rPr>
              <w:t>​</w:t>
            </w:r>
          </w:p>
        </w:tc>
        <w:tc>
          <w:tcPr>
            <w:tcW w:w="3080" w:type="dxa"/>
            <w:vAlign w:val="bottom"/>
            <w:tcBorders>
              <w:bottom w:val="single" w:sz="8" w:color="424E6A"/>
            </w:tcBorders>
            <w:gridSpan w:val="2"/>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General Counsel and Secretary</w:t>
            </w:r>
          </w:p>
        </w:tc>
        <w:tc>
          <w:tcPr>
            <w:tcW w:w="28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r>
      <w:tr>
        <w:trPr>
          <w:trHeight w:val="250"/>
        </w:trPr>
        <w:tc>
          <w:tcPr>
            <w:tcW w:w="2880" w:type="dxa"/>
            <w:vAlign w:val="bottom"/>
            <w:tcBorders>
              <w:left w:val="single" w:sz="8" w:color="424E6A"/>
              <w:bottom w:val="single" w:sz="8" w:color="424E6A"/>
            </w:tcBorders>
            <w:shd w:val="clear" w:color="auto" w:fill="D9DCE1"/>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Chris Chandler</w:t>
            </w:r>
          </w:p>
        </w:tc>
        <w:tc>
          <w:tcPr>
            <w:tcW w:w="1240" w:type="dxa"/>
            <w:vAlign w:val="bottom"/>
            <w:tcBorders>
              <w:bottom w:val="single" w:sz="8" w:color="424E6A"/>
              <w:right w:val="single" w:sz="8" w:color="424E6A"/>
            </w:tcBorders>
            <w:shd w:val="clear" w:color="auto" w:fill="D9DCE1"/>
          </w:tcPr>
          <w:p>
            <w:pPr>
              <w:ind w:left="1120"/>
              <w:spacing w:after="0"/>
              <w:rPr>
                <w:sz w:val="20"/>
                <w:szCs w:val="20"/>
                <w:color w:val="auto"/>
              </w:rPr>
            </w:pPr>
            <w:r>
              <w:rPr>
                <w:rFonts w:ascii="Arial" w:cs="Arial" w:eastAsia="Arial" w:hAnsi="Arial"/>
                <w:sz w:val="18"/>
                <w:szCs w:val="18"/>
                <w:color w:val="auto"/>
              </w:rPr>
              <w:t>​</w:t>
            </w:r>
          </w:p>
        </w:tc>
        <w:tc>
          <w:tcPr>
            <w:tcW w:w="3080" w:type="dxa"/>
            <w:vAlign w:val="bottom"/>
            <w:tcBorders>
              <w:bottom w:val="single" w:sz="8" w:color="424E6A"/>
            </w:tcBorders>
            <w:gridSpan w:val="2"/>
            <w:shd w:val="clear" w:color="auto" w:fill="D9DCE1"/>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and Chief Operating Officer</w:t>
            </w:r>
          </w:p>
        </w:tc>
        <w:tc>
          <w:tcPr>
            <w:tcW w:w="280" w:type="dxa"/>
            <w:vAlign w:val="bottom"/>
            <w:tcBorders>
              <w:bottom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r>
      <w:tr>
        <w:trPr>
          <w:trHeight w:val="250"/>
        </w:trPr>
        <w:tc>
          <w:tcPr>
            <w:tcW w:w="2880" w:type="dxa"/>
            <w:vAlign w:val="bottom"/>
            <w:tcBorders>
              <w:left w:val="single" w:sz="8" w:color="424E6A"/>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Jeremy Goebel</w:t>
            </w:r>
          </w:p>
        </w:tc>
        <w:tc>
          <w:tcPr>
            <w:tcW w:w="1240" w:type="dxa"/>
            <w:vAlign w:val="bottom"/>
            <w:tcBorders>
              <w:bottom w:val="single" w:sz="8" w:color="424E6A"/>
              <w:right w:val="single" w:sz="8" w:color="424E6A"/>
            </w:tcBorders>
          </w:tcPr>
          <w:p>
            <w:pPr>
              <w:ind w:left="1120"/>
              <w:spacing w:after="0"/>
              <w:rPr>
                <w:sz w:val="20"/>
                <w:szCs w:val="20"/>
                <w:color w:val="auto"/>
              </w:rPr>
            </w:pPr>
            <w:r>
              <w:rPr>
                <w:rFonts w:ascii="Arial" w:cs="Arial" w:eastAsia="Arial" w:hAnsi="Arial"/>
                <w:sz w:val="18"/>
                <w:szCs w:val="18"/>
                <w:color w:val="auto"/>
              </w:rPr>
              <w:t>​</w:t>
            </w:r>
          </w:p>
        </w:tc>
        <w:tc>
          <w:tcPr>
            <w:tcW w:w="3080" w:type="dxa"/>
            <w:vAlign w:val="bottom"/>
            <w:tcBorders>
              <w:bottom w:val="single" w:sz="8" w:color="424E6A"/>
            </w:tcBorders>
            <w:gridSpan w:val="2"/>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and Chief Commercial Officer</w:t>
            </w:r>
          </w:p>
        </w:tc>
        <w:tc>
          <w:tcPr>
            <w:tcW w:w="28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r>
    </w:tbl>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2022 Executive Compensation Highlights</w:t>
      </w:r>
    </w:p>
    <w:p>
      <w:pPr>
        <w:spacing w:after="0" w:line="142" w:lineRule="exact"/>
        <w:rPr>
          <w:sz w:val="20"/>
          <w:szCs w:val="20"/>
          <w:color w:val="auto"/>
        </w:rPr>
      </w:pPr>
    </w:p>
    <w:p>
      <w:pPr>
        <w:ind w:left="1260" w:right="419" w:firstLine="360"/>
        <w:spacing w:after="0" w:line="291" w:lineRule="auto"/>
        <w:rPr>
          <w:sz w:val="20"/>
          <w:szCs w:val="20"/>
          <w:color w:val="auto"/>
        </w:rPr>
      </w:pPr>
      <w:r>
        <w:rPr>
          <w:rFonts w:ascii="Arial" w:cs="Arial" w:eastAsia="Arial" w:hAnsi="Arial"/>
          <w:sz w:val="17"/>
          <w:szCs w:val="17"/>
          <w:color w:val="auto"/>
        </w:rPr>
        <w:t>The discussion set forth below in this Compensation Discussion and Analysis describes our current approach to executive compensation and elaborates upon the various actions taken and adjustments made with respect to our executive compensation program. Highlights for 2022 include the following:</w:t>
      </w:r>
    </w:p>
    <w:p>
      <w:pPr>
        <w:spacing w:after="0" w:line="45" w:lineRule="exact"/>
        <w:rPr>
          <w:sz w:val="20"/>
          <w:szCs w:val="20"/>
          <w:color w:val="auto"/>
        </w:rPr>
      </w:pPr>
    </w:p>
    <w:p>
      <w:pPr>
        <w:ind w:left="1800" w:right="439" w:hanging="180"/>
        <w:spacing w:after="0" w:line="255" w:lineRule="auto"/>
        <w:tabs>
          <w:tab w:leader="none" w:pos="1800"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Continued Investor Engagement</w:t>
      </w:r>
      <w:r>
        <w:rPr>
          <w:rFonts w:ascii="Arial" w:cs="Arial" w:eastAsia="Arial" w:hAnsi="Arial"/>
          <w:sz w:val="18"/>
          <w:szCs w:val="18"/>
          <w:color w:val="auto"/>
        </w:rPr>
        <w:t>: During 2022, we continued our practice of engaging with our</w:t>
      </w:r>
      <w:r>
        <w:rPr>
          <w:rFonts w:ascii="Arial" w:cs="Arial" w:eastAsia="Arial" w:hAnsi="Arial"/>
          <w:sz w:val="18"/>
          <w:szCs w:val="18"/>
          <w:b w:val="1"/>
          <w:bCs w:val="1"/>
          <w:color w:val="auto"/>
        </w:rPr>
        <w:t xml:space="preserve"> </w:t>
      </w:r>
      <w:r>
        <w:rPr>
          <w:rFonts w:ascii="Arial" w:cs="Arial" w:eastAsia="Arial" w:hAnsi="Arial"/>
          <w:sz w:val="18"/>
          <w:szCs w:val="18"/>
          <w:color w:val="auto"/>
        </w:rPr>
        <w:t>unitholders regarding key executive compensation issues and incorporating their feedback into the decisions we make. For example, with respect to key actions taken during 2022 regarding adjustments to the annual compensation elements for our NEOs and certain long term incentive plan matters, we incorporated feedback received from our investors during our 2021 engagement effort (for more information, see sections below titled “Shareholder Engagement,” “2022 Independent Benchmark Study of Executive Compensation” and “Adjustment of Certain Pre-Pandemic Long Term Incentive Awards”).</w:t>
      </w:r>
    </w:p>
    <w:p>
      <w:pPr>
        <w:spacing w:after="0" w:line="90" w:lineRule="exact"/>
        <w:rPr>
          <w:rFonts w:ascii="Arial" w:cs="Arial" w:eastAsia="Arial" w:hAnsi="Arial"/>
          <w:sz w:val="18"/>
          <w:szCs w:val="18"/>
          <w:color w:val="auto"/>
        </w:rPr>
      </w:pPr>
    </w:p>
    <w:p>
      <w:pPr>
        <w:ind w:left="1800" w:right="499" w:hanging="180"/>
        <w:spacing w:after="0" w:line="259" w:lineRule="auto"/>
        <w:tabs>
          <w:tab w:leader="none" w:pos="1800"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Adjustments to Annual Compensation Elements</w:t>
      </w:r>
      <w:r>
        <w:rPr>
          <w:rFonts w:ascii="Arial" w:cs="Arial" w:eastAsia="Arial" w:hAnsi="Arial"/>
          <w:sz w:val="18"/>
          <w:szCs w:val="18"/>
          <w:color w:val="auto"/>
        </w:rPr>
        <w:t>: In order to enhance retention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competitive positioning of our NEO compensation relative to peers, and taking updated benchmark studies and individual situations into account, base salaries and other compensation elements for our NEOs were adjusted in February 2022. The goal of these adjustments was to enhance our</w:t>
      </w:r>
    </w:p>
    <w:p>
      <w:pPr>
        <w:spacing w:after="0" w:line="233" w:lineRule="exact"/>
        <w:rPr>
          <w:rFonts w:ascii="Arial" w:cs="Arial" w:eastAsia="Arial" w:hAnsi="Arial"/>
          <w:sz w:val="18"/>
          <w:szCs w:val="18"/>
          <w:color w:val="auto"/>
        </w:rPr>
      </w:pPr>
    </w:p>
    <w:p>
      <w:pPr>
        <w:ind w:left="1620" w:right="419" w:hanging="360"/>
        <w:spacing w:after="0" w:line="257" w:lineRule="auto"/>
        <w:rPr>
          <w:rFonts w:ascii="Arial" w:cs="Arial" w:eastAsia="Arial" w:hAnsi="Arial"/>
          <w:sz w:val="18"/>
          <w:szCs w:val="18"/>
          <w:color w:val="auto"/>
        </w:rPr>
      </w:pPr>
      <w:r>
        <w:rPr>
          <w:rFonts w:ascii="Arial" w:cs="Arial" w:eastAsia="Arial" w:hAnsi="Arial"/>
          <w:sz w:val="18"/>
          <w:szCs w:val="18"/>
          <w:color w:val="auto"/>
        </w:rPr>
        <w:t>* Our Named Executive Officers are employed by GP LLC and spend the substantial majority of their time managing the business of PAA, which benefits us as PAA’s performance will determine our success. We do not have operations that are separate from PAA and we do not separately compensate our Named Executive Officers for any services provided to us. As a result, this CD&amp;A describes the compensation of our Named Executive Officers as it relates to their services performed on behalf of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-934720</wp:posOffset>
            </wp:positionV>
            <wp:extent cx="12344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439"/>
        <w:spacing w:after="0" w:line="287" w:lineRule="auto"/>
        <w:rPr>
          <w:sz w:val="20"/>
          <w:szCs w:val="20"/>
          <w:color w:val="auto"/>
        </w:rPr>
      </w:pPr>
      <w:r>
        <w:rPr>
          <w:rFonts w:ascii="Arial" w:cs="Arial" w:eastAsia="Arial" w:hAnsi="Arial"/>
          <w:sz w:val="18"/>
          <w:szCs w:val="18"/>
          <w:color w:val="auto"/>
        </w:rPr>
        <w:t>competitiveness with respect to compensation and achieve what we believe are appropriate total compensation levels based on updated benchmark studies.</w:t>
      </w:r>
    </w:p>
    <w:p>
      <w:pPr>
        <w:spacing w:after="0" w:line="45" w:lineRule="exact"/>
        <w:rPr>
          <w:sz w:val="20"/>
          <w:szCs w:val="20"/>
          <w:color w:val="auto"/>
        </w:rPr>
      </w:pPr>
    </w:p>
    <w:p>
      <w:pPr>
        <w:jc w:val="both"/>
        <w:ind w:left="1800" w:right="659" w:hanging="180"/>
        <w:spacing w:after="0" w:line="268"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Annual Bonus</w:t>
      </w:r>
      <w:r>
        <w:rPr>
          <w:rFonts w:ascii="Arial" w:cs="Arial" w:eastAsia="Arial" w:hAnsi="Arial"/>
          <w:sz w:val="18"/>
          <w:szCs w:val="18"/>
          <w:color w:val="auto"/>
        </w:rPr>
        <w:t>: Due to above-target financial and safety/environmental performance in 2022,</w:t>
      </w:r>
      <w:r>
        <w:rPr>
          <w:rFonts w:ascii="Arial" w:cs="Arial" w:eastAsia="Arial" w:hAnsi="Arial"/>
          <w:sz w:val="18"/>
          <w:szCs w:val="18"/>
          <w:b w:val="1"/>
          <w:bCs w:val="1"/>
          <w:color w:val="auto"/>
        </w:rPr>
        <w:t xml:space="preserve"> </w:t>
      </w:r>
      <w:r>
        <w:rPr>
          <w:rFonts w:ascii="Arial" w:cs="Arial" w:eastAsia="Arial" w:hAnsi="Arial"/>
          <w:sz w:val="18"/>
          <w:szCs w:val="18"/>
          <w:color w:val="auto"/>
        </w:rPr>
        <w:t>NEO bonuses paid out above target, with our CEO earning a bonus at 180% of target and our other NEOs earning bonuses at 184% of target on average.</w:t>
      </w:r>
    </w:p>
    <w:p>
      <w:pPr>
        <w:spacing w:after="0" w:line="62" w:lineRule="exact"/>
        <w:rPr>
          <w:rFonts w:ascii="Arial" w:cs="Arial" w:eastAsia="Arial" w:hAnsi="Arial"/>
          <w:sz w:val="18"/>
          <w:szCs w:val="18"/>
          <w:color w:val="auto"/>
        </w:rPr>
      </w:pPr>
    </w:p>
    <w:p>
      <w:pPr>
        <w:ind w:left="1800" w:right="559" w:hanging="180"/>
        <w:spacing w:after="0" w:line="274" w:lineRule="auto"/>
        <w:tabs>
          <w:tab w:leader="none" w:pos="1800"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Long-Term Incentive Matters</w:t>
      </w:r>
      <w:r>
        <w:rPr>
          <w:rFonts w:ascii="Arial" w:cs="Arial" w:eastAsia="Arial" w:hAnsi="Arial"/>
          <w:sz w:val="17"/>
          <w:szCs w:val="17"/>
          <w:color w:val="auto"/>
        </w:rPr>
        <w:t>: We granted equity incentives to our NEOs, 50% in the form of</w:t>
      </w:r>
      <w:r>
        <w:rPr>
          <w:rFonts w:ascii="Arial" w:cs="Arial" w:eastAsia="Arial" w:hAnsi="Arial"/>
          <w:sz w:val="17"/>
          <w:szCs w:val="17"/>
          <w:b w:val="1"/>
          <w:bCs w:val="1"/>
          <w:color w:val="auto"/>
        </w:rPr>
        <w:t xml:space="preserve"> </w:t>
      </w:r>
      <w:r>
        <w:rPr>
          <w:rFonts w:ascii="Arial" w:cs="Arial" w:eastAsia="Arial" w:hAnsi="Arial"/>
          <w:sz w:val="17"/>
          <w:szCs w:val="17"/>
          <w:color w:val="auto"/>
        </w:rPr>
        <w:t>time-based units and 50% in the form of performance-based units that can be earned based upon TSR and DCF results over a cumulative three-year performance period. In addition, after considerable and careful consultation with our unitholders as a part of our investor engagement effort during 2021, we adjusted the performance metric under two special long-term incentive/​ retention grants that were issued prior to the COVID-19 pandemic to our COO and CCO. See “Adjustment of Certain Pre-Pandemic Long Term Incentive Awards” for more details.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Executive Compensation General Philosophy and Approach</w:t>
      </w:r>
    </w:p>
    <w:p>
      <w:pPr>
        <w:spacing w:after="0" w:line="156"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Our executive compensation philosophy emphasizes pay for performance, at both an individual and entity level, and places a significant portion of each Named Executive Officer’s compensation at risk. We believe this approach aligns the interests of our executive officers with the interests of our equity holders and at the same time allows us to attract, motivate and retain key executives. The table below highlights some of the key features of our executive compensation program:</w:t>
      </w:r>
    </w:p>
    <w:p>
      <w:pPr>
        <w:spacing w:after="0" w:line="138" w:lineRule="exact"/>
        <w:rPr>
          <w:sz w:val="20"/>
          <w:szCs w:val="20"/>
          <w:color w:val="auto"/>
        </w:rPr>
      </w:pPr>
    </w:p>
    <w:tbl>
      <w:tblPr>
        <w:tblLayout w:type="fixed"/>
        <w:tblInd w:w="1270" w:type="dxa"/>
        <w:tblCellMar>
          <w:top w:w="0" w:type="dxa"/>
          <w:left w:w="0" w:type="dxa"/>
          <w:bottom w:w="0" w:type="dxa"/>
          <w:right w:w="0" w:type="dxa"/>
        </w:tblCellMar>
      </w:tblPr>
      <w:tr>
        <w:trPr>
          <w:trHeight w:val="229"/>
        </w:trPr>
        <w:tc>
          <w:tcPr>
            <w:tcW w:w="300" w:type="dxa"/>
            <w:vAlign w:val="bottom"/>
            <w:tcBorders>
              <w:top w:val="single" w:sz="8" w:color="auto"/>
              <w:left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3680" w:type="dxa"/>
            <w:vAlign w:val="bottom"/>
            <w:tcBorders>
              <w:top w:val="single" w:sz="8" w:color="auto"/>
              <w:bottom w:val="single" w:sz="8" w:color="auto"/>
            </w:tcBorders>
            <w:shd w:val="clear" w:color="auto" w:fill="424E6A"/>
          </w:tcPr>
          <w:p>
            <w:pPr>
              <w:ind w:left="1300"/>
              <w:spacing w:after="0"/>
              <w:rPr>
                <w:sz w:val="20"/>
                <w:szCs w:val="20"/>
                <w:color w:val="auto"/>
              </w:rPr>
            </w:pPr>
            <w:r>
              <w:rPr>
                <w:rFonts w:ascii="Arial" w:cs="Arial" w:eastAsia="Arial" w:hAnsi="Arial"/>
                <w:sz w:val="14"/>
                <w:szCs w:val="14"/>
                <w:b w:val="1"/>
                <w:bCs w:val="1"/>
                <w:color w:val="FFFFFF"/>
              </w:rPr>
              <w:t>What We Do</w:t>
            </w:r>
          </w:p>
        </w:tc>
        <w:tc>
          <w:tcPr>
            <w:tcW w:w="400" w:type="dxa"/>
            <w:vAlign w:val="bottom"/>
            <w:tcBorders>
              <w:top w:val="single" w:sz="8" w:color="auto"/>
              <w:bottom w:val="single" w:sz="8" w:color="auto"/>
            </w:tcBorders>
            <w:gridSpan w:val="2"/>
            <w:shd w:val="clear" w:color="auto" w:fill="424E6A"/>
          </w:tcPr>
          <w:p>
            <w:pPr>
              <w:ind w:left="60"/>
              <w:spacing w:after="0"/>
              <w:rPr>
                <w:sz w:val="20"/>
                <w:szCs w:val="20"/>
                <w:color w:val="auto"/>
              </w:rPr>
            </w:pPr>
            <w:r>
              <w:rPr>
                <w:rFonts w:ascii="Arial" w:cs="Arial" w:eastAsia="Arial" w:hAnsi="Arial"/>
                <w:sz w:val="14"/>
                <w:szCs w:val="14"/>
                <w:b w:val="1"/>
                <w:bCs w:val="1"/>
                <w:color w:val="FFFFFF"/>
              </w:rPr>
              <w:t>​ ​</w:t>
            </w:r>
          </w:p>
        </w:tc>
        <w:tc>
          <w:tcPr>
            <w:tcW w:w="3840" w:type="dxa"/>
            <w:vAlign w:val="bottom"/>
            <w:tcBorders>
              <w:top w:val="single" w:sz="8" w:color="auto"/>
              <w:bottom w:val="single" w:sz="8" w:color="auto"/>
              <w:right w:val="single" w:sz="8" w:color="auto"/>
            </w:tcBorders>
            <w:shd w:val="clear" w:color="auto" w:fill="424E6A"/>
          </w:tcPr>
          <w:p>
            <w:pPr>
              <w:ind w:left="1180"/>
              <w:spacing w:after="0"/>
              <w:rPr>
                <w:sz w:val="20"/>
                <w:szCs w:val="20"/>
                <w:color w:val="auto"/>
              </w:rPr>
            </w:pPr>
            <w:r>
              <w:rPr>
                <w:rFonts w:ascii="Arial" w:cs="Arial" w:eastAsia="Arial" w:hAnsi="Arial"/>
                <w:sz w:val="14"/>
                <w:szCs w:val="14"/>
                <w:b w:val="1"/>
                <w:bCs w:val="1"/>
                <w:color w:val="FFFFFF"/>
              </w:rPr>
              <w:t>What We Don’t Do</w:t>
            </w:r>
          </w:p>
        </w:tc>
        <w:tc>
          <w:tcPr>
            <w:tcW w:w="0" w:type="dxa"/>
            <w:vAlign w:val="bottom"/>
          </w:tcPr>
          <w:p>
            <w:pPr>
              <w:spacing w:after="0"/>
              <w:rPr>
                <w:sz w:val="1"/>
                <w:szCs w:val="1"/>
                <w:color w:val="auto"/>
              </w:rPr>
            </w:pPr>
          </w:p>
        </w:tc>
      </w:tr>
      <w:tr>
        <w:trPr>
          <w:trHeight w:val="276"/>
        </w:trPr>
        <w:tc>
          <w:tcPr>
            <w:tcW w:w="3980" w:type="dxa"/>
            <w:vAlign w:val="bottom"/>
            <w:tcBorders>
              <w:left w:val="single" w:sz="8" w:color="auto"/>
            </w:tcBorders>
            <w:gridSpan w:val="2"/>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emphasize pay for performance</w:t>
            </w:r>
          </w:p>
        </w:tc>
        <w:tc>
          <w:tcPr>
            <w:tcW w:w="14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 guaranteed bonuses</w:t>
            </w:r>
          </w:p>
        </w:tc>
        <w:tc>
          <w:tcPr>
            <w:tcW w:w="0" w:type="dxa"/>
            <w:vAlign w:val="bottom"/>
          </w:tcPr>
          <w:p>
            <w:pPr>
              <w:spacing w:after="0"/>
              <w:rPr>
                <w:sz w:val="1"/>
                <w:szCs w:val="1"/>
                <w:color w:val="auto"/>
              </w:rPr>
            </w:pPr>
          </w:p>
        </w:tc>
      </w:tr>
      <w:tr>
        <w:trPr>
          <w:trHeight w:val="252"/>
        </w:trPr>
        <w:tc>
          <w:tcPr>
            <w:tcW w:w="3980" w:type="dxa"/>
            <w:vAlign w:val="bottom"/>
            <w:tcBorders>
              <w:left w:val="single" w:sz="8" w:color="auto"/>
            </w:tcBorders>
            <w:gridSpan w:val="2"/>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Our compensation program is structured to</w:t>
            </w:r>
          </w:p>
        </w:tc>
        <w:tc>
          <w:tcPr>
            <w:tcW w:w="14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 excise tax gross ups</w:t>
            </w: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emphasize variable, at-risk compensation</w:t>
            </w:r>
          </w:p>
        </w:tc>
        <w:tc>
          <w:tcPr>
            <w:tcW w:w="1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Directors and officers are prohibited from</w:t>
            </w:r>
          </w:p>
        </w:tc>
        <w:tc>
          <w:tcPr>
            <w:tcW w:w="0" w:type="dxa"/>
            <w:vAlign w:val="bottom"/>
          </w:tcPr>
          <w:p>
            <w:pPr>
              <w:spacing w:after="0"/>
              <w:rPr>
                <w:sz w:val="1"/>
                <w:szCs w:val="1"/>
                <w:color w:val="auto"/>
              </w:rPr>
            </w:pPr>
          </w:p>
        </w:tc>
      </w:tr>
      <w:tr>
        <w:trPr>
          <w:trHeight w:val="81"/>
        </w:trPr>
        <w:tc>
          <w:tcPr>
            <w:tcW w:w="300" w:type="dxa"/>
            <w:vAlign w:val="bottom"/>
            <w:tcBorders>
              <w:left w:val="single" w:sz="8" w:color="auto"/>
            </w:tcBorders>
          </w:tcPr>
          <w:p>
            <w:pPr>
              <w:spacing w:after="0"/>
              <w:rPr>
                <w:sz w:val="7"/>
                <w:szCs w:val="7"/>
                <w:color w:val="auto"/>
              </w:rPr>
            </w:pPr>
          </w:p>
        </w:tc>
        <w:tc>
          <w:tcPr>
            <w:tcW w:w="3680" w:type="dxa"/>
            <w:vAlign w:val="bottom"/>
            <w:vMerge w:val="restart"/>
          </w:tcPr>
          <w:p>
            <w:pPr>
              <w:ind w:left="120"/>
              <w:spacing w:after="0"/>
              <w:rPr>
                <w:sz w:val="20"/>
                <w:szCs w:val="20"/>
                <w:color w:val="auto"/>
              </w:rPr>
            </w:pPr>
            <w:r>
              <w:rPr>
                <w:rFonts w:ascii="Arial" w:cs="Arial" w:eastAsia="Arial" w:hAnsi="Arial"/>
                <w:sz w:val="18"/>
                <w:szCs w:val="18"/>
                <w:color w:val="auto"/>
              </w:rPr>
              <w:t>(over 80% of target NEO compensation is at</w:t>
            </w:r>
          </w:p>
        </w:tc>
        <w:tc>
          <w:tcPr>
            <w:tcW w:w="14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3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00" w:type="dxa"/>
            <w:vAlign w:val="bottom"/>
            <w:tcBorders>
              <w:left w:val="single" w:sz="8" w:color="auto"/>
            </w:tcBorders>
          </w:tcPr>
          <w:p>
            <w:pPr>
              <w:spacing w:after="0"/>
              <w:rPr>
                <w:sz w:val="11"/>
                <w:szCs w:val="11"/>
                <w:color w:val="auto"/>
              </w:rPr>
            </w:pPr>
          </w:p>
        </w:tc>
        <w:tc>
          <w:tcPr>
            <w:tcW w:w="368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hedging or pledging company securities</w:t>
            </w:r>
          </w:p>
        </w:tc>
        <w:tc>
          <w:tcPr>
            <w:tcW w:w="0" w:type="dxa"/>
            <w:vAlign w:val="bottom"/>
          </w:tcPr>
          <w:p>
            <w:pPr>
              <w:spacing w:after="0"/>
              <w:rPr>
                <w:sz w:val="1"/>
                <w:szCs w:val="1"/>
                <w:color w:val="auto"/>
              </w:rPr>
            </w:pPr>
          </w:p>
        </w:tc>
      </w:tr>
      <w:tr>
        <w:trPr>
          <w:trHeight w:val="104"/>
        </w:trPr>
        <w:tc>
          <w:tcPr>
            <w:tcW w:w="300" w:type="dxa"/>
            <w:vAlign w:val="bottom"/>
            <w:tcBorders>
              <w:left w:val="single" w:sz="8" w:color="auto"/>
            </w:tcBorders>
          </w:tcPr>
          <w:p>
            <w:pPr>
              <w:spacing w:after="0"/>
              <w:rPr>
                <w:sz w:val="9"/>
                <w:szCs w:val="9"/>
                <w:color w:val="auto"/>
              </w:rPr>
            </w:pPr>
          </w:p>
        </w:tc>
        <w:tc>
          <w:tcPr>
            <w:tcW w:w="3680" w:type="dxa"/>
            <w:vAlign w:val="bottom"/>
            <w:vMerge w:val="restart"/>
          </w:tcPr>
          <w:p>
            <w:pPr>
              <w:ind w:left="120"/>
              <w:spacing w:after="0"/>
              <w:rPr>
                <w:sz w:val="20"/>
                <w:szCs w:val="20"/>
                <w:color w:val="auto"/>
              </w:rPr>
            </w:pPr>
            <w:r>
              <w:rPr>
                <w:rFonts w:ascii="Arial" w:cs="Arial" w:eastAsia="Arial" w:hAnsi="Arial"/>
                <w:sz w:val="18"/>
                <w:szCs w:val="18"/>
                <w:color w:val="auto"/>
              </w:rPr>
              <w:t>risk)</w:t>
            </w:r>
          </w:p>
        </w:tc>
        <w:tc>
          <w:tcPr>
            <w:tcW w:w="1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38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0" w:type="dxa"/>
            <w:vAlign w:val="bottom"/>
            <w:tcBorders>
              <w:left w:val="single" w:sz="8" w:color="auto"/>
            </w:tcBorders>
          </w:tcPr>
          <w:p>
            <w:pPr>
              <w:spacing w:after="0"/>
              <w:rPr>
                <w:sz w:val="11"/>
                <w:szCs w:val="11"/>
                <w:color w:val="auto"/>
              </w:rPr>
            </w:pPr>
          </w:p>
        </w:tc>
        <w:tc>
          <w:tcPr>
            <w:tcW w:w="368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Our equity plan prohibits backdating or</w:t>
            </w:r>
          </w:p>
        </w:tc>
        <w:tc>
          <w:tcPr>
            <w:tcW w:w="0" w:type="dxa"/>
            <w:vAlign w:val="bottom"/>
          </w:tcPr>
          <w:p>
            <w:pPr>
              <w:spacing w:after="0"/>
              <w:rPr>
                <w:sz w:val="1"/>
                <w:szCs w:val="1"/>
                <w:color w:val="auto"/>
              </w:rPr>
            </w:pPr>
          </w:p>
        </w:tc>
      </w:tr>
      <w:tr>
        <w:trPr>
          <w:trHeight w:val="180"/>
        </w:trPr>
        <w:tc>
          <w:tcPr>
            <w:tcW w:w="3980" w:type="dxa"/>
            <w:vAlign w:val="bottom"/>
            <w:tcBorders>
              <w:left w:val="single" w:sz="8" w:color="auto"/>
            </w:tcBorders>
            <w:gridSpan w:val="2"/>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Our annual bonus program is 100%</w:t>
            </w:r>
          </w:p>
        </w:tc>
        <w:tc>
          <w:tcPr>
            <w:tcW w:w="14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980" w:type="dxa"/>
            <w:vAlign w:val="bottom"/>
            <w:tcBorders>
              <w:left w:val="single" w:sz="8" w:color="auto"/>
            </w:tcBorders>
            <w:gridSpan w:val="2"/>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40" w:type="dxa"/>
            <w:vAlign w:val="bottom"/>
            <w:tcBorders>
              <w:right w:val="single" w:sz="8" w:color="auto"/>
            </w:tcBorders>
          </w:tcPr>
          <w:p>
            <w:pPr>
              <w:ind w:left="180"/>
              <w:spacing w:after="0" w:line="181" w:lineRule="exact"/>
              <w:rPr>
                <w:sz w:val="20"/>
                <w:szCs w:val="20"/>
                <w:color w:val="auto"/>
              </w:rPr>
            </w:pPr>
            <w:r>
              <w:rPr>
                <w:rFonts w:ascii="Arial" w:cs="Arial" w:eastAsia="Arial" w:hAnsi="Arial"/>
                <w:sz w:val="18"/>
                <w:szCs w:val="18"/>
                <w:color w:val="auto"/>
              </w:rPr>
              <w:t>repricing of options</w:t>
            </w:r>
          </w:p>
        </w:tc>
        <w:tc>
          <w:tcPr>
            <w:tcW w:w="0" w:type="dxa"/>
            <w:vAlign w:val="bottom"/>
          </w:tcPr>
          <w:p>
            <w:pPr>
              <w:spacing w:after="0"/>
              <w:rPr>
                <w:sz w:val="1"/>
                <w:szCs w:val="1"/>
                <w:color w:val="auto"/>
              </w:rPr>
            </w:pPr>
          </w:p>
        </w:tc>
      </w:tr>
      <w:tr>
        <w:trPr>
          <w:trHeight w:val="197"/>
        </w:trPr>
        <w:tc>
          <w:tcPr>
            <w:tcW w:w="300" w:type="dxa"/>
            <w:vAlign w:val="bottom"/>
            <w:tcBorders>
              <w:left w:val="single" w:sz="8" w:color="auto"/>
            </w:tcBorders>
          </w:tcPr>
          <w:p>
            <w:pPr>
              <w:spacing w:after="0"/>
              <w:rPr>
                <w:sz w:val="17"/>
                <w:szCs w:val="17"/>
                <w:color w:val="auto"/>
              </w:rPr>
            </w:pPr>
          </w:p>
        </w:tc>
        <w:tc>
          <w:tcPr>
            <w:tcW w:w="3680" w:type="dxa"/>
            <w:vAlign w:val="bottom"/>
          </w:tcPr>
          <w:p>
            <w:pPr>
              <w:ind w:left="120"/>
              <w:spacing w:after="0" w:line="197" w:lineRule="exact"/>
              <w:rPr>
                <w:sz w:val="20"/>
                <w:szCs w:val="20"/>
                <w:color w:val="auto"/>
              </w:rPr>
            </w:pPr>
            <w:r>
              <w:rPr>
                <w:rFonts w:ascii="Arial" w:cs="Arial" w:eastAsia="Arial" w:hAnsi="Arial"/>
                <w:sz w:val="18"/>
                <w:szCs w:val="18"/>
                <w:color w:val="auto"/>
              </w:rPr>
              <w:t>performance based with payout based on a</w:t>
            </w:r>
          </w:p>
        </w:tc>
        <w:tc>
          <w:tcPr>
            <w:tcW w:w="1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No significant perquisites for our executive</w:t>
            </w:r>
          </w:p>
        </w:tc>
        <w:tc>
          <w:tcPr>
            <w:tcW w:w="0" w:type="dxa"/>
            <w:vAlign w:val="bottom"/>
          </w:tcPr>
          <w:p>
            <w:pPr>
              <w:spacing w:after="0"/>
              <w:rPr>
                <w:sz w:val="1"/>
                <w:szCs w:val="1"/>
                <w:color w:val="auto"/>
              </w:rPr>
            </w:pPr>
          </w:p>
        </w:tc>
      </w:tr>
      <w:tr>
        <w:trPr>
          <w:trHeight w:val="181"/>
        </w:trPr>
        <w:tc>
          <w:tcPr>
            <w:tcW w:w="300" w:type="dxa"/>
            <w:vAlign w:val="bottom"/>
            <w:tcBorders>
              <w:left w:val="single" w:sz="8" w:color="auto"/>
            </w:tcBorders>
          </w:tcPr>
          <w:p>
            <w:pPr>
              <w:spacing w:after="0"/>
              <w:rPr>
                <w:sz w:val="15"/>
                <w:szCs w:val="15"/>
                <w:color w:val="auto"/>
              </w:rPr>
            </w:pPr>
          </w:p>
        </w:tc>
        <w:tc>
          <w:tcPr>
            <w:tcW w:w="3680" w:type="dxa"/>
            <w:vAlign w:val="bottom"/>
          </w:tcPr>
          <w:p>
            <w:pPr>
              <w:ind w:left="120"/>
              <w:spacing w:after="0" w:line="181" w:lineRule="exact"/>
              <w:rPr>
                <w:sz w:val="20"/>
                <w:szCs w:val="20"/>
                <w:color w:val="auto"/>
              </w:rPr>
            </w:pPr>
            <w:r>
              <w:rPr>
                <w:rFonts w:ascii="Arial" w:cs="Arial" w:eastAsia="Arial" w:hAnsi="Arial"/>
                <w:sz w:val="18"/>
                <w:szCs w:val="18"/>
                <w:color w:val="auto"/>
              </w:rPr>
              <w:t>formulaic framework</w:t>
            </w:r>
          </w:p>
        </w:tc>
        <w:tc>
          <w:tcPr>
            <w:tcW w:w="14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980" w:type="dxa"/>
            <w:vAlign w:val="bottom"/>
            <w:tcBorders>
              <w:left w:val="single" w:sz="8" w:color="auto"/>
            </w:tcBorders>
            <w:gridSpan w:val="2"/>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50% of NEO long-term equity incentives are</w:t>
            </w:r>
          </w:p>
        </w:tc>
        <w:tc>
          <w:tcPr>
            <w:tcW w:w="1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officers</w:t>
            </w:r>
          </w:p>
        </w:tc>
        <w:tc>
          <w:tcPr>
            <w:tcW w:w="0" w:type="dxa"/>
            <w:vAlign w:val="bottom"/>
          </w:tcPr>
          <w:p>
            <w:pPr>
              <w:spacing w:after="0"/>
              <w:rPr>
                <w:sz w:val="1"/>
                <w:szCs w:val="1"/>
                <w:color w:val="auto"/>
              </w:rPr>
            </w:pPr>
          </w:p>
        </w:tc>
      </w:tr>
      <w:tr>
        <w:trPr>
          <w:trHeight w:val="161"/>
        </w:trPr>
        <w:tc>
          <w:tcPr>
            <w:tcW w:w="3980" w:type="dxa"/>
            <w:vAlign w:val="bottom"/>
            <w:tcBorders>
              <w:left w:val="single" w:sz="8" w:color="auto"/>
            </w:tcBorders>
            <w:gridSpan w:val="2"/>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No single-trigger change in control</w:t>
            </w:r>
          </w:p>
        </w:tc>
        <w:tc>
          <w:tcPr>
            <w:tcW w:w="0" w:type="dxa"/>
            <w:vAlign w:val="bottom"/>
          </w:tcPr>
          <w:p>
            <w:pPr>
              <w:spacing w:after="0"/>
              <w:rPr>
                <w:sz w:val="1"/>
                <w:szCs w:val="1"/>
                <w:color w:val="auto"/>
              </w:rPr>
            </w:pPr>
          </w:p>
        </w:tc>
      </w:tr>
      <w:tr>
        <w:trPr>
          <w:trHeight w:val="181"/>
        </w:trPr>
        <w:tc>
          <w:tcPr>
            <w:tcW w:w="300" w:type="dxa"/>
            <w:vAlign w:val="bottom"/>
            <w:tcBorders>
              <w:left w:val="single" w:sz="8" w:color="auto"/>
            </w:tcBorders>
          </w:tcPr>
          <w:p>
            <w:pPr>
              <w:spacing w:after="0"/>
              <w:rPr>
                <w:sz w:val="15"/>
                <w:szCs w:val="15"/>
                <w:color w:val="auto"/>
              </w:rPr>
            </w:pPr>
          </w:p>
        </w:tc>
        <w:tc>
          <w:tcPr>
            <w:tcW w:w="3680" w:type="dxa"/>
            <w:vAlign w:val="bottom"/>
          </w:tcPr>
          <w:p>
            <w:pPr>
              <w:ind w:left="120"/>
              <w:spacing w:after="0" w:line="181" w:lineRule="exact"/>
              <w:rPr>
                <w:sz w:val="20"/>
                <w:szCs w:val="20"/>
                <w:color w:val="auto"/>
              </w:rPr>
            </w:pPr>
            <w:r>
              <w:rPr>
                <w:rFonts w:ascii="Arial" w:cs="Arial" w:eastAsia="Arial" w:hAnsi="Arial"/>
                <w:sz w:val="18"/>
                <w:szCs w:val="18"/>
                <w:color w:val="auto"/>
              </w:rPr>
              <w:t>performance based, requiring performance</w:t>
            </w:r>
          </w:p>
        </w:tc>
        <w:tc>
          <w:tcPr>
            <w:tcW w:w="14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over a multi-year period</w:t>
            </w:r>
          </w:p>
        </w:tc>
        <w:tc>
          <w:tcPr>
            <w:tcW w:w="1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protections in our long-term incentive plan</w:t>
            </w:r>
          </w:p>
        </w:tc>
        <w:tc>
          <w:tcPr>
            <w:tcW w:w="0" w:type="dxa"/>
            <w:vAlign w:val="bottom"/>
          </w:tcPr>
          <w:p>
            <w:pPr>
              <w:spacing w:after="0"/>
              <w:rPr>
                <w:sz w:val="1"/>
                <w:szCs w:val="1"/>
                <w:color w:val="auto"/>
              </w:rPr>
            </w:pPr>
          </w:p>
        </w:tc>
      </w:tr>
      <w:tr>
        <w:trPr>
          <w:trHeight w:val="239"/>
        </w:trPr>
        <w:tc>
          <w:tcPr>
            <w:tcW w:w="3980" w:type="dxa"/>
            <w:vAlign w:val="bottom"/>
            <w:tcBorders>
              <w:left w:val="single" w:sz="8" w:color="auto"/>
            </w:tcBorders>
            <w:gridSpan w:val="2"/>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Compensation program design mitigates</w:t>
            </w:r>
          </w:p>
        </w:tc>
        <w:tc>
          <w:tcPr>
            <w:tcW w:w="1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grants</w:t>
            </w:r>
          </w:p>
        </w:tc>
        <w:tc>
          <w:tcPr>
            <w:tcW w:w="0" w:type="dxa"/>
            <w:vAlign w:val="bottom"/>
          </w:tcPr>
          <w:p>
            <w:pPr>
              <w:spacing w:after="0"/>
              <w:rPr>
                <w:sz w:val="1"/>
                <w:szCs w:val="1"/>
                <w:color w:val="auto"/>
              </w:rPr>
            </w:pPr>
          </w:p>
        </w:tc>
      </w:tr>
      <w:tr>
        <w:trPr>
          <w:trHeight w:val="147"/>
        </w:trPr>
        <w:tc>
          <w:tcPr>
            <w:tcW w:w="3980" w:type="dxa"/>
            <w:vAlign w:val="bottom"/>
            <w:tcBorders>
              <w:left w:val="single" w:sz="8" w:color="auto"/>
            </w:tcBorders>
            <w:gridSpan w:val="2"/>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300" w:type="dxa"/>
            <w:vAlign w:val="bottom"/>
            <w:tcBorders>
              <w:left w:val="single" w:sz="8" w:color="auto"/>
            </w:tcBorders>
          </w:tcPr>
          <w:p>
            <w:pPr>
              <w:spacing w:after="0"/>
              <w:rPr>
                <w:sz w:val="20"/>
                <w:szCs w:val="20"/>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against excessive risk taking</w:t>
            </w:r>
          </w:p>
        </w:tc>
        <w:tc>
          <w:tcPr>
            <w:tcW w:w="1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300" w:type="dxa"/>
            <w:vAlign w:val="bottom"/>
            <w:tcBorders>
              <w:lef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120"/>
              <w:spacing w:after="0"/>
              <w:rPr>
                <w:sz w:val="20"/>
                <w:szCs w:val="20"/>
                <w:color w:val="auto"/>
              </w:rPr>
            </w:pPr>
            <w:r>
              <w:rPr>
                <w:rFonts w:ascii="Arial" w:cs="Arial" w:eastAsia="Arial" w:hAnsi="Arial"/>
                <w:sz w:val="18"/>
                <w:szCs w:val="18"/>
                <w:color w:val="auto"/>
              </w:rPr>
              <w:t>Independent compensation consultant</w:t>
            </w:r>
          </w:p>
        </w:tc>
        <w:tc>
          <w:tcPr>
            <w:tcW w:w="14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980" w:type="dxa"/>
            <w:vAlign w:val="bottom"/>
            <w:tcBorders>
              <w:left w:val="single" w:sz="8" w:color="auto"/>
            </w:tcBorders>
            <w:gridSpan w:val="2"/>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Regular investor engagement on</w:t>
            </w:r>
          </w:p>
        </w:tc>
        <w:tc>
          <w:tcPr>
            <w:tcW w:w="14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00" w:type="dxa"/>
            <w:vAlign w:val="bottom"/>
            <w:tcBorders>
              <w:left w:val="single" w:sz="8" w:color="auto"/>
            </w:tcBorders>
          </w:tcPr>
          <w:p>
            <w:pPr>
              <w:spacing w:after="0"/>
              <w:rPr>
                <w:sz w:val="20"/>
                <w:szCs w:val="20"/>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compensation and other matters</w:t>
            </w:r>
          </w:p>
        </w:tc>
        <w:tc>
          <w:tcPr>
            <w:tcW w:w="1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980" w:type="dxa"/>
            <w:vAlign w:val="bottom"/>
            <w:tcBorders>
              <w:left w:val="single" w:sz="8" w:color="auto"/>
            </w:tcBorders>
            <w:gridSpan w:val="2"/>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Equity Ownership Guidelines for executive</w:t>
            </w:r>
          </w:p>
        </w:tc>
        <w:tc>
          <w:tcPr>
            <w:tcW w:w="14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00" w:type="dxa"/>
            <w:vAlign w:val="bottom"/>
            <w:tcBorders>
              <w:left w:val="single" w:sz="8" w:color="auto"/>
            </w:tcBorders>
          </w:tcPr>
          <w:p>
            <w:pPr>
              <w:spacing w:after="0"/>
              <w:rPr>
                <w:sz w:val="20"/>
                <w:szCs w:val="20"/>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officers and directors</w:t>
            </w:r>
          </w:p>
        </w:tc>
        <w:tc>
          <w:tcPr>
            <w:tcW w:w="1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3980" w:type="dxa"/>
            <w:vAlign w:val="bottom"/>
            <w:tcBorders>
              <w:left w:val="single" w:sz="8" w:color="auto"/>
            </w:tcBorders>
            <w:gridSpan w:val="2"/>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Clawback Policy that applies to performance</w:t>
            </w:r>
          </w:p>
        </w:tc>
        <w:tc>
          <w:tcPr>
            <w:tcW w:w="14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00" w:type="dxa"/>
            <w:vAlign w:val="bottom"/>
            <w:tcBorders>
              <w:left w:val="single" w:sz="8" w:color="auto"/>
            </w:tcBorders>
          </w:tcPr>
          <w:p>
            <w:pPr>
              <w:spacing w:after="0"/>
              <w:rPr>
                <w:sz w:val="20"/>
                <w:szCs w:val="20"/>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based cash and equity compensation</w:t>
            </w:r>
          </w:p>
        </w:tc>
        <w:tc>
          <w:tcPr>
            <w:tcW w:w="1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300" w:type="dxa"/>
            <w:vAlign w:val="bottom"/>
            <w:tcBorders>
              <w:left w:val="single" w:sz="8" w:color="auto"/>
              <w:bottom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-3462655</wp:posOffset>
            </wp:positionV>
            <wp:extent cx="60325"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-3239770</wp:posOffset>
            </wp:positionV>
            <wp:extent cx="60325"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-3051175</wp:posOffset>
            </wp:positionV>
            <wp:extent cx="60325" cy="603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-2691130</wp:posOffset>
            </wp:positionV>
            <wp:extent cx="60325"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-2339340</wp:posOffset>
            </wp:positionV>
            <wp:extent cx="60325" cy="603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-1988185</wp:posOffset>
            </wp:positionV>
            <wp:extent cx="60325"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Shareholder Engagement</w:t>
      </w:r>
    </w:p>
    <w:p>
      <w:pPr>
        <w:spacing w:after="0" w:line="156" w:lineRule="exact"/>
        <w:rPr>
          <w:sz w:val="20"/>
          <w:szCs w:val="20"/>
          <w:color w:val="auto"/>
        </w:rPr>
      </w:pPr>
    </w:p>
    <w:p>
      <w:pPr>
        <w:ind w:left="1260" w:firstLine="360"/>
        <w:spacing w:after="0" w:line="255" w:lineRule="auto"/>
        <w:rPr>
          <w:sz w:val="20"/>
          <w:szCs w:val="20"/>
          <w:color w:val="auto"/>
        </w:rPr>
      </w:pPr>
      <w:r>
        <w:rPr>
          <w:rFonts w:ascii="Arial" w:cs="Arial" w:eastAsia="Arial" w:hAnsi="Arial"/>
          <w:sz w:val="18"/>
          <w:szCs w:val="18"/>
          <w:color w:val="auto"/>
        </w:rPr>
        <w:t>At our last annual meeting, over 98% of our voting equity holders approved our executive compensation program. Although this “say on pay” vote is advisory and non-binding, our Compensation Committee and Board value the opinions of our unitholders and carefully consider the results of “say on pay” votes and direct feedback received from investors, among a variety of other factors, when making future compensation decisions for our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286" w:right="739" w:hanging="286"/>
        <w:spacing w:after="0" w:line="183" w:lineRule="auto"/>
        <w:tabs>
          <w:tab w:leader="none" w:pos="230" w:val="left"/>
        </w:tabs>
        <w:numPr>
          <w:ilvl w:val="0"/>
          <w:numId w:val="40"/>
        </w:numPr>
        <w:rPr>
          <w:rFonts w:ascii="Arial" w:cs="Arial" w:eastAsia="Arial" w:hAnsi="Arial"/>
          <w:sz w:val="57"/>
          <w:szCs w:val="57"/>
          <w:b w:val="1"/>
          <w:bCs w:val="1"/>
          <w:color w:val="auto"/>
          <w:vertAlign w:val="subscript"/>
        </w:rPr>
      </w:pPr>
      <w:r>
        <w:rPr>
          <w:rFonts w:ascii="Arial" w:cs="Arial" w:eastAsia="Arial" w:hAnsi="Arial"/>
          <w:sz w:val="28"/>
          <w:szCs w:val="28"/>
          <w:b w:val="1"/>
          <w:bCs w:val="1"/>
          <w:color w:val="auto"/>
        </w:rPr>
        <w:t>98% Say on Pay Support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-751205</wp:posOffset>
            </wp:positionV>
            <wp:extent cx="1783080" cy="1045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83080" cy="1045845"/>
                    </a:xfrm>
                    <a:prstGeom prst="rect">
                      <a:avLst/>
                    </a:prstGeom>
                    <a:noFill/>
                  </pic:spPr>
                </pic:pic>
              </a:graphicData>
            </a:graphic>
          </wp:anchor>
        </w:drawing>
      </w:r>
    </w:p>
    <w:p>
      <w:pPr>
        <w:spacing w:after="0" w:line="673" w:lineRule="exact"/>
        <w:rPr>
          <w:sz w:val="20"/>
          <w:szCs w:val="20"/>
          <w:color w:val="auto"/>
        </w:rPr>
      </w:pPr>
    </w:p>
    <w:p>
      <w:pPr>
        <w:sectPr>
          <w:pgSz w:w="11900" w:h="16838" w:orient="portrait"/>
          <w:cols w:equalWidth="0" w:num="2">
            <w:col w:w="6440" w:space="254"/>
            <w:col w:w="3185"/>
          </w:cols>
          <w:pgMar w:left="580" w:top="97" w:right="1440"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Our investor relations team and members of our senior</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management team regularly meet with investors and other</w:t>
      </w:r>
    </w:p>
    <w:p>
      <w:pPr>
        <w:spacing w:after="0" w:line="9" w:lineRule="exact"/>
        <w:rPr>
          <w:sz w:val="20"/>
          <w:szCs w:val="20"/>
          <w:color w:val="auto"/>
        </w:rPr>
      </w:pPr>
    </w:p>
    <w:p>
      <w:pPr>
        <w:ind w:left="1260" w:right="559"/>
        <w:spacing w:after="0" w:line="269" w:lineRule="auto"/>
        <w:rPr>
          <w:sz w:val="20"/>
          <w:szCs w:val="20"/>
          <w:color w:val="auto"/>
        </w:rPr>
      </w:pPr>
      <w:r>
        <w:rPr>
          <w:rFonts w:ascii="Arial" w:cs="Arial" w:eastAsia="Arial" w:hAnsi="Arial"/>
          <w:sz w:val="17"/>
          <w:szCs w:val="17"/>
          <w:color w:val="auto"/>
        </w:rPr>
        <w:t>stakeholders to seek input and feedback on a wide range of topics, including executive compensation. On an annual basis, as part of our ongoing investor outreach and engagement process, we actively solicit feedback from investors regarding our executive compensation programs and other important matters, including our evolving governance practices and sustainability efforts. In connection with this process during 2022, we reached out to 21 of our largest unaffiliated investors representing, as of December 31, 2022, approximately 37% of our outstanding voting equity (excluding executive officers and Directors who collectively hold approximately 10% of our outstanding voting equity). Members of our executive and investor relations teams ultimately held individual meetings with 15 unaffiliated investors representing approximately 29% of our outstanding voting equity.</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series of engagement meetings we held during 2021 and 2022 are a good example of what</w:t>
      </w:r>
    </w:p>
    <w:p>
      <w:pPr>
        <w:spacing w:after="0" w:line="1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400" w:type="dxa"/>
            <w:vAlign w:val="bottom"/>
          </w:tcPr>
          <w:p>
            <w:pPr>
              <w:spacing w:after="0"/>
              <w:rPr>
                <w:sz w:val="20"/>
                <w:szCs w:val="20"/>
                <w:color w:val="auto"/>
              </w:rPr>
            </w:pPr>
            <w:r>
              <w:rPr>
                <w:rFonts w:ascii="Arial" w:cs="Arial" w:eastAsia="Arial" w:hAnsi="Arial"/>
                <w:sz w:val="18"/>
                <w:szCs w:val="18"/>
                <w:color w:val="auto"/>
              </w:rPr>
              <w:t>we refer to as the “feedback loop” that we have developed with</w:t>
            </w:r>
          </w:p>
        </w:tc>
        <w:tc>
          <w:tcPr>
            <w:tcW w:w="2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5400" w:type="dxa"/>
            <w:vAlign w:val="bottom"/>
            <w:vMerge w:val="restart"/>
          </w:tcPr>
          <w:p>
            <w:pPr>
              <w:spacing w:after="0"/>
              <w:rPr>
                <w:sz w:val="20"/>
                <w:szCs w:val="20"/>
                <w:color w:val="auto"/>
              </w:rPr>
            </w:pPr>
            <w:r>
              <w:rPr>
                <w:rFonts w:ascii="Arial" w:cs="Arial" w:eastAsia="Arial" w:hAnsi="Arial"/>
                <w:sz w:val="18"/>
                <w:szCs w:val="18"/>
                <w:color w:val="auto"/>
              </w:rPr>
              <w:t>our investors regarding our executive compensation program.</w:t>
            </w:r>
          </w:p>
        </w:tc>
        <w:tc>
          <w:tcPr>
            <w:tcW w:w="240" w:type="dxa"/>
            <w:vAlign w:val="bottom"/>
            <w:tcBorders>
              <w:bottom w:val="single" w:sz="8" w:color="auto"/>
            </w:tcBorders>
          </w:tcPr>
          <w:p>
            <w:pPr>
              <w:spacing w:after="0"/>
              <w:rPr>
                <w:sz w:val="5"/>
                <w:szCs w:val="5"/>
                <w:color w:val="auto"/>
              </w:rPr>
            </w:pPr>
          </w:p>
        </w:tc>
        <w:tc>
          <w:tcPr>
            <w:tcW w:w="2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5400" w:type="dxa"/>
            <w:vAlign w:val="bottom"/>
            <w:vMerge w:val="continue"/>
          </w:tcPr>
          <w:p>
            <w:pPr>
              <w:spacing w:after="0"/>
              <w:rPr>
                <w:sz w:val="11"/>
                <w:szCs w:val="11"/>
                <w:color w:val="auto"/>
              </w:rPr>
            </w:pPr>
          </w:p>
        </w:tc>
        <w:tc>
          <w:tcPr>
            <w:tcW w:w="240" w:type="dxa"/>
            <w:vAlign w:val="bottom"/>
            <w:tcBorders>
              <w:left w:val="single" w:sz="8" w:color="auto"/>
            </w:tcBorders>
            <w:shd w:val="clear" w:color="auto" w:fill="006CB7"/>
          </w:tcPr>
          <w:p>
            <w:pPr>
              <w:spacing w:after="0"/>
              <w:rPr>
                <w:sz w:val="11"/>
                <w:szCs w:val="11"/>
                <w:color w:val="auto"/>
              </w:rPr>
            </w:pPr>
          </w:p>
        </w:tc>
        <w:tc>
          <w:tcPr>
            <w:tcW w:w="2580" w:type="dxa"/>
            <w:vAlign w:val="bottom"/>
            <w:tcBorders>
              <w:right w:val="single" w:sz="8" w:color="auto"/>
            </w:tcBorders>
            <w:vMerge w:val="restart"/>
            <w:shd w:val="clear" w:color="auto" w:fill="006CB7"/>
          </w:tcPr>
          <w:p>
            <w:pPr>
              <w:jc w:val="center"/>
              <w:ind w:right="196"/>
              <w:spacing w:after="0"/>
              <w:rPr>
                <w:sz w:val="20"/>
                <w:szCs w:val="20"/>
                <w:color w:val="auto"/>
              </w:rPr>
            </w:pPr>
            <w:r>
              <w:rPr>
                <w:rFonts w:ascii="Arial" w:cs="Arial" w:eastAsia="Arial" w:hAnsi="Arial"/>
                <w:sz w:val="29"/>
                <w:szCs w:val="29"/>
                <w:b w:val="1"/>
                <w:bCs w:val="1"/>
                <w:color w:val="auto"/>
                <w:w w:val="98"/>
              </w:rPr>
              <w:t>Outreach to 21</w:t>
            </w:r>
          </w:p>
        </w:tc>
        <w:tc>
          <w:tcPr>
            <w:tcW w:w="0" w:type="dxa"/>
            <w:vAlign w:val="bottom"/>
          </w:tcPr>
          <w:p>
            <w:pPr>
              <w:spacing w:after="0"/>
              <w:rPr>
                <w:sz w:val="1"/>
                <w:szCs w:val="1"/>
                <w:color w:val="auto"/>
              </w:rPr>
            </w:pPr>
          </w:p>
        </w:tc>
      </w:tr>
      <w:tr>
        <w:trPr>
          <w:trHeight w:val="235"/>
        </w:trPr>
        <w:tc>
          <w:tcPr>
            <w:tcW w:w="5400" w:type="dxa"/>
            <w:vAlign w:val="bottom"/>
          </w:tcPr>
          <w:p>
            <w:pPr>
              <w:spacing w:after="0"/>
              <w:rPr>
                <w:sz w:val="20"/>
                <w:szCs w:val="20"/>
                <w:color w:val="auto"/>
              </w:rPr>
            </w:pPr>
            <w:r>
              <w:rPr>
                <w:rFonts w:ascii="Arial" w:cs="Arial" w:eastAsia="Arial" w:hAnsi="Arial"/>
                <w:sz w:val="18"/>
                <w:szCs w:val="18"/>
                <w:color w:val="auto"/>
              </w:rPr>
              <w:t>During our 2021 engagement meetings, we previewed and</w:t>
            </w:r>
          </w:p>
        </w:tc>
        <w:tc>
          <w:tcPr>
            <w:tcW w:w="240" w:type="dxa"/>
            <w:vAlign w:val="bottom"/>
            <w:tcBorders>
              <w:left w:val="single" w:sz="8" w:color="auto"/>
            </w:tcBorders>
            <w:shd w:val="clear" w:color="auto" w:fill="006CB7"/>
          </w:tcPr>
          <w:p>
            <w:pPr>
              <w:spacing w:after="0"/>
              <w:rPr>
                <w:sz w:val="20"/>
                <w:szCs w:val="20"/>
                <w:color w:val="auto"/>
              </w:rPr>
            </w:pPr>
          </w:p>
        </w:tc>
        <w:tc>
          <w:tcPr>
            <w:tcW w:w="2580" w:type="dxa"/>
            <w:vAlign w:val="bottom"/>
            <w:tcBorders>
              <w:right w:val="single" w:sz="8" w:color="auto"/>
            </w:tcBorders>
            <w:vMerge w:val="continue"/>
            <w:shd w:val="clear" w:color="auto" w:fill="006CB7"/>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400" w:type="dxa"/>
            <w:vAlign w:val="bottom"/>
          </w:tcPr>
          <w:p>
            <w:pPr>
              <w:spacing w:after="0" w:line="197" w:lineRule="exact"/>
              <w:rPr>
                <w:sz w:val="20"/>
                <w:szCs w:val="20"/>
                <w:color w:val="auto"/>
              </w:rPr>
            </w:pPr>
            <w:r>
              <w:rPr>
                <w:rFonts w:ascii="Arial" w:cs="Arial" w:eastAsia="Arial" w:hAnsi="Arial"/>
                <w:sz w:val="18"/>
                <w:szCs w:val="18"/>
                <w:color w:val="auto"/>
              </w:rPr>
              <w:t>sought advance feedback from our investors on two key areas of</w:t>
            </w:r>
          </w:p>
        </w:tc>
        <w:tc>
          <w:tcPr>
            <w:tcW w:w="240" w:type="dxa"/>
            <w:vAlign w:val="bottom"/>
            <w:tcBorders>
              <w:left w:val="single" w:sz="8" w:color="auto"/>
            </w:tcBorders>
            <w:shd w:val="clear" w:color="auto" w:fill="006CB7"/>
          </w:tcPr>
          <w:p>
            <w:pPr>
              <w:spacing w:after="0"/>
              <w:rPr>
                <w:sz w:val="17"/>
                <w:szCs w:val="17"/>
                <w:color w:val="auto"/>
              </w:rPr>
            </w:pPr>
          </w:p>
        </w:tc>
        <w:tc>
          <w:tcPr>
            <w:tcW w:w="2580" w:type="dxa"/>
            <w:vAlign w:val="bottom"/>
            <w:tcBorders>
              <w:right w:val="single" w:sz="8" w:color="auto"/>
            </w:tcBorders>
            <w:vMerge w:val="restart"/>
            <w:shd w:val="clear" w:color="auto" w:fill="006CB7"/>
          </w:tcPr>
          <w:p>
            <w:pPr>
              <w:jc w:val="center"/>
              <w:ind w:right="196"/>
              <w:spacing w:after="0"/>
              <w:rPr>
                <w:sz w:val="20"/>
                <w:szCs w:val="20"/>
                <w:color w:val="auto"/>
              </w:rPr>
            </w:pPr>
            <w:r>
              <w:rPr>
                <w:rFonts w:ascii="Arial" w:cs="Arial" w:eastAsia="Arial" w:hAnsi="Arial"/>
                <w:sz w:val="29"/>
                <w:szCs w:val="29"/>
                <w:b w:val="1"/>
                <w:bCs w:val="1"/>
                <w:color w:val="auto"/>
                <w:w w:val="99"/>
              </w:rPr>
              <w:t>Largest</w:t>
            </w:r>
          </w:p>
        </w:tc>
        <w:tc>
          <w:tcPr>
            <w:tcW w:w="0" w:type="dxa"/>
            <w:vAlign w:val="bottom"/>
          </w:tcPr>
          <w:p>
            <w:pPr>
              <w:spacing w:after="0"/>
              <w:rPr>
                <w:sz w:val="1"/>
                <w:szCs w:val="1"/>
                <w:color w:val="auto"/>
              </w:rPr>
            </w:pPr>
          </w:p>
        </w:tc>
      </w:tr>
      <w:tr>
        <w:trPr>
          <w:trHeight w:val="201"/>
        </w:trPr>
        <w:tc>
          <w:tcPr>
            <w:tcW w:w="5400" w:type="dxa"/>
            <w:vAlign w:val="bottom"/>
          </w:tcPr>
          <w:p>
            <w:pPr>
              <w:spacing w:after="0" w:line="201" w:lineRule="exact"/>
              <w:rPr>
                <w:sz w:val="20"/>
                <w:szCs w:val="20"/>
                <w:color w:val="auto"/>
              </w:rPr>
            </w:pPr>
            <w:r>
              <w:rPr>
                <w:rFonts w:ascii="Arial" w:cs="Arial" w:eastAsia="Arial" w:hAnsi="Arial"/>
                <w:sz w:val="18"/>
                <w:szCs w:val="18"/>
                <w:color w:val="auto"/>
              </w:rPr>
              <w:t>focus at that time for our Compensation Committee, namely:</w:t>
            </w:r>
          </w:p>
        </w:tc>
        <w:tc>
          <w:tcPr>
            <w:tcW w:w="240" w:type="dxa"/>
            <w:vAlign w:val="bottom"/>
            <w:tcBorders>
              <w:left w:val="single" w:sz="8" w:color="auto"/>
            </w:tcBorders>
            <w:vMerge w:val="restart"/>
            <w:shd w:val="clear" w:color="auto" w:fill="006CB7"/>
          </w:tcPr>
          <w:p>
            <w:pPr>
              <w:ind w:left="40"/>
              <w:spacing w:after="0"/>
              <w:rPr>
                <w:sz w:val="20"/>
                <w:szCs w:val="20"/>
                <w:color w:val="auto"/>
              </w:rPr>
            </w:pPr>
            <w:r>
              <w:rPr>
                <w:rFonts w:ascii="Arial" w:cs="Arial" w:eastAsia="Arial" w:hAnsi="Arial"/>
                <w:sz w:val="29"/>
                <w:szCs w:val="29"/>
                <w:b w:val="1"/>
                <w:bCs w:val="1"/>
                <w:color w:val="auto"/>
              </w:rPr>
              <w:t>​</w:t>
            </w:r>
          </w:p>
        </w:tc>
        <w:tc>
          <w:tcPr>
            <w:tcW w:w="2580" w:type="dxa"/>
            <w:vAlign w:val="bottom"/>
            <w:tcBorders>
              <w:right w:val="single" w:sz="8" w:color="auto"/>
            </w:tcBorders>
            <w:vMerge w:val="continue"/>
            <w:shd w:val="clear" w:color="auto" w:fill="006CB7"/>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5400" w:type="dxa"/>
            <w:vAlign w:val="bottom"/>
          </w:tcPr>
          <w:p>
            <w:pPr>
              <w:ind w:left="360"/>
              <w:spacing w:after="0"/>
              <w:rPr>
                <w:sz w:val="20"/>
                <w:szCs w:val="20"/>
                <w:color w:val="auto"/>
              </w:rPr>
            </w:pPr>
            <w:r>
              <w:rPr>
                <w:rFonts w:ascii="Arial" w:cs="Arial" w:eastAsia="Arial" w:hAnsi="Arial"/>
                <w:sz w:val="18"/>
                <w:szCs w:val="18"/>
                <w:color w:val="auto"/>
              </w:rPr>
              <w:t>(i)  the need to make adjustments to our NEOs’ annual</w:t>
            </w:r>
          </w:p>
        </w:tc>
        <w:tc>
          <w:tcPr>
            <w:tcW w:w="240" w:type="dxa"/>
            <w:vAlign w:val="bottom"/>
            <w:tcBorders>
              <w:left w:val="single" w:sz="8" w:color="auto"/>
            </w:tcBorders>
            <w:vMerge w:val="continue"/>
            <w:shd w:val="clear" w:color="auto" w:fill="006CB7"/>
          </w:tcPr>
          <w:p>
            <w:pPr>
              <w:spacing w:after="0"/>
              <w:rPr>
                <w:sz w:val="24"/>
                <w:szCs w:val="24"/>
                <w:color w:val="auto"/>
              </w:rPr>
            </w:pPr>
          </w:p>
        </w:tc>
        <w:tc>
          <w:tcPr>
            <w:tcW w:w="2580" w:type="dxa"/>
            <w:vAlign w:val="bottom"/>
            <w:tcBorders>
              <w:right w:val="single" w:sz="8" w:color="auto"/>
            </w:tcBorders>
            <w:shd w:val="clear" w:color="auto" w:fill="006CB7"/>
          </w:tcPr>
          <w:p>
            <w:pPr>
              <w:jc w:val="center"/>
              <w:ind w:right="196"/>
              <w:spacing w:after="0"/>
              <w:rPr>
                <w:sz w:val="20"/>
                <w:szCs w:val="20"/>
                <w:color w:val="auto"/>
              </w:rPr>
            </w:pPr>
            <w:r>
              <w:rPr>
                <w:rFonts w:ascii="Arial" w:cs="Arial" w:eastAsia="Arial" w:hAnsi="Arial"/>
                <w:sz w:val="29"/>
                <w:szCs w:val="29"/>
                <w:b w:val="1"/>
                <w:bCs w:val="1"/>
                <w:color w:val="auto"/>
                <w:w w:val="99"/>
              </w:rPr>
              <w:t>Shareholders</w:t>
            </w:r>
          </w:p>
        </w:tc>
        <w:tc>
          <w:tcPr>
            <w:tcW w:w="0" w:type="dxa"/>
            <w:vAlign w:val="bottom"/>
          </w:tcPr>
          <w:p>
            <w:pPr>
              <w:spacing w:after="0"/>
              <w:rPr>
                <w:sz w:val="1"/>
                <w:szCs w:val="1"/>
                <w:color w:val="auto"/>
              </w:rPr>
            </w:pPr>
          </w:p>
        </w:tc>
      </w:tr>
      <w:tr>
        <w:trPr>
          <w:trHeight w:val="245"/>
        </w:trPr>
        <w:tc>
          <w:tcPr>
            <w:tcW w:w="5400" w:type="dxa"/>
            <w:vAlign w:val="bottom"/>
          </w:tcPr>
          <w:p>
            <w:pPr>
              <w:ind w:left="720"/>
              <w:spacing w:after="0"/>
              <w:rPr>
                <w:sz w:val="20"/>
                <w:szCs w:val="20"/>
                <w:color w:val="auto"/>
              </w:rPr>
            </w:pPr>
            <w:r>
              <w:rPr>
                <w:rFonts w:ascii="Arial" w:cs="Arial" w:eastAsia="Arial" w:hAnsi="Arial"/>
                <w:sz w:val="18"/>
                <w:szCs w:val="18"/>
                <w:color w:val="auto"/>
              </w:rPr>
              <w:t>compensation elements to achieve or maintain</w:t>
            </w:r>
          </w:p>
        </w:tc>
        <w:tc>
          <w:tcPr>
            <w:tcW w:w="240" w:type="dxa"/>
            <w:vAlign w:val="bottom"/>
            <w:tcBorders>
              <w:left w:val="single" w:sz="8" w:color="auto"/>
            </w:tcBorders>
            <w:shd w:val="clear" w:color="auto" w:fill="006CB7"/>
          </w:tcPr>
          <w:p>
            <w:pPr>
              <w:spacing w:after="0"/>
              <w:rPr>
                <w:sz w:val="21"/>
                <w:szCs w:val="21"/>
                <w:color w:val="auto"/>
              </w:rPr>
            </w:pPr>
          </w:p>
        </w:tc>
        <w:tc>
          <w:tcPr>
            <w:tcW w:w="2580" w:type="dxa"/>
            <w:vAlign w:val="bottom"/>
            <w:tcBorders>
              <w:right w:val="single" w:sz="8" w:color="auto"/>
            </w:tcBorders>
            <w:vMerge w:val="restart"/>
            <w:shd w:val="clear" w:color="auto" w:fill="006CB7"/>
          </w:tcPr>
          <w:p>
            <w:pPr>
              <w:ind w:left="680"/>
              <w:spacing w:after="0"/>
              <w:rPr>
                <w:sz w:val="20"/>
                <w:szCs w:val="20"/>
                <w:color w:val="auto"/>
              </w:rPr>
            </w:pPr>
            <w:r>
              <w:rPr>
                <w:rFonts w:ascii="Arial" w:cs="Arial" w:eastAsia="Arial" w:hAnsi="Arial"/>
                <w:sz w:val="29"/>
                <w:szCs w:val="29"/>
                <w:b w:val="1"/>
                <w:bCs w:val="1"/>
                <w:color w:val="auto"/>
              </w:rPr>
              <w:t>in 2022</w:t>
            </w:r>
          </w:p>
        </w:tc>
        <w:tc>
          <w:tcPr>
            <w:tcW w:w="0" w:type="dxa"/>
            <w:vAlign w:val="bottom"/>
          </w:tcPr>
          <w:p>
            <w:pPr>
              <w:spacing w:after="0"/>
              <w:rPr>
                <w:sz w:val="1"/>
                <w:szCs w:val="1"/>
                <w:color w:val="auto"/>
              </w:rPr>
            </w:pPr>
          </w:p>
        </w:tc>
      </w:tr>
      <w:tr>
        <w:trPr>
          <w:trHeight w:val="152"/>
        </w:trPr>
        <w:tc>
          <w:tcPr>
            <w:tcW w:w="5400" w:type="dxa"/>
            <w:vAlign w:val="bottom"/>
            <w:vMerge w:val="restart"/>
          </w:tcPr>
          <w:p>
            <w:pPr>
              <w:ind w:left="720"/>
              <w:spacing w:after="0"/>
              <w:rPr>
                <w:sz w:val="20"/>
                <w:szCs w:val="20"/>
                <w:color w:val="auto"/>
              </w:rPr>
            </w:pPr>
            <w:r>
              <w:rPr>
                <w:rFonts w:ascii="Arial" w:cs="Arial" w:eastAsia="Arial" w:hAnsi="Arial"/>
                <w:sz w:val="18"/>
                <w:szCs w:val="18"/>
                <w:color w:val="auto"/>
              </w:rPr>
              <w:t>competitive compensation levels given that such pay</w:t>
            </w:r>
          </w:p>
        </w:tc>
        <w:tc>
          <w:tcPr>
            <w:tcW w:w="240" w:type="dxa"/>
            <w:vAlign w:val="bottom"/>
            <w:tcBorders>
              <w:left w:val="single" w:sz="8" w:color="auto"/>
            </w:tcBorders>
            <w:shd w:val="clear" w:color="auto" w:fill="006CB7"/>
          </w:tcPr>
          <w:p>
            <w:pPr>
              <w:spacing w:after="0"/>
              <w:rPr>
                <w:sz w:val="13"/>
                <w:szCs w:val="13"/>
                <w:color w:val="auto"/>
              </w:rPr>
            </w:pPr>
          </w:p>
        </w:tc>
        <w:tc>
          <w:tcPr>
            <w:tcW w:w="2580" w:type="dxa"/>
            <w:vAlign w:val="bottom"/>
            <w:tcBorders>
              <w:right w:val="single" w:sz="8" w:color="auto"/>
            </w:tcBorders>
            <w:vMerge w:val="continue"/>
            <w:shd w:val="clear" w:color="auto" w:fill="006CB7"/>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5400" w:type="dxa"/>
            <w:vAlign w:val="bottom"/>
            <w:vMerge w:val="continue"/>
          </w:tcPr>
          <w:p>
            <w:pPr>
              <w:spacing w:after="0"/>
              <w:rPr>
                <w:sz w:val="8"/>
                <w:szCs w:val="8"/>
                <w:color w:val="auto"/>
              </w:rPr>
            </w:pPr>
          </w:p>
        </w:tc>
        <w:tc>
          <w:tcPr>
            <w:tcW w:w="240" w:type="dxa"/>
            <w:vAlign w:val="bottom"/>
            <w:tcBorders>
              <w:left w:val="single" w:sz="8" w:color="auto"/>
              <w:bottom w:val="single" w:sz="8" w:color="006CB7"/>
            </w:tcBorders>
            <w:shd w:val="clear" w:color="auto" w:fill="006CB7"/>
          </w:tcPr>
          <w:p>
            <w:pPr>
              <w:spacing w:after="0"/>
              <w:rPr>
                <w:sz w:val="8"/>
                <w:szCs w:val="8"/>
                <w:color w:val="auto"/>
              </w:rPr>
            </w:pPr>
          </w:p>
        </w:tc>
        <w:tc>
          <w:tcPr>
            <w:tcW w:w="2580" w:type="dxa"/>
            <w:vAlign w:val="bottom"/>
            <w:tcBorders>
              <w:bottom w:val="single" w:sz="8" w:color="006CB7"/>
              <w:right w:val="single" w:sz="8" w:color="auto"/>
            </w:tcBorders>
            <w:shd w:val="clear" w:color="auto" w:fill="006CB7"/>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5400" w:type="dxa"/>
            <w:vAlign w:val="bottom"/>
          </w:tcPr>
          <w:p>
            <w:pPr>
              <w:ind w:left="720"/>
              <w:spacing w:after="0" w:line="187" w:lineRule="exact"/>
              <w:rPr>
                <w:sz w:val="20"/>
                <w:szCs w:val="20"/>
                <w:color w:val="auto"/>
              </w:rPr>
            </w:pPr>
            <w:r>
              <w:rPr>
                <w:rFonts w:ascii="Arial" w:cs="Arial" w:eastAsia="Arial" w:hAnsi="Arial"/>
                <w:sz w:val="18"/>
                <w:szCs w:val="18"/>
                <w:color w:val="auto"/>
              </w:rPr>
              <w:t>had not been adjusted for several years, and</w:t>
            </w:r>
          </w:p>
        </w:tc>
        <w:tc>
          <w:tcPr>
            <w:tcW w:w="240" w:type="dxa"/>
            <w:vAlign w:val="bottom"/>
            <w:tcBorders>
              <w:top w:val="single" w:sz="8" w:color="auto"/>
            </w:tcBorders>
          </w:tcPr>
          <w:p>
            <w:pPr>
              <w:spacing w:after="0"/>
              <w:rPr>
                <w:sz w:val="16"/>
                <w:szCs w:val="16"/>
                <w:color w:val="auto"/>
              </w:rPr>
            </w:pPr>
          </w:p>
        </w:tc>
        <w:tc>
          <w:tcPr>
            <w:tcW w:w="2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980" w:right="479" w:hanging="360"/>
        <w:spacing w:after="0" w:line="262"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need to identify the most “investor friendly” way to restore an appropriate level of incentive and retentive value to the performance-based portion of certain special, long-term (seven year) equity grants issued to certain NEOs prior to the COVID-19 pandemic (the “Special Pre-Pandemic Grants”).</w:t>
      </w:r>
    </w:p>
    <w:p>
      <w:pPr>
        <w:spacing w:after="0" w:line="109"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The Compensation Committee focused on the Special Pre-Pandemic Grants because the performance metrics for such grants were based on pre-pandemic forecasts and had been rendered effectively unachievable as a result of the impact of the pandemic on the midstream industry generally and Plains’ business specifically. Taking into account the feedback received from our investors on both of these topics during our 2021 engagement meetings, in early 2022, the Compensation Committee recommended, and the Board approved:</w:t>
      </w:r>
    </w:p>
    <w:p>
      <w:pPr>
        <w:spacing w:after="0" w:line="115" w:lineRule="exact"/>
        <w:rPr>
          <w:sz w:val="20"/>
          <w:szCs w:val="20"/>
          <w:color w:val="auto"/>
        </w:rPr>
      </w:pPr>
    </w:p>
    <w:p>
      <w:pPr>
        <w:ind w:left="1980" w:right="419" w:hanging="360"/>
        <w:spacing w:after="0" w:line="234"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adjustments to our NEOs’ 2022 target annual compensation opportunities, as further described herein, based on an updated benchmark compensation study prepared by Meridian, targeting more appropriately competitive compensation, including 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compensation for the CEO, and</w:t>
      </w:r>
    </w:p>
    <w:p>
      <w:pPr>
        <w:spacing w:after="0" w:line="129" w:lineRule="exact"/>
        <w:rPr>
          <w:rFonts w:ascii="Arial" w:cs="Arial" w:eastAsia="Arial" w:hAnsi="Arial"/>
          <w:sz w:val="18"/>
          <w:szCs w:val="18"/>
          <w:color w:val="auto"/>
        </w:rPr>
      </w:pPr>
    </w:p>
    <w:p>
      <w:pPr>
        <w:ind w:left="1980" w:right="479" w:hanging="360"/>
        <w:spacing w:after="0" w:line="262"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changing the performance metric under the Special Pre-Pandemic Grants issued in 2019 to the COO and CCO to a total shareholder return (“TSR”) metric with a payout structure capped at 100% (See “Adjustment of Certain Pre-Pandemic Long-Term Incentive Awards” for more information).</w:t>
      </w:r>
    </w:p>
    <w:p>
      <w:pPr>
        <w:spacing w:after="0" w:line="95" w:lineRule="exact"/>
        <w:rPr>
          <w:sz w:val="20"/>
          <w:szCs w:val="20"/>
          <w:color w:val="auto"/>
        </w:rPr>
      </w:pPr>
    </w:p>
    <w:p>
      <w:pPr>
        <w:ind w:left="1260" w:right="919" w:firstLine="360"/>
        <w:spacing w:after="0" w:line="318" w:lineRule="auto"/>
        <w:rPr>
          <w:sz w:val="20"/>
          <w:szCs w:val="20"/>
          <w:color w:val="auto"/>
        </w:rPr>
      </w:pPr>
      <w:r>
        <w:rPr>
          <w:rFonts w:ascii="Arial" w:cs="Arial" w:eastAsia="Arial" w:hAnsi="Arial"/>
          <w:sz w:val="17"/>
          <w:szCs w:val="17"/>
          <w:color w:val="auto"/>
        </w:rPr>
        <w:t>To complete the “feedback loop” on these issues, during our 2022 engagement meetings, we reported back to our investors on the specific actions that had been taken by the Compensation</w:t>
      </w:r>
    </w:p>
    <w:p>
      <w:pPr>
        <w:sectPr>
          <w:pgSz w:w="11900" w:h="16838" w:orient="portrait"/>
          <w:cols w:equalWidth="0" w:num="1">
            <w:col w:w="9879"/>
          </w:cols>
          <w:pgMar w:left="580" w:top="97" w:right="1440" w:bottom="1440" w:gutter="0" w:footer="0" w:header="0"/>
          <w:type w:val="continuous"/>
        </w:sectPr>
      </w:pPr>
    </w:p>
    <w:p>
      <w:pPr>
        <w:spacing w:after="0" w:line="30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59"/>
        <w:spacing w:after="0" w:line="262" w:lineRule="auto"/>
        <w:rPr>
          <w:sz w:val="20"/>
          <w:szCs w:val="20"/>
          <w:color w:val="auto"/>
        </w:rPr>
      </w:pPr>
      <w:r>
        <w:rPr>
          <w:rFonts w:ascii="Arial" w:cs="Arial" w:eastAsia="Arial" w:hAnsi="Arial"/>
          <w:sz w:val="18"/>
          <w:szCs w:val="18"/>
          <w:color w:val="auto"/>
        </w:rPr>
        <w:t>Committee with respect to each issue, recapping for them the prior discussions we had, the rationale for the changes, and the manner in which their feedback had been incorporated. As we strive for continuous improvement, we believe that receiving and incorporating investor feedback into our decision-making process through this “feedback loop” is critical.</w:t>
      </w:r>
    </w:p>
    <w:p>
      <w:pPr>
        <w:spacing w:after="0" w:line="109"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Overall, the design of our 2022 executive compensation program did not materially change relative to 2021, other than market-based adjustments to elements of NEO compensation. Investor feedback gathered during 2022 was supportive of our 2022 program and of the changes implemented in response to feedback gathered during our 2019 – 2021 investor outreach effort. The Compensation Committee and our management team are constantly reviewing the design of our programs to ensure that they remain aligned with investor interests and evolving best practices. We will continue to seek direct input from our investors as part of that process. The table below summarizes the key feedback we have received from our investors over the past several years and the changes we made to our executive compensation program in response to such feedback and related considerations:</w:t>
      </w:r>
    </w:p>
    <w:p>
      <w:pPr>
        <w:spacing w:after="0" w:line="139" w:lineRule="exact"/>
        <w:rPr>
          <w:sz w:val="20"/>
          <w:szCs w:val="20"/>
          <w:color w:val="auto"/>
        </w:rPr>
      </w:pPr>
    </w:p>
    <w:tbl>
      <w:tblPr>
        <w:tblLayout w:type="fixed"/>
        <w:tblInd w:w="1270" w:type="dxa"/>
        <w:tblCellMar>
          <w:top w:w="0" w:type="dxa"/>
          <w:left w:w="0" w:type="dxa"/>
          <w:bottom w:w="0" w:type="dxa"/>
          <w:right w:w="0" w:type="dxa"/>
        </w:tblCellMar>
      </w:tblPr>
      <w:tr>
        <w:trPr>
          <w:trHeight w:val="229"/>
        </w:trPr>
        <w:tc>
          <w:tcPr>
            <w:tcW w:w="1460" w:type="dxa"/>
            <w:vAlign w:val="bottom"/>
            <w:tcBorders>
              <w:top w:val="single" w:sz="8" w:color="auto"/>
              <w:left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2560" w:type="dxa"/>
            <w:vAlign w:val="bottom"/>
            <w:tcBorders>
              <w:top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What We Heard</w:t>
            </w:r>
          </w:p>
        </w:tc>
        <w:tc>
          <w:tcPr>
            <w:tcW w:w="180" w:type="dxa"/>
            <w:vAlign w:val="bottom"/>
            <w:tcBorders>
              <w:top w:val="single" w:sz="8" w:color="auto"/>
              <w:bottom w:val="single" w:sz="8" w:color="auto"/>
            </w:tcBorders>
            <w:gridSpan w:val="2"/>
            <w:shd w:val="clear" w:color="auto" w:fill="424E6A"/>
          </w:tcPr>
          <w:p>
            <w:pPr>
              <w:ind w:left="20"/>
              <w:spacing w:after="0"/>
              <w:rPr>
                <w:sz w:val="20"/>
                <w:szCs w:val="20"/>
                <w:color w:val="auto"/>
              </w:rPr>
            </w:pPr>
            <w:r>
              <w:rPr>
                <w:rFonts w:ascii="Arial" w:cs="Arial" w:eastAsia="Arial" w:hAnsi="Arial"/>
                <w:sz w:val="14"/>
                <w:szCs w:val="14"/>
                <w:b w:val="1"/>
                <w:bCs w:val="1"/>
                <w:color w:val="FFFFFF"/>
              </w:rPr>
              <w:t>​ ​</w:t>
            </w:r>
          </w:p>
        </w:tc>
        <w:tc>
          <w:tcPr>
            <w:tcW w:w="4020" w:type="dxa"/>
            <w:vAlign w:val="bottom"/>
            <w:tcBorders>
              <w:top w:val="single" w:sz="8" w:color="auto"/>
              <w:bottom w:val="single" w:sz="8" w:color="auto"/>
              <w:right w:val="single" w:sz="8" w:color="auto"/>
            </w:tcBorders>
            <w:shd w:val="clear" w:color="auto" w:fill="424E6A"/>
          </w:tcPr>
          <w:p>
            <w:pPr>
              <w:ind w:left="1540"/>
              <w:spacing w:after="0"/>
              <w:rPr>
                <w:sz w:val="20"/>
                <w:szCs w:val="20"/>
                <w:color w:val="auto"/>
              </w:rPr>
            </w:pPr>
            <w:r>
              <w:rPr>
                <w:rFonts w:ascii="Arial" w:cs="Arial" w:eastAsia="Arial" w:hAnsi="Arial"/>
                <w:sz w:val="14"/>
                <w:szCs w:val="14"/>
                <w:b w:val="1"/>
                <w:bCs w:val="1"/>
                <w:color w:val="FFFFFF"/>
              </w:rPr>
              <w:t>What We Did</w:t>
            </w:r>
          </w:p>
        </w:tc>
      </w:tr>
      <w:tr>
        <w:trPr>
          <w:trHeight w:val="191"/>
        </w:trPr>
        <w:tc>
          <w:tcPr>
            <w:tcW w:w="4020" w:type="dxa"/>
            <w:vAlign w:val="bottom"/>
            <w:tcBorders>
              <w:left w:val="single" w:sz="8" w:color="auto"/>
            </w:tcBorders>
            <w:gridSpan w:val="2"/>
            <w:shd w:val="clear" w:color="auto" w:fill="D9DCE1"/>
          </w:tcPr>
          <w:p>
            <w:pPr>
              <w:ind w:left="60"/>
              <w:spacing w:after="0" w:line="191" w:lineRule="exact"/>
              <w:rPr>
                <w:sz w:val="20"/>
                <w:szCs w:val="20"/>
                <w:color w:val="auto"/>
              </w:rPr>
            </w:pPr>
            <w:r>
              <w:rPr>
                <w:rFonts w:ascii="Arial" w:cs="Arial" w:eastAsia="Arial" w:hAnsi="Arial"/>
                <w:sz w:val="18"/>
                <w:szCs w:val="18"/>
                <w:color w:val="auto"/>
              </w:rPr>
              <w:t>No concerns with periodic adjustments to annual</w:t>
            </w:r>
          </w:p>
        </w:tc>
        <w:tc>
          <w:tcPr>
            <w:tcW w:w="100" w:type="dxa"/>
            <w:vAlign w:val="bottom"/>
            <w:tcBorders>
              <w:right w:val="single" w:sz="8" w:color="auto"/>
            </w:tcBorders>
            <w:shd w:val="clear" w:color="auto" w:fill="D9DCE1"/>
          </w:tcPr>
          <w:p>
            <w:pPr>
              <w:spacing w:after="0"/>
              <w:rPr>
                <w:sz w:val="16"/>
                <w:szCs w:val="16"/>
                <w:color w:val="auto"/>
              </w:rPr>
            </w:pPr>
          </w:p>
        </w:tc>
        <w:tc>
          <w:tcPr>
            <w:tcW w:w="80" w:type="dxa"/>
            <w:vAlign w:val="bottom"/>
            <w:shd w:val="clear" w:color="auto" w:fill="D9DCE1"/>
          </w:tcPr>
          <w:p>
            <w:pPr>
              <w:spacing w:after="0"/>
              <w:rPr>
                <w:sz w:val="16"/>
                <w:szCs w:val="16"/>
                <w:color w:val="auto"/>
              </w:rPr>
            </w:pPr>
          </w:p>
        </w:tc>
        <w:tc>
          <w:tcPr>
            <w:tcW w:w="4020" w:type="dxa"/>
            <w:vAlign w:val="bottom"/>
            <w:tcBorders>
              <w:right w:val="single" w:sz="8" w:color="auto"/>
            </w:tcBorders>
            <w:shd w:val="clear" w:color="auto" w:fill="D9DCE1"/>
          </w:tcPr>
          <w:p>
            <w:pPr>
              <w:spacing w:after="0" w:line="191" w:lineRule="exact"/>
              <w:rPr>
                <w:sz w:val="20"/>
                <w:szCs w:val="20"/>
                <w:color w:val="auto"/>
              </w:rPr>
            </w:pPr>
            <w:r>
              <w:rPr>
                <w:rFonts w:ascii="Arial" w:cs="Arial" w:eastAsia="Arial" w:hAnsi="Arial"/>
                <w:sz w:val="18"/>
                <w:szCs w:val="18"/>
                <w:color w:val="auto"/>
              </w:rPr>
              <w:t>Implemented adjustments to annual</w:t>
            </w:r>
          </w:p>
        </w:tc>
      </w:tr>
      <w:tr>
        <w:trPr>
          <w:trHeight w:val="216"/>
        </w:trPr>
        <w:tc>
          <w:tcPr>
            <w:tcW w:w="4020" w:type="dxa"/>
            <w:vAlign w:val="bottom"/>
            <w:tcBorders>
              <w:left w:val="single" w:sz="8" w:color="auto"/>
            </w:tcBorders>
            <w:gridSpan w:val="2"/>
            <w:shd w:val="clear" w:color="auto" w:fill="D9DCE1"/>
          </w:tcPr>
          <w:p>
            <w:pPr>
              <w:ind w:left="60"/>
              <w:spacing w:after="0"/>
              <w:rPr>
                <w:sz w:val="20"/>
                <w:szCs w:val="20"/>
                <w:color w:val="auto"/>
              </w:rPr>
            </w:pPr>
            <w:r>
              <w:rPr>
                <w:rFonts w:ascii="Arial" w:cs="Arial" w:eastAsia="Arial" w:hAnsi="Arial"/>
                <w:sz w:val="18"/>
                <w:szCs w:val="18"/>
                <w:color w:val="auto"/>
              </w:rPr>
              <w:t>compensation elements for executive officers to</w:t>
            </w:r>
          </w:p>
        </w:tc>
        <w:tc>
          <w:tcPr>
            <w:tcW w:w="10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8"/>
                <w:szCs w:val="18"/>
                <w:color w:val="auto"/>
              </w:rPr>
              <w:t>compensation elements for our executive officers</w:t>
            </w:r>
          </w:p>
        </w:tc>
      </w:tr>
      <w:tr>
        <w:trPr>
          <w:trHeight w:val="216"/>
        </w:trPr>
        <w:tc>
          <w:tcPr>
            <w:tcW w:w="4020" w:type="dxa"/>
            <w:vAlign w:val="bottom"/>
            <w:tcBorders>
              <w:left w:val="single" w:sz="8" w:color="auto"/>
            </w:tcBorders>
            <w:gridSpan w:val="2"/>
            <w:shd w:val="clear" w:color="auto" w:fill="D9DCE1"/>
          </w:tcPr>
          <w:p>
            <w:pPr>
              <w:ind w:left="60"/>
              <w:spacing w:after="0"/>
              <w:rPr>
                <w:sz w:val="20"/>
                <w:szCs w:val="20"/>
                <w:color w:val="auto"/>
              </w:rPr>
            </w:pPr>
            <w:r>
              <w:rPr>
                <w:rFonts w:ascii="Arial" w:cs="Arial" w:eastAsia="Arial" w:hAnsi="Arial"/>
                <w:sz w:val="18"/>
                <w:szCs w:val="18"/>
                <w:color w:val="auto"/>
              </w:rPr>
              <w:t>maintain competitive pay as long as adjustments</w:t>
            </w:r>
          </w:p>
        </w:tc>
        <w:tc>
          <w:tcPr>
            <w:tcW w:w="10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8"/>
                <w:szCs w:val="18"/>
                <w:color w:val="auto"/>
              </w:rPr>
              <w:t>for first time in several years in order to improve</w:t>
            </w:r>
          </w:p>
        </w:tc>
      </w:tr>
      <w:tr>
        <w:trPr>
          <w:trHeight w:val="216"/>
        </w:trPr>
        <w:tc>
          <w:tcPr>
            <w:tcW w:w="4020" w:type="dxa"/>
            <w:vAlign w:val="bottom"/>
            <w:tcBorders>
              <w:left w:val="single" w:sz="8" w:color="auto"/>
            </w:tcBorders>
            <w:gridSpan w:val="2"/>
            <w:shd w:val="clear" w:color="auto" w:fill="D9DCE1"/>
          </w:tcPr>
          <w:p>
            <w:pPr>
              <w:ind w:left="60"/>
              <w:spacing w:after="0"/>
              <w:rPr>
                <w:sz w:val="20"/>
                <w:szCs w:val="20"/>
                <w:color w:val="auto"/>
              </w:rPr>
            </w:pPr>
            <w:r>
              <w:rPr>
                <w:rFonts w:ascii="Arial" w:cs="Arial" w:eastAsia="Arial" w:hAnsi="Arial"/>
                <w:sz w:val="18"/>
                <w:szCs w:val="18"/>
                <w:color w:val="auto"/>
              </w:rPr>
              <w:t>are based on appropriate compensation</w:t>
            </w:r>
          </w:p>
        </w:tc>
        <w:tc>
          <w:tcPr>
            <w:tcW w:w="10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8"/>
                <w:szCs w:val="18"/>
                <w:color w:val="auto"/>
              </w:rPr>
              <w:t>competitive positioning relative to peers;</w:t>
            </w:r>
          </w:p>
        </w:tc>
      </w:tr>
      <w:tr>
        <w:trPr>
          <w:trHeight w:val="216"/>
        </w:trPr>
        <w:tc>
          <w:tcPr>
            <w:tcW w:w="4020" w:type="dxa"/>
            <w:vAlign w:val="bottom"/>
            <w:tcBorders>
              <w:left w:val="single" w:sz="8" w:color="auto"/>
            </w:tcBorders>
            <w:gridSpan w:val="2"/>
            <w:shd w:val="clear" w:color="auto" w:fill="D9DCE1"/>
          </w:tcPr>
          <w:p>
            <w:pPr>
              <w:ind w:left="60"/>
              <w:spacing w:after="0"/>
              <w:rPr>
                <w:sz w:val="20"/>
                <w:szCs w:val="20"/>
                <w:color w:val="auto"/>
              </w:rPr>
            </w:pPr>
            <w:r>
              <w:rPr>
                <w:rFonts w:ascii="Arial" w:cs="Arial" w:eastAsia="Arial" w:hAnsi="Arial"/>
                <w:sz w:val="18"/>
                <w:szCs w:val="18"/>
                <w:color w:val="auto"/>
              </w:rPr>
              <w:t>benchmark studies.</w:t>
            </w:r>
          </w:p>
        </w:tc>
        <w:tc>
          <w:tcPr>
            <w:tcW w:w="10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8"/>
                <w:szCs w:val="18"/>
                <w:color w:val="auto"/>
              </w:rPr>
              <w:t>adjustments were based on benchmark study</w:t>
            </w:r>
          </w:p>
        </w:tc>
      </w:tr>
      <w:tr>
        <w:trPr>
          <w:trHeight w:val="216"/>
        </w:trPr>
        <w:tc>
          <w:tcPr>
            <w:tcW w:w="1460" w:type="dxa"/>
            <w:vAlign w:val="bottom"/>
            <w:tcBorders>
              <w:left w:val="single" w:sz="8" w:color="auto"/>
            </w:tcBorders>
            <w:shd w:val="clear" w:color="auto" w:fill="D9DCE1"/>
          </w:tcPr>
          <w:p>
            <w:pPr>
              <w:spacing w:after="0"/>
              <w:rPr>
                <w:sz w:val="18"/>
                <w:szCs w:val="18"/>
                <w:color w:val="auto"/>
              </w:rPr>
            </w:pPr>
          </w:p>
        </w:tc>
        <w:tc>
          <w:tcPr>
            <w:tcW w:w="2560" w:type="dxa"/>
            <w:vAlign w:val="bottom"/>
            <w:shd w:val="clear" w:color="auto" w:fill="D9DCE1"/>
          </w:tcPr>
          <w:p>
            <w:pPr>
              <w:spacing w:after="0"/>
              <w:rPr>
                <w:sz w:val="18"/>
                <w:szCs w:val="18"/>
                <w:color w:val="auto"/>
              </w:rPr>
            </w:pPr>
          </w:p>
        </w:tc>
        <w:tc>
          <w:tcPr>
            <w:tcW w:w="10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8"/>
                <w:szCs w:val="18"/>
                <w:color w:val="auto"/>
              </w:rPr>
              <w:t>prepared by Compensation Committee’s</w:t>
            </w:r>
          </w:p>
        </w:tc>
      </w:tr>
      <w:tr>
        <w:trPr>
          <w:trHeight w:val="216"/>
        </w:trPr>
        <w:tc>
          <w:tcPr>
            <w:tcW w:w="1460" w:type="dxa"/>
            <w:vAlign w:val="bottom"/>
            <w:tcBorders>
              <w:left w:val="single" w:sz="8" w:color="auto"/>
            </w:tcBorders>
            <w:shd w:val="clear" w:color="auto" w:fill="D9DCE1"/>
          </w:tcPr>
          <w:p>
            <w:pPr>
              <w:spacing w:after="0"/>
              <w:rPr>
                <w:sz w:val="18"/>
                <w:szCs w:val="18"/>
                <w:color w:val="auto"/>
              </w:rPr>
            </w:pPr>
          </w:p>
        </w:tc>
        <w:tc>
          <w:tcPr>
            <w:tcW w:w="2560" w:type="dxa"/>
            <w:vAlign w:val="bottom"/>
            <w:shd w:val="clear" w:color="auto" w:fill="D9DCE1"/>
          </w:tcPr>
          <w:p>
            <w:pPr>
              <w:spacing w:after="0"/>
              <w:rPr>
                <w:sz w:val="18"/>
                <w:szCs w:val="18"/>
                <w:color w:val="auto"/>
              </w:rPr>
            </w:pPr>
          </w:p>
        </w:tc>
        <w:tc>
          <w:tcPr>
            <w:tcW w:w="10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8"/>
                <w:szCs w:val="18"/>
                <w:color w:val="auto"/>
              </w:rPr>
              <w:t>independent consultant, Meridian. Compensation</w:t>
            </w:r>
          </w:p>
        </w:tc>
      </w:tr>
      <w:tr>
        <w:trPr>
          <w:trHeight w:val="216"/>
        </w:trPr>
        <w:tc>
          <w:tcPr>
            <w:tcW w:w="1460" w:type="dxa"/>
            <w:vAlign w:val="bottom"/>
            <w:tcBorders>
              <w:left w:val="single" w:sz="8" w:color="auto"/>
            </w:tcBorders>
            <w:shd w:val="clear" w:color="auto" w:fill="D9DCE1"/>
          </w:tcPr>
          <w:p>
            <w:pPr>
              <w:spacing w:after="0"/>
              <w:rPr>
                <w:sz w:val="18"/>
                <w:szCs w:val="18"/>
                <w:color w:val="auto"/>
              </w:rPr>
            </w:pPr>
          </w:p>
        </w:tc>
        <w:tc>
          <w:tcPr>
            <w:tcW w:w="2560" w:type="dxa"/>
            <w:vAlign w:val="bottom"/>
            <w:shd w:val="clear" w:color="auto" w:fill="D9DCE1"/>
          </w:tcPr>
          <w:p>
            <w:pPr>
              <w:spacing w:after="0"/>
              <w:rPr>
                <w:sz w:val="18"/>
                <w:szCs w:val="18"/>
                <w:color w:val="auto"/>
              </w:rPr>
            </w:pPr>
          </w:p>
        </w:tc>
        <w:tc>
          <w:tcPr>
            <w:tcW w:w="10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8"/>
                <w:szCs w:val="18"/>
                <w:color w:val="auto"/>
              </w:rPr>
              <w:t>Committee also indicated it would consider</w:t>
            </w:r>
          </w:p>
        </w:tc>
      </w:tr>
      <w:tr>
        <w:trPr>
          <w:trHeight w:val="216"/>
        </w:trPr>
        <w:tc>
          <w:tcPr>
            <w:tcW w:w="1460" w:type="dxa"/>
            <w:vAlign w:val="bottom"/>
            <w:tcBorders>
              <w:left w:val="single" w:sz="8" w:color="auto"/>
            </w:tcBorders>
            <w:shd w:val="clear" w:color="auto" w:fill="D9DCE1"/>
          </w:tcPr>
          <w:p>
            <w:pPr>
              <w:spacing w:after="0"/>
              <w:rPr>
                <w:sz w:val="18"/>
                <w:szCs w:val="18"/>
                <w:color w:val="auto"/>
              </w:rPr>
            </w:pPr>
          </w:p>
        </w:tc>
        <w:tc>
          <w:tcPr>
            <w:tcW w:w="2560" w:type="dxa"/>
            <w:vAlign w:val="bottom"/>
            <w:shd w:val="clear" w:color="auto" w:fill="D9DCE1"/>
          </w:tcPr>
          <w:p>
            <w:pPr>
              <w:spacing w:after="0"/>
              <w:rPr>
                <w:sz w:val="18"/>
                <w:szCs w:val="18"/>
                <w:color w:val="auto"/>
              </w:rPr>
            </w:pPr>
          </w:p>
        </w:tc>
        <w:tc>
          <w:tcPr>
            <w:tcW w:w="10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8"/>
                <w:szCs w:val="18"/>
                <w:color w:val="auto"/>
              </w:rPr>
              <w:t>adjustments on a more frequent basis (i.e.,</w:t>
            </w:r>
          </w:p>
        </w:tc>
      </w:tr>
      <w:tr>
        <w:trPr>
          <w:trHeight w:val="216"/>
        </w:trPr>
        <w:tc>
          <w:tcPr>
            <w:tcW w:w="1460" w:type="dxa"/>
            <w:vAlign w:val="bottom"/>
            <w:tcBorders>
              <w:left w:val="single" w:sz="8" w:color="auto"/>
            </w:tcBorders>
            <w:shd w:val="clear" w:color="auto" w:fill="D9DCE1"/>
          </w:tcPr>
          <w:p>
            <w:pPr>
              <w:spacing w:after="0"/>
              <w:rPr>
                <w:sz w:val="18"/>
                <w:szCs w:val="18"/>
                <w:color w:val="auto"/>
              </w:rPr>
            </w:pPr>
          </w:p>
        </w:tc>
        <w:tc>
          <w:tcPr>
            <w:tcW w:w="2560" w:type="dxa"/>
            <w:vAlign w:val="bottom"/>
            <w:shd w:val="clear" w:color="auto" w:fill="D9DCE1"/>
          </w:tcPr>
          <w:p>
            <w:pPr>
              <w:spacing w:after="0"/>
              <w:rPr>
                <w:sz w:val="18"/>
                <w:szCs w:val="18"/>
                <w:color w:val="auto"/>
              </w:rPr>
            </w:pPr>
          </w:p>
        </w:tc>
        <w:tc>
          <w:tcPr>
            <w:tcW w:w="10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8"/>
                <w:szCs w:val="18"/>
                <w:color w:val="auto"/>
              </w:rPr>
              <w:t>annually or biennially) in order to avoid “lumpy”</w:t>
            </w:r>
          </w:p>
        </w:tc>
      </w:tr>
      <w:tr>
        <w:trPr>
          <w:trHeight w:val="216"/>
        </w:trPr>
        <w:tc>
          <w:tcPr>
            <w:tcW w:w="1460" w:type="dxa"/>
            <w:vAlign w:val="bottom"/>
            <w:tcBorders>
              <w:left w:val="single" w:sz="8" w:color="auto"/>
            </w:tcBorders>
            <w:shd w:val="clear" w:color="auto" w:fill="D9DCE1"/>
          </w:tcPr>
          <w:p>
            <w:pPr>
              <w:spacing w:after="0"/>
              <w:rPr>
                <w:sz w:val="18"/>
                <w:szCs w:val="18"/>
                <w:color w:val="auto"/>
              </w:rPr>
            </w:pPr>
          </w:p>
        </w:tc>
        <w:tc>
          <w:tcPr>
            <w:tcW w:w="2560" w:type="dxa"/>
            <w:vAlign w:val="bottom"/>
            <w:shd w:val="clear" w:color="auto" w:fill="D9DCE1"/>
          </w:tcPr>
          <w:p>
            <w:pPr>
              <w:spacing w:after="0"/>
              <w:rPr>
                <w:sz w:val="18"/>
                <w:szCs w:val="18"/>
                <w:color w:val="auto"/>
              </w:rPr>
            </w:pPr>
          </w:p>
        </w:tc>
        <w:tc>
          <w:tcPr>
            <w:tcW w:w="10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8"/>
                <w:szCs w:val="18"/>
                <w:color w:val="auto"/>
              </w:rPr>
              <w:t>changes associated with less frequent</w:t>
            </w:r>
          </w:p>
        </w:tc>
      </w:tr>
      <w:tr>
        <w:trPr>
          <w:trHeight w:val="235"/>
        </w:trPr>
        <w:tc>
          <w:tcPr>
            <w:tcW w:w="1460" w:type="dxa"/>
            <w:vAlign w:val="bottom"/>
            <w:tcBorders>
              <w:left w:val="single" w:sz="8" w:color="auto"/>
              <w:bottom w:val="single" w:sz="8" w:color="auto"/>
            </w:tcBorders>
            <w:shd w:val="clear" w:color="auto" w:fill="D9DCE1"/>
          </w:tcPr>
          <w:p>
            <w:pPr>
              <w:spacing w:after="0"/>
              <w:rPr>
                <w:sz w:val="20"/>
                <w:szCs w:val="20"/>
                <w:color w:val="auto"/>
              </w:rPr>
            </w:pPr>
          </w:p>
        </w:tc>
        <w:tc>
          <w:tcPr>
            <w:tcW w:w="2560" w:type="dxa"/>
            <w:vAlign w:val="bottom"/>
            <w:tcBorders>
              <w:bottom w:val="single" w:sz="8" w:color="auto"/>
            </w:tcBorders>
            <w:shd w:val="clear" w:color="auto" w:fill="D9DCE1"/>
          </w:tcPr>
          <w:p>
            <w:pPr>
              <w:spacing w:after="0"/>
              <w:rPr>
                <w:sz w:val="20"/>
                <w:szCs w:val="20"/>
                <w:color w:val="auto"/>
              </w:rPr>
            </w:pPr>
          </w:p>
        </w:tc>
        <w:tc>
          <w:tcPr>
            <w:tcW w:w="100" w:type="dxa"/>
            <w:vAlign w:val="bottom"/>
            <w:tcBorders>
              <w:bottom w:val="single" w:sz="8" w:color="auto"/>
              <w:right w:val="single" w:sz="8" w:color="auto"/>
            </w:tcBorders>
            <w:shd w:val="clear" w:color="auto" w:fill="D9DCE1"/>
          </w:tcPr>
          <w:p>
            <w:pPr>
              <w:spacing w:after="0"/>
              <w:rPr>
                <w:sz w:val="20"/>
                <w:szCs w:val="20"/>
                <w:color w:val="auto"/>
              </w:rPr>
            </w:pPr>
          </w:p>
        </w:tc>
        <w:tc>
          <w:tcPr>
            <w:tcW w:w="80" w:type="dxa"/>
            <w:vAlign w:val="bottom"/>
            <w:tcBorders>
              <w:bottom w:val="single" w:sz="8" w:color="auto"/>
            </w:tcBorders>
            <w:shd w:val="clear" w:color="auto" w:fill="D9DCE1"/>
          </w:tcPr>
          <w:p>
            <w:pPr>
              <w:spacing w:after="0"/>
              <w:rPr>
                <w:sz w:val="20"/>
                <w:szCs w:val="20"/>
                <w:color w:val="auto"/>
              </w:rPr>
            </w:pPr>
          </w:p>
        </w:tc>
        <w:tc>
          <w:tcPr>
            <w:tcW w:w="4020" w:type="dxa"/>
            <w:vAlign w:val="bottom"/>
            <w:tcBorders>
              <w:bottom w:val="single" w:sz="8" w:color="auto"/>
              <w:right w:val="single" w:sz="8" w:color="auto"/>
            </w:tcBorders>
            <w:shd w:val="clear" w:color="auto" w:fill="D9DCE1"/>
          </w:tcPr>
          <w:p>
            <w:pPr>
              <w:spacing w:after="0"/>
              <w:rPr>
                <w:sz w:val="20"/>
                <w:szCs w:val="20"/>
                <w:color w:val="auto"/>
              </w:rPr>
            </w:pPr>
            <w:r>
              <w:rPr>
                <w:rFonts w:ascii="Arial" w:cs="Arial" w:eastAsia="Arial" w:hAnsi="Arial"/>
                <w:sz w:val="18"/>
                <w:szCs w:val="18"/>
                <w:color w:val="auto"/>
              </w:rPr>
              <w:t>adjustments.</w:t>
            </w:r>
          </w:p>
        </w:tc>
      </w:tr>
      <w:tr>
        <w:trPr>
          <w:trHeight w:val="191"/>
        </w:trPr>
        <w:tc>
          <w:tcPr>
            <w:tcW w:w="4020" w:type="dxa"/>
            <w:vAlign w:val="bottom"/>
            <w:tcBorders>
              <w:left w:val="single" w:sz="8" w:color="auto"/>
            </w:tcBorders>
            <w:gridSpan w:val="2"/>
          </w:tcPr>
          <w:p>
            <w:pPr>
              <w:ind w:left="60"/>
              <w:spacing w:after="0" w:line="191" w:lineRule="exact"/>
              <w:rPr>
                <w:sz w:val="20"/>
                <w:szCs w:val="20"/>
                <w:color w:val="auto"/>
              </w:rPr>
            </w:pPr>
            <w:r>
              <w:rPr>
                <w:rFonts w:ascii="Arial" w:cs="Arial" w:eastAsia="Arial" w:hAnsi="Arial"/>
                <w:sz w:val="18"/>
                <w:szCs w:val="18"/>
                <w:color w:val="auto"/>
              </w:rPr>
              <w:t>With respect to the issue of the loss of retentive</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2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After carefully considering alternatives and taking</w:t>
            </w:r>
          </w:p>
        </w:tc>
      </w:tr>
      <w:tr>
        <w:trPr>
          <w:trHeight w:val="216"/>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rPr>
              <w:t>and incentive value of the performance portion of</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investor feedback into account, the Board and</w:t>
            </w:r>
          </w:p>
        </w:tc>
      </w:tr>
      <w:tr>
        <w:trPr>
          <w:trHeight w:val="216"/>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rPr>
              <w:t>the Special Pre-Pandemic Grants, (i) general</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Compensation Committee changed the</w:t>
            </w:r>
          </w:p>
        </w:tc>
      </w:tr>
      <w:tr>
        <w:trPr>
          <w:trHeight w:val="216"/>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rPr>
              <w:t>understanding of and appreciation for the need to</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performance metric under the Special Pre-</w:t>
            </w:r>
          </w:p>
        </w:tc>
      </w:tr>
      <w:tr>
        <w:trPr>
          <w:trHeight w:val="216"/>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rPr>
              <w:t>restore an appropriate level of retentive and</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Pandemic Grants issued in 2019 to the COO and</w:t>
            </w:r>
          </w:p>
        </w:tc>
      </w:tr>
      <w:tr>
        <w:trPr>
          <w:trHeight w:val="216"/>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w w:val="99"/>
              </w:rPr>
              <w:t>incentive value to such awards, coupled with (ii) a</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CCO to a TSR metric with a payout structure that</w:t>
            </w:r>
          </w:p>
        </w:tc>
      </w:tr>
      <w:tr>
        <w:trPr>
          <w:trHeight w:val="216"/>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rPr>
              <w:t>strong preference for doing so in a manner that</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caps the maximum potential payout at 100% of</w:t>
            </w:r>
          </w:p>
        </w:tc>
      </w:tr>
      <w:tr>
        <w:trPr>
          <w:trHeight w:val="216"/>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rPr>
              <w:t>aligns the interests of the recipients with investor</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number of performance units that could have</w:t>
            </w:r>
          </w:p>
        </w:tc>
      </w:tr>
      <w:tr>
        <w:trPr>
          <w:trHeight w:val="216"/>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rPr>
              <w:t>interests going forward and does not allow the</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been earned under the original grants. The Board</w:t>
            </w:r>
          </w:p>
        </w:tc>
      </w:tr>
      <w:tr>
        <w:trPr>
          <w:trHeight w:val="216"/>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rPr>
              <w:t>recipients to “claw-back” or recover value</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 Compensation Committee regarded this</w:t>
            </w:r>
          </w:p>
        </w:tc>
      </w:tr>
      <w:tr>
        <w:trPr>
          <w:trHeight w:val="216"/>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rPr>
              <w:t>degradation equivalent to that experienced by</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approach as the best way to restore an</w:t>
            </w:r>
          </w:p>
        </w:tc>
      </w:tr>
      <w:tr>
        <w:trPr>
          <w:trHeight w:val="216"/>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w w:val="99"/>
              </w:rPr>
              <w:t>unitholders during the period between the original</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appropriate level of incentive and retentive value</w:t>
            </w:r>
          </w:p>
        </w:tc>
      </w:tr>
      <w:tr>
        <w:trPr>
          <w:trHeight w:val="216"/>
        </w:trPr>
        <w:tc>
          <w:tcPr>
            <w:tcW w:w="402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rPr>
              <w:t>grant date and the date of any changes.</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while ensuring investor alignment going forward</w:t>
            </w:r>
          </w:p>
        </w:tc>
      </w:tr>
      <w:tr>
        <w:trPr>
          <w:trHeight w:val="216"/>
        </w:trPr>
        <w:tc>
          <w:tcPr>
            <w:tcW w:w="1460" w:type="dxa"/>
            <w:vAlign w:val="bottom"/>
            <w:tcBorders>
              <w:left w:val="single" w:sz="8" w:color="auto"/>
            </w:tcBorders>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 making sure that the value of any</w:t>
            </w:r>
          </w:p>
        </w:tc>
      </w:tr>
      <w:tr>
        <w:trPr>
          <w:trHeight w:val="216"/>
        </w:trPr>
        <w:tc>
          <w:tcPr>
            <w:tcW w:w="1460" w:type="dxa"/>
            <w:vAlign w:val="bottom"/>
            <w:tcBorders>
              <w:left w:val="single" w:sz="8" w:color="auto"/>
            </w:tcBorders>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performance units earned would reflect the same</w:t>
            </w:r>
          </w:p>
        </w:tc>
      </w:tr>
      <w:tr>
        <w:trPr>
          <w:trHeight w:val="216"/>
        </w:trPr>
        <w:tc>
          <w:tcPr>
            <w:tcW w:w="1460" w:type="dxa"/>
            <w:vAlign w:val="bottom"/>
            <w:tcBorders>
              <w:left w:val="single" w:sz="8" w:color="auto"/>
            </w:tcBorders>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value degradation experienced by unitholders</w:t>
            </w:r>
          </w:p>
        </w:tc>
      </w:tr>
      <w:tr>
        <w:trPr>
          <w:trHeight w:val="216"/>
        </w:trPr>
        <w:tc>
          <w:tcPr>
            <w:tcW w:w="1460" w:type="dxa"/>
            <w:vAlign w:val="bottom"/>
            <w:tcBorders>
              <w:left w:val="single" w:sz="8" w:color="auto"/>
            </w:tcBorders>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since the original grant date. (See “Adjustment of</w:t>
            </w:r>
          </w:p>
        </w:tc>
      </w:tr>
      <w:tr>
        <w:trPr>
          <w:trHeight w:val="216"/>
        </w:trPr>
        <w:tc>
          <w:tcPr>
            <w:tcW w:w="1460" w:type="dxa"/>
            <w:vAlign w:val="bottom"/>
            <w:tcBorders>
              <w:left w:val="single" w:sz="8" w:color="auto"/>
            </w:tcBorders>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Certain Pre-Pandemic Long-Term Incentive</w:t>
            </w:r>
          </w:p>
        </w:tc>
      </w:tr>
      <w:tr>
        <w:trPr>
          <w:trHeight w:val="239"/>
        </w:trPr>
        <w:tc>
          <w:tcPr>
            <w:tcW w:w="1460" w:type="dxa"/>
            <w:vAlign w:val="bottom"/>
            <w:tcBorders>
              <w:left w:val="single" w:sz="8" w:color="auto"/>
            </w:tcBorders>
          </w:tcPr>
          <w:p>
            <w:pPr>
              <w:spacing w:after="0"/>
              <w:rPr>
                <w:sz w:val="20"/>
                <w:szCs w:val="20"/>
                <w:color w:val="auto"/>
              </w:rPr>
            </w:pPr>
          </w:p>
        </w:tc>
        <w:tc>
          <w:tcPr>
            <w:tcW w:w="25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Awards” for more information).</w:t>
            </w:r>
          </w:p>
        </w:tc>
      </w:tr>
      <w:tr>
        <w:trPr>
          <w:trHeight w:val="247"/>
        </w:trPr>
        <w:tc>
          <w:tcPr>
            <w:tcW w:w="1460" w:type="dxa"/>
            <w:vAlign w:val="bottom"/>
            <w:tcBorders>
              <w:left w:val="single" w:sz="8" w:color="auto"/>
            </w:tcBorders>
          </w:tcPr>
          <w:p>
            <w:pPr>
              <w:spacing w:after="0"/>
              <w:rPr>
                <w:sz w:val="21"/>
                <w:szCs w:val="21"/>
                <w:color w:val="auto"/>
              </w:rPr>
            </w:pPr>
          </w:p>
        </w:tc>
        <w:tc>
          <w:tcPr>
            <w:tcW w:w="256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Nevertheless, no changes were made to the</w:t>
            </w:r>
          </w:p>
        </w:tc>
      </w:tr>
      <w:tr>
        <w:trPr>
          <w:trHeight w:val="216"/>
        </w:trPr>
        <w:tc>
          <w:tcPr>
            <w:tcW w:w="1460" w:type="dxa"/>
            <w:vAlign w:val="bottom"/>
            <w:tcBorders>
              <w:left w:val="single" w:sz="8" w:color="auto"/>
            </w:tcBorders>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2018 CEO promotion award in 2022, which was</w:t>
            </w:r>
          </w:p>
        </w:tc>
      </w:tr>
      <w:tr>
        <w:trPr>
          <w:trHeight w:val="239"/>
        </w:trPr>
        <w:tc>
          <w:tcPr>
            <w:tcW w:w="1460" w:type="dxa"/>
            <w:vAlign w:val="bottom"/>
            <w:tcBorders>
              <w:left w:val="single" w:sz="8" w:color="auto"/>
            </w:tcBorders>
          </w:tcPr>
          <w:p>
            <w:pPr>
              <w:spacing w:after="0"/>
              <w:rPr>
                <w:sz w:val="20"/>
                <w:szCs w:val="20"/>
                <w:color w:val="auto"/>
              </w:rPr>
            </w:pPr>
          </w:p>
        </w:tc>
        <w:tc>
          <w:tcPr>
            <w:tcW w:w="25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consistent with the desires of our CEO.</w:t>
            </w:r>
          </w:p>
        </w:tc>
      </w:tr>
      <w:tr>
        <w:trPr>
          <w:trHeight w:val="23"/>
        </w:trPr>
        <w:tc>
          <w:tcPr>
            <w:tcW w:w="4020" w:type="dxa"/>
            <w:vAlign w:val="bottom"/>
            <w:tcBorders>
              <w:left w:val="single" w:sz="8" w:color="auto"/>
              <w:bottom w:val="single" w:sz="8" w:color="auto"/>
            </w:tcBorders>
            <w:gridSpan w:val="2"/>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191"/>
        </w:trPr>
        <w:tc>
          <w:tcPr>
            <w:tcW w:w="4020" w:type="dxa"/>
            <w:vAlign w:val="bottom"/>
            <w:tcBorders>
              <w:left w:val="single" w:sz="8" w:color="auto"/>
            </w:tcBorders>
            <w:gridSpan w:val="2"/>
            <w:shd w:val="clear" w:color="auto" w:fill="D9DCE1"/>
          </w:tcPr>
          <w:p>
            <w:pPr>
              <w:ind w:left="60"/>
              <w:spacing w:after="0" w:line="191" w:lineRule="exact"/>
              <w:rPr>
                <w:sz w:val="20"/>
                <w:szCs w:val="20"/>
                <w:color w:val="auto"/>
              </w:rPr>
            </w:pPr>
            <w:r>
              <w:rPr>
                <w:rFonts w:ascii="Arial" w:cs="Arial" w:eastAsia="Arial" w:hAnsi="Arial"/>
                <w:sz w:val="18"/>
                <w:szCs w:val="18"/>
                <w:color w:val="auto"/>
              </w:rPr>
              <w:t>Concern that DCF/CUE performance metric in</w:t>
            </w:r>
          </w:p>
        </w:tc>
        <w:tc>
          <w:tcPr>
            <w:tcW w:w="100" w:type="dxa"/>
            <w:vAlign w:val="bottom"/>
            <w:tcBorders>
              <w:right w:val="single" w:sz="8" w:color="auto"/>
            </w:tcBorders>
            <w:shd w:val="clear" w:color="auto" w:fill="D9DCE1"/>
          </w:tcPr>
          <w:p>
            <w:pPr>
              <w:spacing w:after="0"/>
              <w:rPr>
                <w:sz w:val="16"/>
                <w:szCs w:val="16"/>
                <w:color w:val="auto"/>
              </w:rPr>
            </w:pPr>
          </w:p>
        </w:tc>
        <w:tc>
          <w:tcPr>
            <w:tcW w:w="80" w:type="dxa"/>
            <w:vAlign w:val="bottom"/>
            <w:shd w:val="clear" w:color="auto" w:fill="D9DCE1"/>
          </w:tcPr>
          <w:p>
            <w:pPr>
              <w:spacing w:after="0"/>
              <w:rPr>
                <w:sz w:val="16"/>
                <w:szCs w:val="16"/>
                <w:color w:val="auto"/>
              </w:rPr>
            </w:pPr>
          </w:p>
        </w:tc>
        <w:tc>
          <w:tcPr>
            <w:tcW w:w="4020" w:type="dxa"/>
            <w:vAlign w:val="bottom"/>
            <w:tcBorders>
              <w:right w:val="single" w:sz="8" w:color="auto"/>
            </w:tcBorders>
            <w:shd w:val="clear" w:color="auto" w:fill="D9DCE1"/>
          </w:tcPr>
          <w:p>
            <w:pPr>
              <w:spacing w:after="0" w:line="191" w:lineRule="exact"/>
              <w:rPr>
                <w:sz w:val="20"/>
                <w:szCs w:val="20"/>
                <w:color w:val="auto"/>
              </w:rPr>
            </w:pPr>
            <w:r>
              <w:rPr>
                <w:rFonts w:ascii="Arial" w:cs="Arial" w:eastAsia="Arial" w:hAnsi="Arial"/>
                <w:sz w:val="18"/>
                <w:szCs w:val="18"/>
                <w:color w:val="auto"/>
              </w:rPr>
              <w:t>Beginning in 2020, the DCF/CUE performance</w:t>
            </w:r>
          </w:p>
        </w:tc>
      </w:tr>
      <w:tr>
        <w:trPr>
          <w:trHeight w:val="216"/>
        </w:trPr>
        <w:tc>
          <w:tcPr>
            <w:tcW w:w="4020" w:type="dxa"/>
            <w:vAlign w:val="bottom"/>
            <w:tcBorders>
              <w:left w:val="single" w:sz="8" w:color="auto"/>
            </w:tcBorders>
            <w:gridSpan w:val="2"/>
            <w:shd w:val="clear" w:color="auto" w:fill="D9DCE1"/>
          </w:tcPr>
          <w:p>
            <w:pPr>
              <w:ind w:left="60"/>
              <w:spacing w:after="0"/>
              <w:rPr>
                <w:sz w:val="20"/>
                <w:szCs w:val="20"/>
                <w:color w:val="auto"/>
              </w:rPr>
            </w:pPr>
            <w:r>
              <w:rPr>
                <w:rFonts w:ascii="Arial" w:cs="Arial" w:eastAsia="Arial" w:hAnsi="Arial"/>
                <w:sz w:val="18"/>
                <w:szCs w:val="18"/>
                <w:color w:val="auto"/>
              </w:rPr>
              <w:t>long-term equity incentive awards did not require</w:t>
            </w:r>
          </w:p>
        </w:tc>
        <w:tc>
          <w:tcPr>
            <w:tcW w:w="10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8"/>
                <w:szCs w:val="18"/>
                <w:color w:val="auto"/>
              </w:rPr>
              <w:t>metric in our long-term equity incentive awards</w:t>
            </w:r>
          </w:p>
        </w:tc>
      </w:tr>
      <w:tr>
        <w:trPr>
          <w:trHeight w:val="216"/>
        </w:trPr>
        <w:tc>
          <w:tcPr>
            <w:tcW w:w="4020" w:type="dxa"/>
            <w:vAlign w:val="bottom"/>
            <w:tcBorders>
              <w:left w:val="single" w:sz="8" w:color="auto"/>
            </w:tcBorders>
            <w:gridSpan w:val="2"/>
            <w:shd w:val="clear" w:color="auto" w:fill="D9DCE1"/>
          </w:tcPr>
          <w:p>
            <w:pPr>
              <w:ind w:left="60"/>
              <w:spacing w:after="0"/>
              <w:rPr>
                <w:sz w:val="20"/>
                <w:szCs w:val="20"/>
                <w:color w:val="auto"/>
              </w:rPr>
            </w:pPr>
            <w:r>
              <w:rPr>
                <w:rFonts w:ascii="Arial" w:cs="Arial" w:eastAsia="Arial" w:hAnsi="Arial"/>
                <w:sz w:val="18"/>
                <w:szCs w:val="18"/>
                <w:color w:val="auto"/>
              </w:rPr>
              <w:t>performance throughout the three-year vesting</w:t>
            </w:r>
          </w:p>
        </w:tc>
        <w:tc>
          <w:tcPr>
            <w:tcW w:w="10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8"/>
                <w:szCs w:val="18"/>
                <w:color w:val="auto"/>
              </w:rPr>
              <w:t>requires performance over a full 12-quarter</w:t>
            </w:r>
          </w:p>
        </w:tc>
      </w:tr>
      <w:tr>
        <w:trPr>
          <w:trHeight w:val="216"/>
        </w:trPr>
        <w:tc>
          <w:tcPr>
            <w:tcW w:w="4020" w:type="dxa"/>
            <w:vAlign w:val="bottom"/>
            <w:tcBorders>
              <w:left w:val="single" w:sz="8" w:color="auto"/>
            </w:tcBorders>
            <w:gridSpan w:val="2"/>
            <w:shd w:val="clear" w:color="auto" w:fill="D9DCE1"/>
          </w:tcPr>
          <w:p>
            <w:pPr>
              <w:ind w:left="60"/>
              <w:spacing w:after="0"/>
              <w:rPr>
                <w:sz w:val="20"/>
                <w:szCs w:val="20"/>
                <w:color w:val="auto"/>
              </w:rPr>
            </w:pPr>
            <w:r>
              <w:rPr>
                <w:rFonts w:ascii="Arial" w:cs="Arial" w:eastAsia="Arial" w:hAnsi="Arial"/>
                <w:sz w:val="18"/>
                <w:szCs w:val="18"/>
                <w:color w:val="auto"/>
              </w:rPr>
              <w:t>period and allowed too long of a period (4 years)</w:t>
            </w:r>
          </w:p>
        </w:tc>
        <w:tc>
          <w:tcPr>
            <w:tcW w:w="10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8"/>
                <w:szCs w:val="18"/>
                <w:color w:val="auto"/>
              </w:rPr>
              <w:t>period vs. any trailing 4-quarter period, and the</w:t>
            </w:r>
          </w:p>
        </w:tc>
      </w:tr>
      <w:tr>
        <w:trPr>
          <w:trHeight w:val="242"/>
        </w:trPr>
        <w:tc>
          <w:tcPr>
            <w:tcW w:w="1460" w:type="dxa"/>
            <w:vAlign w:val="bottom"/>
            <w:tcBorders>
              <w:left w:val="single" w:sz="8" w:color="auto"/>
              <w:bottom w:val="single" w:sz="8" w:color="D9DCE1"/>
            </w:tcBorders>
            <w:shd w:val="clear" w:color="auto" w:fill="D9DCE1"/>
          </w:tcPr>
          <w:p>
            <w:pPr>
              <w:ind w:left="60"/>
              <w:spacing w:after="0"/>
              <w:rPr>
                <w:sz w:val="20"/>
                <w:szCs w:val="20"/>
                <w:color w:val="auto"/>
              </w:rPr>
            </w:pPr>
            <w:r>
              <w:rPr>
                <w:rFonts w:ascii="Arial" w:cs="Arial" w:eastAsia="Arial" w:hAnsi="Arial"/>
                <w:sz w:val="18"/>
                <w:szCs w:val="18"/>
                <w:color w:val="auto"/>
                <w:w w:val="99"/>
              </w:rPr>
              <w:t>to achieve target.</w:t>
            </w:r>
          </w:p>
        </w:tc>
        <w:tc>
          <w:tcPr>
            <w:tcW w:w="2560" w:type="dxa"/>
            <w:vAlign w:val="bottom"/>
            <w:tcBorders>
              <w:bottom w:val="single" w:sz="8" w:color="D9DCE1"/>
            </w:tcBorders>
            <w:shd w:val="clear" w:color="auto" w:fill="D9DCE1"/>
          </w:tcPr>
          <w:p>
            <w:pPr>
              <w:spacing w:after="0"/>
              <w:rPr>
                <w:sz w:val="21"/>
                <w:szCs w:val="21"/>
                <w:color w:val="auto"/>
              </w:rPr>
            </w:pPr>
          </w:p>
        </w:tc>
        <w:tc>
          <w:tcPr>
            <w:tcW w:w="100" w:type="dxa"/>
            <w:vAlign w:val="bottom"/>
            <w:tcBorders>
              <w:bottom w:val="single" w:sz="8" w:color="D9DCE1"/>
              <w:right w:val="single" w:sz="8" w:color="auto"/>
            </w:tcBorders>
            <w:shd w:val="clear" w:color="auto" w:fill="D9DCE1"/>
          </w:tcPr>
          <w:p>
            <w:pPr>
              <w:spacing w:after="0"/>
              <w:rPr>
                <w:sz w:val="21"/>
                <w:szCs w:val="21"/>
                <w:color w:val="auto"/>
              </w:rPr>
            </w:pPr>
          </w:p>
        </w:tc>
        <w:tc>
          <w:tcPr>
            <w:tcW w:w="80" w:type="dxa"/>
            <w:vAlign w:val="bottom"/>
            <w:tcBorders>
              <w:bottom w:val="single" w:sz="8" w:color="D9DCE1"/>
            </w:tcBorders>
            <w:shd w:val="clear" w:color="auto" w:fill="D9DCE1"/>
          </w:tcPr>
          <w:p>
            <w:pPr>
              <w:spacing w:after="0"/>
              <w:rPr>
                <w:sz w:val="21"/>
                <w:szCs w:val="21"/>
                <w:color w:val="auto"/>
              </w:rPr>
            </w:pPr>
          </w:p>
        </w:tc>
        <w:tc>
          <w:tcPr>
            <w:tcW w:w="4020" w:type="dxa"/>
            <w:vAlign w:val="bottom"/>
            <w:tcBorders>
              <w:bottom w:val="single" w:sz="8" w:color="D9DCE1"/>
              <w:right w:val="single" w:sz="8" w:color="auto"/>
            </w:tcBorders>
            <w:shd w:val="clear" w:color="auto" w:fill="D9DCE1"/>
          </w:tcPr>
          <w:p>
            <w:pPr>
              <w:spacing w:after="0"/>
              <w:rPr>
                <w:sz w:val="20"/>
                <w:szCs w:val="20"/>
                <w:color w:val="auto"/>
              </w:rPr>
            </w:pPr>
            <w:r>
              <w:rPr>
                <w:rFonts w:ascii="Arial" w:cs="Arial" w:eastAsia="Arial" w:hAnsi="Arial"/>
                <w:sz w:val="18"/>
                <w:szCs w:val="18"/>
                <w:color w:val="auto"/>
              </w:rPr>
              <w:t>performance period is three years vs. four years.</w:t>
            </w:r>
          </w:p>
        </w:tc>
      </w:tr>
      <w:tr>
        <w:trPr>
          <w:trHeight w:val="20"/>
        </w:trPr>
        <w:tc>
          <w:tcPr>
            <w:tcW w:w="1460" w:type="dxa"/>
            <w:vAlign w:val="bottom"/>
            <w:tcBorders>
              <w:left w:val="single" w:sz="8" w:color="auto"/>
            </w:tcBorders>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2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29"/>
        </w:trPr>
        <w:tc>
          <w:tcPr>
            <w:tcW w:w="1140" w:type="dxa"/>
            <w:vAlign w:val="bottom"/>
            <w:tcBorders>
              <w:top w:val="single" w:sz="8" w:color="auto"/>
              <w:left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2840" w:type="dxa"/>
            <w:vAlign w:val="bottom"/>
            <w:tcBorders>
              <w:top w:val="single" w:sz="8" w:color="auto"/>
              <w:bottom w:val="single" w:sz="8" w:color="auto"/>
            </w:tcBorders>
            <w:shd w:val="clear" w:color="auto" w:fill="424E6A"/>
          </w:tcPr>
          <w:p>
            <w:pPr>
              <w:ind w:left="360"/>
              <w:spacing w:after="0"/>
              <w:rPr>
                <w:sz w:val="20"/>
                <w:szCs w:val="20"/>
                <w:color w:val="auto"/>
              </w:rPr>
            </w:pPr>
            <w:r>
              <w:rPr>
                <w:rFonts w:ascii="Arial" w:cs="Arial" w:eastAsia="Arial" w:hAnsi="Arial"/>
                <w:sz w:val="14"/>
                <w:szCs w:val="14"/>
                <w:b w:val="1"/>
                <w:bCs w:val="1"/>
                <w:color w:val="FFFFFF"/>
              </w:rPr>
              <w:t>What We Heard</w:t>
            </w:r>
          </w:p>
        </w:tc>
        <w:tc>
          <w:tcPr>
            <w:tcW w:w="220" w:type="dxa"/>
            <w:vAlign w:val="bottom"/>
            <w:tcBorders>
              <w:top w:val="single" w:sz="8" w:color="auto"/>
              <w:bottom w:val="single" w:sz="8" w:color="auto"/>
            </w:tcBorders>
            <w:gridSpan w:val="2"/>
            <w:shd w:val="clear" w:color="auto" w:fill="424E6A"/>
          </w:tcPr>
          <w:p>
            <w:pPr>
              <w:ind w:left="60"/>
              <w:spacing w:after="0"/>
              <w:rPr>
                <w:sz w:val="20"/>
                <w:szCs w:val="20"/>
                <w:color w:val="auto"/>
              </w:rPr>
            </w:pPr>
            <w:r>
              <w:rPr>
                <w:rFonts w:ascii="Arial" w:cs="Arial" w:eastAsia="Arial" w:hAnsi="Arial"/>
                <w:sz w:val="14"/>
                <w:szCs w:val="14"/>
                <w:b w:val="1"/>
                <w:bCs w:val="1"/>
                <w:color w:val="FFFFFF"/>
              </w:rPr>
              <w:t>​ ​</w:t>
            </w:r>
          </w:p>
        </w:tc>
        <w:tc>
          <w:tcPr>
            <w:tcW w:w="4020" w:type="dxa"/>
            <w:vAlign w:val="bottom"/>
            <w:tcBorders>
              <w:top w:val="single" w:sz="8" w:color="auto"/>
              <w:bottom w:val="single" w:sz="8" w:color="auto"/>
              <w:right w:val="single" w:sz="8" w:color="auto"/>
            </w:tcBorders>
            <w:shd w:val="clear" w:color="auto" w:fill="424E6A"/>
          </w:tcPr>
          <w:p>
            <w:pPr>
              <w:ind w:left="1540"/>
              <w:spacing w:after="0"/>
              <w:rPr>
                <w:sz w:val="20"/>
                <w:szCs w:val="20"/>
                <w:color w:val="auto"/>
              </w:rPr>
            </w:pPr>
            <w:r>
              <w:rPr>
                <w:rFonts w:ascii="Arial" w:cs="Arial" w:eastAsia="Arial" w:hAnsi="Arial"/>
                <w:sz w:val="14"/>
                <w:szCs w:val="14"/>
                <w:b w:val="1"/>
                <w:bCs w:val="1"/>
                <w:color w:val="FFFFFF"/>
              </w:rPr>
              <w:t>What We Did</w:t>
            </w:r>
          </w:p>
        </w:tc>
      </w:tr>
      <w:tr>
        <w:trPr>
          <w:trHeight w:val="191"/>
        </w:trPr>
        <w:tc>
          <w:tcPr>
            <w:tcW w:w="3980" w:type="dxa"/>
            <w:vAlign w:val="bottom"/>
            <w:tcBorders>
              <w:left w:val="single" w:sz="8" w:color="auto"/>
            </w:tcBorders>
            <w:gridSpan w:val="2"/>
          </w:tcPr>
          <w:p>
            <w:pPr>
              <w:ind w:left="60"/>
              <w:spacing w:after="0" w:line="191" w:lineRule="exact"/>
              <w:rPr>
                <w:sz w:val="20"/>
                <w:szCs w:val="20"/>
                <w:color w:val="auto"/>
              </w:rPr>
            </w:pPr>
            <w:r>
              <w:rPr>
                <w:rFonts w:ascii="Arial" w:cs="Arial" w:eastAsia="Arial" w:hAnsi="Arial"/>
                <w:sz w:val="18"/>
                <w:szCs w:val="18"/>
                <w:color w:val="auto"/>
              </w:rPr>
              <w:t>Concern that DCF/CUE performance metric in</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2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Beginning in 2020, our long-term equity incentive</w:t>
            </w:r>
          </w:p>
        </w:tc>
      </w:tr>
      <w:tr>
        <w:trPr>
          <w:trHeight w:val="216"/>
        </w:trPr>
        <w:tc>
          <w:tcPr>
            <w:tcW w:w="398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rPr>
              <w:t>long-term equity incentive awards could</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awards include a leverage modifier to mitigate</w:t>
            </w:r>
          </w:p>
        </w:tc>
      </w:tr>
      <w:tr>
        <w:trPr>
          <w:trHeight w:val="216"/>
        </w:trPr>
        <w:tc>
          <w:tcPr>
            <w:tcW w:w="398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rPr>
              <w:t>incentivize management to inappropriately</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this concern. Payout on cumulative three-year</w:t>
            </w:r>
          </w:p>
        </w:tc>
      </w:tr>
      <w:tr>
        <w:trPr>
          <w:trHeight w:val="216"/>
        </w:trPr>
        <w:tc>
          <w:tcPr>
            <w:tcW w:w="3980" w:type="dxa"/>
            <w:vAlign w:val="bottom"/>
            <w:tcBorders>
              <w:left w:val="single" w:sz="8" w:color="auto"/>
            </w:tcBorders>
            <w:gridSpan w:val="2"/>
          </w:tcPr>
          <w:p>
            <w:pPr>
              <w:ind w:left="60"/>
              <w:spacing w:after="0"/>
              <w:rPr>
                <w:sz w:val="20"/>
                <w:szCs w:val="20"/>
                <w:color w:val="auto"/>
              </w:rPr>
            </w:pPr>
            <w:r>
              <w:rPr>
                <w:rFonts w:ascii="Arial" w:cs="Arial" w:eastAsia="Arial" w:hAnsi="Arial"/>
                <w:sz w:val="18"/>
                <w:szCs w:val="18"/>
                <w:color w:val="auto"/>
              </w:rPr>
              <w:t>increase leverage to meet targets.</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DCF/CUE performance metric in the 2020 and</w:t>
            </w:r>
          </w:p>
        </w:tc>
      </w:tr>
      <w:tr>
        <w:trPr>
          <w:trHeight w:val="216"/>
        </w:trPr>
        <w:tc>
          <w:tcPr>
            <w:tcW w:w="1140" w:type="dxa"/>
            <w:vAlign w:val="bottom"/>
            <w:tcBorders>
              <w:lef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2021 awards is subject to increase or decrease</w:t>
            </w:r>
          </w:p>
        </w:tc>
      </w:tr>
      <w:tr>
        <w:trPr>
          <w:trHeight w:val="216"/>
        </w:trPr>
        <w:tc>
          <w:tcPr>
            <w:tcW w:w="1140" w:type="dxa"/>
            <w:vAlign w:val="bottom"/>
            <w:tcBorders>
              <w:lef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based on comparison of leverage ratio at end of</w:t>
            </w:r>
          </w:p>
        </w:tc>
      </w:tr>
      <w:tr>
        <w:trPr>
          <w:trHeight w:val="216"/>
        </w:trPr>
        <w:tc>
          <w:tcPr>
            <w:tcW w:w="1140" w:type="dxa"/>
            <w:vAlign w:val="bottom"/>
            <w:tcBorders>
              <w:lef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three-year measurement period to the target</w:t>
            </w:r>
          </w:p>
        </w:tc>
      </w:tr>
      <w:tr>
        <w:trPr>
          <w:trHeight w:val="216"/>
        </w:trPr>
        <w:tc>
          <w:tcPr>
            <w:tcW w:w="1140" w:type="dxa"/>
            <w:vAlign w:val="bottom"/>
            <w:tcBorders>
              <w:lef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leverage ratio established at time of grant. Payout</w:t>
            </w:r>
          </w:p>
        </w:tc>
      </w:tr>
      <w:tr>
        <w:trPr>
          <w:trHeight w:val="216"/>
        </w:trPr>
        <w:tc>
          <w:tcPr>
            <w:tcW w:w="1140" w:type="dxa"/>
            <w:vAlign w:val="bottom"/>
            <w:tcBorders>
              <w:lef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on the DCF/CUE performance metric in the 2022</w:t>
            </w:r>
          </w:p>
        </w:tc>
      </w:tr>
      <w:tr>
        <w:trPr>
          <w:trHeight w:val="216"/>
        </w:trPr>
        <w:tc>
          <w:tcPr>
            <w:tcW w:w="1140" w:type="dxa"/>
            <w:vAlign w:val="bottom"/>
            <w:tcBorders>
              <w:lef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awards is subject to decrease if our leverage ratio</w:t>
            </w:r>
          </w:p>
        </w:tc>
      </w:tr>
      <w:tr>
        <w:trPr>
          <w:trHeight w:val="216"/>
        </w:trPr>
        <w:tc>
          <w:tcPr>
            <w:tcW w:w="1140" w:type="dxa"/>
            <w:vAlign w:val="bottom"/>
            <w:tcBorders>
              <w:lef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(as defined in the LTIP grant agreements) at the</w:t>
            </w:r>
          </w:p>
        </w:tc>
      </w:tr>
      <w:tr>
        <w:trPr>
          <w:trHeight w:val="216"/>
        </w:trPr>
        <w:tc>
          <w:tcPr>
            <w:tcW w:w="1140" w:type="dxa"/>
            <w:vAlign w:val="bottom"/>
            <w:tcBorders>
              <w:lef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end of the three-year measurement period</w:t>
            </w:r>
          </w:p>
        </w:tc>
      </w:tr>
      <w:tr>
        <w:trPr>
          <w:trHeight w:val="235"/>
        </w:trPr>
        <w:tc>
          <w:tcPr>
            <w:tcW w:w="1140" w:type="dxa"/>
            <w:vAlign w:val="bottom"/>
            <w:tcBorders>
              <w:left w:val="single" w:sz="8" w:color="auto"/>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exceeds 3.5x.</w:t>
            </w:r>
          </w:p>
        </w:tc>
      </w:tr>
      <w:tr>
        <w:trPr>
          <w:trHeight w:val="191"/>
        </w:trPr>
        <w:tc>
          <w:tcPr>
            <w:tcW w:w="3980" w:type="dxa"/>
            <w:vAlign w:val="bottom"/>
            <w:tcBorders>
              <w:left w:val="single" w:sz="8" w:color="auto"/>
            </w:tcBorders>
            <w:gridSpan w:val="2"/>
            <w:shd w:val="clear" w:color="auto" w:fill="D9DCE1"/>
          </w:tcPr>
          <w:p>
            <w:pPr>
              <w:ind w:left="60"/>
              <w:spacing w:after="0" w:line="191" w:lineRule="exact"/>
              <w:rPr>
                <w:sz w:val="20"/>
                <w:szCs w:val="20"/>
                <w:color w:val="auto"/>
              </w:rPr>
            </w:pPr>
            <w:r>
              <w:rPr>
                <w:rFonts w:ascii="Arial" w:cs="Arial" w:eastAsia="Arial" w:hAnsi="Arial"/>
                <w:sz w:val="18"/>
                <w:szCs w:val="18"/>
                <w:color w:val="auto"/>
              </w:rPr>
              <w:t>Investor desire for use of a relative, returns-</w:t>
            </w:r>
          </w:p>
        </w:tc>
        <w:tc>
          <w:tcPr>
            <w:tcW w:w="140" w:type="dxa"/>
            <w:vAlign w:val="bottom"/>
            <w:tcBorders>
              <w:right w:val="single" w:sz="8" w:color="auto"/>
            </w:tcBorders>
            <w:shd w:val="clear" w:color="auto" w:fill="D9DCE1"/>
          </w:tcPr>
          <w:p>
            <w:pPr>
              <w:spacing w:after="0"/>
              <w:rPr>
                <w:sz w:val="16"/>
                <w:szCs w:val="16"/>
                <w:color w:val="auto"/>
              </w:rPr>
            </w:pPr>
          </w:p>
        </w:tc>
        <w:tc>
          <w:tcPr>
            <w:tcW w:w="80" w:type="dxa"/>
            <w:vAlign w:val="bottom"/>
            <w:shd w:val="clear" w:color="auto" w:fill="D9DCE1"/>
          </w:tcPr>
          <w:p>
            <w:pPr>
              <w:spacing w:after="0"/>
              <w:rPr>
                <w:sz w:val="16"/>
                <w:szCs w:val="16"/>
                <w:color w:val="auto"/>
              </w:rPr>
            </w:pPr>
          </w:p>
        </w:tc>
        <w:tc>
          <w:tcPr>
            <w:tcW w:w="4020" w:type="dxa"/>
            <w:vAlign w:val="bottom"/>
            <w:tcBorders>
              <w:right w:val="single" w:sz="8" w:color="auto"/>
            </w:tcBorders>
            <w:shd w:val="clear" w:color="auto" w:fill="D9DCE1"/>
          </w:tcPr>
          <w:p>
            <w:pPr>
              <w:spacing w:after="0" w:line="191" w:lineRule="exact"/>
              <w:rPr>
                <w:sz w:val="20"/>
                <w:szCs w:val="20"/>
                <w:color w:val="auto"/>
              </w:rPr>
            </w:pPr>
            <w:r>
              <w:rPr>
                <w:rFonts w:ascii="Arial" w:cs="Arial" w:eastAsia="Arial" w:hAnsi="Arial"/>
                <w:sz w:val="18"/>
                <w:szCs w:val="18"/>
                <w:color w:val="auto"/>
              </w:rPr>
              <w:t>Beginning in 2020 and continuing since then, our</w:t>
            </w:r>
          </w:p>
        </w:tc>
      </w:tr>
      <w:tr>
        <w:trPr>
          <w:trHeight w:val="216"/>
        </w:trPr>
        <w:tc>
          <w:tcPr>
            <w:tcW w:w="3980" w:type="dxa"/>
            <w:vAlign w:val="bottom"/>
            <w:tcBorders>
              <w:left w:val="single" w:sz="8" w:color="auto"/>
            </w:tcBorders>
            <w:gridSpan w:val="2"/>
            <w:shd w:val="clear" w:color="auto" w:fill="D9DCE1"/>
          </w:tcPr>
          <w:p>
            <w:pPr>
              <w:ind w:left="60"/>
              <w:spacing w:after="0"/>
              <w:rPr>
                <w:sz w:val="20"/>
                <w:szCs w:val="20"/>
                <w:color w:val="auto"/>
              </w:rPr>
            </w:pPr>
            <w:r>
              <w:rPr>
                <w:rFonts w:ascii="Arial" w:cs="Arial" w:eastAsia="Arial" w:hAnsi="Arial"/>
                <w:sz w:val="18"/>
                <w:szCs w:val="18"/>
                <w:color w:val="auto"/>
              </w:rPr>
              <w:t>based performance metric in our equity incentive</w:t>
            </w:r>
          </w:p>
        </w:tc>
        <w:tc>
          <w:tcPr>
            <w:tcW w:w="14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8"/>
                <w:szCs w:val="18"/>
                <w:color w:val="auto"/>
              </w:rPr>
              <w:t>regular annual long-term equity incentive awards</w:t>
            </w:r>
          </w:p>
        </w:tc>
      </w:tr>
      <w:tr>
        <w:trPr>
          <w:trHeight w:val="216"/>
        </w:trPr>
        <w:tc>
          <w:tcPr>
            <w:tcW w:w="1140" w:type="dxa"/>
            <w:vAlign w:val="bottom"/>
            <w:tcBorders>
              <w:lef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program.</w:t>
            </w:r>
          </w:p>
        </w:tc>
        <w:tc>
          <w:tcPr>
            <w:tcW w:w="2840" w:type="dxa"/>
            <w:vAlign w:val="bottom"/>
            <w:shd w:val="clear" w:color="auto" w:fill="D9DCE1"/>
          </w:tcPr>
          <w:p>
            <w:pPr>
              <w:spacing w:after="0"/>
              <w:rPr>
                <w:sz w:val="18"/>
                <w:szCs w:val="18"/>
                <w:color w:val="auto"/>
              </w:rPr>
            </w:pPr>
          </w:p>
        </w:tc>
        <w:tc>
          <w:tcPr>
            <w:tcW w:w="14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4020" w:type="dxa"/>
            <w:vAlign w:val="bottom"/>
            <w:tcBorders>
              <w:right w:val="single" w:sz="8" w:color="auto"/>
            </w:tcBorders>
            <w:shd w:val="clear" w:color="auto" w:fill="D9DCE1"/>
          </w:tcPr>
          <w:p>
            <w:pPr>
              <w:spacing w:after="0"/>
              <w:rPr>
                <w:sz w:val="20"/>
                <w:szCs w:val="20"/>
                <w:color w:val="auto"/>
              </w:rPr>
            </w:pPr>
            <w:r>
              <w:rPr>
                <w:rFonts w:ascii="Arial" w:cs="Arial" w:eastAsia="Arial" w:hAnsi="Arial"/>
                <w:sz w:val="18"/>
                <w:szCs w:val="18"/>
                <w:color w:val="auto"/>
              </w:rPr>
              <w:t>have included a relative TSR metric with an</w:t>
            </w:r>
          </w:p>
        </w:tc>
      </w:tr>
      <w:tr>
        <w:trPr>
          <w:trHeight w:val="235"/>
        </w:trPr>
        <w:tc>
          <w:tcPr>
            <w:tcW w:w="1140" w:type="dxa"/>
            <w:vAlign w:val="bottom"/>
            <w:tcBorders>
              <w:left w:val="single" w:sz="8" w:color="auto"/>
              <w:bottom w:val="single" w:sz="8" w:color="auto"/>
            </w:tcBorders>
            <w:shd w:val="clear" w:color="auto" w:fill="D9DCE1"/>
          </w:tcPr>
          <w:p>
            <w:pPr>
              <w:spacing w:after="0"/>
              <w:rPr>
                <w:sz w:val="20"/>
                <w:szCs w:val="20"/>
                <w:color w:val="auto"/>
              </w:rPr>
            </w:pPr>
          </w:p>
        </w:tc>
        <w:tc>
          <w:tcPr>
            <w:tcW w:w="2840" w:type="dxa"/>
            <w:vAlign w:val="bottom"/>
            <w:tcBorders>
              <w:bottom w:val="single" w:sz="8" w:color="auto"/>
            </w:tcBorders>
            <w:shd w:val="clear" w:color="auto" w:fill="D9DCE1"/>
          </w:tcPr>
          <w:p>
            <w:pPr>
              <w:spacing w:after="0"/>
              <w:rPr>
                <w:sz w:val="20"/>
                <w:szCs w:val="20"/>
                <w:color w:val="auto"/>
              </w:rPr>
            </w:pPr>
          </w:p>
        </w:tc>
        <w:tc>
          <w:tcPr>
            <w:tcW w:w="140" w:type="dxa"/>
            <w:vAlign w:val="bottom"/>
            <w:tcBorders>
              <w:bottom w:val="single" w:sz="8" w:color="auto"/>
              <w:right w:val="single" w:sz="8" w:color="auto"/>
            </w:tcBorders>
            <w:shd w:val="clear" w:color="auto" w:fill="D9DCE1"/>
          </w:tcPr>
          <w:p>
            <w:pPr>
              <w:spacing w:after="0"/>
              <w:rPr>
                <w:sz w:val="20"/>
                <w:szCs w:val="20"/>
                <w:color w:val="auto"/>
              </w:rPr>
            </w:pPr>
          </w:p>
        </w:tc>
        <w:tc>
          <w:tcPr>
            <w:tcW w:w="80" w:type="dxa"/>
            <w:vAlign w:val="bottom"/>
            <w:tcBorders>
              <w:bottom w:val="single" w:sz="8" w:color="auto"/>
            </w:tcBorders>
            <w:shd w:val="clear" w:color="auto" w:fill="D9DCE1"/>
          </w:tcPr>
          <w:p>
            <w:pPr>
              <w:spacing w:after="0"/>
              <w:rPr>
                <w:sz w:val="20"/>
                <w:szCs w:val="20"/>
                <w:color w:val="auto"/>
              </w:rPr>
            </w:pPr>
          </w:p>
        </w:tc>
        <w:tc>
          <w:tcPr>
            <w:tcW w:w="4020" w:type="dxa"/>
            <w:vAlign w:val="bottom"/>
            <w:tcBorders>
              <w:bottom w:val="single" w:sz="8" w:color="auto"/>
              <w:right w:val="single" w:sz="8" w:color="auto"/>
            </w:tcBorders>
            <w:shd w:val="clear" w:color="auto" w:fill="D9DCE1"/>
          </w:tcPr>
          <w:p>
            <w:pPr>
              <w:spacing w:after="0"/>
              <w:rPr>
                <w:sz w:val="20"/>
                <w:szCs w:val="20"/>
                <w:color w:val="auto"/>
              </w:rPr>
            </w:pPr>
            <w:r>
              <w:rPr>
                <w:rFonts w:ascii="Arial" w:cs="Arial" w:eastAsia="Arial" w:hAnsi="Arial"/>
                <w:sz w:val="18"/>
                <w:szCs w:val="18"/>
                <w:color w:val="auto"/>
              </w:rPr>
              <w:t>absolute TSR modifier.</w:t>
            </w:r>
          </w:p>
        </w:tc>
      </w:tr>
    </w:tbl>
    <w:p>
      <w:pPr>
        <w:spacing w:after="0" w:line="2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Commitment to Pay for Performance</w:t>
      </w:r>
    </w:p>
    <w:p>
      <w:pPr>
        <w:spacing w:after="0" w:line="156" w:lineRule="exact"/>
        <w:rPr>
          <w:sz w:val="20"/>
          <w:szCs w:val="20"/>
          <w:color w:val="auto"/>
        </w:rPr>
      </w:pPr>
    </w:p>
    <w:p>
      <w:pPr>
        <w:ind w:left="1260" w:right="599" w:firstLine="360"/>
        <w:spacing w:after="0" w:line="275" w:lineRule="auto"/>
        <w:rPr>
          <w:sz w:val="20"/>
          <w:szCs w:val="20"/>
          <w:color w:val="auto"/>
        </w:rPr>
      </w:pPr>
      <w:r>
        <w:rPr>
          <w:rFonts w:ascii="Arial" w:cs="Arial" w:eastAsia="Arial" w:hAnsi="Arial"/>
          <w:sz w:val="17"/>
          <w:szCs w:val="17"/>
          <w:color w:val="auto"/>
        </w:rPr>
        <w:t>Our executive compensation philosophy is focused on a long-term pay for performance culture designed to attract and retain key management talent in a competitive industry and market. Our program combines relatively low base pay (as a percentage of total rewards) with higher variable, at-risk compensation opportunities based on objective and transparent performance requirements. As demonstrated in the graphic below, in 2022, at target, approximately 89% of our CEO’s compensation and approximately 82% of our other NEOs’ compensation consisted of at-risk compensation.</w:t>
      </w:r>
    </w:p>
    <w:p>
      <w:pPr>
        <w:spacing w:after="0" w:line="16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Majority of NEO Pay At-Risk and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4680585" cy="2708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68058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20" w:right="459" w:hanging="360"/>
        <w:spacing w:after="0" w:line="268"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NEOs” graphic excludes Mr. Pefanis. Mr. Pefanis is a co-founder and substantial equity owner and for the last several years has requested to not participate in the long-term incentive program, which results in an at-risk compensation percentage for Mr. Pefanis of 67%.</w:t>
      </w: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79" w:firstLine="360"/>
        <w:spacing w:after="0" w:line="242" w:lineRule="auto"/>
        <w:rPr>
          <w:sz w:val="20"/>
          <w:szCs w:val="20"/>
          <w:color w:val="auto"/>
        </w:rPr>
      </w:pPr>
      <w:r>
        <w:rPr>
          <w:rFonts w:ascii="Arial" w:cs="Arial" w:eastAsia="Arial" w:hAnsi="Arial"/>
          <w:sz w:val="18"/>
          <w:szCs w:val="18"/>
          <w:color w:val="auto"/>
        </w:rPr>
        <w:t>At-risk compensation is typically tied to the achievement of one or more performance metrics that measure value creation over both the near and longer term, as well as service period requirements. The primary short-term financial metrics are annual earnings and cash flow levels as represented by Adjusted EBITDA</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attributable to PAA and distributable cash flow (“DCF”) per common unit equivalent (“CUE”). The primary long-term performance measures included in our equity incentive grants are DCF per CUE over a 3-year period (with a leverage modifier) and relative TSR over a 3-year period. We believe our short- and long-term performance metrics are consistent with our overall financial strategy of reducing our leverage and generating attractive shareholder returns.</w:t>
      </w:r>
    </w:p>
    <w:p>
      <w:pPr>
        <w:spacing w:after="0" w:line="128"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8"/>
          <w:szCs w:val="18"/>
          <w:color w:val="auto"/>
        </w:rPr>
        <w:t>We believe our pay-for-performance approach aligns the interests of our executive officers with the interests of our equity holders. We also believe that our pay-for-performance approach helps us achieve the overall objectives of our executive compensation program, which are to:</w:t>
      </w:r>
    </w:p>
    <w:p>
      <w:pPr>
        <w:spacing w:after="0" w:line="63" w:lineRule="exact"/>
        <w:rPr>
          <w:sz w:val="20"/>
          <w:szCs w:val="20"/>
          <w:color w:val="auto"/>
        </w:rPr>
      </w:pPr>
    </w:p>
    <w:p>
      <w:pPr>
        <w:ind w:left="1800" w:right="559" w:hanging="180"/>
        <w:spacing w:after="0" w:line="28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attract and retain </w:t>
      </w:r>
      <w:r>
        <w:rPr>
          <w:rFonts w:ascii="Arial" w:cs="Arial" w:eastAsia="Arial" w:hAnsi="Arial"/>
          <w:sz w:val="18"/>
          <w:szCs w:val="18"/>
          <w:color w:val="auto"/>
        </w:rPr>
        <w:t>individuals with the background and skills necessary to successfully execute</w:t>
      </w:r>
      <w:r>
        <w:rPr>
          <w:rFonts w:ascii="Arial" w:cs="Arial" w:eastAsia="Arial" w:hAnsi="Arial"/>
          <w:sz w:val="18"/>
          <w:szCs w:val="18"/>
          <w:b w:val="1"/>
          <w:bCs w:val="1"/>
          <w:color w:val="auto"/>
        </w:rPr>
        <w:t xml:space="preserve"> </w:t>
      </w:r>
      <w:r>
        <w:rPr>
          <w:rFonts w:ascii="Arial" w:cs="Arial" w:eastAsia="Arial" w:hAnsi="Arial"/>
          <w:sz w:val="18"/>
          <w:szCs w:val="18"/>
          <w:color w:val="auto"/>
        </w:rPr>
        <w:t>our business model in a demanding environment;</w:t>
      </w:r>
    </w:p>
    <w:p>
      <w:pPr>
        <w:spacing w:after="0" w:line="44" w:lineRule="exact"/>
        <w:rPr>
          <w:rFonts w:ascii="Arial" w:cs="Arial" w:eastAsia="Arial" w:hAnsi="Arial"/>
          <w:sz w:val="18"/>
          <w:szCs w:val="18"/>
          <w:color w:val="auto"/>
        </w:rPr>
      </w:pPr>
    </w:p>
    <w:p>
      <w:pPr>
        <w:ind w:left="1800" w:right="559" w:hanging="180"/>
        <w:spacing w:after="0" w:line="268"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by tying more than a majority of NEO pay (58% for the CEO and 55% on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for the other NEOs) to achievement of near-term and long-term goals that drive long-term growth in unitholder value; and</w:t>
      </w:r>
    </w:p>
    <w:p>
      <w:pPr>
        <w:spacing w:after="0" w:line="62" w:lineRule="exact"/>
        <w:rPr>
          <w:rFonts w:ascii="Arial" w:cs="Arial" w:eastAsia="Arial" w:hAnsi="Arial"/>
          <w:sz w:val="18"/>
          <w:szCs w:val="18"/>
          <w:color w:val="auto"/>
        </w:rPr>
      </w:pPr>
    </w:p>
    <w:p>
      <w:pPr>
        <w:ind w:left="1800" w:right="1119" w:hanging="180"/>
        <w:spacing w:after="0" w:line="28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directly align our NEOs with our unitholders </w:t>
      </w:r>
      <w:r>
        <w:rPr>
          <w:rFonts w:ascii="Arial" w:cs="Arial" w:eastAsia="Arial" w:hAnsi="Arial"/>
          <w:sz w:val="18"/>
          <w:szCs w:val="18"/>
          <w:color w:val="auto"/>
        </w:rPr>
        <w:t>through the use of equity incentives and</w:t>
      </w:r>
      <w:r>
        <w:rPr>
          <w:rFonts w:ascii="Arial" w:cs="Arial" w:eastAsia="Arial" w:hAnsi="Arial"/>
          <w:sz w:val="18"/>
          <w:szCs w:val="18"/>
          <w:b w:val="1"/>
          <w:bCs w:val="1"/>
          <w:color w:val="auto"/>
        </w:rPr>
        <w:t xml:space="preserve"> </w:t>
      </w:r>
      <w:r>
        <w:rPr>
          <w:rFonts w:ascii="Arial" w:cs="Arial" w:eastAsia="Arial" w:hAnsi="Arial"/>
          <w:sz w:val="18"/>
          <w:szCs w:val="18"/>
          <w:color w:val="auto"/>
        </w:rPr>
        <w:t>encouragement of long-term unit ownership.</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Elements and Objectives</w:t>
      </w:r>
    </w:p>
    <w:p>
      <w:pPr>
        <w:spacing w:after="0" w:line="156"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We use three primary elements of compensation in combination with competitive benefits to achieve our executive compensation program objectives — salary, annual cash incentive awards and long-term equity incentive awards. Our mix of compensation elements is designed to reinforce near-term and long-term business and strategic objectives, recognize and reward performance, motivate long-term value creation and align the interests of our executives with those of our equity holders. The following table sets forth the key elements of our 2022 executive compensation program:</w:t>
      </w:r>
    </w:p>
    <w:p>
      <w:pPr>
        <w:spacing w:after="0" w:line="73" w:lineRule="exact"/>
        <w:rPr>
          <w:sz w:val="20"/>
          <w:szCs w:val="20"/>
          <w:color w:val="auto"/>
        </w:rPr>
      </w:pPr>
    </w:p>
    <w:tbl>
      <w:tblPr>
        <w:tblLayout w:type="fixed"/>
        <w:tblInd w:w="1270" w:type="dxa"/>
        <w:tblCellMar>
          <w:top w:w="0" w:type="dxa"/>
          <w:left w:w="0" w:type="dxa"/>
          <w:bottom w:w="0" w:type="dxa"/>
          <w:right w:w="0" w:type="dxa"/>
        </w:tblCellMar>
      </w:tblPr>
      <w:tr>
        <w:trPr>
          <w:trHeight w:val="175"/>
        </w:trPr>
        <w:tc>
          <w:tcPr>
            <w:tcW w:w="1640" w:type="dxa"/>
            <w:vAlign w:val="bottom"/>
            <w:tcBorders>
              <w:top w:val="single" w:sz="8" w:color="auto"/>
              <w:left w:val="single" w:sz="8" w:color="auto"/>
              <w:bottom w:val="single" w:sz="8" w:color="auto"/>
            </w:tcBorders>
            <w:shd w:val="clear" w:color="auto" w:fill="424E6A"/>
          </w:tcPr>
          <w:p>
            <w:pPr>
              <w:ind w:left="480"/>
              <w:spacing w:after="0"/>
              <w:rPr>
                <w:sz w:val="20"/>
                <w:szCs w:val="20"/>
                <w:color w:val="auto"/>
              </w:rPr>
            </w:pPr>
            <w:r>
              <w:rPr>
                <w:rFonts w:ascii="Arial" w:cs="Arial" w:eastAsia="Arial" w:hAnsi="Arial"/>
                <w:sz w:val="14"/>
                <w:szCs w:val="14"/>
                <w:b w:val="1"/>
                <w:bCs w:val="1"/>
                <w:color w:val="FFFFFF"/>
              </w:rPr>
              <w:t>What We Pay</w:t>
            </w:r>
          </w:p>
        </w:tc>
        <w:tc>
          <w:tcPr>
            <w:tcW w:w="360" w:type="dxa"/>
            <w:vAlign w:val="bottom"/>
            <w:tcBorders>
              <w:top w:val="single" w:sz="8" w:color="auto"/>
              <w:bottom w:val="single" w:sz="8" w:color="auto"/>
            </w:tcBorders>
            <w:gridSpan w:val="2"/>
            <w:shd w:val="clear" w:color="auto" w:fill="424E6A"/>
          </w:tcPr>
          <w:p>
            <w:pPr>
              <w:ind w:left="220"/>
              <w:spacing w:after="0"/>
              <w:rPr>
                <w:sz w:val="20"/>
                <w:szCs w:val="20"/>
                <w:color w:val="auto"/>
              </w:rPr>
            </w:pPr>
            <w:r>
              <w:rPr>
                <w:rFonts w:ascii="Arial" w:cs="Arial" w:eastAsia="Arial" w:hAnsi="Arial"/>
                <w:sz w:val="14"/>
                <w:szCs w:val="14"/>
                <w:b w:val="1"/>
                <w:bCs w:val="1"/>
                <w:color w:val="FFFFFF"/>
              </w:rPr>
              <w:t>​ ​</w:t>
            </w:r>
          </w:p>
        </w:tc>
        <w:tc>
          <w:tcPr>
            <w:tcW w:w="2380" w:type="dxa"/>
            <w:vAlign w:val="bottom"/>
            <w:tcBorders>
              <w:top w:val="single" w:sz="8" w:color="auto"/>
              <w:bottom w:val="single" w:sz="8" w:color="auto"/>
            </w:tcBorders>
            <w:shd w:val="clear" w:color="auto" w:fill="424E6A"/>
          </w:tcPr>
          <w:p>
            <w:pPr>
              <w:ind w:left="720"/>
              <w:spacing w:after="0"/>
              <w:rPr>
                <w:sz w:val="20"/>
                <w:szCs w:val="20"/>
                <w:color w:val="auto"/>
              </w:rPr>
            </w:pPr>
            <w:r>
              <w:rPr>
                <w:rFonts w:ascii="Arial" w:cs="Arial" w:eastAsia="Arial" w:hAnsi="Arial"/>
                <w:sz w:val="14"/>
                <w:szCs w:val="14"/>
                <w:b w:val="1"/>
                <w:bCs w:val="1"/>
                <w:color w:val="FFFFFF"/>
              </w:rPr>
              <w:t>Why We Pay It</w:t>
            </w:r>
          </w:p>
        </w:tc>
        <w:tc>
          <w:tcPr>
            <w:tcW w:w="340" w:type="dxa"/>
            <w:vAlign w:val="bottom"/>
            <w:tcBorders>
              <w:top w:val="single" w:sz="8" w:color="auto"/>
              <w:bottom w:val="single" w:sz="8" w:color="auto"/>
            </w:tcBorders>
            <w:gridSpan w:val="2"/>
            <w:shd w:val="clear" w:color="auto" w:fill="424E6A"/>
          </w:tcPr>
          <w:p>
            <w:pPr>
              <w:ind w:left="60"/>
              <w:spacing w:after="0"/>
              <w:rPr>
                <w:sz w:val="20"/>
                <w:szCs w:val="20"/>
                <w:color w:val="auto"/>
              </w:rPr>
            </w:pPr>
            <w:r>
              <w:rPr>
                <w:rFonts w:ascii="Arial" w:cs="Arial" w:eastAsia="Arial" w:hAnsi="Arial"/>
                <w:sz w:val="14"/>
                <w:szCs w:val="14"/>
                <w:b w:val="1"/>
                <w:bCs w:val="1"/>
                <w:color w:val="FFFFFF"/>
              </w:rPr>
              <w:t>​ ​</w:t>
            </w:r>
          </w:p>
        </w:tc>
        <w:tc>
          <w:tcPr>
            <w:tcW w:w="3500" w:type="dxa"/>
            <w:vAlign w:val="bottom"/>
            <w:tcBorders>
              <w:top w:val="single" w:sz="8" w:color="auto"/>
              <w:bottom w:val="single" w:sz="8" w:color="auto"/>
              <w:right w:val="single" w:sz="8" w:color="auto"/>
            </w:tcBorders>
            <w:shd w:val="clear" w:color="auto" w:fill="424E6A"/>
          </w:tcPr>
          <w:p>
            <w:pPr>
              <w:ind w:left="1200"/>
              <w:spacing w:after="0"/>
              <w:rPr>
                <w:sz w:val="20"/>
                <w:szCs w:val="20"/>
                <w:color w:val="auto"/>
              </w:rPr>
            </w:pPr>
            <w:r>
              <w:rPr>
                <w:rFonts w:ascii="Arial" w:cs="Arial" w:eastAsia="Arial" w:hAnsi="Arial"/>
                <w:sz w:val="14"/>
                <w:szCs w:val="14"/>
                <w:b w:val="1"/>
                <w:bCs w:val="1"/>
                <w:color w:val="FFFFFF"/>
              </w:rPr>
              <w:t>Key Features</w:t>
            </w:r>
          </w:p>
        </w:tc>
        <w:tc>
          <w:tcPr>
            <w:tcW w:w="0" w:type="dxa"/>
            <w:vAlign w:val="bottom"/>
          </w:tcPr>
          <w:p>
            <w:pPr>
              <w:spacing w:after="0"/>
              <w:rPr>
                <w:sz w:val="1"/>
                <w:szCs w:val="1"/>
                <w:color w:val="auto"/>
              </w:rPr>
            </w:pPr>
          </w:p>
        </w:tc>
      </w:tr>
      <w:tr>
        <w:trPr>
          <w:trHeight w:val="218"/>
        </w:trPr>
        <w:tc>
          <w:tcPr>
            <w:tcW w:w="16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Base Salary</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Attract and retain high-</w:t>
            </w:r>
          </w:p>
        </w:tc>
        <w:tc>
          <w:tcPr>
            <w:tcW w:w="120" w:type="dxa"/>
            <w:vAlign w:val="bottom"/>
            <w:tcBorders>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Foundational element of our</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performing executives by</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compensation program; short-term and</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providing a secure and</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long-term incentive compensation</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appropriate level of base pay</w:t>
            </w: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components are based on a percentage of</w:t>
            </w:r>
          </w:p>
        </w:tc>
        <w:tc>
          <w:tcPr>
            <w:tcW w:w="0" w:type="dxa"/>
            <w:vAlign w:val="bottom"/>
          </w:tcPr>
          <w:p>
            <w:pPr>
              <w:spacing w:after="0"/>
              <w:rPr>
                <w:sz w:val="1"/>
                <w:szCs w:val="1"/>
                <w:color w:val="auto"/>
              </w:rPr>
            </w:pPr>
          </w:p>
        </w:tc>
      </w:tr>
      <w:tr>
        <w:trPr>
          <w:trHeight w:val="239"/>
        </w:trPr>
        <w:tc>
          <w:tcPr>
            <w:tcW w:w="1640" w:type="dxa"/>
            <w:vAlign w:val="bottom"/>
            <w:tcBorders>
              <w:lef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base salary</w:t>
            </w:r>
          </w:p>
        </w:tc>
        <w:tc>
          <w:tcPr>
            <w:tcW w:w="0" w:type="dxa"/>
            <w:vAlign w:val="bottom"/>
          </w:tcPr>
          <w:p>
            <w:pPr>
              <w:spacing w:after="0"/>
              <w:rPr>
                <w:sz w:val="1"/>
                <w:szCs w:val="1"/>
                <w:color w:val="auto"/>
              </w:rPr>
            </w:pPr>
          </w:p>
        </w:tc>
      </w:tr>
      <w:tr>
        <w:trPr>
          <w:trHeight w:val="328"/>
        </w:trPr>
        <w:tc>
          <w:tcPr>
            <w:tcW w:w="164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Subject to adjustment periodically;</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smallest component of NEO</w:t>
            </w:r>
          </w:p>
        </w:tc>
        <w:tc>
          <w:tcPr>
            <w:tcW w:w="0" w:type="dxa"/>
            <w:vAlign w:val="bottom"/>
          </w:tcPr>
          <w:p>
            <w:pPr>
              <w:spacing w:after="0"/>
              <w:rPr>
                <w:sz w:val="1"/>
                <w:szCs w:val="1"/>
                <w:color w:val="auto"/>
              </w:rPr>
            </w:pPr>
          </w:p>
        </w:tc>
      </w:tr>
      <w:tr>
        <w:trPr>
          <w:trHeight w:val="239"/>
        </w:trPr>
        <w:tc>
          <w:tcPr>
            <w:tcW w:w="1640" w:type="dxa"/>
            <w:vAlign w:val="bottom"/>
            <w:tcBorders>
              <w:lef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compensation</w:t>
            </w:r>
          </w:p>
        </w:tc>
        <w:tc>
          <w:tcPr>
            <w:tcW w:w="0" w:type="dxa"/>
            <w:vAlign w:val="bottom"/>
          </w:tcPr>
          <w:p>
            <w:pPr>
              <w:spacing w:after="0"/>
              <w:rPr>
                <w:sz w:val="1"/>
                <w:szCs w:val="1"/>
                <w:color w:val="auto"/>
              </w:rPr>
            </w:pPr>
          </w:p>
        </w:tc>
      </w:tr>
      <w:tr>
        <w:trPr>
          <w:trHeight w:val="23"/>
        </w:trPr>
        <w:tc>
          <w:tcPr>
            <w:tcW w:w="164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6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Annual Cash</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Motivate and reward near-</w:t>
            </w:r>
          </w:p>
        </w:tc>
        <w:tc>
          <w:tcPr>
            <w:tcW w:w="120" w:type="dxa"/>
            <w:vAlign w:val="bottom"/>
            <w:tcBorders>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 performance based</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Incentive Awards</w:t>
            </w: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term performance and</w:t>
            </w:r>
          </w:p>
        </w:tc>
        <w:tc>
          <w:tcPr>
            <w:tcW w:w="120" w:type="dxa"/>
            <w:vAlign w:val="bottom"/>
            <w:tcBorders>
              <w:right w:val="single" w:sz="8" w:color="auto"/>
            </w:tcBorders>
          </w:tcPr>
          <w:p>
            <w:pPr>
              <w:spacing w:after="0"/>
              <w:rPr>
                <w:sz w:val="18"/>
                <w:szCs w:val="18"/>
                <w:color w:val="auto"/>
              </w:rPr>
            </w:pP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Encourages achievement of objective and</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tcBorders>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380" w:type="dxa"/>
            <w:vAlign w:val="bottom"/>
            <w:vMerge w:val="restart"/>
          </w:tcPr>
          <w:p>
            <w:pPr>
              <w:ind w:left="20"/>
              <w:spacing w:after="0"/>
              <w:rPr>
                <w:sz w:val="20"/>
                <w:szCs w:val="20"/>
                <w:color w:val="auto"/>
              </w:rPr>
            </w:pPr>
            <w:r>
              <w:rPr>
                <w:rFonts w:ascii="Arial" w:cs="Arial" w:eastAsia="Arial" w:hAnsi="Arial"/>
                <w:sz w:val="18"/>
                <w:szCs w:val="18"/>
                <w:color w:val="auto"/>
              </w:rPr>
              <w:t>retention</w:t>
            </w:r>
          </w:p>
        </w:tc>
        <w:tc>
          <w:tcPr>
            <w:tcW w:w="120" w:type="dxa"/>
            <w:vAlign w:val="bottom"/>
            <w:tcBorders>
              <w:right w:val="single" w:sz="8" w:color="auto"/>
            </w:tcBorders>
          </w:tcPr>
          <w:p>
            <w:pPr>
              <w:spacing w:after="0"/>
              <w:rPr>
                <w:sz w:val="9"/>
                <w:szCs w:val="9"/>
                <w:color w:val="auto"/>
              </w:rPr>
            </w:pPr>
          </w:p>
        </w:tc>
        <w:tc>
          <w:tcPr>
            <w:tcW w:w="220" w:type="dxa"/>
            <w:vAlign w:val="bottom"/>
            <w:vMerge w:val="continue"/>
          </w:tcPr>
          <w:p>
            <w:pPr>
              <w:spacing w:after="0"/>
              <w:rPr>
                <w:sz w:val="9"/>
                <w:szCs w:val="9"/>
                <w:color w:val="auto"/>
              </w:rPr>
            </w:pPr>
          </w:p>
        </w:tc>
        <w:tc>
          <w:tcPr>
            <w:tcW w:w="35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640" w:type="dxa"/>
            <w:vAlign w:val="bottom"/>
            <w:tcBorders>
              <w:left w:val="single" w:sz="8" w:color="auto"/>
            </w:tcBorders>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transparent annual business, ESG and</w:t>
            </w:r>
          </w:p>
        </w:tc>
        <w:tc>
          <w:tcPr>
            <w:tcW w:w="0" w:type="dxa"/>
            <w:vAlign w:val="bottom"/>
          </w:tcPr>
          <w:p>
            <w:pPr>
              <w:spacing w:after="0"/>
              <w:rPr>
                <w:sz w:val="1"/>
                <w:szCs w:val="1"/>
                <w:color w:val="auto"/>
              </w:rPr>
            </w:pPr>
          </w:p>
        </w:tc>
      </w:tr>
      <w:tr>
        <w:trPr>
          <w:trHeight w:val="85"/>
        </w:trPr>
        <w:tc>
          <w:tcPr>
            <w:tcW w:w="1640" w:type="dxa"/>
            <w:vAlign w:val="bottom"/>
            <w:tcBorders>
              <w:left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individual goals established at beginning</w:t>
            </w:r>
          </w:p>
        </w:tc>
        <w:tc>
          <w:tcPr>
            <w:tcW w:w="0" w:type="dxa"/>
            <w:vAlign w:val="bottom"/>
          </w:tcPr>
          <w:p>
            <w:pPr>
              <w:spacing w:after="0"/>
              <w:rPr>
                <w:sz w:val="1"/>
                <w:szCs w:val="1"/>
                <w:color w:val="auto"/>
              </w:rPr>
            </w:pPr>
          </w:p>
        </w:tc>
      </w:tr>
      <w:tr>
        <w:trPr>
          <w:trHeight w:val="239"/>
        </w:trPr>
        <w:tc>
          <w:tcPr>
            <w:tcW w:w="1640" w:type="dxa"/>
            <w:vAlign w:val="bottom"/>
            <w:tcBorders>
              <w:left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of year</w:t>
            </w:r>
          </w:p>
        </w:tc>
        <w:tc>
          <w:tcPr>
            <w:tcW w:w="0" w:type="dxa"/>
            <w:vAlign w:val="bottom"/>
          </w:tcPr>
          <w:p>
            <w:pPr>
              <w:spacing w:after="0"/>
              <w:rPr>
                <w:sz w:val="1"/>
                <w:szCs w:val="1"/>
                <w:color w:val="auto"/>
              </w:rPr>
            </w:pPr>
          </w:p>
        </w:tc>
      </w:tr>
      <w:tr>
        <w:trPr>
          <w:trHeight w:val="334"/>
        </w:trPr>
        <w:tc>
          <w:tcPr>
            <w:tcW w:w="164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Payout based on formulaic framework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462915</wp:posOffset>
            </wp:positionV>
            <wp:extent cx="12344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20" w:right="439" w:hanging="360"/>
        <w:spacing w:after="0" w:line="232" w:lineRule="auto"/>
        <w:tabs>
          <w:tab w:leader="none" w:pos="162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Earnings before interest, taxes, depreciation and amortization (including our proportionate share of depreciation and amortization, including write-downs related to canceled projects and impairments, of unconsolidated entities), gains and losses on asset sales and asset impairments, goodwill impairment losses and gains or losses on and impairments of investments in unconsolidated entities, adjusted for certain selected items impacting comparability.</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03"/>
        </w:trPr>
        <w:tc>
          <w:tcPr>
            <w:tcW w:w="1700" w:type="dxa"/>
            <w:vAlign w:val="bottom"/>
            <w:tcBorders>
              <w:top w:val="single" w:sz="8" w:color="auto"/>
              <w:left w:val="single" w:sz="8" w:color="auto"/>
              <w:bottom w:val="single" w:sz="8" w:color="auto"/>
            </w:tcBorders>
            <w:shd w:val="clear" w:color="auto" w:fill="424E6A"/>
          </w:tcPr>
          <w:p>
            <w:pPr>
              <w:ind w:left="480"/>
              <w:spacing w:after="0"/>
              <w:rPr>
                <w:sz w:val="20"/>
                <w:szCs w:val="20"/>
                <w:color w:val="auto"/>
              </w:rPr>
            </w:pPr>
            <w:r>
              <w:rPr>
                <w:rFonts w:ascii="Arial" w:cs="Arial" w:eastAsia="Arial" w:hAnsi="Arial"/>
                <w:sz w:val="14"/>
                <w:szCs w:val="14"/>
                <w:b w:val="1"/>
                <w:bCs w:val="1"/>
                <w:color w:val="FFFFFF"/>
              </w:rPr>
              <w:t>What We Pay</w:t>
            </w:r>
          </w:p>
        </w:tc>
        <w:tc>
          <w:tcPr>
            <w:tcW w:w="300" w:type="dxa"/>
            <w:vAlign w:val="bottom"/>
            <w:tcBorders>
              <w:top w:val="single" w:sz="8" w:color="auto"/>
              <w:bottom w:val="single" w:sz="8" w:color="auto"/>
            </w:tcBorders>
            <w:gridSpan w:val="2"/>
            <w:shd w:val="clear" w:color="auto" w:fill="424E6A"/>
          </w:tcPr>
          <w:p>
            <w:pPr>
              <w:ind w:left="160"/>
              <w:spacing w:after="0"/>
              <w:rPr>
                <w:sz w:val="20"/>
                <w:szCs w:val="20"/>
                <w:color w:val="auto"/>
              </w:rPr>
            </w:pPr>
            <w:r>
              <w:rPr>
                <w:rFonts w:ascii="Arial" w:cs="Arial" w:eastAsia="Arial" w:hAnsi="Arial"/>
                <w:sz w:val="14"/>
                <w:szCs w:val="14"/>
                <w:b w:val="1"/>
                <w:bCs w:val="1"/>
                <w:color w:val="FFFFFF"/>
              </w:rPr>
              <w:t>​ ​</w:t>
            </w:r>
          </w:p>
        </w:tc>
        <w:tc>
          <w:tcPr>
            <w:tcW w:w="2260" w:type="dxa"/>
            <w:vAlign w:val="bottom"/>
            <w:tcBorders>
              <w:top w:val="single" w:sz="8" w:color="auto"/>
              <w:bottom w:val="single" w:sz="8" w:color="auto"/>
            </w:tcBorders>
            <w:shd w:val="clear" w:color="auto" w:fill="424E6A"/>
          </w:tcPr>
          <w:p>
            <w:pPr>
              <w:ind w:left="720"/>
              <w:spacing w:after="0"/>
              <w:rPr>
                <w:sz w:val="20"/>
                <w:szCs w:val="20"/>
                <w:color w:val="auto"/>
              </w:rPr>
            </w:pPr>
            <w:r>
              <w:rPr>
                <w:rFonts w:ascii="Arial" w:cs="Arial" w:eastAsia="Arial" w:hAnsi="Arial"/>
                <w:sz w:val="14"/>
                <w:szCs w:val="14"/>
                <w:b w:val="1"/>
                <w:bCs w:val="1"/>
                <w:color w:val="FFFFFF"/>
              </w:rPr>
              <w:t>Why We Pay It</w:t>
            </w:r>
          </w:p>
        </w:tc>
        <w:tc>
          <w:tcPr>
            <w:tcW w:w="460" w:type="dxa"/>
            <w:vAlign w:val="bottom"/>
            <w:tcBorders>
              <w:top w:val="single" w:sz="8" w:color="auto"/>
              <w:bottom w:val="single" w:sz="8" w:color="auto"/>
            </w:tcBorders>
            <w:gridSpan w:val="2"/>
            <w:shd w:val="clear" w:color="auto" w:fill="424E6A"/>
          </w:tcPr>
          <w:p>
            <w:pPr>
              <w:ind w:left="180"/>
              <w:spacing w:after="0"/>
              <w:rPr>
                <w:sz w:val="20"/>
                <w:szCs w:val="20"/>
                <w:color w:val="auto"/>
              </w:rPr>
            </w:pPr>
            <w:r>
              <w:rPr>
                <w:rFonts w:ascii="Arial" w:cs="Arial" w:eastAsia="Arial" w:hAnsi="Arial"/>
                <w:sz w:val="14"/>
                <w:szCs w:val="14"/>
                <w:b w:val="1"/>
                <w:bCs w:val="1"/>
                <w:color w:val="FFFFFF"/>
              </w:rPr>
              <w:t>​ ​</w:t>
            </w:r>
          </w:p>
        </w:tc>
        <w:tc>
          <w:tcPr>
            <w:tcW w:w="3500" w:type="dxa"/>
            <w:vAlign w:val="bottom"/>
            <w:tcBorders>
              <w:top w:val="single" w:sz="8" w:color="auto"/>
              <w:bottom w:val="single" w:sz="8" w:color="auto"/>
              <w:right w:val="single" w:sz="8" w:color="auto"/>
            </w:tcBorders>
            <w:shd w:val="clear" w:color="auto" w:fill="424E6A"/>
          </w:tcPr>
          <w:p>
            <w:pPr>
              <w:ind w:left="1200"/>
              <w:spacing w:after="0"/>
              <w:rPr>
                <w:sz w:val="20"/>
                <w:szCs w:val="20"/>
                <w:color w:val="auto"/>
              </w:rPr>
            </w:pPr>
            <w:r>
              <w:rPr>
                <w:rFonts w:ascii="Arial" w:cs="Arial" w:eastAsia="Arial" w:hAnsi="Arial"/>
                <w:sz w:val="14"/>
                <w:szCs w:val="14"/>
                <w:b w:val="1"/>
                <w:bCs w:val="1"/>
                <w:color w:val="FFFFFF"/>
              </w:rPr>
              <w:t>Key Features</w:t>
            </w:r>
          </w:p>
        </w:tc>
        <w:tc>
          <w:tcPr>
            <w:tcW w:w="0" w:type="dxa"/>
            <w:vAlign w:val="bottom"/>
          </w:tcPr>
          <w:p>
            <w:pPr>
              <w:spacing w:after="0"/>
              <w:rPr>
                <w:sz w:val="1"/>
                <w:szCs w:val="1"/>
                <w:color w:val="auto"/>
              </w:rPr>
            </w:pPr>
          </w:p>
        </w:tc>
      </w:tr>
      <w:tr>
        <w:trPr>
          <w:trHeight w:val="218"/>
        </w:trPr>
        <w:tc>
          <w:tcPr>
            <w:tcW w:w="17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Long-Term Equity</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Motivate and reward long-</w:t>
            </w:r>
          </w:p>
        </w:tc>
        <w:tc>
          <w:tcPr>
            <w:tcW w:w="240" w:type="dxa"/>
            <w:vAlign w:val="bottom"/>
            <w:tcBorders>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Long-term equity incentives are 50%</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Incentive Awards</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term performance and</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performance based and 50% time based</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retention and create</w:t>
            </w:r>
          </w:p>
        </w:tc>
        <w:tc>
          <w:tcPr>
            <w:tcW w:w="240" w:type="dxa"/>
            <w:vAlign w:val="bottom"/>
            <w:tcBorders>
              <w:right w:val="single" w:sz="8" w:color="auto"/>
            </w:tcBorders>
          </w:tcPr>
          <w:p>
            <w:pPr>
              <w:spacing w:after="0"/>
              <w:rPr>
                <w:sz w:val="18"/>
                <w:szCs w:val="18"/>
                <w:color w:val="auto"/>
              </w:rPr>
            </w:pP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Performance-based awards earned based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vMerge w:val="restart"/>
          </w:tcPr>
          <w:p>
            <w:pPr>
              <w:ind w:left="20"/>
              <w:spacing w:after="0"/>
              <w:rPr>
                <w:sz w:val="20"/>
                <w:szCs w:val="20"/>
                <w:color w:val="auto"/>
              </w:rPr>
            </w:pPr>
            <w:r>
              <w:rPr>
                <w:rFonts w:ascii="Arial" w:cs="Arial" w:eastAsia="Arial" w:hAnsi="Arial"/>
                <w:sz w:val="18"/>
                <w:szCs w:val="18"/>
                <w:color w:val="auto"/>
              </w:rPr>
              <w:t>additional alignment with</w:t>
            </w:r>
          </w:p>
        </w:tc>
        <w:tc>
          <w:tcPr>
            <w:tcW w:w="240" w:type="dxa"/>
            <w:vAlign w:val="bottom"/>
            <w:tcBorders>
              <w:right w:val="single" w:sz="8" w:color="auto"/>
            </w:tcBorders>
          </w:tcPr>
          <w:p>
            <w:pPr>
              <w:spacing w:after="0"/>
              <w:rPr>
                <w:sz w:val="12"/>
                <w:szCs w:val="12"/>
                <w:color w:val="auto"/>
              </w:rPr>
            </w:pPr>
          </w:p>
        </w:tc>
        <w:tc>
          <w:tcPr>
            <w:tcW w:w="220" w:type="dxa"/>
            <w:vAlign w:val="bottom"/>
            <w:vMerge w:val="continue"/>
          </w:tcPr>
          <w:p>
            <w:pPr>
              <w:spacing w:after="0"/>
              <w:rPr>
                <w:sz w:val="12"/>
                <w:szCs w:val="12"/>
                <w:color w:val="auto"/>
              </w:rPr>
            </w:pPr>
          </w:p>
        </w:tc>
        <w:tc>
          <w:tcPr>
            <w:tcW w:w="35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vMerge w:val="continue"/>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upon performance over cumulative three-</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vMerge w:val="restart"/>
          </w:tcPr>
          <w:p>
            <w:pPr>
              <w:ind w:left="20"/>
              <w:spacing w:after="0"/>
              <w:rPr>
                <w:sz w:val="20"/>
                <w:szCs w:val="20"/>
                <w:color w:val="auto"/>
              </w:rPr>
            </w:pPr>
            <w:r>
              <w:rPr>
                <w:rFonts w:ascii="Arial" w:cs="Arial" w:eastAsia="Arial" w:hAnsi="Arial"/>
                <w:sz w:val="18"/>
                <w:szCs w:val="18"/>
                <w:color w:val="auto"/>
              </w:rPr>
              <w:t>investors</w:t>
            </w: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5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700" w:type="dxa"/>
            <w:vAlign w:val="bottom"/>
            <w:tcBorders>
              <w:left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260" w:type="dxa"/>
            <w:vAlign w:val="bottom"/>
            <w:vMerge w:val="continue"/>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year period</w:t>
            </w:r>
          </w:p>
        </w:tc>
        <w:tc>
          <w:tcPr>
            <w:tcW w:w="0" w:type="dxa"/>
            <w:vAlign w:val="bottom"/>
          </w:tcPr>
          <w:p>
            <w:pPr>
              <w:spacing w:after="0"/>
              <w:rPr>
                <w:sz w:val="1"/>
                <w:szCs w:val="1"/>
                <w:color w:val="auto"/>
              </w:rPr>
            </w:pPr>
          </w:p>
        </w:tc>
      </w:tr>
      <w:tr>
        <w:trPr>
          <w:trHeight w:val="149"/>
        </w:trPr>
        <w:tc>
          <w:tcPr>
            <w:tcW w:w="1700" w:type="dxa"/>
            <w:vAlign w:val="bottom"/>
            <w:tcBorders>
              <w:lef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5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2"/>
        </w:trPr>
        <w:tc>
          <w:tcPr>
            <w:tcW w:w="170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Performance metrics include relative TSR</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with negative TSR modifier, and</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DCF/CUE with leverage modifier</w:t>
            </w:r>
          </w:p>
        </w:tc>
        <w:tc>
          <w:tcPr>
            <w:tcW w:w="0" w:type="dxa"/>
            <w:vAlign w:val="bottom"/>
          </w:tcPr>
          <w:p>
            <w:pPr>
              <w:spacing w:after="0"/>
              <w:rPr>
                <w:sz w:val="1"/>
                <w:szCs w:val="1"/>
                <w:color w:val="auto"/>
              </w:rPr>
            </w:pPr>
          </w:p>
        </w:tc>
      </w:tr>
      <w:tr>
        <w:trPr>
          <w:trHeight w:val="239"/>
        </w:trPr>
        <w:tc>
          <w:tcPr>
            <w:tcW w:w="17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(potential downward adjustment only)</w:t>
            </w:r>
          </w:p>
        </w:tc>
        <w:tc>
          <w:tcPr>
            <w:tcW w:w="0" w:type="dxa"/>
            <w:vAlign w:val="bottom"/>
          </w:tcPr>
          <w:p>
            <w:pPr>
              <w:spacing w:after="0"/>
              <w:rPr>
                <w:sz w:val="1"/>
                <w:szCs w:val="1"/>
                <w:color w:val="auto"/>
              </w:rPr>
            </w:pPr>
          </w:p>
        </w:tc>
      </w:tr>
      <w:tr>
        <w:trPr>
          <w:trHeight w:val="328"/>
        </w:trPr>
        <w:tc>
          <w:tcPr>
            <w:tcW w:w="170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Distribution Equivalent Rights (“DERs”)</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associated with long-term equity awards</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provide additional potential motivation and</w:t>
            </w:r>
          </w:p>
        </w:tc>
        <w:tc>
          <w:tcPr>
            <w:tcW w:w="0" w:type="dxa"/>
            <w:vAlign w:val="bottom"/>
          </w:tcPr>
          <w:p>
            <w:pPr>
              <w:spacing w:after="0"/>
              <w:rPr>
                <w:sz w:val="1"/>
                <w:szCs w:val="1"/>
                <w:color w:val="auto"/>
              </w:rPr>
            </w:pPr>
          </w:p>
        </w:tc>
      </w:tr>
      <w:tr>
        <w:trPr>
          <w:trHeight w:val="244"/>
        </w:trPr>
        <w:tc>
          <w:tcPr>
            <w:tcW w:w="1700" w:type="dxa"/>
            <w:vAlign w:val="bottom"/>
            <w:tcBorders>
              <w:left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alignment</w:t>
            </w:r>
          </w:p>
        </w:tc>
        <w:tc>
          <w:tcPr>
            <w:tcW w:w="0" w:type="dxa"/>
            <w:vAlign w:val="bottom"/>
          </w:tcPr>
          <w:p>
            <w:pPr>
              <w:spacing w:after="0"/>
              <w:rPr>
                <w:sz w:val="1"/>
                <w:szCs w:val="1"/>
                <w:color w:val="auto"/>
              </w:rPr>
            </w:pPr>
          </w:p>
        </w:tc>
      </w:tr>
      <w:tr>
        <w:trPr>
          <w:trHeight w:val="222"/>
        </w:trPr>
        <w:tc>
          <w:tcPr>
            <w:tcW w:w="17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Employee Benefits</w:t>
            </w:r>
          </w:p>
        </w:tc>
        <w:tc>
          <w:tcPr>
            <w:tcW w:w="2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Attract and retain talent</w:t>
            </w:r>
          </w:p>
        </w:tc>
        <w:tc>
          <w:tcPr>
            <w:tcW w:w="240" w:type="dxa"/>
            <w:vAlign w:val="bottom"/>
            <w:tcBorders>
              <w:right w:val="single" w:sz="8" w:color="auto"/>
            </w:tcBorders>
          </w:tcPr>
          <w:p>
            <w:pPr>
              <w:spacing w:after="0"/>
              <w:rPr>
                <w:sz w:val="19"/>
                <w:szCs w:val="19"/>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Customary health and welfare benefits for</w:t>
            </w:r>
          </w:p>
        </w:tc>
        <w:tc>
          <w:tcPr>
            <w:tcW w:w="0" w:type="dxa"/>
            <w:vAlign w:val="bottom"/>
          </w:tcPr>
          <w:p>
            <w:pPr>
              <w:spacing w:after="0"/>
              <w:rPr>
                <w:sz w:val="1"/>
                <w:szCs w:val="1"/>
                <w:color w:val="auto"/>
              </w:rPr>
            </w:pPr>
          </w:p>
        </w:tc>
      </w:tr>
      <w:tr>
        <w:trPr>
          <w:trHeight w:val="239"/>
        </w:trPr>
        <w:tc>
          <w:tcPr>
            <w:tcW w:w="17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all U.S. employees, including 401(k) Plan</w:t>
            </w:r>
          </w:p>
        </w:tc>
        <w:tc>
          <w:tcPr>
            <w:tcW w:w="0" w:type="dxa"/>
            <w:vAlign w:val="bottom"/>
          </w:tcPr>
          <w:p>
            <w:pPr>
              <w:spacing w:after="0"/>
              <w:rPr>
                <w:sz w:val="1"/>
                <w:szCs w:val="1"/>
                <w:color w:val="auto"/>
              </w:rPr>
            </w:pPr>
          </w:p>
        </w:tc>
      </w:tr>
      <w:tr>
        <w:trPr>
          <w:trHeight w:val="351"/>
        </w:trPr>
        <w:tc>
          <w:tcPr>
            <w:tcW w:w="170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No defined benefit or pension plans</w:t>
            </w:r>
          </w:p>
        </w:tc>
        <w:tc>
          <w:tcPr>
            <w:tcW w:w="0" w:type="dxa"/>
            <w:vAlign w:val="bottom"/>
          </w:tcPr>
          <w:p>
            <w:pPr>
              <w:spacing w:after="0"/>
              <w:rPr>
                <w:sz w:val="1"/>
                <w:szCs w:val="1"/>
                <w:color w:val="auto"/>
              </w:rPr>
            </w:pPr>
          </w:p>
        </w:tc>
      </w:tr>
      <w:tr>
        <w:trPr>
          <w:trHeight w:val="306"/>
        </w:trPr>
        <w:tc>
          <w:tcPr>
            <w:tcW w:w="170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 significant perquisites</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2022 Independent Benchmark Study of Executive Compensation</w:t>
      </w:r>
    </w:p>
    <w:p>
      <w:pPr>
        <w:spacing w:after="0" w:line="156" w:lineRule="exact"/>
        <w:rPr>
          <w:sz w:val="20"/>
          <w:szCs w:val="20"/>
          <w:color w:val="auto"/>
        </w:rPr>
      </w:pPr>
    </w:p>
    <w:p>
      <w:pPr>
        <w:ind w:left="1260" w:right="639" w:firstLine="360"/>
        <w:spacing w:after="0" w:line="247" w:lineRule="auto"/>
        <w:rPr>
          <w:sz w:val="20"/>
          <w:szCs w:val="20"/>
          <w:color w:val="auto"/>
        </w:rPr>
      </w:pPr>
      <w:r>
        <w:rPr>
          <w:rFonts w:ascii="Arial" w:cs="Arial" w:eastAsia="Arial" w:hAnsi="Arial"/>
          <w:sz w:val="18"/>
          <w:szCs w:val="18"/>
          <w:color w:val="auto"/>
        </w:rPr>
        <w:t>With respect to our 2022 executive compensation program, our Compensation Committee engaged Meridian to provide independent counsel, including a benchmarking review of our executive officer compensation. In connection with its engagement of Meridian, the Compensation Committee evaluated and confirmed Meridian’s independence relative to existing PAA or PAGP relationships or potential conflicts, in line with Nasdaq requirements.</w:t>
      </w:r>
    </w:p>
    <w:p>
      <w:pPr>
        <w:spacing w:after="0" w:line="109"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Business consolidation and unique operating models create some challenges in identifying directly comparable peer companies. Accordingly, we take a broad view of comparability to include organizations that are similar to ours and that we believe we compete with for attracting and retaining executive talent. Our compensation benchmarking peer group for 2022 included 11 companies across a wide range of revenues, asset values and enterprise values that are primarily engaged in the midstream business in the United States (the entities in the benchmarking peer group are listed in the table below).</w:t>
      </w:r>
    </w:p>
    <w:p>
      <w:pPr>
        <w:spacing w:after="0" w:line="108"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Meridian utilized publicly available information to analyze compensation practices of the companies in the benchmarking peer group, including how pay is divided among long-term incentives, annual incentives, base pay and other forms of compensation. Meridian also compared the amount and structure of compensation for our executive officers to the benchmarking peer group. Meridian’s benchmark study was first completed and presented to the Compensation Committee in August 2021 and subsequently discussed and reviewed by the Compensation Committee in December 2021 and February 2022.</w:t>
      </w:r>
    </w:p>
    <w:p>
      <w:pPr>
        <w:spacing w:after="0" w:line="108" w:lineRule="exact"/>
        <w:rPr>
          <w:sz w:val="20"/>
          <w:szCs w:val="20"/>
          <w:color w:val="auto"/>
        </w:rPr>
      </w:pPr>
    </w:p>
    <w:p>
      <w:pPr>
        <w:ind w:left="1260" w:right="979" w:firstLine="360"/>
        <w:spacing w:after="0" w:line="252" w:lineRule="auto"/>
        <w:rPr>
          <w:sz w:val="20"/>
          <w:szCs w:val="20"/>
          <w:color w:val="auto"/>
        </w:rPr>
      </w:pPr>
      <w:r>
        <w:rPr>
          <w:rFonts w:ascii="Arial" w:cs="Arial" w:eastAsia="Arial" w:hAnsi="Arial"/>
          <w:sz w:val="18"/>
          <w:szCs w:val="18"/>
          <w:color w:val="auto"/>
        </w:rPr>
        <w:t>The Compensation Committee also considered similar information from a broader sample of companies in the energy sector, including upstream, refining and regulated utilities, although the benchmarking peer group listed in the table below served as the primary source of external comparative information.</w:t>
      </w:r>
    </w:p>
    <w:p>
      <w:pPr>
        <w:spacing w:after="0" w:line="103"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The results of Meridian’s study validated our view that our 2021 NEO base salary and long-term incentive target levels were significantly lower than the median of our peer group and that each component of our CEO’s 2021 compensation was at or significantly below median, with total CEO compensation falling at approximately the 25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w:t>
      </w:r>
    </w:p>
    <w:p>
      <w:pPr>
        <w:spacing w:after="0" w:line="35" w:lineRule="exact"/>
        <w:rPr>
          <w:sz w:val="20"/>
          <w:szCs w:val="20"/>
          <w:color w:val="auto"/>
        </w:rPr>
      </w:pPr>
    </w:p>
    <w:p>
      <w:pPr>
        <w:ind w:left="1260" w:right="519" w:firstLine="360"/>
        <w:spacing w:after="0" w:line="283" w:lineRule="auto"/>
        <w:rPr>
          <w:sz w:val="20"/>
          <w:szCs w:val="20"/>
          <w:color w:val="auto"/>
        </w:rPr>
      </w:pPr>
      <w:r>
        <w:rPr>
          <w:rFonts w:ascii="Arial" w:cs="Arial" w:eastAsia="Arial" w:hAnsi="Arial"/>
          <w:sz w:val="17"/>
          <w:szCs w:val="17"/>
          <w:color w:val="auto"/>
        </w:rPr>
        <w:t>In response to these study results and considering individual situations and investor feedback, the Compensation Committee recommended, and the Board approved, increases to NEO base salaries and adjustments to other elements of our executive compensation program in February 2022. In</w:t>
      </w:r>
    </w:p>
    <w:p>
      <w:pPr>
        <w:sectPr>
          <w:pgSz w:w="11900" w:h="16838" w:orient="portrait"/>
          <w:cols w:equalWidth="0" w:num="1">
            <w:col w:w="9879"/>
          </w:cols>
          <w:pgMar w:left="580" w:top="97" w:right="1440" w:bottom="1440" w:gutter="0" w:footer="0" w:header="0"/>
        </w:sectPr>
      </w:pPr>
    </w:p>
    <w:p>
      <w:pPr>
        <w:spacing w:after="0" w:line="32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79"/>
        <w:spacing w:after="0" w:line="261" w:lineRule="auto"/>
        <w:rPr>
          <w:sz w:val="20"/>
          <w:szCs w:val="20"/>
          <w:color w:val="auto"/>
        </w:rPr>
      </w:pPr>
      <w:r>
        <w:rPr>
          <w:rFonts w:ascii="Arial" w:cs="Arial" w:eastAsia="Arial" w:hAnsi="Arial"/>
          <w:sz w:val="18"/>
          <w:szCs w:val="18"/>
          <w:color w:val="auto"/>
        </w:rPr>
        <w:t>August 2022, the Compensation Committee had Meridian prepare an updated executive compensation benchmark study. As confirmed by Meridian’s August 2022 benchmark study, the 2022 NEO compensation adjustments resulted in the following:</w:t>
      </w:r>
    </w:p>
    <w:p>
      <w:pPr>
        <w:spacing w:after="0" w:line="54" w:lineRule="exact"/>
        <w:rPr>
          <w:sz w:val="20"/>
          <w:szCs w:val="20"/>
          <w:color w:val="auto"/>
        </w:rPr>
      </w:pPr>
    </w:p>
    <w:p>
      <w:pPr>
        <w:ind w:left="1800" w:hanging="180"/>
        <w:spacing w:after="0"/>
        <w:tabs>
          <w:tab w:leader="none" w:pos="18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Total target compensation for all NEOs on average falls within the middle range of our peers; and</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Total target compensation for the CEO ranks slightly below median relative to peers.</w:t>
      </w:r>
    </w:p>
    <w:p>
      <w:pPr>
        <w:spacing w:after="0" w:line="144"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For a portion (25%) of the long-term incentive awards granted to our executive officers in 2022, we included relative TSR as a performance metric for the three-year performance period ending June 30, 2025. The entities in our 2022 compensation benchmarking peer group and the entities and indices in our TSR Comparator Peer Group for the 2022 long-term incentive awards include the following:</w:t>
      </w:r>
    </w:p>
    <w:p>
      <w:pPr>
        <w:spacing w:after="0" w:line="128" w:lineRule="exact"/>
        <w:rPr>
          <w:sz w:val="20"/>
          <w:szCs w:val="20"/>
          <w:color w:val="auto"/>
        </w:rPr>
      </w:pPr>
    </w:p>
    <w:tbl>
      <w:tblPr>
        <w:tblLayout w:type="fixed"/>
        <w:tblInd w:w="1270" w:type="dxa"/>
        <w:tblCellMar>
          <w:top w:w="0" w:type="dxa"/>
          <w:left w:w="0" w:type="dxa"/>
          <w:bottom w:w="0" w:type="dxa"/>
          <w:right w:w="0" w:type="dxa"/>
        </w:tblCellMar>
      </w:tblPr>
      <w:tr>
        <w:trPr>
          <w:trHeight w:val="315"/>
        </w:trPr>
        <w:tc>
          <w:tcPr>
            <w:tcW w:w="4080" w:type="dxa"/>
            <w:vAlign w:val="bottom"/>
            <w:tcBorders>
              <w:top w:val="single" w:sz="8" w:color="auto"/>
              <w:left w:val="single" w:sz="8" w:color="auto"/>
            </w:tcBorders>
            <w:shd w:val="clear" w:color="auto" w:fill="424E6A"/>
          </w:tcPr>
          <w:p>
            <w:pPr>
              <w:spacing w:after="0"/>
              <w:rPr>
                <w:sz w:val="24"/>
                <w:szCs w:val="24"/>
                <w:color w:val="auto"/>
              </w:rPr>
            </w:pPr>
          </w:p>
        </w:tc>
        <w:tc>
          <w:tcPr>
            <w:tcW w:w="820" w:type="dxa"/>
            <w:vAlign w:val="bottom"/>
            <w:tcBorders>
              <w:top w:val="single" w:sz="8" w:color="auto"/>
              <w:right w:val="single" w:sz="8" w:color="auto"/>
            </w:tcBorders>
            <w:shd w:val="clear" w:color="auto" w:fill="424E6A"/>
          </w:tcPr>
          <w:p>
            <w:pPr>
              <w:spacing w:after="0"/>
              <w:rPr>
                <w:sz w:val="24"/>
                <w:szCs w:val="24"/>
                <w:color w:val="auto"/>
              </w:rPr>
            </w:pPr>
          </w:p>
        </w:tc>
        <w:tc>
          <w:tcPr>
            <w:tcW w:w="100" w:type="dxa"/>
            <w:vAlign w:val="bottom"/>
            <w:tcBorders>
              <w:top w:val="single" w:sz="8" w:color="auto"/>
            </w:tcBorders>
            <w:shd w:val="clear" w:color="auto" w:fill="424E6A"/>
          </w:tcPr>
          <w:p>
            <w:pPr>
              <w:spacing w:after="0"/>
              <w:rPr>
                <w:sz w:val="24"/>
                <w:szCs w:val="24"/>
                <w:color w:val="auto"/>
              </w:rPr>
            </w:pPr>
          </w:p>
        </w:tc>
        <w:tc>
          <w:tcPr>
            <w:tcW w:w="1400" w:type="dxa"/>
            <w:vAlign w:val="bottom"/>
            <w:tcBorders>
              <w:top w:val="single" w:sz="8" w:color="auto"/>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2022 Compensation</w:t>
            </w:r>
          </w:p>
        </w:tc>
        <w:tc>
          <w:tcPr>
            <w:tcW w:w="120" w:type="dxa"/>
            <w:vAlign w:val="bottom"/>
            <w:tcBorders>
              <w:top w:val="single" w:sz="8" w:color="auto"/>
              <w:right w:val="single" w:sz="8" w:color="auto"/>
            </w:tcBorders>
            <w:shd w:val="clear" w:color="auto" w:fill="424E6A"/>
          </w:tcPr>
          <w:p>
            <w:pPr>
              <w:spacing w:after="0"/>
              <w:rPr>
                <w:sz w:val="24"/>
                <w:szCs w:val="24"/>
                <w:color w:val="auto"/>
              </w:rPr>
            </w:pPr>
          </w:p>
        </w:tc>
        <w:tc>
          <w:tcPr>
            <w:tcW w:w="80" w:type="dxa"/>
            <w:vAlign w:val="bottom"/>
            <w:tcBorders>
              <w:top w:val="single" w:sz="8" w:color="auto"/>
            </w:tcBorders>
            <w:shd w:val="clear" w:color="auto" w:fill="424E6A"/>
          </w:tcPr>
          <w:p>
            <w:pPr>
              <w:spacing w:after="0"/>
              <w:rPr>
                <w:sz w:val="24"/>
                <w:szCs w:val="24"/>
                <w:color w:val="auto"/>
              </w:rPr>
            </w:pPr>
          </w:p>
        </w:tc>
        <w:tc>
          <w:tcPr>
            <w:tcW w:w="1620" w:type="dxa"/>
            <w:vAlign w:val="bottom"/>
            <w:tcBorders>
              <w:top w:val="single" w:sz="8" w:color="auto"/>
              <w:right w:val="single" w:sz="8" w:color="auto"/>
            </w:tcBorders>
            <w:shd w:val="clear" w:color="auto" w:fill="424E6A"/>
          </w:tcPr>
          <w:p>
            <w:pPr>
              <w:spacing w:after="0"/>
              <w:rPr>
                <w:sz w:val="24"/>
                <w:szCs w:val="24"/>
                <w:color w:val="auto"/>
              </w:rPr>
            </w:pPr>
          </w:p>
        </w:tc>
      </w:tr>
      <w:tr>
        <w:trPr>
          <w:trHeight w:val="162"/>
        </w:trPr>
        <w:tc>
          <w:tcPr>
            <w:tcW w:w="4080" w:type="dxa"/>
            <w:vAlign w:val="bottom"/>
            <w:tcBorders>
              <w:left w:val="single" w:sz="8" w:color="auto"/>
            </w:tcBorders>
            <w:shd w:val="clear" w:color="auto" w:fill="424E6A"/>
          </w:tcPr>
          <w:p>
            <w:pPr>
              <w:spacing w:after="0"/>
              <w:rPr>
                <w:sz w:val="14"/>
                <w:szCs w:val="14"/>
                <w:color w:val="auto"/>
              </w:rPr>
            </w:pPr>
          </w:p>
        </w:tc>
        <w:tc>
          <w:tcPr>
            <w:tcW w:w="820" w:type="dxa"/>
            <w:vAlign w:val="bottom"/>
            <w:tcBorders>
              <w:right w:val="single" w:sz="8" w:color="auto"/>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4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Benchmarking</w:t>
            </w:r>
          </w:p>
        </w:tc>
        <w:tc>
          <w:tcPr>
            <w:tcW w:w="120" w:type="dxa"/>
            <w:vAlign w:val="bottom"/>
            <w:tcBorders>
              <w:right w:val="single" w:sz="8" w:color="auto"/>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620" w:type="dxa"/>
            <w:vAlign w:val="bottom"/>
            <w:tcBorders>
              <w:right w:val="single" w:sz="8" w:color="auto"/>
            </w:tcBorders>
            <w:shd w:val="clear" w:color="auto" w:fill="424E6A"/>
          </w:tcPr>
          <w:p>
            <w:pPr>
              <w:jc w:val="center"/>
              <w:ind w:right="48"/>
              <w:spacing w:after="0"/>
              <w:rPr>
                <w:sz w:val="20"/>
                <w:szCs w:val="20"/>
                <w:color w:val="auto"/>
              </w:rPr>
            </w:pPr>
            <w:r>
              <w:rPr>
                <w:rFonts w:ascii="Arial" w:cs="Arial" w:eastAsia="Arial" w:hAnsi="Arial"/>
                <w:sz w:val="14"/>
                <w:szCs w:val="14"/>
                <w:b w:val="1"/>
                <w:bCs w:val="1"/>
                <w:color w:val="FFFFFF"/>
              </w:rPr>
              <w:t>2022 TSR Comparator</w:t>
            </w:r>
          </w:p>
        </w:tc>
      </w:tr>
      <w:tr>
        <w:trPr>
          <w:trHeight w:val="198"/>
        </w:trPr>
        <w:tc>
          <w:tcPr>
            <w:tcW w:w="4080" w:type="dxa"/>
            <w:vAlign w:val="bottom"/>
            <w:tcBorders>
              <w:left w:val="single" w:sz="8" w:color="auto"/>
              <w:bottom w:val="single" w:sz="8" w:color="auto"/>
            </w:tcBorders>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Entity/Index Name (Ticker)</w:t>
            </w:r>
          </w:p>
        </w:tc>
        <w:tc>
          <w:tcPr>
            <w:tcW w:w="820" w:type="dxa"/>
            <w:vAlign w:val="bottom"/>
            <w:tcBorders>
              <w:bottom w:val="single" w:sz="8" w:color="auto"/>
              <w:right w:val="single" w:sz="8" w:color="auto"/>
            </w:tcBorders>
            <w:shd w:val="clear" w:color="auto" w:fill="424E6A"/>
          </w:tcPr>
          <w:p>
            <w:pPr>
              <w:ind w:left="7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400" w:type="dxa"/>
            <w:vAlign w:val="bottom"/>
            <w:tcBorders>
              <w:bottom w:val="single" w:sz="8" w:color="auto"/>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Peer Group</w:t>
            </w:r>
          </w:p>
        </w:tc>
        <w:tc>
          <w:tcPr>
            <w:tcW w:w="120" w:type="dxa"/>
            <w:vAlign w:val="bottom"/>
            <w:tcBorders>
              <w:bottom w:val="single" w:sz="8" w:color="auto"/>
              <w:right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620" w:type="dxa"/>
            <w:vAlign w:val="bottom"/>
            <w:tcBorders>
              <w:bottom w:val="single" w:sz="8" w:color="auto"/>
              <w:right w:val="single" w:sz="8" w:color="auto"/>
            </w:tcBorders>
            <w:shd w:val="clear" w:color="auto" w:fill="424E6A"/>
          </w:tcPr>
          <w:p>
            <w:pPr>
              <w:jc w:val="center"/>
              <w:ind w:right="8"/>
              <w:spacing w:after="0"/>
              <w:rPr>
                <w:sz w:val="20"/>
                <w:szCs w:val="20"/>
                <w:color w:val="auto"/>
              </w:rPr>
            </w:pPr>
            <w:r>
              <w:rPr>
                <w:rFonts w:ascii="Arial" w:cs="Arial" w:eastAsia="Arial" w:hAnsi="Arial"/>
                <w:sz w:val="14"/>
                <w:szCs w:val="14"/>
                <w:b w:val="1"/>
                <w:bCs w:val="1"/>
                <w:color w:val="FFFFFF"/>
              </w:rPr>
              <w:t>Peer Group</w:t>
            </w:r>
          </w:p>
        </w:tc>
      </w:tr>
      <w:tr>
        <w:trPr>
          <w:trHeight w:val="304"/>
        </w:trPr>
        <w:tc>
          <w:tcPr>
            <w:tcW w:w="4080" w:type="dxa"/>
            <w:vAlign w:val="bottom"/>
            <w:tcBorders>
              <w:left w:val="single" w:sz="8" w:color="auto"/>
              <w:bottom w:val="single" w:sz="8" w:color="auto"/>
            </w:tcBorders>
            <w:shd w:val="clear" w:color="auto" w:fill="D9DCE1"/>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Energy Transfer LP (ET)</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Enterprise Products Partners LP (EPD)</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Kinder Morgan Inc. (KMI)</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The Williams Companies Inc. (WMB)</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MPLX LP (MPLX)</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ONEOK Inc. (OKE)</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Targa Resources Corp. (TRGP)</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Magellan Midstream Partners LP (MMP)</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Western Midstream Partners LP (WES)</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EnLink Midstream LLC (ENLC)</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Equitrans Midstream Corporation (ETRN)</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Crestwood Equity Partners LP (CEQP)</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DCP Midstream LP (DCP)</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Holly Energy Partners LP (HEP)</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NuStar Energy LP (NS)</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r>
        <w:trPr>
          <w:trHeight w:val="304"/>
        </w:trPr>
        <w:tc>
          <w:tcPr>
            <w:tcW w:w="4080" w:type="dxa"/>
            <w:vAlign w:val="bottom"/>
            <w:tcBorders>
              <w:left w:val="single" w:sz="8" w:color="auto"/>
              <w:bottom w:val="single" w:sz="8" w:color="auto"/>
            </w:tcBorders>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S&amp;P 500 Index (SPX)</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4"/>
                <w:szCs w:val="24"/>
                <w:color w:val="auto"/>
              </w:rPr>
            </w:pPr>
          </w:p>
        </w:tc>
      </w:tr>
      <w:tr>
        <w:trPr>
          <w:trHeight w:val="304"/>
        </w:trPr>
        <w:tc>
          <w:tcPr>
            <w:tcW w:w="4080" w:type="dxa"/>
            <w:vAlign w:val="bottom"/>
            <w:tcBorders>
              <w:left w:val="single" w:sz="8" w:color="auto"/>
              <w:bottom w:val="single" w:sz="8" w:color="auto"/>
            </w:tcBorders>
            <w:shd w:val="clear" w:color="auto" w:fill="D9DCE1"/>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Alerian Midstream Energy Index (AMNA)</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4"/>
                <w:szCs w:val="24"/>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-3411220</wp:posOffset>
            </wp:positionV>
            <wp:extent cx="68580" cy="685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-3411220</wp:posOffset>
            </wp:positionV>
            <wp:extent cx="68580" cy="685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-3205480</wp:posOffset>
            </wp:positionV>
            <wp:extent cx="68580" cy="685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-3205480</wp:posOffset>
            </wp:positionV>
            <wp:extent cx="68580" cy="685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-2999740</wp:posOffset>
            </wp:positionV>
            <wp:extent cx="68580" cy="685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-2999740</wp:posOffset>
            </wp:positionV>
            <wp:extent cx="68580" cy="685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-2794000</wp:posOffset>
            </wp:positionV>
            <wp:extent cx="68580" cy="685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-2794000</wp:posOffset>
            </wp:positionV>
            <wp:extent cx="68580" cy="685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-2588260</wp:posOffset>
            </wp:positionV>
            <wp:extent cx="68580" cy="68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-2588260</wp:posOffset>
            </wp:positionV>
            <wp:extent cx="68580" cy="685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-2382520</wp:posOffset>
            </wp:positionV>
            <wp:extent cx="68580"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-2382520</wp:posOffset>
            </wp:positionV>
            <wp:extent cx="68580"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-2176780</wp:posOffset>
            </wp:positionV>
            <wp:extent cx="68580" cy="685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-2176780</wp:posOffset>
            </wp:positionV>
            <wp:extent cx="68580" cy="685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-1971040</wp:posOffset>
            </wp:positionV>
            <wp:extent cx="68580" cy="685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-1971040</wp:posOffset>
            </wp:positionV>
            <wp:extent cx="68580" cy="685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-1765300</wp:posOffset>
            </wp:positionV>
            <wp:extent cx="68580" cy="685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-1765300</wp:posOffset>
            </wp:positionV>
            <wp:extent cx="68580" cy="685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-1559560</wp:posOffset>
            </wp:positionV>
            <wp:extent cx="68580" cy="685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-1559560</wp:posOffset>
            </wp:positionV>
            <wp:extent cx="68580" cy="685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-1353820</wp:posOffset>
            </wp:positionV>
            <wp:extent cx="68580" cy="685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-1148080</wp:posOffset>
            </wp:positionV>
            <wp:extent cx="68580" cy="685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-942340</wp:posOffset>
            </wp:positionV>
            <wp:extent cx="68580" cy="685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-736600</wp:posOffset>
            </wp:positionV>
            <wp:extent cx="68580" cy="685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-530860</wp:posOffset>
            </wp:positionV>
            <wp:extent cx="68580" cy="685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-325120</wp:posOffset>
            </wp:positionV>
            <wp:extent cx="68580" cy="685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-119380</wp:posOffset>
            </wp:positionV>
            <wp:extent cx="68580" cy="685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Additional Information Regarding Compensation Practices and Processes</w:t>
      </w:r>
    </w:p>
    <w:p>
      <w:pPr>
        <w:spacing w:after="0" w:line="156" w:lineRule="exact"/>
        <w:rPr>
          <w:sz w:val="20"/>
          <w:szCs w:val="20"/>
          <w:color w:val="auto"/>
        </w:rPr>
      </w:pPr>
    </w:p>
    <w:p>
      <w:pPr>
        <w:ind w:left="1260" w:right="639" w:firstLine="360"/>
        <w:spacing w:after="0" w:line="271" w:lineRule="auto"/>
        <w:rPr>
          <w:sz w:val="20"/>
          <w:szCs w:val="20"/>
          <w:color w:val="auto"/>
        </w:rPr>
      </w:pPr>
      <w:r>
        <w:rPr>
          <w:rFonts w:ascii="Arial" w:cs="Arial" w:eastAsia="Arial" w:hAnsi="Arial"/>
          <w:sz w:val="18"/>
          <w:szCs w:val="18"/>
          <w:color w:val="auto"/>
        </w:rPr>
        <w:t>Set forth below is additional information regarding our compensation practices and processes as they relate to the elements of our compensation program:</w:t>
      </w:r>
    </w:p>
    <w:p>
      <w:pPr>
        <w:spacing w:after="0" w:line="86"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Historically, we have not made regular annual adjustments to the base salaries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(prior to 2022, the most recent across the board adjustments were made in 2017), but we have made salary adjustments in connection with promotions or the assumption of increased responsibilities. In order to enhance retention and our competitive positioning relative to peers, and taking individual situations into account, base salaries were increased in 2022.</w:t>
      </w:r>
    </w:p>
    <w:p>
      <w:pPr>
        <w:spacing w:after="0" w:line="106"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i w:val="1"/>
          <w:iCs w:val="1"/>
          <w:color w:val="auto"/>
        </w:rPr>
        <w:t xml:space="preserve">Annual Cash Incentive Awards. </w:t>
      </w:r>
      <w:r>
        <w:rPr>
          <w:rFonts w:ascii="Arial" w:cs="Arial" w:eastAsia="Arial" w:hAnsi="Arial"/>
          <w:sz w:val="18"/>
          <w:szCs w:val="18"/>
          <w:color w:val="auto"/>
        </w:rPr>
        <w:t>Annual cash incentive awards (or bonuses) are determined within</w:t>
      </w:r>
      <w:r>
        <w:rPr>
          <w:rFonts w:ascii="Arial" w:cs="Arial" w:eastAsia="Arial" w:hAnsi="Arial"/>
          <w:sz w:val="18"/>
          <w:szCs w:val="18"/>
          <w:i w:val="1"/>
          <w:iCs w:val="1"/>
          <w:color w:val="auto"/>
        </w:rPr>
        <w:t xml:space="preserve"> </w:t>
      </w:r>
      <w:r>
        <w:rPr>
          <w:rFonts w:ascii="Arial" w:cs="Arial" w:eastAsia="Arial" w:hAnsi="Arial"/>
          <w:sz w:val="18"/>
          <w:szCs w:val="18"/>
          <w:color w:val="auto"/>
        </w:rPr>
        <w:t>a formulaic framework that includes an annual bonus target for each Named Executive Officer, expressed as a percentage of base salary, and the determination of an actual payout as a percentage of such target amount based on company performance relative to specific goals, and individual contributions. Annual company goals typically include financial, safety, environmental and other specified goals, and each goal, as well as the individual performance component, is assigned a weighting or percentage share of the total payout opportunity. Annual goals and objectives, as well as weightings and potential payout ranges (expressed as a percentage of target) are established at the beginning of each year and</w:t>
      </w:r>
    </w:p>
    <w:p>
      <w:pPr>
        <w:sectPr>
          <w:pgSz w:w="11900" w:h="16838" w:orient="portrait"/>
          <w:cols w:equalWidth="0" w:num="1">
            <w:col w:w="9879"/>
          </w:cols>
          <w:pgMar w:left="580" w:top="97"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39"/>
        <w:spacing w:after="0" w:line="251" w:lineRule="auto"/>
        <w:rPr>
          <w:sz w:val="20"/>
          <w:szCs w:val="20"/>
          <w:color w:val="auto"/>
        </w:rPr>
      </w:pPr>
      <w:r>
        <w:rPr>
          <w:rFonts w:ascii="Arial" w:cs="Arial" w:eastAsia="Arial" w:hAnsi="Arial"/>
          <w:sz w:val="18"/>
          <w:szCs w:val="18"/>
          <w:color w:val="auto"/>
        </w:rPr>
        <w:t>are discussed and reviewed with the Board in conjunction with the review and approval of our annual plan. Payout percentages relative to achievement of specified goals may range from 0 — 200% of an individual’s target opportunity. The final amounts that are paid may be adjusted by the Compensation Committee and the Board based on factors it deems relevant. Such adjustments may be positive or negative depending on the circumstances.</w:t>
      </w:r>
    </w:p>
    <w:p>
      <w:pPr>
        <w:spacing w:after="0" w:line="17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2022 Annual Bonus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128905</wp:posOffset>
            </wp:positionV>
            <wp:extent cx="3874770" cy="21170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477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At the end of each year, the CEO assesses the Company’s performance relative to goals and objectives established at the beginning of the year. The CEO’s written analysis of our performance examines accomplishments and shortfalls relative to established goals and objectives and also assesses overall performance against opportunities and challenges, taking into account controllable and non-controllable factors encountered during the year. The CEO also assesses the individual performance and contributions of each NEO (other than himself) towards the satisfaction of the various goals and objectives established at the beginning of the year. The CEO submits his report and the supporting detail to the Compensation Committee and Board for review and comment. Based on the conclusions set forth in the annual performance assessment, the CEO submits the results of the formulaic bonus calculations along with any recommendations for adjustments to the Compensation Committee for all Named Executive Officers other than himself. In connection with his assessment of Company and individual performance, the CEO also considers various factors, including:</w:t>
      </w:r>
    </w:p>
    <w:p>
      <w:pPr>
        <w:spacing w:after="0" w:line="61" w:lineRule="exact"/>
        <w:rPr>
          <w:sz w:val="20"/>
          <w:szCs w:val="20"/>
          <w:color w:val="auto"/>
        </w:rPr>
      </w:pPr>
    </w:p>
    <w:p>
      <w:pPr>
        <w:ind w:left="1800" w:right="499" w:hanging="180"/>
        <w:spacing w:after="0" w:line="28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or not we achieved the goals established for the year and any notable shortfalls relative to expectations;</w:t>
      </w:r>
    </w:p>
    <w:p>
      <w:pPr>
        <w:spacing w:after="0" w:line="44" w:lineRule="exact"/>
        <w:rPr>
          <w:rFonts w:ascii="Arial" w:cs="Arial" w:eastAsia="Arial" w:hAnsi="Arial"/>
          <w:sz w:val="18"/>
          <w:szCs w:val="18"/>
          <w:color w:val="auto"/>
        </w:rPr>
      </w:pPr>
    </w:p>
    <w:p>
      <w:pPr>
        <w:ind w:left="1800" w:right="659" w:hanging="180"/>
        <w:spacing w:after="0" w:line="28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difficulty associated with achieving such objectives based on the opportunities and challenges encountered during the year;</w:t>
      </w:r>
    </w:p>
    <w:p>
      <w:pPr>
        <w:spacing w:after="0" w:line="44"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current year operating and financial performance relative to both public guidance and prior year’s performance;</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transactions or accomplishments for the period not included in the goals for the year;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relative prospects at the end of the year with respect to future growth and performance; and</w:t>
      </w:r>
    </w:p>
    <w:p>
      <w:pPr>
        <w:spacing w:after="0" w:line="117" w:lineRule="exact"/>
        <w:rPr>
          <w:rFonts w:ascii="Arial" w:cs="Arial" w:eastAsia="Arial" w:hAnsi="Arial"/>
          <w:sz w:val="18"/>
          <w:szCs w:val="18"/>
          <w:color w:val="auto"/>
        </w:rPr>
      </w:pPr>
    </w:p>
    <w:p>
      <w:pPr>
        <w:ind w:left="1800" w:right="699" w:hanging="180"/>
        <w:spacing w:after="0" w:line="28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equity price performance and returns during the year and our positioning at the end of the year with respect to our targeted leverage metrics and credit profile.</w:t>
      </w:r>
    </w:p>
    <w:p>
      <w:pPr>
        <w:spacing w:after="0" w:line="85" w:lineRule="exact"/>
        <w:rPr>
          <w:sz w:val="20"/>
          <w:szCs w:val="20"/>
          <w:color w:val="auto"/>
        </w:rPr>
      </w:pPr>
    </w:p>
    <w:p>
      <w:pPr>
        <w:jc w:val="both"/>
        <w:ind w:left="1260" w:right="459" w:firstLine="360"/>
        <w:spacing w:after="0" w:line="268" w:lineRule="auto"/>
        <w:rPr>
          <w:sz w:val="20"/>
          <w:szCs w:val="20"/>
          <w:color w:val="auto"/>
        </w:rPr>
      </w:pPr>
      <w:r>
        <w:rPr>
          <w:rFonts w:ascii="Arial" w:cs="Arial" w:eastAsia="Arial" w:hAnsi="Arial"/>
          <w:sz w:val="18"/>
          <w:szCs w:val="18"/>
          <w:color w:val="auto"/>
        </w:rPr>
        <w:t>The Compensation Committee may adjust the CEO’s recommendations upward or downward in its discretion. The Compensation Committee’s recommendations are then submitted to the Board for final review and approval.</w:t>
      </w:r>
    </w:p>
    <w:p>
      <w:pPr>
        <w:spacing w:after="0" w:line="103" w:lineRule="exact"/>
        <w:rPr>
          <w:sz w:val="20"/>
          <w:szCs w:val="20"/>
          <w:color w:val="auto"/>
        </w:rPr>
      </w:pPr>
    </w:p>
    <w:p>
      <w:pPr>
        <w:ind w:left="1260" w:right="659" w:firstLine="360"/>
        <w:spacing w:after="0" w:line="318" w:lineRule="auto"/>
        <w:rPr>
          <w:sz w:val="20"/>
          <w:szCs w:val="20"/>
          <w:color w:val="auto"/>
        </w:rPr>
      </w:pPr>
      <w:r>
        <w:rPr>
          <w:rFonts w:ascii="Arial" w:cs="Arial" w:eastAsia="Arial" w:hAnsi="Arial"/>
          <w:sz w:val="17"/>
          <w:szCs w:val="17"/>
          <w:color w:val="auto"/>
        </w:rPr>
        <w:t>As noted above, the CEO does not make a recommendation with respect to his own bonus. The Compensation Committee assesses the CEO’s performance and contributions toward meeting the</w:t>
      </w:r>
    </w:p>
    <w:p>
      <w:pPr>
        <w:sectPr>
          <w:pgSz w:w="11900" w:h="16838" w:orient="portrait"/>
          <w:cols w:equalWidth="0" w:num="1">
            <w:col w:w="9879"/>
          </w:cols>
          <w:pgMar w:left="580" w:top="97" w:right="1440" w:bottom="1440" w:gutter="0" w:footer="0" w:header="0"/>
        </w:sectPr>
      </w:pPr>
    </w:p>
    <w:p>
      <w:pPr>
        <w:spacing w:after="0" w:line="30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779"/>
        <w:spacing w:after="0" w:line="284" w:lineRule="auto"/>
        <w:rPr>
          <w:sz w:val="20"/>
          <w:szCs w:val="20"/>
          <w:color w:val="auto"/>
        </w:rPr>
      </w:pPr>
      <w:r>
        <w:rPr>
          <w:rFonts w:ascii="Arial" w:cs="Arial" w:eastAsia="Arial" w:hAnsi="Arial"/>
          <w:sz w:val="18"/>
          <w:szCs w:val="18"/>
          <w:color w:val="auto"/>
        </w:rPr>
        <w:t>goals and objectives established at the beginning of the year, and then recommends to the Board a total bonus payout for the CEO that it believes to be commensurate with such performance and contributions.</w:t>
      </w:r>
    </w:p>
    <w:p>
      <w:pPr>
        <w:spacing w:after="0" w:line="89"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We use performance and time-based phantom unit grants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Long-Term Incentive Plans to incentivize and retain our executive officers and encourage and reward timely achievement of targeted metrics designed to align the long-term interests of the Named Executive Officers with those of our unitholders.</w:t>
      </w:r>
    </w:p>
    <w:p>
      <w:pPr>
        <w:spacing w:after="0" w:line="17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2022 Annual LTIP Award; Determination of Units for Annual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137795</wp:posOffset>
            </wp:positionV>
            <wp:extent cx="4183380" cy="13290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18338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1260" w:right="639" w:firstLine="360"/>
        <w:spacing w:after="0" w:line="273" w:lineRule="auto"/>
        <w:rPr>
          <w:sz w:val="20"/>
          <w:szCs w:val="20"/>
          <w:color w:val="auto"/>
        </w:rPr>
      </w:pPr>
      <w:r>
        <w:rPr>
          <w:rFonts w:ascii="Arial" w:cs="Arial" w:eastAsia="Arial" w:hAnsi="Arial"/>
          <w:sz w:val="18"/>
          <w:szCs w:val="18"/>
          <w:color w:val="auto"/>
        </w:rPr>
        <w:t>NEOs are eligible to receive an annual grant of phantom units based on a formula tied to salary and PAA’s unit price. The size of the annual grant for a specified individual is based on a designated target percentage of their base salary that takes into account their expected contribution in respect of longer term performance objectives.</w:t>
      </w:r>
    </w:p>
    <w:p>
      <w:pPr>
        <w:spacing w:after="0" w:line="98" w:lineRule="exact"/>
        <w:rPr>
          <w:sz w:val="20"/>
          <w:szCs w:val="20"/>
          <w:color w:val="auto"/>
        </w:rPr>
      </w:pPr>
    </w:p>
    <w:p>
      <w:pPr>
        <w:ind w:left="1260" w:right="419" w:firstLine="360"/>
        <w:spacing w:after="0" w:line="282" w:lineRule="auto"/>
        <w:rPr>
          <w:sz w:val="20"/>
          <w:szCs w:val="20"/>
          <w:color w:val="auto"/>
        </w:rPr>
      </w:pPr>
      <w:r>
        <w:rPr>
          <w:rFonts w:ascii="Arial" w:cs="Arial" w:eastAsia="Arial" w:hAnsi="Arial"/>
          <w:sz w:val="17"/>
          <w:szCs w:val="17"/>
          <w:color w:val="auto"/>
        </w:rPr>
        <w:t>Annual equity grants typically require minimum service periods of three years in order to encourage long-term retention. A phantom unit grant provides the holder with the right to receive, upon the satisfaction of vesting criteria specified in the grant, a PAA common unit (or cash equivalent). We do not use options as a form of incentive compensation. Terms of phantom unit grants may vary, but generally phantom units vest upon the later of achievement of designated performance thresholds and continued employment for a full three-year period. Phantom unit grants for the Named Executive Officers typically include DERs, and for awards granted in 2022, DERs on the performance-based portion of such awards will accrue from the grant date and be payable only if and to the extent the underlying phantom units vest at the end of the three-year performance period. DERs on the time-based portion of such awards accrue for the first year following the grant date, with such accrued amount being paid out on the first anniversary of the grant date, and then are paid on a quarterly basis thereafter.</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2022 Performance Overview and Specific Application of Compensation Elements in 2022</w:t>
      </w:r>
    </w:p>
    <w:p>
      <w:pPr>
        <w:spacing w:after="0" w:line="142" w:lineRule="exact"/>
        <w:rPr>
          <w:sz w:val="20"/>
          <w:szCs w:val="20"/>
          <w:color w:val="auto"/>
        </w:rPr>
      </w:pPr>
    </w:p>
    <w:p>
      <w:pPr>
        <w:ind w:left="1260" w:right="439" w:firstLine="360"/>
        <w:spacing w:after="0" w:line="284" w:lineRule="auto"/>
        <w:rPr>
          <w:sz w:val="20"/>
          <w:szCs w:val="20"/>
          <w:color w:val="auto"/>
        </w:rPr>
      </w:pPr>
      <w:r>
        <w:rPr>
          <w:rFonts w:ascii="Arial" w:cs="Arial" w:eastAsia="Arial" w:hAnsi="Arial"/>
          <w:sz w:val="18"/>
          <w:szCs w:val="18"/>
          <w:color w:val="auto"/>
        </w:rPr>
        <w:t>At the beginning of 2022, we established key quantitative financial, safety and environmental objectives, along with several qualitative goals. These objectives and goals are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544195</wp:posOffset>
            </wp:positionV>
            <wp:extent cx="5212080" cy="45948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12080" cy="459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240"/>
        <w:spacing w:after="0"/>
        <w:rPr>
          <w:sz w:val="20"/>
          <w:szCs w:val="20"/>
          <w:color w:val="auto"/>
        </w:rPr>
      </w:pPr>
      <w:r>
        <w:rPr>
          <w:rFonts w:ascii="Arial" w:cs="Arial" w:eastAsia="Arial" w:hAnsi="Arial"/>
          <w:sz w:val="14"/>
          <w:szCs w:val="14"/>
          <w:b w:val="1"/>
          <w:bCs w:val="1"/>
          <w:color w:val="FFFFFF"/>
        </w:rPr>
        <w:t>2022 Performance Objectives and Results (all figures rounded)</w:t>
      </w:r>
    </w:p>
    <w:p>
      <w:pPr>
        <w:spacing w:after="0" w:line="82"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Quantitative Goals</w:t>
      </w:r>
    </w:p>
    <w:p>
      <w:pPr>
        <w:spacing w:after="0" w:line="35" w:lineRule="exact"/>
        <w:rPr>
          <w:sz w:val="20"/>
          <w:szCs w:val="20"/>
          <w:color w:val="auto"/>
        </w:rPr>
      </w:pPr>
    </w:p>
    <w:tbl>
      <w:tblPr>
        <w:tblLayout w:type="fixed"/>
        <w:tblInd w:w="1280" w:type="dxa"/>
        <w:tblCellMar>
          <w:top w:w="0" w:type="dxa"/>
          <w:left w:w="0" w:type="dxa"/>
          <w:bottom w:w="0" w:type="dxa"/>
          <w:right w:w="0" w:type="dxa"/>
        </w:tblCellMar>
      </w:tblPr>
      <w:tr>
        <w:trPr>
          <w:trHeight w:val="239"/>
        </w:trPr>
        <w:tc>
          <w:tcPr>
            <w:tcW w:w="2620" w:type="dxa"/>
            <w:vAlign w:val="bottom"/>
            <w:tcBorders>
              <w:top w:val="single" w:sz="8" w:color="424E6A"/>
              <w:bottom w:val="single" w:sz="8" w:color="424E6A"/>
            </w:tcBorders>
          </w:tcPr>
          <w:p>
            <w:pPr>
              <w:ind w:left="1080"/>
              <w:spacing w:after="0"/>
              <w:rPr>
                <w:sz w:val="20"/>
                <w:szCs w:val="20"/>
                <w:color w:val="auto"/>
              </w:rPr>
            </w:pPr>
            <w:r>
              <w:rPr>
                <w:rFonts w:ascii="Arial" w:cs="Arial" w:eastAsia="Arial" w:hAnsi="Arial"/>
                <w:sz w:val="14"/>
                <w:szCs w:val="14"/>
                <w:b w:val="1"/>
                <w:bCs w:val="1"/>
                <w:color w:val="auto"/>
              </w:rPr>
              <w:t>Metrics</w:t>
            </w:r>
          </w:p>
        </w:tc>
        <w:tc>
          <w:tcPr>
            <w:tcW w:w="100" w:type="dxa"/>
            <w:vAlign w:val="bottom"/>
            <w:tcBorders>
              <w:top w:val="single" w:sz="8" w:color="424E6A"/>
              <w:bottom w:val="single" w:sz="8" w:color="424E6A"/>
              <w:right w:val="single" w:sz="8" w:color="424E6A"/>
            </w:tcBorders>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4"/>
                <w:szCs w:val="14"/>
                <w:b w:val="1"/>
                <w:bCs w:val="1"/>
                <w:color w:val="auto"/>
              </w:rPr>
              <w:t>​</w:t>
            </w:r>
          </w:p>
        </w:tc>
        <w:tc>
          <w:tcPr>
            <w:tcW w:w="2400" w:type="dxa"/>
            <w:vAlign w:val="bottom"/>
            <w:tcBorders>
              <w:top w:val="single" w:sz="8" w:color="424E6A"/>
              <w:bottom w:val="single" w:sz="8" w:color="424E6A"/>
            </w:tcBorders>
          </w:tcPr>
          <w:p>
            <w:pPr>
              <w:ind w:left="900"/>
              <w:spacing w:after="0"/>
              <w:rPr>
                <w:sz w:val="20"/>
                <w:szCs w:val="20"/>
                <w:color w:val="auto"/>
              </w:rPr>
            </w:pPr>
            <w:r>
              <w:rPr>
                <w:rFonts w:ascii="Arial" w:cs="Arial" w:eastAsia="Arial" w:hAnsi="Arial"/>
                <w:sz w:val="14"/>
                <w:szCs w:val="14"/>
                <w:b w:val="1"/>
                <w:bCs w:val="1"/>
                <w:color w:val="auto"/>
              </w:rPr>
              <w:t>2022 Goals</w:t>
            </w:r>
          </w:p>
        </w:tc>
        <w:tc>
          <w:tcPr>
            <w:tcW w:w="260" w:type="dxa"/>
            <w:vAlign w:val="bottom"/>
            <w:tcBorders>
              <w:top w:val="single" w:sz="8" w:color="424E6A"/>
              <w:bottom w:val="single" w:sz="8" w:color="424E6A"/>
              <w:right w:val="single" w:sz="8" w:color="424E6A"/>
            </w:tcBorders>
          </w:tcPr>
          <w:p>
            <w:pPr>
              <w:ind w:left="200"/>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4"/>
                <w:szCs w:val="14"/>
                <w:b w:val="1"/>
                <w:bCs w:val="1"/>
                <w:color w:val="auto"/>
              </w:rPr>
              <w:t>​</w:t>
            </w:r>
          </w:p>
        </w:tc>
        <w:tc>
          <w:tcPr>
            <w:tcW w:w="2480" w:type="dxa"/>
            <w:vAlign w:val="bottom"/>
            <w:tcBorders>
              <w:top w:val="single" w:sz="8" w:color="424E6A"/>
              <w:bottom w:val="single" w:sz="8" w:color="424E6A"/>
            </w:tcBorders>
          </w:tcPr>
          <w:p>
            <w:pPr>
              <w:ind w:left="700"/>
              <w:spacing w:after="0"/>
              <w:rPr>
                <w:sz w:val="20"/>
                <w:szCs w:val="20"/>
                <w:color w:val="auto"/>
              </w:rPr>
            </w:pPr>
            <w:r>
              <w:rPr>
                <w:rFonts w:ascii="Arial" w:cs="Arial" w:eastAsia="Arial" w:hAnsi="Arial"/>
                <w:sz w:val="14"/>
                <w:szCs w:val="14"/>
                <w:b w:val="1"/>
                <w:bCs w:val="1"/>
                <w:color w:val="auto"/>
              </w:rPr>
              <w:t>2022 Results</w:t>
            </w:r>
          </w:p>
        </w:tc>
        <w:tc>
          <w:tcPr>
            <w:tcW w:w="0" w:type="dxa"/>
            <w:vAlign w:val="bottom"/>
          </w:tcPr>
          <w:p>
            <w:pPr>
              <w:spacing w:after="0"/>
              <w:rPr>
                <w:sz w:val="1"/>
                <w:szCs w:val="1"/>
                <w:color w:val="auto"/>
              </w:rPr>
            </w:pPr>
          </w:p>
        </w:tc>
      </w:tr>
      <w:tr>
        <w:trPr>
          <w:trHeight w:val="202"/>
        </w:trPr>
        <w:tc>
          <w:tcPr>
            <w:tcW w:w="2620" w:type="dxa"/>
            <w:vAlign w:val="bottom"/>
          </w:tcPr>
          <w:p>
            <w:pPr>
              <w:ind w:left="60"/>
              <w:spacing w:after="0" w:line="201" w:lineRule="exact"/>
              <w:rPr>
                <w:sz w:val="20"/>
                <w:szCs w:val="20"/>
                <w:color w:val="auto"/>
              </w:rPr>
            </w:pPr>
            <w:r>
              <w:rPr>
                <w:rFonts w:ascii="Arial" w:cs="Arial" w:eastAsia="Arial" w:hAnsi="Arial"/>
                <w:sz w:val="18"/>
                <w:szCs w:val="18"/>
                <w:color w:val="auto"/>
                <w:w w:val="99"/>
              </w:rPr>
              <w:t>Adjusted EBITDA attributable to</w:t>
            </w:r>
          </w:p>
        </w:tc>
        <w:tc>
          <w:tcPr>
            <w:tcW w:w="100" w:type="dxa"/>
            <w:vAlign w:val="bottom"/>
            <w:tcBorders>
              <w:right w:val="single" w:sz="8" w:color="424E6A"/>
            </w:tcBorders>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$2.2 billion</w:t>
            </w:r>
          </w:p>
        </w:tc>
        <w:tc>
          <w:tcPr>
            <w:tcW w:w="260" w:type="dxa"/>
            <w:vAlign w:val="bottom"/>
            <w:tcBorders>
              <w:right w:val="single" w:sz="8" w:color="424E6A"/>
            </w:tcBorders>
          </w:tcPr>
          <w:p>
            <w:pPr>
              <w:spacing w:after="0"/>
              <w:rPr>
                <w:sz w:val="17"/>
                <w:szCs w:val="17"/>
                <w:color w:val="auto"/>
              </w:rPr>
            </w:pPr>
          </w:p>
        </w:tc>
        <w:tc>
          <w:tcPr>
            <w:tcW w:w="27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$2.510 billion</w:t>
            </w:r>
          </w:p>
        </w:tc>
        <w:tc>
          <w:tcPr>
            <w:tcW w:w="0" w:type="dxa"/>
            <w:vAlign w:val="bottom"/>
          </w:tcPr>
          <w:p>
            <w:pPr>
              <w:spacing w:after="0"/>
              <w:rPr>
                <w:sz w:val="1"/>
                <w:szCs w:val="1"/>
                <w:color w:val="auto"/>
              </w:rPr>
            </w:pPr>
          </w:p>
        </w:tc>
      </w:tr>
      <w:tr>
        <w:trPr>
          <w:trHeight w:val="278"/>
        </w:trPr>
        <w:tc>
          <w:tcPr>
            <w:tcW w:w="2620" w:type="dxa"/>
            <w:vAlign w:val="bottom"/>
            <w:tcBorders>
              <w:bottom w:val="single" w:sz="8" w:color="424E6A"/>
            </w:tcBorders>
          </w:tcPr>
          <w:p>
            <w:pPr>
              <w:ind w:left="60"/>
              <w:spacing w:after="0" w:line="278" w:lineRule="exact"/>
              <w:rPr>
                <w:sz w:val="20"/>
                <w:szCs w:val="20"/>
                <w:color w:val="auto"/>
              </w:rPr>
            </w:pPr>
            <w:r>
              <w:rPr>
                <w:rFonts w:ascii="Arial" w:cs="Arial" w:eastAsia="Arial" w:hAnsi="Arial"/>
                <w:sz w:val="32"/>
                <w:szCs w:val="32"/>
                <w:color w:val="auto"/>
                <w:vertAlign w:val="subscript"/>
              </w:rPr>
              <w:t>PAA</w:t>
            </w:r>
            <w:r>
              <w:rPr>
                <w:rFonts w:ascii="Arial" w:cs="Arial" w:eastAsia="Arial" w:hAnsi="Arial"/>
                <w:sz w:val="11"/>
                <w:szCs w:val="11"/>
                <w:color w:val="auto"/>
              </w:rPr>
              <w:t>(1)</w:t>
            </w:r>
          </w:p>
        </w:tc>
        <w:tc>
          <w:tcPr>
            <w:tcW w:w="100" w:type="dxa"/>
            <w:vAlign w:val="bottom"/>
            <w:tcBorders>
              <w:bottom w:val="single" w:sz="8" w:color="424E6A"/>
              <w:right w:val="single" w:sz="8" w:color="424E6A"/>
            </w:tcBorders>
          </w:tcPr>
          <w:p>
            <w:pPr>
              <w:spacing w:after="0"/>
              <w:rPr>
                <w:sz w:val="24"/>
                <w:szCs w:val="24"/>
                <w:color w:val="auto"/>
              </w:rPr>
            </w:pPr>
          </w:p>
        </w:tc>
        <w:tc>
          <w:tcPr>
            <w:tcW w:w="100" w:type="dxa"/>
            <w:vAlign w:val="bottom"/>
            <w:tcBorders>
              <w:bottom w:val="single" w:sz="8" w:color="424E6A"/>
            </w:tcBorders>
          </w:tcPr>
          <w:p>
            <w:pPr>
              <w:spacing w:after="0"/>
              <w:rPr>
                <w:sz w:val="24"/>
                <w:szCs w:val="24"/>
                <w:color w:val="auto"/>
              </w:rPr>
            </w:pPr>
          </w:p>
        </w:tc>
        <w:tc>
          <w:tcPr>
            <w:tcW w:w="2400" w:type="dxa"/>
            <w:vAlign w:val="bottom"/>
            <w:tcBorders>
              <w:bottom w:val="single" w:sz="8" w:color="424E6A"/>
            </w:tcBorders>
          </w:tcPr>
          <w:p>
            <w:pPr>
              <w:spacing w:after="0"/>
              <w:rPr>
                <w:sz w:val="24"/>
                <w:szCs w:val="24"/>
                <w:color w:val="auto"/>
              </w:rPr>
            </w:pPr>
          </w:p>
        </w:tc>
        <w:tc>
          <w:tcPr>
            <w:tcW w:w="260" w:type="dxa"/>
            <w:vAlign w:val="bottom"/>
            <w:tcBorders>
              <w:bottom w:val="single" w:sz="8" w:color="424E6A"/>
              <w:right w:val="single" w:sz="8" w:color="424E6A"/>
            </w:tcBorders>
          </w:tcPr>
          <w:p>
            <w:pPr>
              <w:spacing w:after="0"/>
              <w:rPr>
                <w:sz w:val="24"/>
                <w:szCs w:val="24"/>
                <w:color w:val="auto"/>
              </w:rPr>
            </w:pPr>
          </w:p>
        </w:tc>
        <w:tc>
          <w:tcPr>
            <w:tcW w:w="220" w:type="dxa"/>
            <w:vAlign w:val="bottom"/>
            <w:tcBorders>
              <w:bottom w:val="single" w:sz="8" w:color="424E6A"/>
            </w:tcBorders>
          </w:tcPr>
          <w:p>
            <w:pPr>
              <w:spacing w:after="0"/>
              <w:rPr>
                <w:sz w:val="24"/>
                <w:szCs w:val="24"/>
                <w:color w:val="auto"/>
              </w:rPr>
            </w:pPr>
          </w:p>
        </w:tc>
        <w:tc>
          <w:tcPr>
            <w:tcW w:w="2480" w:type="dxa"/>
            <w:vAlign w:val="bottom"/>
            <w:tcBorders>
              <w:bottom w:val="single" w:sz="8" w:color="424E6A"/>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60"/>
              <w:spacing w:after="0" w:line="201" w:lineRule="exact"/>
              <w:rPr>
                <w:sz w:val="20"/>
                <w:szCs w:val="20"/>
                <w:color w:val="auto"/>
              </w:rPr>
            </w:pPr>
            <w:r>
              <w:rPr>
                <w:rFonts w:ascii="Arial" w:cs="Arial" w:eastAsia="Arial" w:hAnsi="Arial"/>
                <w:sz w:val="18"/>
                <w:szCs w:val="18"/>
                <w:color w:val="auto"/>
              </w:rPr>
              <w:t>Implied DCF per common unit</w:t>
            </w:r>
          </w:p>
        </w:tc>
        <w:tc>
          <w:tcPr>
            <w:tcW w:w="100" w:type="dxa"/>
            <w:vAlign w:val="bottom"/>
            <w:tcBorders>
              <w:right w:val="single" w:sz="8" w:color="424E6A"/>
            </w:tcBorders>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$2.00</w:t>
            </w:r>
          </w:p>
        </w:tc>
        <w:tc>
          <w:tcPr>
            <w:tcW w:w="260" w:type="dxa"/>
            <w:vAlign w:val="bottom"/>
            <w:tcBorders>
              <w:right w:val="single" w:sz="8" w:color="424E6A"/>
            </w:tcBorders>
          </w:tcPr>
          <w:p>
            <w:pPr>
              <w:spacing w:after="0"/>
              <w:rPr>
                <w:sz w:val="17"/>
                <w:szCs w:val="17"/>
                <w:color w:val="auto"/>
              </w:rPr>
            </w:pPr>
          </w:p>
        </w:tc>
        <w:tc>
          <w:tcPr>
            <w:tcW w:w="27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8"/>
        </w:trPr>
        <w:tc>
          <w:tcPr>
            <w:tcW w:w="262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and CUE</w:t>
            </w:r>
            <w:r>
              <w:rPr>
                <w:rFonts w:ascii="Arial" w:cs="Arial" w:eastAsia="Arial" w:hAnsi="Arial"/>
                <w:sz w:val="23"/>
                <w:szCs w:val="23"/>
                <w:color w:val="auto"/>
                <w:vertAlign w:val="superscript"/>
              </w:rPr>
              <w:t>(1)</w:t>
            </w:r>
          </w:p>
        </w:tc>
        <w:tc>
          <w:tcPr>
            <w:tcW w:w="100" w:type="dxa"/>
            <w:vAlign w:val="bottom"/>
            <w:tcBorders>
              <w:bottom w:val="single" w:sz="8" w:color="424E6A"/>
              <w:right w:val="single" w:sz="8" w:color="424E6A"/>
            </w:tcBorders>
          </w:tcPr>
          <w:p>
            <w:pPr>
              <w:spacing w:after="0"/>
              <w:rPr>
                <w:sz w:val="24"/>
                <w:szCs w:val="24"/>
                <w:color w:val="auto"/>
              </w:rPr>
            </w:pPr>
          </w:p>
        </w:tc>
        <w:tc>
          <w:tcPr>
            <w:tcW w:w="100" w:type="dxa"/>
            <w:vAlign w:val="bottom"/>
            <w:tcBorders>
              <w:bottom w:val="single" w:sz="8" w:color="424E6A"/>
            </w:tcBorders>
          </w:tcPr>
          <w:p>
            <w:pPr>
              <w:spacing w:after="0"/>
              <w:rPr>
                <w:sz w:val="24"/>
                <w:szCs w:val="24"/>
                <w:color w:val="auto"/>
              </w:rPr>
            </w:pPr>
          </w:p>
        </w:tc>
        <w:tc>
          <w:tcPr>
            <w:tcW w:w="2400" w:type="dxa"/>
            <w:vAlign w:val="bottom"/>
            <w:tcBorders>
              <w:bottom w:val="single" w:sz="8" w:color="424E6A"/>
            </w:tcBorders>
          </w:tcPr>
          <w:p>
            <w:pPr>
              <w:spacing w:after="0"/>
              <w:rPr>
                <w:sz w:val="24"/>
                <w:szCs w:val="24"/>
                <w:color w:val="auto"/>
              </w:rPr>
            </w:pPr>
          </w:p>
        </w:tc>
        <w:tc>
          <w:tcPr>
            <w:tcW w:w="260" w:type="dxa"/>
            <w:vAlign w:val="bottom"/>
            <w:tcBorders>
              <w:bottom w:val="single" w:sz="8" w:color="424E6A"/>
              <w:right w:val="single" w:sz="8" w:color="424E6A"/>
            </w:tcBorders>
          </w:tcPr>
          <w:p>
            <w:pPr>
              <w:spacing w:after="0"/>
              <w:rPr>
                <w:sz w:val="24"/>
                <w:szCs w:val="24"/>
                <w:color w:val="auto"/>
              </w:rPr>
            </w:pPr>
          </w:p>
        </w:tc>
        <w:tc>
          <w:tcPr>
            <w:tcW w:w="220" w:type="dxa"/>
            <w:vAlign w:val="bottom"/>
            <w:tcBorders>
              <w:bottom w:val="single" w:sz="8" w:color="424E6A"/>
            </w:tcBorders>
          </w:tcPr>
          <w:p>
            <w:pPr>
              <w:spacing w:after="0"/>
              <w:rPr>
                <w:sz w:val="24"/>
                <w:szCs w:val="24"/>
                <w:color w:val="auto"/>
              </w:rPr>
            </w:pPr>
          </w:p>
        </w:tc>
        <w:tc>
          <w:tcPr>
            <w:tcW w:w="2480" w:type="dxa"/>
            <w:vAlign w:val="bottom"/>
            <w:tcBorders>
              <w:bottom w:val="single" w:sz="8" w:color="424E6A"/>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620" w:type="dxa"/>
            <w:vAlign w:val="bottom"/>
          </w:tcPr>
          <w:p>
            <w:pPr>
              <w:ind w:left="60"/>
              <w:spacing w:after="0"/>
              <w:rPr>
                <w:sz w:val="20"/>
                <w:szCs w:val="20"/>
                <w:color w:val="auto"/>
              </w:rPr>
            </w:pPr>
            <w:r>
              <w:rPr>
                <w:rFonts w:ascii="Arial" w:cs="Arial" w:eastAsia="Arial" w:hAnsi="Arial"/>
                <w:sz w:val="18"/>
                <w:szCs w:val="18"/>
                <w:color w:val="auto"/>
              </w:rPr>
              <w:t>Safety and Environmental</w:t>
            </w:r>
          </w:p>
        </w:tc>
        <w:tc>
          <w:tcPr>
            <w:tcW w:w="100" w:type="dxa"/>
            <w:vAlign w:val="bottom"/>
            <w:tcBorders>
              <w:right w:val="single" w:sz="8" w:color="424E6A"/>
            </w:tcBorders>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20% improvement in certain</w:t>
            </w:r>
          </w:p>
        </w:tc>
        <w:tc>
          <w:tcPr>
            <w:tcW w:w="260" w:type="dxa"/>
            <w:vAlign w:val="bottom"/>
            <w:tcBorders>
              <w:right w:val="single" w:sz="8" w:color="424E6A"/>
            </w:tcBorders>
          </w:tcPr>
          <w:p>
            <w:pPr>
              <w:spacing w:after="0"/>
              <w:rPr>
                <w:sz w:val="21"/>
                <w:szCs w:val="21"/>
                <w:color w:val="auto"/>
              </w:rPr>
            </w:pPr>
          </w:p>
        </w:tc>
        <w:tc>
          <w:tcPr>
            <w:tcW w:w="2700" w:type="dxa"/>
            <w:vAlign w:val="bottom"/>
            <w:gridSpan w:val="2"/>
          </w:tcPr>
          <w:p>
            <w:pPr>
              <w:ind w:left="80"/>
              <w:spacing w:after="0"/>
              <w:rPr>
                <w:sz w:val="20"/>
                <w:szCs w:val="20"/>
                <w:color w:val="auto"/>
              </w:rPr>
            </w:pPr>
            <w:r>
              <w:rPr>
                <w:rFonts w:ascii="Arial" w:cs="Arial" w:eastAsia="Arial" w:hAnsi="Arial"/>
                <w:sz w:val="18"/>
                <w:szCs w:val="18"/>
                <w:color w:val="auto"/>
              </w:rPr>
              <w:t>• ~18% reduction in recordable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00" w:type="dxa"/>
            <w:vAlign w:val="bottom"/>
            <w:tcBorders>
              <w:right w:val="single" w:sz="8" w:color="424E6A"/>
            </w:tcBorders>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safety and environmental</w:t>
            </w:r>
          </w:p>
        </w:tc>
        <w:tc>
          <w:tcPr>
            <w:tcW w:w="260" w:type="dxa"/>
            <w:vAlign w:val="bottom"/>
            <w:tcBorders>
              <w:right w:val="single" w:sz="8" w:color="424E6A"/>
            </w:tcBorders>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8"/>
                <w:szCs w:val="18"/>
                <w:color w:val="auto"/>
              </w:rPr>
              <w:t>injuries</w:t>
            </w:r>
          </w:p>
        </w:tc>
        <w:tc>
          <w:tcPr>
            <w:tcW w:w="0" w:type="dxa"/>
            <w:vAlign w:val="bottom"/>
          </w:tcPr>
          <w:p>
            <w:pPr>
              <w:spacing w:after="0"/>
              <w:rPr>
                <w:sz w:val="1"/>
                <w:szCs w:val="1"/>
                <w:color w:val="auto"/>
              </w:rPr>
            </w:pPr>
          </w:p>
        </w:tc>
      </w:tr>
      <w:tr>
        <w:trPr>
          <w:trHeight w:val="239"/>
        </w:trPr>
        <w:tc>
          <w:tcPr>
            <w:tcW w:w="2620" w:type="dxa"/>
            <w:vAlign w:val="bottom"/>
          </w:tcPr>
          <w:p>
            <w:pPr>
              <w:spacing w:after="0"/>
              <w:rPr>
                <w:sz w:val="20"/>
                <w:szCs w:val="20"/>
                <w:color w:val="auto"/>
              </w:rPr>
            </w:pPr>
          </w:p>
        </w:tc>
        <w:tc>
          <w:tcPr>
            <w:tcW w:w="100" w:type="dxa"/>
            <w:vAlign w:val="bottom"/>
            <w:tcBorders>
              <w:right w:val="single" w:sz="8" w:color="424E6A"/>
            </w:tcBorders>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metrics over 2020 results</w:t>
            </w:r>
          </w:p>
        </w:tc>
        <w:tc>
          <w:tcPr>
            <w:tcW w:w="260" w:type="dxa"/>
            <w:vAlign w:val="bottom"/>
            <w:tcBorders>
              <w:right w:val="single" w:sz="8" w:color="424E6A"/>
            </w:tcBorders>
          </w:tcPr>
          <w:p>
            <w:pPr>
              <w:spacing w:after="0"/>
              <w:rPr>
                <w:sz w:val="20"/>
                <w:szCs w:val="20"/>
                <w:color w:val="auto"/>
              </w:rPr>
            </w:pPr>
          </w:p>
        </w:tc>
        <w:tc>
          <w:tcPr>
            <w:tcW w:w="22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480" w:type="dxa"/>
            <w:vAlign w:val="bottom"/>
            <w:vMerge w:val="restart"/>
          </w:tcPr>
          <w:p>
            <w:pPr>
              <w:ind w:left="40"/>
              <w:spacing w:after="0"/>
              <w:rPr>
                <w:sz w:val="20"/>
                <w:szCs w:val="20"/>
                <w:color w:val="auto"/>
              </w:rPr>
            </w:pPr>
            <w:r>
              <w:rPr>
                <w:rFonts w:ascii="Arial" w:cs="Arial" w:eastAsia="Arial" w:hAnsi="Arial"/>
                <w:sz w:val="18"/>
                <w:szCs w:val="18"/>
                <w:color w:val="auto"/>
              </w:rPr>
              <w:t>~35% decrease in number of</w:t>
            </w:r>
          </w:p>
        </w:tc>
        <w:tc>
          <w:tcPr>
            <w:tcW w:w="0" w:type="dxa"/>
            <w:vAlign w:val="bottom"/>
          </w:tcPr>
          <w:p>
            <w:pPr>
              <w:spacing w:after="0"/>
              <w:rPr>
                <w:sz w:val="1"/>
                <w:szCs w:val="1"/>
                <w:color w:val="auto"/>
              </w:rPr>
            </w:pPr>
          </w:p>
        </w:tc>
      </w:tr>
      <w:tr>
        <w:trPr>
          <w:trHeight w:val="72"/>
        </w:trPr>
        <w:tc>
          <w:tcPr>
            <w:tcW w:w="2620" w:type="dxa"/>
            <w:vAlign w:val="bottom"/>
          </w:tcPr>
          <w:p>
            <w:pPr>
              <w:spacing w:after="0"/>
              <w:rPr>
                <w:sz w:val="6"/>
                <w:szCs w:val="6"/>
                <w:color w:val="auto"/>
              </w:rPr>
            </w:pPr>
          </w:p>
        </w:tc>
        <w:tc>
          <w:tcPr>
            <w:tcW w:w="100" w:type="dxa"/>
            <w:vAlign w:val="bottom"/>
            <w:tcBorders>
              <w:right w:val="single" w:sz="8" w:color="424E6A"/>
            </w:tcBorders>
          </w:tcPr>
          <w:p>
            <w:pPr>
              <w:spacing w:after="0"/>
              <w:rPr>
                <w:sz w:val="6"/>
                <w:szCs w:val="6"/>
                <w:color w:val="auto"/>
              </w:rPr>
            </w:pPr>
          </w:p>
        </w:tc>
        <w:tc>
          <w:tcPr>
            <w:tcW w:w="1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60" w:type="dxa"/>
            <w:vAlign w:val="bottom"/>
            <w:tcBorders>
              <w:right w:val="single" w:sz="8" w:color="424E6A"/>
            </w:tcBorders>
          </w:tcPr>
          <w:p>
            <w:pPr>
              <w:spacing w:after="0"/>
              <w:rPr>
                <w:sz w:val="6"/>
                <w:szCs w:val="6"/>
                <w:color w:val="auto"/>
              </w:rPr>
            </w:pPr>
          </w:p>
        </w:tc>
        <w:tc>
          <w:tcPr>
            <w:tcW w:w="220" w:type="dxa"/>
            <w:vAlign w:val="bottom"/>
            <w:vMerge w:val="continue"/>
          </w:tcPr>
          <w:p>
            <w:pPr>
              <w:spacing w:after="0"/>
              <w:rPr>
                <w:sz w:val="6"/>
                <w:szCs w:val="6"/>
                <w:color w:val="auto"/>
              </w:rPr>
            </w:pPr>
          </w:p>
        </w:tc>
        <w:tc>
          <w:tcPr>
            <w:tcW w:w="2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620" w:type="dxa"/>
            <w:vAlign w:val="bottom"/>
          </w:tcPr>
          <w:p>
            <w:pPr>
              <w:spacing w:after="0"/>
              <w:rPr>
                <w:sz w:val="20"/>
                <w:szCs w:val="20"/>
                <w:color w:val="auto"/>
              </w:rPr>
            </w:pPr>
          </w:p>
        </w:tc>
        <w:tc>
          <w:tcPr>
            <w:tcW w:w="100" w:type="dxa"/>
            <w:vAlign w:val="bottom"/>
            <w:tcBorders>
              <w:right w:val="single" w:sz="8" w:color="424E6A"/>
            </w:tcBorders>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60" w:type="dxa"/>
            <w:vAlign w:val="bottom"/>
            <w:tcBorders>
              <w:right w:val="single" w:sz="8" w:color="424E6A"/>
            </w:tcBorders>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ind w:left="40"/>
              <w:spacing w:after="0"/>
              <w:rPr>
                <w:sz w:val="20"/>
                <w:szCs w:val="20"/>
                <w:color w:val="auto"/>
              </w:rPr>
            </w:pPr>
            <w:r>
              <w:rPr>
                <w:rFonts w:ascii="Arial" w:cs="Arial" w:eastAsia="Arial" w:hAnsi="Arial"/>
                <w:sz w:val="18"/>
                <w:szCs w:val="18"/>
                <w:color w:val="auto"/>
              </w:rPr>
              <w:t>federally reportable releases</w:t>
            </w:r>
          </w:p>
        </w:tc>
        <w:tc>
          <w:tcPr>
            <w:tcW w:w="0" w:type="dxa"/>
            <w:vAlign w:val="bottom"/>
          </w:tcPr>
          <w:p>
            <w:pPr>
              <w:spacing w:after="0"/>
              <w:rPr>
                <w:sz w:val="1"/>
                <w:szCs w:val="1"/>
                <w:color w:val="auto"/>
              </w:rPr>
            </w:pPr>
          </w:p>
        </w:tc>
      </w:tr>
      <w:tr>
        <w:trPr>
          <w:trHeight w:val="63"/>
        </w:trPr>
        <w:tc>
          <w:tcPr>
            <w:tcW w:w="262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tcPr>
          <w:p>
            <w:pPr>
              <w:spacing w:after="0"/>
              <w:rPr>
                <w:sz w:val="5"/>
                <w:szCs w:val="5"/>
                <w:color w:val="auto"/>
              </w:rPr>
            </w:pPr>
          </w:p>
        </w:tc>
        <w:tc>
          <w:tcPr>
            <w:tcW w:w="100" w:type="dxa"/>
            <w:vAlign w:val="bottom"/>
            <w:tcBorders>
              <w:bottom w:val="single" w:sz="8" w:color="424E6A"/>
            </w:tcBorders>
          </w:tcPr>
          <w:p>
            <w:pPr>
              <w:spacing w:after="0"/>
              <w:rPr>
                <w:sz w:val="5"/>
                <w:szCs w:val="5"/>
                <w:color w:val="auto"/>
              </w:rPr>
            </w:pPr>
          </w:p>
        </w:tc>
        <w:tc>
          <w:tcPr>
            <w:tcW w:w="2400" w:type="dxa"/>
            <w:vAlign w:val="bottom"/>
            <w:tcBorders>
              <w:bottom w:val="single" w:sz="8" w:color="424E6A"/>
            </w:tcBorders>
          </w:tcPr>
          <w:p>
            <w:pPr>
              <w:spacing w:after="0"/>
              <w:rPr>
                <w:sz w:val="5"/>
                <w:szCs w:val="5"/>
                <w:color w:val="auto"/>
              </w:rPr>
            </w:pPr>
          </w:p>
        </w:tc>
        <w:tc>
          <w:tcPr>
            <w:tcW w:w="260" w:type="dxa"/>
            <w:vAlign w:val="bottom"/>
            <w:tcBorders>
              <w:bottom w:val="single" w:sz="8" w:color="424E6A"/>
              <w:right w:val="single" w:sz="8" w:color="424E6A"/>
            </w:tcBorders>
          </w:tcPr>
          <w:p>
            <w:pPr>
              <w:spacing w:after="0"/>
              <w:rPr>
                <w:sz w:val="5"/>
                <w:szCs w:val="5"/>
                <w:color w:val="auto"/>
              </w:rPr>
            </w:pPr>
          </w:p>
        </w:tc>
        <w:tc>
          <w:tcPr>
            <w:tcW w:w="220" w:type="dxa"/>
            <w:vAlign w:val="bottom"/>
            <w:tcBorders>
              <w:bottom w:val="single" w:sz="8" w:color="424E6A"/>
            </w:tcBorders>
          </w:tcPr>
          <w:p>
            <w:pPr>
              <w:spacing w:after="0"/>
              <w:rPr>
                <w:sz w:val="5"/>
                <w:szCs w:val="5"/>
                <w:color w:val="auto"/>
              </w:rPr>
            </w:pPr>
          </w:p>
        </w:tc>
        <w:tc>
          <w:tcPr>
            <w:tcW w:w="2480" w:type="dxa"/>
            <w:vAlign w:val="bottom"/>
            <w:tcBorders>
              <w:bottom w:val="single" w:sz="8" w:color="424E6A"/>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2620" w:type="dxa"/>
            <w:vAlign w:val="bottom"/>
            <w:shd w:val="clear" w:color="auto" w:fill="D9DCE1"/>
          </w:tcPr>
          <w:p>
            <w:pPr>
              <w:ind w:left="60"/>
              <w:spacing w:after="0"/>
              <w:rPr>
                <w:sz w:val="20"/>
                <w:szCs w:val="20"/>
                <w:color w:val="auto"/>
              </w:rPr>
            </w:pPr>
            <w:r>
              <w:rPr>
                <w:rFonts w:ascii="Arial" w:cs="Arial" w:eastAsia="Arial" w:hAnsi="Arial"/>
                <w:sz w:val="14"/>
                <w:szCs w:val="14"/>
                <w:b w:val="1"/>
                <w:bCs w:val="1"/>
                <w:color w:val="auto"/>
              </w:rPr>
              <w:t>Qualitative Goals</w:t>
            </w:r>
            <w:r>
              <w:rPr>
                <w:rFonts w:ascii="Arial" w:cs="Arial" w:eastAsia="Arial" w:hAnsi="Arial"/>
                <w:sz w:val="17"/>
                <w:szCs w:val="17"/>
                <w:b w:val="1"/>
                <w:bCs w:val="1"/>
                <w:color w:val="auto"/>
              </w:rPr>
              <w:t>​</w:t>
            </w:r>
          </w:p>
        </w:tc>
        <w:tc>
          <w:tcPr>
            <w:tcW w:w="100" w:type="dxa"/>
            <w:vAlign w:val="bottom"/>
            <w:tcBorders>
              <w:right w:val="single" w:sz="8" w:color="D9DCE1"/>
            </w:tcBorders>
            <w:shd w:val="clear" w:color="auto" w:fill="D9DCE1"/>
          </w:tcPr>
          <w:p>
            <w:pPr>
              <w:spacing w:after="0"/>
              <w:rPr>
                <w:sz w:val="20"/>
                <w:szCs w:val="20"/>
                <w:color w:val="auto"/>
              </w:rPr>
            </w:pPr>
          </w:p>
        </w:tc>
        <w:tc>
          <w:tcPr>
            <w:tcW w:w="100" w:type="dxa"/>
            <w:vAlign w:val="bottom"/>
            <w:shd w:val="clear" w:color="auto" w:fill="D9DCE1"/>
          </w:tcPr>
          <w:p>
            <w:pPr>
              <w:spacing w:after="0"/>
              <w:rPr>
                <w:sz w:val="20"/>
                <w:szCs w:val="20"/>
                <w:color w:val="auto"/>
              </w:rPr>
            </w:pPr>
          </w:p>
        </w:tc>
        <w:tc>
          <w:tcPr>
            <w:tcW w:w="2400" w:type="dxa"/>
            <w:vAlign w:val="bottom"/>
            <w:shd w:val="clear" w:color="auto" w:fill="D9DCE1"/>
          </w:tcPr>
          <w:p>
            <w:pPr>
              <w:spacing w:after="0"/>
              <w:rPr>
                <w:sz w:val="20"/>
                <w:szCs w:val="20"/>
                <w:color w:val="auto"/>
              </w:rPr>
            </w:pPr>
          </w:p>
        </w:tc>
        <w:tc>
          <w:tcPr>
            <w:tcW w:w="260" w:type="dxa"/>
            <w:vAlign w:val="bottom"/>
            <w:tcBorders>
              <w:right w:val="single" w:sz="8" w:color="D9DCE1"/>
            </w:tcBorders>
            <w:shd w:val="clear" w:color="auto" w:fill="D9DCE1"/>
          </w:tcPr>
          <w:p>
            <w:pPr>
              <w:spacing w:after="0"/>
              <w:rPr>
                <w:sz w:val="20"/>
                <w:szCs w:val="20"/>
                <w:color w:val="auto"/>
              </w:rPr>
            </w:pPr>
          </w:p>
        </w:tc>
        <w:tc>
          <w:tcPr>
            <w:tcW w:w="220" w:type="dxa"/>
            <w:vAlign w:val="bottom"/>
            <w:shd w:val="clear" w:color="auto" w:fill="D9DCE1"/>
          </w:tcPr>
          <w:p>
            <w:pPr>
              <w:spacing w:after="0"/>
              <w:rPr>
                <w:sz w:val="20"/>
                <w:szCs w:val="20"/>
                <w:color w:val="auto"/>
              </w:rPr>
            </w:pPr>
          </w:p>
        </w:tc>
        <w:tc>
          <w:tcPr>
            <w:tcW w:w="2480" w:type="dxa"/>
            <w:vAlign w:val="bottom"/>
            <w:shd w:val="clear" w:color="auto" w:fill="D9DCE1"/>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520" w:right="579" w:hanging="179"/>
        <w:spacing w:after="0" w:line="262" w:lineRule="auto"/>
        <w:tabs>
          <w:tab w:leader="none" w:pos="15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Financial</w:t>
      </w:r>
      <w:r>
        <w:rPr>
          <w:rFonts w:ascii="Arial" w:cs="Arial" w:eastAsia="Arial" w:hAnsi="Arial"/>
          <w:sz w:val="18"/>
          <w:szCs w:val="18"/>
          <w:color w:val="auto"/>
        </w:rPr>
        <w:t>: strengthen financial positioning and flexibility; complete asset sales of $150 million; achieve a total debt to Adjusted EBITDA ratio of 4.25x or lower by year end; deliver $678 million of free cash flow after distributions (excluding proceeds from asset sales); and return up to 25% of free cash flow after distributions to unitholders.</w:t>
      </w:r>
    </w:p>
    <w:p>
      <w:pPr>
        <w:spacing w:after="0" w:line="54" w:lineRule="exact"/>
        <w:rPr>
          <w:rFonts w:ascii="Arial" w:cs="Arial" w:eastAsia="Arial" w:hAnsi="Arial"/>
          <w:sz w:val="18"/>
          <w:szCs w:val="18"/>
          <w:color w:val="auto"/>
        </w:rPr>
      </w:pPr>
    </w:p>
    <w:p>
      <w:pPr>
        <w:ind w:left="1520" w:right="519" w:hanging="179"/>
        <w:spacing w:after="0" w:line="268" w:lineRule="auto"/>
        <w:tabs>
          <w:tab w:leader="none" w:pos="15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Investment</w:t>
      </w:r>
      <w:r>
        <w:rPr>
          <w:rFonts w:ascii="Arial" w:cs="Arial" w:eastAsia="Arial" w:hAnsi="Arial"/>
          <w:sz w:val="18"/>
          <w:szCs w:val="18"/>
          <w:color w:val="auto"/>
        </w:rPr>
        <w:t>: maintain capital discipline by limiting capital expenditures to no more than $275 million; advance key projects, including emerging energy opportunities, that will support future growth and returns; and optimize existing assets.</w:t>
      </w:r>
    </w:p>
    <w:p>
      <w:pPr>
        <w:spacing w:after="0" w:line="49" w:lineRule="exact"/>
        <w:rPr>
          <w:rFonts w:ascii="Arial" w:cs="Arial" w:eastAsia="Arial" w:hAnsi="Arial"/>
          <w:sz w:val="18"/>
          <w:szCs w:val="18"/>
          <w:color w:val="auto"/>
        </w:rPr>
      </w:pPr>
    </w:p>
    <w:p>
      <w:pPr>
        <w:ind w:left="1520" w:right="559" w:hanging="179"/>
        <w:spacing w:after="0" w:line="259" w:lineRule="auto"/>
        <w:tabs>
          <w:tab w:leader="none" w:pos="15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Operations and Management</w:t>
      </w:r>
      <w:r>
        <w:rPr>
          <w:rFonts w:ascii="Arial" w:cs="Arial" w:eastAsia="Arial" w:hAnsi="Arial"/>
          <w:sz w:val="18"/>
          <w:szCs w:val="18"/>
          <w:color w:val="auto"/>
        </w:rPr>
        <w:t>: advance and complete key programs and initiatives, including convergence efforts, designed to improve the efficiency and scalability of our operations and accounting processes and information systems; progress sustainability goals; and advance key initiatives related to talent development/management, diversity and inclusion, succession planning, employee wellness and performance management.</w:t>
      </w:r>
    </w:p>
    <w:p>
      <w:pPr>
        <w:spacing w:after="0" w:line="98" w:lineRule="exact"/>
        <w:rPr>
          <w:rFonts w:ascii="Arial" w:cs="Arial" w:eastAsia="Arial" w:hAnsi="Arial"/>
          <w:sz w:val="18"/>
          <w:szCs w:val="18"/>
          <w:color w:val="auto"/>
        </w:rPr>
      </w:pPr>
    </w:p>
    <w:p>
      <w:pPr>
        <w:ind w:left="1980" w:right="519" w:hanging="279"/>
        <w:spacing w:after="0" w:line="259" w:lineRule="auto"/>
        <w:tabs>
          <w:tab w:leader="none" w:pos="1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Adjusted EBITDA attributable to PAA and Implied DCF are non-GAAP financial measures. Information regarding these non-GAAP financial measures, including a reconciliation to the most directly comparable GAAP measures, is included under the caption “Non-GAAP Financial Measures” beginning on page 72 of PAA’s Annual Report on Form 10-K for the year ended December 31, 2022 as filed with the SEC.</w:t>
      </w:r>
    </w:p>
    <w:p>
      <w:pPr>
        <w:spacing w:after="0" w:line="206" w:lineRule="exact"/>
        <w:rPr>
          <w:sz w:val="20"/>
          <w:szCs w:val="20"/>
          <w:color w:val="auto"/>
        </w:rPr>
      </w:pPr>
    </w:p>
    <w:p>
      <w:pPr>
        <w:ind w:left="1260" w:right="879" w:firstLine="360"/>
        <w:spacing w:after="0" w:line="287" w:lineRule="auto"/>
        <w:rPr>
          <w:sz w:val="20"/>
          <w:szCs w:val="20"/>
          <w:color w:val="auto"/>
        </w:rPr>
      </w:pPr>
      <w:r>
        <w:rPr>
          <w:rFonts w:ascii="Arial" w:cs="Arial" w:eastAsia="Arial" w:hAnsi="Arial"/>
          <w:sz w:val="18"/>
          <w:szCs w:val="18"/>
          <w:color w:val="auto"/>
        </w:rPr>
        <w:t>Set forth below are some highlights regarding our 2022 performance relative to our goals and objectives for the year:</w:t>
      </w:r>
    </w:p>
    <w:p>
      <w:pPr>
        <w:spacing w:after="0" w:line="58" w:lineRule="exact"/>
        <w:rPr>
          <w:sz w:val="20"/>
          <w:szCs w:val="20"/>
          <w:color w:val="auto"/>
        </w:rPr>
      </w:pPr>
    </w:p>
    <w:p>
      <w:pPr>
        <w:ind w:left="1800" w:right="879" w:hanging="180"/>
        <w:spacing w:after="0" w:line="28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Adjusted EBITDA attributable to PAA, we exceeded our goal by 14% driven primarily by volume growth, higher commodity prices and operating performance.</w:t>
      </w:r>
    </w:p>
    <w:p>
      <w:pPr>
        <w:spacing w:after="0" w:line="71" w:lineRule="exact"/>
        <w:rPr>
          <w:rFonts w:ascii="Arial" w:cs="Arial" w:eastAsia="Arial" w:hAnsi="Arial"/>
          <w:sz w:val="18"/>
          <w:szCs w:val="18"/>
          <w:color w:val="auto"/>
        </w:rPr>
      </w:pPr>
    </w:p>
    <w:p>
      <w:pPr>
        <w:ind w:left="1800" w:right="879" w:hanging="180"/>
        <w:spacing w:after="0" w:line="28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addition to the results set forth in the table above, we also reported Free Cash Flow after Distributions of approximately $828 million (vs. our goal for the year of $678 million).</w:t>
      </w:r>
    </w:p>
    <w:p>
      <w:pPr>
        <w:spacing w:after="0" w:line="58" w:lineRule="exact"/>
        <w:rPr>
          <w:rFonts w:ascii="Arial" w:cs="Arial" w:eastAsia="Arial" w:hAnsi="Arial"/>
          <w:sz w:val="18"/>
          <w:szCs w:val="18"/>
          <w:color w:val="auto"/>
        </w:rPr>
      </w:pPr>
    </w:p>
    <w:p>
      <w:pPr>
        <w:ind w:left="1800" w:right="479" w:hanging="180"/>
        <w:spacing w:after="0" w:line="262"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reduced our debt by $774 million and returned approximately $658 million to common equity holders via distributions and unit repurchases. We exited the year with a leverage ratio of 3.7x, achieving the low end of our target range approximately one year earlier than originally planned. We also ended the year with approximately $3.0 billion of committed liquidity.</w:t>
      </w:r>
    </w:p>
    <w:p>
      <w:pPr>
        <w:spacing w:after="0" w:line="81" w:lineRule="exact"/>
        <w:rPr>
          <w:rFonts w:ascii="Arial" w:cs="Arial" w:eastAsia="Arial" w:hAnsi="Arial"/>
          <w:sz w:val="18"/>
          <w:szCs w:val="18"/>
          <w:color w:val="auto"/>
        </w:rPr>
      </w:pPr>
    </w:p>
    <w:p>
      <w:pPr>
        <w:ind w:left="1800" w:right="439" w:hanging="180"/>
        <w:spacing w:after="0" w:line="282" w:lineRule="auto"/>
        <w:tabs>
          <w:tab w:leader="none" w:pos="18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With respect to our stated goals regarding safety and environmental metrics, we achieved a 35% reduction in federally reportable releases and an 18% reduction in safety-related total recordable injury rate, in each case relative to 2020 results. Notably, over the last six years, we have reduced our federally reportable releases by 74% and our total recordable injuries by 78%.</w:t>
      </w:r>
    </w:p>
    <w:p>
      <w:pPr>
        <w:spacing w:after="0" w:line="94"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8"/>
          <w:szCs w:val="18"/>
          <w:color w:val="auto"/>
        </w:rPr>
        <w:t>In developing his annual bonus compensation recommendations, our CEO primarily considered the quantitative factors and context described above. Other factors noted by our CEO as being relevant to his assessment of our 2022 performance included the following:</w:t>
      </w:r>
    </w:p>
    <w:p>
      <w:pPr>
        <w:spacing w:after="0" w:line="76" w:lineRule="exact"/>
        <w:rPr>
          <w:sz w:val="20"/>
          <w:szCs w:val="20"/>
          <w:color w:val="auto"/>
        </w:rPr>
      </w:pPr>
    </w:p>
    <w:p>
      <w:pPr>
        <w:ind w:left="1800" w:right="899" w:hanging="180"/>
        <w:spacing w:after="0" w:line="28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substantially completed the integration of the legacy Oryx assets in connection with the October 2021 formation of the Plains Oryx Permian JV (“POP JV”);</w:t>
      </w:r>
    </w:p>
    <w:p>
      <w:pPr>
        <w:sectPr>
          <w:pgSz w:w="11900" w:h="16838" w:orient="portrait"/>
          <w:cols w:equalWidth="0" w:num="1">
            <w:col w:w="9879"/>
          </w:cols>
          <w:pgMar w:left="580" w:top="97" w:right="1440" w:bottom="1440" w:gutter="0" w:footer="0" w:header="0"/>
        </w:sectPr>
      </w:pPr>
    </w:p>
    <w:p>
      <w:pPr>
        <w:spacing w:after="0" w:line="34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659" w:hanging="180"/>
        <w:spacing w:after="0" w:line="28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added additional dedicated acres to the POP JV and captured additional tariff volumes vs. plan, with a meaningful increase in long-haul volumes;</w:t>
      </w:r>
    </w:p>
    <w:p>
      <w:pPr>
        <w:spacing w:after="0" w:line="44" w:lineRule="exact"/>
        <w:rPr>
          <w:rFonts w:ascii="Arial" w:cs="Arial" w:eastAsia="Arial" w:hAnsi="Arial"/>
          <w:sz w:val="18"/>
          <w:szCs w:val="18"/>
          <w:color w:val="auto"/>
        </w:rPr>
      </w:pPr>
    </w:p>
    <w:p>
      <w:pPr>
        <w:ind w:left="1800" w:right="659" w:hanging="180"/>
        <w:spacing w:after="0" w:line="268"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announced a multi-year capital allocation framework that prioritizes the generation of Free Cash Flow, continued improvement of financial flexibility, and increasing returns of capital to equity holders;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acquired additional interests in the Cactus II and Advantage pipelines;</w:t>
      </w:r>
    </w:p>
    <w:p>
      <w:pPr>
        <w:spacing w:after="0" w:line="117" w:lineRule="exact"/>
        <w:rPr>
          <w:rFonts w:ascii="Arial" w:cs="Arial" w:eastAsia="Arial" w:hAnsi="Arial"/>
          <w:sz w:val="18"/>
          <w:szCs w:val="18"/>
          <w:color w:val="auto"/>
        </w:rPr>
      </w:pPr>
    </w:p>
    <w:p>
      <w:pPr>
        <w:ind w:left="1800" w:right="1119" w:hanging="180"/>
        <w:spacing w:after="0" w:line="28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advanced several debottlenecking projects at our NGL facilities designed to improve efficiencies;</w:t>
      </w:r>
    </w:p>
    <w:p>
      <w:pPr>
        <w:spacing w:after="0" w:line="44" w:lineRule="exact"/>
        <w:rPr>
          <w:rFonts w:ascii="Arial" w:cs="Arial" w:eastAsia="Arial" w:hAnsi="Arial"/>
          <w:sz w:val="18"/>
          <w:szCs w:val="18"/>
          <w:color w:val="auto"/>
        </w:rPr>
      </w:pPr>
    </w:p>
    <w:p>
      <w:pPr>
        <w:ind w:left="1800" w:right="719" w:hanging="180"/>
        <w:spacing w:after="0" w:line="28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signed agreements to sell our minority interest in the Keyera Ft. Sask JV (this transaction closed in February 2023);</w:t>
      </w:r>
    </w:p>
    <w:p>
      <w:pPr>
        <w:spacing w:after="0" w:line="44"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restructured our Empress Joint Venture, which will allow us to improve operating efficiency at our Empress straddle plants;</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completed the convergence of our U.S. and Canada Operations Management System; and</w:t>
      </w:r>
    </w:p>
    <w:p>
      <w:pPr>
        <w:spacing w:after="0" w:line="117" w:lineRule="exact"/>
        <w:rPr>
          <w:rFonts w:ascii="Arial" w:cs="Arial" w:eastAsia="Arial" w:hAnsi="Arial"/>
          <w:sz w:val="18"/>
          <w:szCs w:val="18"/>
          <w:color w:val="auto"/>
        </w:rPr>
      </w:pPr>
    </w:p>
    <w:p>
      <w:pPr>
        <w:ind w:left="1800" w:right="519" w:hanging="180"/>
        <w:spacing w:after="0" w:line="262"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advanced several emerging energy projects and continued to make meaningful progress on our efforts to plan for the future and continue to improve effectiveness and efficiency in a variety of areas, including employee development and succession planning, internal systems and processes, safety, integrity, environmental stewardship and sustainability.</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2022 Compensation Elements</w:t>
      </w:r>
    </w:p>
    <w:p>
      <w:pPr>
        <w:spacing w:after="0" w:line="15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2022, the elements of compensation were applied as described below.</w:t>
      </w:r>
    </w:p>
    <w:p>
      <w:pPr>
        <w:spacing w:after="0" w:line="15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In February 2022, the Compensation Committee recommended, and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increases to the base salaries of our Named Executive Officers to maintain competitive pay levels and retain talent. These were the first base salary adjustments since 2017 (other than adjustments in connection with promotions or the assumption of increased responsibility). Following the February 2022 increases, the annual base salaries for the NEOs were as follows:</w:t>
      </w:r>
    </w:p>
    <w:p>
      <w:pPr>
        <w:spacing w:after="0" w:line="92" w:lineRule="exact"/>
        <w:rPr>
          <w:sz w:val="20"/>
          <w:szCs w:val="20"/>
          <w:color w:val="auto"/>
        </w:rPr>
      </w:pPr>
    </w:p>
    <w:tbl>
      <w:tblPr>
        <w:tblLayout w:type="fixed"/>
        <w:tblInd w:w="1630" w:type="dxa"/>
        <w:tblCellMar>
          <w:top w:w="0" w:type="dxa"/>
          <w:left w:w="0" w:type="dxa"/>
          <w:bottom w:w="0" w:type="dxa"/>
          <w:right w:w="0" w:type="dxa"/>
        </w:tblCellMar>
      </w:tblPr>
      <w:tr>
        <w:trPr>
          <w:trHeight w:val="335"/>
        </w:trPr>
        <w:tc>
          <w:tcPr>
            <w:tcW w:w="3780" w:type="dxa"/>
            <w:vAlign w:val="bottom"/>
            <w:tcBorders>
              <w:left w:val="single" w:sz="8" w:color="424E6A"/>
            </w:tcBorders>
            <w:shd w:val="clear" w:color="auto" w:fill="424E6A"/>
          </w:tcPr>
          <w:p>
            <w:pPr>
              <w:ind w:left="2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Named Executive Officer</w:t>
            </w:r>
          </w:p>
        </w:tc>
        <w:tc>
          <w:tcPr>
            <w:tcW w:w="3700" w:type="dxa"/>
            <w:vAlign w:val="bottom"/>
            <w:tcBorders>
              <w:right w:val="single" w:sz="8" w:color="424E6A"/>
            </w:tcBorders>
            <w:gridSpan w:val="4"/>
            <w:shd w:val="clear" w:color="auto" w:fill="424E6A"/>
          </w:tcPr>
          <w:p>
            <w:pPr>
              <w:ind w:left="2040"/>
              <w:spacing w:after="0"/>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 Annual Base Salary </w:t>
            </w:r>
            <w:r>
              <w:rPr>
                <w:rFonts w:ascii="Arial" w:cs="Arial" w:eastAsia="Arial" w:hAnsi="Arial"/>
                <w:sz w:val="28"/>
                <w:szCs w:val="28"/>
                <w:b w:val="1"/>
                <w:bCs w:val="1"/>
                <w:color w:val="FFFFFF"/>
                <w:vertAlign w:val="subscript"/>
              </w:rPr>
              <w:t>​</w:t>
            </w:r>
          </w:p>
        </w:tc>
      </w:tr>
      <w:tr>
        <w:trPr>
          <w:trHeight w:val="257"/>
        </w:trPr>
        <w:tc>
          <w:tcPr>
            <w:tcW w:w="3780" w:type="dxa"/>
            <w:vAlign w:val="bottom"/>
            <w:tcBorders>
              <w:left w:val="single" w:sz="8" w:color="424E6A"/>
              <w:bottom w:val="single" w:sz="8" w:color="424E6A"/>
            </w:tcBorders>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Willie Chiang</w:t>
            </w:r>
          </w:p>
        </w:tc>
        <w:tc>
          <w:tcPr>
            <w:tcW w:w="2160" w:type="dxa"/>
            <w:vAlign w:val="bottom"/>
            <w:tcBorders>
              <w:bottom w:val="single" w:sz="8" w:color="424E6A"/>
              <w:right w:val="single" w:sz="8" w:color="424E6A"/>
            </w:tcBorders>
            <w:shd w:val="clear" w:color="auto" w:fill="D9DCE1"/>
          </w:tcPr>
          <w:p>
            <w:pPr>
              <w:ind w:left="20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shd w:val="clear" w:color="auto" w:fill="D9DCE1"/>
          </w:tcPr>
          <w:p>
            <w:pPr>
              <w:ind w:left="1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$800,000</w:t>
            </w:r>
          </w:p>
        </w:tc>
        <w:tc>
          <w:tcPr>
            <w:tcW w:w="220" w:type="dxa"/>
            <w:vAlign w:val="bottom"/>
            <w:tcBorders>
              <w:bottom w:val="single" w:sz="8" w:color="424E6A"/>
              <w:right w:val="single" w:sz="8" w:color="424E6A"/>
            </w:tcBorders>
            <w:shd w:val="clear" w:color="auto" w:fill="D9DCE1"/>
          </w:tcPr>
          <w:p>
            <w:pPr>
              <w:ind w:left="140"/>
              <w:spacing w:after="0"/>
              <w:rPr>
                <w:sz w:val="20"/>
                <w:szCs w:val="20"/>
                <w:color w:val="auto"/>
              </w:rPr>
            </w:pPr>
            <w:r>
              <w:rPr>
                <w:rFonts w:ascii="Arial" w:cs="Arial" w:eastAsia="Arial" w:hAnsi="Arial"/>
                <w:sz w:val="18"/>
                <w:szCs w:val="18"/>
                <w:color w:val="auto"/>
              </w:rPr>
              <w:t>​​</w:t>
            </w:r>
          </w:p>
        </w:tc>
      </w:tr>
      <w:tr>
        <w:trPr>
          <w:trHeight w:val="250"/>
        </w:trPr>
        <w:tc>
          <w:tcPr>
            <w:tcW w:w="378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Harry Pefanis</w:t>
            </w:r>
          </w:p>
        </w:tc>
        <w:tc>
          <w:tcPr>
            <w:tcW w:w="2160" w:type="dxa"/>
            <w:vAlign w:val="bottom"/>
            <w:tcBorders>
              <w:bottom w:val="single" w:sz="8" w:color="424E6A"/>
              <w:right w:val="single" w:sz="8" w:color="424E6A"/>
            </w:tcBorders>
          </w:tcPr>
          <w:p>
            <w:pPr>
              <w:ind w:left="20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$600,000</w:t>
            </w:r>
          </w:p>
        </w:tc>
        <w:tc>
          <w:tcPr>
            <w:tcW w:w="220" w:type="dxa"/>
            <w:vAlign w:val="bottom"/>
            <w:tcBorders>
              <w:bottom w:val="single" w:sz="8" w:color="424E6A"/>
              <w:right w:val="single" w:sz="8" w:color="424E6A"/>
            </w:tcBorders>
          </w:tcPr>
          <w:p>
            <w:pPr>
              <w:ind w:left="140"/>
              <w:spacing w:after="0"/>
              <w:rPr>
                <w:sz w:val="20"/>
                <w:szCs w:val="20"/>
                <w:color w:val="auto"/>
              </w:rPr>
            </w:pPr>
            <w:r>
              <w:rPr>
                <w:rFonts w:ascii="Arial" w:cs="Arial" w:eastAsia="Arial" w:hAnsi="Arial"/>
                <w:sz w:val="18"/>
                <w:szCs w:val="18"/>
                <w:color w:val="auto"/>
              </w:rPr>
              <w:t>​​</w:t>
            </w:r>
          </w:p>
        </w:tc>
      </w:tr>
      <w:tr>
        <w:trPr>
          <w:trHeight w:val="250"/>
        </w:trPr>
        <w:tc>
          <w:tcPr>
            <w:tcW w:w="378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 Swanson</w:t>
            </w:r>
          </w:p>
        </w:tc>
        <w:tc>
          <w:tcPr>
            <w:tcW w:w="2160" w:type="dxa"/>
            <w:vAlign w:val="bottom"/>
            <w:tcBorders>
              <w:bottom w:val="single" w:sz="8" w:color="424E6A"/>
              <w:right w:val="single" w:sz="8" w:color="424E6A"/>
            </w:tcBorders>
            <w:shd w:val="clear" w:color="auto" w:fill="D9DCE1"/>
          </w:tcPr>
          <w:p>
            <w:pPr>
              <w:ind w:left="20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shd w:val="clear" w:color="auto" w:fill="D9DCE1"/>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$550,000</w:t>
            </w:r>
          </w:p>
        </w:tc>
        <w:tc>
          <w:tcPr>
            <w:tcW w:w="220" w:type="dxa"/>
            <w:vAlign w:val="bottom"/>
            <w:tcBorders>
              <w:bottom w:val="single" w:sz="8" w:color="424E6A"/>
              <w:right w:val="single" w:sz="8" w:color="424E6A"/>
            </w:tcBorders>
            <w:shd w:val="clear" w:color="auto" w:fill="D9DCE1"/>
          </w:tcPr>
          <w:p>
            <w:pPr>
              <w:ind w:left="140"/>
              <w:spacing w:after="0"/>
              <w:rPr>
                <w:sz w:val="20"/>
                <w:szCs w:val="20"/>
                <w:color w:val="auto"/>
              </w:rPr>
            </w:pPr>
            <w:r>
              <w:rPr>
                <w:rFonts w:ascii="Arial" w:cs="Arial" w:eastAsia="Arial" w:hAnsi="Arial"/>
                <w:sz w:val="18"/>
                <w:szCs w:val="18"/>
                <w:color w:val="auto"/>
              </w:rPr>
              <w:t>​​</w:t>
            </w:r>
          </w:p>
        </w:tc>
      </w:tr>
      <w:tr>
        <w:trPr>
          <w:trHeight w:val="250"/>
        </w:trPr>
        <w:tc>
          <w:tcPr>
            <w:tcW w:w="378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Richard McGee</w:t>
            </w:r>
          </w:p>
        </w:tc>
        <w:tc>
          <w:tcPr>
            <w:tcW w:w="2160" w:type="dxa"/>
            <w:vAlign w:val="bottom"/>
            <w:tcBorders>
              <w:bottom w:val="single" w:sz="8" w:color="424E6A"/>
              <w:right w:val="single" w:sz="8" w:color="424E6A"/>
            </w:tcBorders>
          </w:tcPr>
          <w:p>
            <w:pPr>
              <w:ind w:left="20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$550,000</w:t>
            </w:r>
          </w:p>
        </w:tc>
        <w:tc>
          <w:tcPr>
            <w:tcW w:w="220" w:type="dxa"/>
            <w:vAlign w:val="bottom"/>
            <w:tcBorders>
              <w:bottom w:val="single" w:sz="8" w:color="424E6A"/>
              <w:right w:val="single" w:sz="8" w:color="424E6A"/>
            </w:tcBorders>
          </w:tcPr>
          <w:p>
            <w:pPr>
              <w:ind w:left="140"/>
              <w:spacing w:after="0"/>
              <w:rPr>
                <w:sz w:val="20"/>
                <w:szCs w:val="20"/>
                <w:color w:val="auto"/>
              </w:rPr>
            </w:pPr>
            <w:r>
              <w:rPr>
                <w:rFonts w:ascii="Arial" w:cs="Arial" w:eastAsia="Arial" w:hAnsi="Arial"/>
                <w:sz w:val="18"/>
                <w:szCs w:val="18"/>
                <w:color w:val="auto"/>
              </w:rPr>
              <w:t>​​</w:t>
            </w:r>
          </w:p>
        </w:tc>
      </w:tr>
      <w:tr>
        <w:trPr>
          <w:trHeight w:val="250"/>
        </w:trPr>
        <w:tc>
          <w:tcPr>
            <w:tcW w:w="378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 Chandler</w:t>
            </w:r>
          </w:p>
        </w:tc>
        <w:tc>
          <w:tcPr>
            <w:tcW w:w="2160" w:type="dxa"/>
            <w:vAlign w:val="bottom"/>
            <w:tcBorders>
              <w:bottom w:val="single" w:sz="8" w:color="424E6A"/>
              <w:right w:val="single" w:sz="8" w:color="424E6A"/>
            </w:tcBorders>
            <w:shd w:val="clear" w:color="auto" w:fill="D9DCE1"/>
          </w:tcPr>
          <w:p>
            <w:pPr>
              <w:ind w:left="20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shd w:val="clear" w:color="auto" w:fill="D9DCE1"/>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$600,000</w:t>
            </w:r>
          </w:p>
        </w:tc>
        <w:tc>
          <w:tcPr>
            <w:tcW w:w="220" w:type="dxa"/>
            <w:vAlign w:val="bottom"/>
            <w:tcBorders>
              <w:bottom w:val="single" w:sz="8" w:color="424E6A"/>
              <w:right w:val="single" w:sz="8" w:color="424E6A"/>
            </w:tcBorders>
            <w:shd w:val="clear" w:color="auto" w:fill="D9DCE1"/>
          </w:tcPr>
          <w:p>
            <w:pPr>
              <w:ind w:left="140"/>
              <w:spacing w:after="0"/>
              <w:rPr>
                <w:sz w:val="20"/>
                <w:szCs w:val="20"/>
                <w:color w:val="auto"/>
              </w:rPr>
            </w:pPr>
            <w:r>
              <w:rPr>
                <w:rFonts w:ascii="Arial" w:cs="Arial" w:eastAsia="Arial" w:hAnsi="Arial"/>
                <w:sz w:val="18"/>
                <w:szCs w:val="18"/>
                <w:color w:val="auto"/>
              </w:rPr>
              <w:t>​​</w:t>
            </w:r>
          </w:p>
        </w:tc>
      </w:tr>
      <w:tr>
        <w:trPr>
          <w:trHeight w:val="250"/>
        </w:trPr>
        <w:tc>
          <w:tcPr>
            <w:tcW w:w="378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Jeremy Goebel</w:t>
            </w:r>
          </w:p>
        </w:tc>
        <w:tc>
          <w:tcPr>
            <w:tcW w:w="2160" w:type="dxa"/>
            <w:vAlign w:val="bottom"/>
            <w:tcBorders>
              <w:bottom w:val="single" w:sz="8" w:color="424E6A"/>
              <w:right w:val="single" w:sz="8" w:color="424E6A"/>
            </w:tcBorders>
          </w:tcPr>
          <w:p>
            <w:pPr>
              <w:ind w:left="20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$600,000</w:t>
            </w:r>
          </w:p>
        </w:tc>
        <w:tc>
          <w:tcPr>
            <w:tcW w:w="220" w:type="dxa"/>
            <w:vAlign w:val="bottom"/>
            <w:tcBorders>
              <w:bottom w:val="single" w:sz="8" w:color="424E6A"/>
              <w:right w:val="single" w:sz="8" w:color="424E6A"/>
            </w:tcBorders>
          </w:tcPr>
          <w:p>
            <w:pPr>
              <w:ind w:left="140"/>
              <w:spacing w:after="0"/>
              <w:rPr>
                <w:sz w:val="20"/>
                <w:szCs w:val="20"/>
                <w:color w:val="auto"/>
              </w:rPr>
            </w:pPr>
            <w:r>
              <w:rPr>
                <w:rFonts w:ascii="Arial" w:cs="Arial" w:eastAsia="Arial" w:hAnsi="Arial"/>
                <w:sz w:val="18"/>
                <w:szCs w:val="18"/>
                <w:color w:val="auto"/>
              </w:rPr>
              <w:t>​​</w:t>
            </w:r>
          </w:p>
        </w:tc>
      </w:tr>
    </w:tbl>
    <w:p>
      <w:pPr>
        <w:spacing w:after="0" w:line="116" w:lineRule="exact"/>
        <w:rPr>
          <w:sz w:val="20"/>
          <w:szCs w:val="20"/>
          <w:color w:val="auto"/>
        </w:rPr>
      </w:pPr>
    </w:p>
    <w:p>
      <w:pPr>
        <w:jc w:val="both"/>
        <w:ind w:left="1260" w:right="559" w:firstLine="360"/>
        <w:spacing w:after="0" w:line="291" w:lineRule="auto"/>
        <w:rPr>
          <w:sz w:val="20"/>
          <w:szCs w:val="20"/>
          <w:color w:val="auto"/>
        </w:rPr>
      </w:pPr>
      <w:r>
        <w:rPr>
          <w:rFonts w:ascii="Arial" w:cs="Arial" w:eastAsia="Arial" w:hAnsi="Arial"/>
          <w:sz w:val="17"/>
          <w:szCs w:val="17"/>
          <w:i w:val="1"/>
          <w:iCs w:val="1"/>
          <w:color w:val="auto"/>
        </w:rPr>
        <w:t xml:space="preserve">Annual Cash Incentive Awards. </w:t>
      </w:r>
      <w:r>
        <w:rPr>
          <w:rFonts w:ascii="Arial" w:cs="Arial" w:eastAsia="Arial" w:hAnsi="Arial"/>
          <w:sz w:val="17"/>
          <w:szCs w:val="17"/>
          <w:color w:val="auto"/>
        </w:rPr>
        <w:t>Annual bonus targets, expressed as a percentage of base salary,</w:t>
      </w:r>
      <w:r>
        <w:rPr>
          <w:rFonts w:ascii="Arial" w:cs="Arial" w:eastAsia="Arial" w:hAnsi="Arial"/>
          <w:sz w:val="17"/>
          <w:szCs w:val="17"/>
          <w:i w:val="1"/>
          <w:iCs w:val="1"/>
          <w:color w:val="auto"/>
        </w:rPr>
        <w:t xml:space="preserve"> </w:t>
      </w:r>
      <w:r>
        <w:rPr>
          <w:rFonts w:ascii="Arial" w:cs="Arial" w:eastAsia="Arial" w:hAnsi="Arial"/>
          <w:sz w:val="17"/>
          <w:szCs w:val="17"/>
          <w:color w:val="auto"/>
        </w:rPr>
        <w:t>were also adjusted in February 2022. Following the February 2022 adjustments, annual bonus targets for the Named Executive Officers, expressed as a percentage of base salary,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630" w:type="dxa"/>
        <w:tblCellMar>
          <w:top w:w="0" w:type="dxa"/>
          <w:left w:w="0" w:type="dxa"/>
          <w:bottom w:w="0" w:type="dxa"/>
          <w:right w:w="0" w:type="dxa"/>
        </w:tblCellMar>
      </w:tblPr>
      <w:tr>
        <w:trPr>
          <w:trHeight w:val="207"/>
        </w:trPr>
        <w:tc>
          <w:tcPr>
            <w:tcW w:w="3340" w:type="dxa"/>
            <w:vAlign w:val="bottom"/>
            <w:tcBorders>
              <w:left w:val="single" w:sz="8" w:color="424E6A"/>
            </w:tcBorders>
            <w:shd w:val="clear" w:color="auto" w:fill="424E6A"/>
          </w:tcPr>
          <w:p>
            <w:pPr>
              <w:spacing w:after="0"/>
              <w:rPr>
                <w:sz w:val="17"/>
                <w:szCs w:val="17"/>
                <w:color w:val="auto"/>
              </w:rPr>
            </w:pPr>
          </w:p>
        </w:tc>
        <w:tc>
          <w:tcPr>
            <w:tcW w:w="1740" w:type="dxa"/>
            <w:vAlign w:val="bottom"/>
            <w:tcBorders>
              <w:right w:val="single" w:sz="8" w:color="424E6A"/>
            </w:tcBorders>
            <w:shd w:val="clear" w:color="auto" w:fill="424E6A"/>
          </w:tcPr>
          <w:p>
            <w:pPr>
              <w:spacing w:after="0"/>
              <w:rPr>
                <w:sz w:val="17"/>
                <w:szCs w:val="17"/>
                <w:color w:val="auto"/>
              </w:rPr>
            </w:pPr>
          </w:p>
        </w:tc>
        <w:tc>
          <w:tcPr>
            <w:tcW w:w="280" w:type="dxa"/>
            <w:vAlign w:val="bottom"/>
            <w:shd w:val="clear" w:color="auto" w:fill="424E6A"/>
          </w:tcPr>
          <w:p>
            <w:pPr>
              <w:spacing w:after="0"/>
              <w:rPr>
                <w:sz w:val="17"/>
                <w:szCs w:val="17"/>
                <w:color w:val="auto"/>
              </w:rPr>
            </w:pPr>
          </w:p>
        </w:tc>
        <w:tc>
          <w:tcPr>
            <w:tcW w:w="1840" w:type="dxa"/>
            <w:vAlign w:val="bottom"/>
            <w:shd w:val="clear" w:color="auto" w:fill="424E6A"/>
          </w:tcPr>
          <w:p>
            <w:pPr>
              <w:ind w:left="180"/>
              <w:spacing w:after="0"/>
              <w:rPr>
                <w:sz w:val="20"/>
                <w:szCs w:val="20"/>
                <w:color w:val="auto"/>
              </w:rPr>
            </w:pPr>
            <w:r>
              <w:rPr>
                <w:rFonts w:ascii="Arial" w:cs="Arial" w:eastAsia="Arial" w:hAnsi="Arial"/>
                <w:sz w:val="14"/>
                <w:szCs w:val="14"/>
                <w:b w:val="1"/>
                <w:bCs w:val="1"/>
                <w:color w:val="FFFFFF"/>
              </w:rPr>
              <w:t>Annual Bonus Target</w:t>
            </w:r>
          </w:p>
        </w:tc>
        <w:tc>
          <w:tcPr>
            <w:tcW w:w="280" w:type="dxa"/>
            <w:vAlign w:val="bottom"/>
            <w:tcBorders>
              <w:right w:val="single" w:sz="8" w:color="424E6A"/>
            </w:tcBorders>
            <w:shd w:val="clear" w:color="auto" w:fill="424E6A"/>
          </w:tcPr>
          <w:p>
            <w:pPr>
              <w:spacing w:after="0"/>
              <w:rPr>
                <w:sz w:val="17"/>
                <w:szCs w:val="17"/>
                <w:color w:val="auto"/>
              </w:rPr>
            </w:pPr>
          </w:p>
        </w:tc>
      </w:tr>
      <w:tr>
        <w:trPr>
          <w:trHeight w:val="212"/>
        </w:trPr>
        <w:tc>
          <w:tcPr>
            <w:tcW w:w="3340" w:type="dxa"/>
            <w:vAlign w:val="bottom"/>
            <w:tcBorders>
              <w:left w:val="single" w:sz="8" w:color="424E6A"/>
            </w:tcBorders>
            <w:shd w:val="clear" w:color="auto" w:fill="424E6A"/>
          </w:tcPr>
          <w:p>
            <w:pPr>
              <w:ind w:left="2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Named Executive Officer</w:t>
            </w:r>
          </w:p>
        </w:tc>
        <w:tc>
          <w:tcPr>
            <w:tcW w:w="4140" w:type="dxa"/>
            <w:vAlign w:val="bottom"/>
            <w:tcBorders>
              <w:right w:val="single" w:sz="8" w:color="424E6A"/>
            </w:tcBorders>
            <w:gridSpan w:val="4"/>
            <w:shd w:val="clear" w:color="auto" w:fill="424E6A"/>
          </w:tcPr>
          <w:p>
            <w:pPr>
              <w:ind w:left="162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(as a Percentage of Base Salary) </w:t>
            </w:r>
            <w:r>
              <w:rPr>
                <w:rFonts w:ascii="Arial" w:cs="Arial" w:eastAsia="Arial" w:hAnsi="Arial"/>
                <w:sz w:val="22"/>
                <w:szCs w:val="22"/>
                <w:b w:val="1"/>
                <w:bCs w:val="1"/>
                <w:color w:val="FFFFFF"/>
                <w:vertAlign w:val="subscript"/>
              </w:rPr>
              <w:t>​</w:t>
            </w:r>
          </w:p>
        </w:tc>
      </w:tr>
      <w:tr>
        <w:trPr>
          <w:trHeight w:val="256"/>
        </w:trPr>
        <w:tc>
          <w:tcPr>
            <w:tcW w:w="3340" w:type="dxa"/>
            <w:vAlign w:val="bottom"/>
            <w:tcBorders>
              <w:left w:val="single" w:sz="8" w:color="424E6A"/>
              <w:bottom w:val="single" w:sz="8" w:color="424E6A"/>
            </w:tcBorders>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Willie Chiang</w:t>
            </w:r>
          </w:p>
        </w:tc>
        <w:tc>
          <w:tcPr>
            <w:tcW w:w="1740" w:type="dxa"/>
            <w:vAlign w:val="bottom"/>
            <w:tcBorders>
              <w:bottom w:val="single" w:sz="8" w:color="424E6A"/>
              <w:right w:val="single" w:sz="8" w:color="424E6A"/>
            </w:tcBorders>
            <w:shd w:val="clear" w:color="auto" w:fill="D9DCE1"/>
          </w:tcPr>
          <w:p>
            <w:pPr>
              <w:ind w:left="16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424E6A"/>
            </w:tcBorders>
            <w:shd w:val="clear" w:color="auto" w:fill="D9DCE1"/>
          </w:tcPr>
          <w:p>
            <w:pPr>
              <w:ind w:left="760"/>
              <w:spacing w:after="0"/>
              <w:rPr>
                <w:sz w:val="20"/>
                <w:szCs w:val="20"/>
                <w:color w:val="auto"/>
              </w:rPr>
            </w:pPr>
            <w:r>
              <w:rPr>
                <w:rFonts w:ascii="Arial" w:cs="Arial" w:eastAsia="Arial" w:hAnsi="Arial"/>
                <w:sz w:val="18"/>
                <w:szCs w:val="18"/>
                <w:color w:val="auto"/>
              </w:rPr>
              <w:t>​250%</w:t>
            </w:r>
          </w:p>
        </w:tc>
        <w:tc>
          <w:tcPr>
            <w:tcW w:w="280" w:type="dxa"/>
            <w:vAlign w:val="bottom"/>
            <w:tcBorders>
              <w:bottom w:val="single" w:sz="8" w:color="424E6A"/>
              <w:right w:val="single" w:sz="8" w:color="424E6A"/>
            </w:tcBorders>
            <w:shd w:val="clear" w:color="auto" w:fill="D9DCE1"/>
          </w:tcPr>
          <w:p>
            <w:pPr>
              <w:ind w:left="200"/>
              <w:spacing w:after="0"/>
              <w:rPr>
                <w:sz w:val="20"/>
                <w:szCs w:val="20"/>
                <w:color w:val="auto"/>
              </w:rPr>
            </w:pPr>
            <w:r>
              <w:rPr>
                <w:rFonts w:ascii="Arial" w:cs="Arial" w:eastAsia="Arial" w:hAnsi="Arial"/>
                <w:sz w:val="18"/>
                <w:szCs w:val="18"/>
                <w:color w:val="auto"/>
              </w:rPr>
              <w:t>​​</w:t>
            </w:r>
          </w:p>
        </w:tc>
      </w:tr>
      <w:tr>
        <w:trPr>
          <w:trHeight w:val="250"/>
        </w:trPr>
        <w:tc>
          <w:tcPr>
            <w:tcW w:w="334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Harry Pefanis</w:t>
            </w:r>
          </w:p>
        </w:tc>
        <w:tc>
          <w:tcPr>
            <w:tcW w:w="1740" w:type="dxa"/>
            <w:vAlign w:val="bottom"/>
            <w:tcBorders>
              <w:bottom w:val="single" w:sz="8" w:color="424E6A"/>
              <w:right w:val="single" w:sz="8" w:color="424E6A"/>
            </w:tcBorders>
          </w:tcPr>
          <w:p>
            <w:pPr>
              <w:ind w:left="16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424E6A"/>
            </w:tcBorders>
          </w:tcPr>
          <w:p>
            <w:pPr>
              <w:ind w:left="760"/>
              <w:spacing w:after="0"/>
              <w:rPr>
                <w:sz w:val="20"/>
                <w:szCs w:val="20"/>
                <w:color w:val="auto"/>
              </w:rPr>
            </w:pPr>
            <w:r>
              <w:rPr>
                <w:rFonts w:ascii="Arial" w:cs="Arial" w:eastAsia="Arial" w:hAnsi="Arial"/>
                <w:sz w:val="18"/>
                <w:szCs w:val="18"/>
                <w:color w:val="auto"/>
              </w:rPr>
              <w:t>​200%</w:t>
            </w:r>
          </w:p>
        </w:tc>
        <w:tc>
          <w:tcPr>
            <w:tcW w:w="280" w:type="dxa"/>
            <w:vAlign w:val="bottom"/>
            <w:tcBorders>
              <w:bottom w:val="single" w:sz="8" w:color="424E6A"/>
              <w:right w:val="single" w:sz="8" w:color="424E6A"/>
            </w:tcBorders>
          </w:tcPr>
          <w:p>
            <w:pPr>
              <w:ind w:left="200"/>
              <w:spacing w:after="0"/>
              <w:rPr>
                <w:sz w:val="20"/>
                <w:szCs w:val="20"/>
                <w:color w:val="auto"/>
              </w:rPr>
            </w:pPr>
            <w:r>
              <w:rPr>
                <w:rFonts w:ascii="Arial" w:cs="Arial" w:eastAsia="Arial" w:hAnsi="Arial"/>
                <w:sz w:val="18"/>
                <w:szCs w:val="18"/>
                <w:color w:val="auto"/>
              </w:rPr>
              <w:t>​​</w:t>
            </w:r>
          </w:p>
        </w:tc>
      </w:tr>
      <w:tr>
        <w:trPr>
          <w:trHeight w:val="250"/>
        </w:trPr>
        <w:tc>
          <w:tcPr>
            <w:tcW w:w="334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 Swanson</w:t>
            </w:r>
          </w:p>
        </w:tc>
        <w:tc>
          <w:tcPr>
            <w:tcW w:w="1740" w:type="dxa"/>
            <w:vAlign w:val="bottom"/>
            <w:tcBorders>
              <w:bottom w:val="single" w:sz="8" w:color="424E6A"/>
              <w:right w:val="single" w:sz="8" w:color="424E6A"/>
            </w:tcBorders>
            <w:shd w:val="clear" w:color="auto" w:fill="D9DCE1"/>
          </w:tcPr>
          <w:p>
            <w:pPr>
              <w:ind w:left="16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424E6A"/>
            </w:tcBorders>
            <w:shd w:val="clear" w:color="auto" w:fill="D9DCE1"/>
          </w:tcPr>
          <w:p>
            <w:pPr>
              <w:ind w:left="760"/>
              <w:spacing w:after="0"/>
              <w:rPr>
                <w:sz w:val="20"/>
                <w:szCs w:val="20"/>
                <w:color w:val="auto"/>
              </w:rPr>
            </w:pPr>
            <w:r>
              <w:rPr>
                <w:rFonts w:ascii="Arial" w:cs="Arial" w:eastAsia="Arial" w:hAnsi="Arial"/>
                <w:sz w:val="18"/>
                <w:szCs w:val="18"/>
                <w:color w:val="auto"/>
              </w:rPr>
              <w:t>​150%</w:t>
            </w:r>
          </w:p>
        </w:tc>
        <w:tc>
          <w:tcPr>
            <w:tcW w:w="280" w:type="dxa"/>
            <w:vAlign w:val="bottom"/>
            <w:tcBorders>
              <w:bottom w:val="single" w:sz="8" w:color="424E6A"/>
              <w:right w:val="single" w:sz="8" w:color="424E6A"/>
            </w:tcBorders>
            <w:shd w:val="clear" w:color="auto" w:fill="D9DCE1"/>
          </w:tcPr>
          <w:p>
            <w:pPr>
              <w:ind w:left="200"/>
              <w:spacing w:after="0"/>
              <w:rPr>
                <w:sz w:val="20"/>
                <w:szCs w:val="20"/>
                <w:color w:val="auto"/>
              </w:rPr>
            </w:pPr>
            <w:r>
              <w:rPr>
                <w:rFonts w:ascii="Arial" w:cs="Arial" w:eastAsia="Arial" w:hAnsi="Arial"/>
                <w:sz w:val="18"/>
                <w:szCs w:val="18"/>
                <w:color w:val="auto"/>
              </w:rPr>
              <w:t>​​</w:t>
            </w:r>
          </w:p>
        </w:tc>
      </w:tr>
      <w:tr>
        <w:trPr>
          <w:trHeight w:val="250"/>
        </w:trPr>
        <w:tc>
          <w:tcPr>
            <w:tcW w:w="334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Richard McGee</w:t>
            </w:r>
          </w:p>
        </w:tc>
        <w:tc>
          <w:tcPr>
            <w:tcW w:w="1740" w:type="dxa"/>
            <w:vAlign w:val="bottom"/>
            <w:tcBorders>
              <w:bottom w:val="single" w:sz="8" w:color="424E6A"/>
              <w:right w:val="single" w:sz="8" w:color="424E6A"/>
            </w:tcBorders>
          </w:tcPr>
          <w:p>
            <w:pPr>
              <w:ind w:left="16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424E6A"/>
            </w:tcBorders>
          </w:tcPr>
          <w:p>
            <w:pPr>
              <w:ind w:left="760"/>
              <w:spacing w:after="0"/>
              <w:rPr>
                <w:sz w:val="20"/>
                <w:szCs w:val="20"/>
                <w:color w:val="auto"/>
              </w:rPr>
            </w:pPr>
            <w:r>
              <w:rPr>
                <w:rFonts w:ascii="Arial" w:cs="Arial" w:eastAsia="Arial" w:hAnsi="Arial"/>
                <w:sz w:val="18"/>
                <w:szCs w:val="18"/>
                <w:color w:val="auto"/>
              </w:rPr>
              <w:t>​150%</w:t>
            </w:r>
          </w:p>
        </w:tc>
        <w:tc>
          <w:tcPr>
            <w:tcW w:w="280" w:type="dxa"/>
            <w:vAlign w:val="bottom"/>
            <w:tcBorders>
              <w:bottom w:val="single" w:sz="8" w:color="424E6A"/>
              <w:right w:val="single" w:sz="8" w:color="424E6A"/>
            </w:tcBorders>
          </w:tcPr>
          <w:p>
            <w:pPr>
              <w:ind w:left="200"/>
              <w:spacing w:after="0"/>
              <w:rPr>
                <w:sz w:val="20"/>
                <w:szCs w:val="20"/>
                <w:color w:val="auto"/>
              </w:rPr>
            </w:pPr>
            <w:r>
              <w:rPr>
                <w:rFonts w:ascii="Arial" w:cs="Arial" w:eastAsia="Arial" w:hAnsi="Arial"/>
                <w:sz w:val="18"/>
                <w:szCs w:val="18"/>
                <w:color w:val="auto"/>
              </w:rPr>
              <w:t>​​</w:t>
            </w:r>
          </w:p>
        </w:tc>
      </w:tr>
      <w:tr>
        <w:trPr>
          <w:trHeight w:val="250"/>
        </w:trPr>
        <w:tc>
          <w:tcPr>
            <w:tcW w:w="334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 Chandler</w:t>
            </w:r>
          </w:p>
        </w:tc>
        <w:tc>
          <w:tcPr>
            <w:tcW w:w="1740" w:type="dxa"/>
            <w:vAlign w:val="bottom"/>
            <w:tcBorders>
              <w:bottom w:val="single" w:sz="8" w:color="424E6A"/>
              <w:right w:val="single" w:sz="8" w:color="424E6A"/>
            </w:tcBorders>
            <w:shd w:val="clear" w:color="auto" w:fill="D9DCE1"/>
          </w:tcPr>
          <w:p>
            <w:pPr>
              <w:ind w:left="16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424E6A"/>
            </w:tcBorders>
            <w:shd w:val="clear" w:color="auto" w:fill="D9DCE1"/>
          </w:tcPr>
          <w:p>
            <w:pPr>
              <w:ind w:left="760"/>
              <w:spacing w:after="0"/>
              <w:rPr>
                <w:sz w:val="20"/>
                <w:szCs w:val="20"/>
                <w:color w:val="auto"/>
              </w:rPr>
            </w:pPr>
            <w:r>
              <w:rPr>
                <w:rFonts w:ascii="Arial" w:cs="Arial" w:eastAsia="Arial" w:hAnsi="Arial"/>
                <w:sz w:val="18"/>
                <w:szCs w:val="18"/>
                <w:color w:val="auto"/>
              </w:rPr>
              <w:t>​150%</w:t>
            </w:r>
          </w:p>
        </w:tc>
        <w:tc>
          <w:tcPr>
            <w:tcW w:w="280" w:type="dxa"/>
            <w:vAlign w:val="bottom"/>
            <w:tcBorders>
              <w:bottom w:val="single" w:sz="8" w:color="424E6A"/>
              <w:right w:val="single" w:sz="8" w:color="424E6A"/>
            </w:tcBorders>
            <w:shd w:val="clear" w:color="auto" w:fill="D9DCE1"/>
          </w:tcPr>
          <w:p>
            <w:pPr>
              <w:ind w:left="200"/>
              <w:spacing w:after="0"/>
              <w:rPr>
                <w:sz w:val="20"/>
                <w:szCs w:val="20"/>
                <w:color w:val="auto"/>
              </w:rPr>
            </w:pPr>
            <w:r>
              <w:rPr>
                <w:rFonts w:ascii="Arial" w:cs="Arial" w:eastAsia="Arial" w:hAnsi="Arial"/>
                <w:sz w:val="18"/>
                <w:szCs w:val="18"/>
                <w:color w:val="auto"/>
              </w:rPr>
              <w:t>​​</w:t>
            </w:r>
          </w:p>
        </w:tc>
      </w:tr>
      <w:tr>
        <w:trPr>
          <w:trHeight w:val="250"/>
        </w:trPr>
        <w:tc>
          <w:tcPr>
            <w:tcW w:w="334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Jeremy Goebel</w:t>
            </w:r>
          </w:p>
        </w:tc>
        <w:tc>
          <w:tcPr>
            <w:tcW w:w="1740" w:type="dxa"/>
            <w:vAlign w:val="bottom"/>
            <w:tcBorders>
              <w:bottom w:val="single" w:sz="8" w:color="424E6A"/>
              <w:right w:val="single" w:sz="8" w:color="424E6A"/>
            </w:tcBorders>
          </w:tcPr>
          <w:p>
            <w:pPr>
              <w:ind w:left="16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424E6A"/>
            </w:tcBorders>
          </w:tcPr>
          <w:p>
            <w:pPr>
              <w:ind w:left="760"/>
              <w:spacing w:after="0"/>
              <w:rPr>
                <w:sz w:val="20"/>
                <w:szCs w:val="20"/>
                <w:color w:val="auto"/>
              </w:rPr>
            </w:pPr>
            <w:r>
              <w:rPr>
                <w:rFonts w:ascii="Arial" w:cs="Arial" w:eastAsia="Arial" w:hAnsi="Arial"/>
                <w:sz w:val="18"/>
                <w:szCs w:val="18"/>
                <w:color w:val="auto"/>
              </w:rPr>
              <w:t>​150%</w:t>
            </w:r>
          </w:p>
        </w:tc>
        <w:tc>
          <w:tcPr>
            <w:tcW w:w="280" w:type="dxa"/>
            <w:vAlign w:val="bottom"/>
            <w:tcBorders>
              <w:bottom w:val="single" w:sz="8" w:color="424E6A"/>
              <w:right w:val="single" w:sz="8" w:color="424E6A"/>
            </w:tcBorders>
          </w:tcPr>
          <w:p>
            <w:pPr>
              <w:ind w:left="200"/>
              <w:spacing w:after="0"/>
              <w:rPr>
                <w:sz w:val="20"/>
                <w:szCs w:val="20"/>
                <w:color w:val="auto"/>
              </w:rPr>
            </w:pPr>
            <w:r>
              <w:rPr>
                <w:rFonts w:ascii="Arial" w:cs="Arial" w:eastAsia="Arial" w:hAnsi="Arial"/>
                <w:sz w:val="18"/>
                <w:szCs w:val="18"/>
                <w:color w:val="auto"/>
              </w:rPr>
              <w:t>​​</w:t>
            </w:r>
          </w:p>
        </w:tc>
      </w:tr>
    </w:tbl>
    <w:p>
      <w:pPr>
        <w:spacing w:after="0" w:line="143"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The goals (and weightings) for 2022 cash incentive awards established at the beginning of the year were company performance (67% overall weighting allocated among Adjusted EBITDA attributable to PAA (40%), DCF per common unit and CUE (40%) and safety/environmental (20%)) and individual performance (33% weighting). The minimum and maximum payout levels of 0% and 200%, respectively, for Adjusted EBITDA attributable to PAA and DCF per common unit and CUE were set at 92.5% and 110%, respectively, of the applicable target with linear interpolation between those points, while the minimum and maximum payout levels of 0% and 200%, respectively, for safety and environmental metrics were set at 10% improvement and 30% improvement, respectively, over 2020 results with linear interpolation between those points (2020 results were used as the benchmark for reductions given that 2021 results for each metric were higher than our 2020 results). Individual performance metric payouts were determined by the Compensation Committee based on its assessment of individual contributions towards our 2022 goals and objectives.</w:t>
      </w:r>
    </w:p>
    <w:p>
      <w:pPr>
        <w:spacing w:after="0" w:line="127" w:lineRule="exact"/>
        <w:rPr>
          <w:sz w:val="20"/>
          <w:szCs w:val="20"/>
          <w:color w:val="auto"/>
        </w:rPr>
      </w:pPr>
    </w:p>
    <w:p>
      <w:pPr>
        <w:ind w:left="1260" w:right="639" w:firstLine="360"/>
        <w:spacing w:after="0" w:line="276" w:lineRule="auto"/>
        <w:rPr>
          <w:sz w:val="20"/>
          <w:szCs w:val="20"/>
          <w:color w:val="auto"/>
        </w:rPr>
      </w:pPr>
      <w:r>
        <w:rPr>
          <w:rFonts w:ascii="Arial" w:cs="Arial" w:eastAsia="Arial" w:hAnsi="Arial"/>
          <w:sz w:val="18"/>
          <w:szCs w:val="18"/>
          <w:color w:val="auto"/>
        </w:rPr>
        <w:t>The tables below reflect the weighting, payout range and actual results for each company performance metric. Individual performance scores and payout calculations are set forth below under “— Individual Performance.”</w:t>
      </w:r>
    </w:p>
    <w:p>
      <w:pPr>
        <w:spacing w:after="0" w:line="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Company Performance Payout Thresholds &amp; Ranges: (interpolate between points)</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335"/>
        </w:trPr>
        <w:tc>
          <w:tcPr>
            <w:tcW w:w="20" w:type="dxa"/>
            <w:vAlign w:val="bottom"/>
            <w:shd w:val="clear" w:color="auto" w:fill="424E6A"/>
          </w:tcPr>
          <w:p>
            <w:pPr>
              <w:spacing w:after="0"/>
              <w:rPr>
                <w:sz w:val="24"/>
                <w:szCs w:val="24"/>
                <w:color w:val="auto"/>
              </w:rPr>
            </w:pPr>
          </w:p>
        </w:tc>
        <w:tc>
          <w:tcPr>
            <w:tcW w:w="2640" w:type="dxa"/>
            <w:vAlign w:val="bottom"/>
            <w:gridSpan w:val="2"/>
            <w:shd w:val="clear" w:color="auto" w:fill="424E6A"/>
          </w:tcPr>
          <w:p>
            <w:pPr>
              <w:ind w:left="2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(67% weighting)</w:t>
            </w:r>
          </w:p>
        </w:tc>
        <w:tc>
          <w:tcPr>
            <w:tcW w:w="200" w:type="dxa"/>
            <w:vAlign w:val="bottom"/>
            <w:shd w:val="clear" w:color="auto" w:fill="424E6A"/>
          </w:tcPr>
          <w:p>
            <w:pPr>
              <w:spacing w:after="0"/>
              <w:rPr>
                <w:sz w:val="24"/>
                <w:szCs w:val="24"/>
                <w:color w:val="auto"/>
              </w:rPr>
            </w:pPr>
          </w:p>
        </w:tc>
        <w:tc>
          <w:tcPr>
            <w:tcW w:w="880" w:type="dxa"/>
            <w:vAlign w:val="bottom"/>
            <w:shd w:val="clear" w:color="auto" w:fill="424E6A"/>
          </w:tcPr>
          <w:p>
            <w:pPr>
              <w:spacing w:after="0"/>
              <w:rPr>
                <w:sz w:val="24"/>
                <w:szCs w:val="24"/>
                <w:color w:val="auto"/>
              </w:rPr>
            </w:pPr>
          </w:p>
        </w:tc>
        <w:tc>
          <w:tcPr>
            <w:tcW w:w="1140" w:type="dxa"/>
            <w:vAlign w:val="bottom"/>
            <w:gridSpan w:val="3"/>
            <w:shd w:val="clear" w:color="auto" w:fill="424E6A"/>
          </w:tcPr>
          <w:p>
            <w:pPr>
              <w:ind w:left="40"/>
              <w:spacing w:after="0"/>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Threshold </w:t>
            </w:r>
            <w:r>
              <w:rPr>
                <w:rFonts w:ascii="Arial" w:cs="Arial" w:eastAsia="Arial" w:hAnsi="Arial"/>
                <w:sz w:val="28"/>
                <w:szCs w:val="28"/>
                <w:b w:val="1"/>
                <w:bCs w:val="1"/>
                <w:color w:val="FFFFFF"/>
                <w:vertAlign w:val="subscript"/>
              </w:rPr>
              <w:t>​ ​</w:t>
            </w:r>
          </w:p>
        </w:tc>
        <w:tc>
          <w:tcPr>
            <w:tcW w:w="940" w:type="dxa"/>
            <w:vAlign w:val="bottom"/>
            <w:gridSpan w:val="5"/>
            <w:shd w:val="clear" w:color="auto" w:fill="424E6A"/>
          </w:tcPr>
          <w:p>
            <w:pPr>
              <w:ind w:left="60"/>
              <w:spacing w:after="0"/>
              <w:rPr>
                <w:sz w:val="20"/>
                <w:szCs w:val="20"/>
                <w:color w:val="auto"/>
              </w:rPr>
            </w:pPr>
            <w:r>
              <w:rPr>
                <w:rFonts w:ascii="Arial" w:cs="Arial" w:eastAsia="Arial" w:hAnsi="Arial"/>
                <w:sz w:val="14"/>
                <w:szCs w:val="14"/>
                <w:b w:val="1"/>
                <w:bCs w:val="1"/>
                <w:color w:val="FFFFFF"/>
              </w:rPr>
              <w:t xml:space="preserve">Target  </w:t>
            </w:r>
            <w:r>
              <w:rPr>
                <w:rFonts w:ascii="Arial" w:cs="Arial" w:eastAsia="Arial" w:hAnsi="Arial"/>
                <w:sz w:val="28"/>
                <w:szCs w:val="28"/>
                <w:b w:val="1"/>
                <w:bCs w:val="1"/>
                <w:color w:val="FFFFFF"/>
                <w:vertAlign w:val="subscript"/>
              </w:rPr>
              <w:t>​ ​</w:t>
            </w:r>
          </w:p>
        </w:tc>
        <w:tc>
          <w:tcPr>
            <w:tcW w:w="500" w:type="dxa"/>
            <w:vAlign w:val="bottom"/>
            <w:gridSpan w:val="2"/>
            <w:shd w:val="clear" w:color="auto" w:fill="424E6A"/>
          </w:tcPr>
          <w:p>
            <w:pPr>
              <w:ind w:left="40"/>
              <w:spacing w:after="0"/>
              <w:rPr>
                <w:sz w:val="20"/>
                <w:szCs w:val="20"/>
                <w:color w:val="auto"/>
              </w:rPr>
            </w:pPr>
            <w:r>
              <w:rPr>
                <w:rFonts w:ascii="Arial" w:cs="Arial" w:eastAsia="Arial" w:hAnsi="Arial"/>
                <w:sz w:val="14"/>
                <w:szCs w:val="14"/>
                <w:b w:val="1"/>
                <w:bCs w:val="1"/>
                <w:color w:val="FFFFFF"/>
              </w:rPr>
              <w:t>Max</w:t>
            </w:r>
          </w:p>
        </w:tc>
        <w:tc>
          <w:tcPr>
            <w:tcW w:w="120" w:type="dxa"/>
            <w:vAlign w:val="bottom"/>
            <w:tcBorders>
              <w:right w:val="single" w:sz="8" w:color="auto"/>
            </w:tcBorders>
            <w:shd w:val="clear" w:color="auto" w:fill="424E6A"/>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424E6A"/>
          </w:tcPr>
          <w:p>
            <w:pPr>
              <w:spacing w:after="0"/>
              <w:rPr>
                <w:sz w:val="19"/>
                <w:szCs w:val="19"/>
                <w:color w:val="auto"/>
              </w:rPr>
            </w:pPr>
          </w:p>
        </w:tc>
        <w:tc>
          <w:tcPr>
            <w:tcW w:w="140" w:type="dxa"/>
            <w:vAlign w:val="bottom"/>
            <w:shd w:val="clear" w:color="auto" w:fill="D9DCE1"/>
          </w:tcPr>
          <w:p>
            <w:pPr>
              <w:spacing w:after="0"/>
              <w:rPr>
                <w:sz w:val="19"/>
                <w:szCs w:val="19"/>
                <w:color w:val="auto"/>
              </w:rPr>
            </w:pPr>
          </w:p>
        </w:tc>
        <w:tc>
          <w:tcPr>
            <w:tcW w:w="3580" w:type="dxa"/>
            <w:vAlign w:val="bottom"/>
            <w:gridSpan w:val="3"/>
            <w:shd w:val="clear" w:color="auto" w:fill="D9DCE1"/>
          </w:tcPr>
          <w:p>
            <w:pPr>
              <w:jc w:val="right"/>
              <w:spacing w:after="0"/>
              <w:rPr>
                <w:sz w:val="20"/>
                <w:szCs w:val="20"/>
                <w:color w:val="auto"/>
              </w:rPr>
            </w:pPr>
            <w:r>
              <w:rPr>
                <w:rFonts w:ascii="Arial" w:cs="Arial" w:eastAsia="Arial" w:hAnsi="Arial"/>
                <w:sz w:val="18"/>
                <w:szCs w:val="18"/>
                <w:color w:val="auto"/>
              </w:rPr>
              <w:t>Adjusted EBITDA attributable to PAA/DCF</w:t>
            </w:r>
          </w:p>
        </w:tc>
        <w:tc>
          <w:tcPr>
            <w:tcW w:w="380" w:type="dxa"/>
            <w:vAlign w:val="bottom"/>
            <w:shd w:val="clear" w:color="auto" w:fill="D9DCE1"/>
          </w:tcPr>
          <w:p>
            <w:pPr>
              <w:spacing w:after="0"/>
              <w:rPr>
                <w:sz w:val="19"/>
                <w:szCs w:val="19"/>
                <w:color w:val="auto"/>
              </w:rPr>
            </w:pPr>
          </w:p>
        </w:tc>
        <w:tc>
          <w:tcPr>
            <w:tcW w:w="360" w:type="dxa"/>
            <w:vAlign w:val="bottom"/>
            <w:shd w:val="clear" w:color="auto" w:fill="D9DCE1"/>
          </w:tcPr>
          <w:p>
            <w:pPr>
              <w:spacing w:after="0"/>
              <w:rPr>
                <w:sz w:val="19"/>
                <w:szCs w:val="19"/>
                <w:color w:val="auto"/>
              </w:rPr>
            </w:pPr>
          </w:p>
        </w:tc>
        <w:tc>
          <w:tcPr>
            <w:tcW w:w="400" w:type="dxa"/>
            <w:vAlign w:val="bottom"/>
            <w:shd w:val="clear" w:color="auto" w:fill="D9DCE1"/>
          </w:tcPr>
          <w:p>
            <w:pPr>
              <w:spacing w:after="0"/>
              <w:rPr>
                <w:sz w:val="19"/>
                <w:szCs w:val="19"/>
                <w:color w:val="auto"/>
              </w:rPr>
            </w:pPr>
          </w:p>
        </w:tc>
        <w:tc>
          <w:tcPr>
            <w:tcW w:w="160" w:type="dxa"/>
            <w:vAlign w:val="bottom"/>
            <w:shd w:val="clear" w:color="auto" w:fill="D9DCE1"/>
          </w:tcPr>
          <w:p>
            <w:pPr>
              <w:spacing w:after="0"/>
              <w:rPr>
                <w:sz w:val="19"/>
                <w:szCs w:val="19"/>
                <w:color w:val="auto"/>
              </w:rPr>
            </w:pPr>
          </w:p>
        </w:tc>
        <w:tc>
          <w:tcPr>
            <w:tcW w:w="120" w:type="dxa"/>
            <w:vAlign w:val="bottom"/>
            <w:shd w:val="clear" w:color="auto" w:fill="D9DCE1"/>
          </w:tcPr>
          <w:p>
            <w:pPr>
              <w:spacing w:after="0"/>
              <w:rPr>
                <w:sz w:val="19"/>
                <w:szCs w:val="19"/>
                <w:color w:val="auto"/>
              </w:rPr>
            </w:pPr>
          </w:p>
        </w:tc>
        <w:tc>
          <w:tcPr>
            <w:tcW w:w="320" w:type="dxa"/>
            <w:vAlign w:val="bottom"/>
            <w:shd w:val="clear" w:color="auto" w:fill="D9DCE1"/>
          </w:tcPr>
          <w:p>
            <w:pPr>
              <w:spacing w:after="0"/>
              <w:rPr>
                <w:sz w:val="19"/>
                <w:szCs w:val="19"/>
                <w:color w:val="auto"/>
              </w:rPr>
            </w:pPr>
          </w:p>
        </w:tc>
        <w:tc>
          <w:tcPr>
            <w:tcW w:w="140" w:type="dxa"/>
            <w:vAlign w:val="bottom"/>
            <w:shd w:val="clear" w:color="auto" w:fill="D9DCE1"/>
          </w:tcPr>
          <w:p>
            <w:pPr>
              <w:spacing w:after="0"/>
              <w:rPr>
                <w:sz w:val="19"/>
                <w:szCs w:val="19"/>
                <w:color w:val="auto"/>
              </w:rPr>
            </w:pPr>
          </w:p>
        </w:tc>
        <w:tc>
          <w:tcPr>
            <w:tcW w:w="200" w:type="dxa"/>
            <w:vAlign w:val="bottom"/>
            <w:shd w:val="clear" w:color="auto" w:fill="D9DCE1"/>
          </w:tcPr>
          <w:p>
            <w:pPr>
              <w:spacing w:after="0"/>
              <w:rPr>
                <w:sz w:val="19"/>
                <w:szCs w:val="19"/>
                <w:color w:val="auto"/>
              </w:rPr>
            </w:pPr>
          </w:p>
        </w:tc>
        <w:tc>
          <w:tcPr>
            <w:tcW w:w="80" w:type="dxa"/>
            <w:vAlign w:val="bottom"/>
            <w:shd w:val="clear" w:color="auto" w:fill="D9DCE1"/>
          </w:tcPr>
          <w:p>
            <w:pPr>
              <w:spacing w:after="0"/>
              <w:rPr>
                <w:sz w:val="19"/>
                <w:szCs w:val="19"/>
                <w:color w:val="auto"/>
              </w:rPr>
            </w:pPr>
          </w:p>
        </w:tc>
        <w:tc>
          <w:tcPr>
            <w:tcW w:w="420" w:type="dxa"/>
            <w:vAlign w:val="bottom"/>
            <w:shd w:val="clear" w:color="auto" w:fill="D9DCE1"/>
          </w:tcPr>
          <w:p>
            <w:pPr>
              <w:spacing w:after="0"/>
              <w:rPr>
                <w:sz w:val="19"/>
                <w:szCs w:val="19"/>
                <w:color w:val="auto"/>
              </w:rPr>
            </w:pPr>
          </w:p>
        </w:tc>
        <w:tc>
          <w:tcPr>
            <w:tcW w:w="120" w:type="dxa"/>
            <w:vAlign w:val="bottom"/>
            <w:tcBorders>
              <w:right w:val="single" w:sz="8" w:color="auto"/>
            </w:tcBorders>
            <w:shd w:val="clear" w:color="auto" w:fill="D9DCE1"/>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424E6A"/>
          </w:tcPr>
          <w:p>
            <w:pPr>
              <w:spacing w:after="0"/>
              <w:rPr>
                <w:sz w:val="15"/>
                <w:szCs w:val="15"/>
                <w:color w:val="auto"/>
              </w:rPr>
            </w:pPr>
          </w:p>
        </w:tc>
        <w:tc>
          <w:tcPr>
            <w:tcW w:w="140" w:type="dxa"/>
            <w:vAlign w:val="bottom"/>
            <w:vMerge w:val="restart"/>
            <w:shd w:val="clear" w:color="auto" w:fill="D9DCE1"/>
          </w:tcPr>
          <w:p>
            <w:pPr>
              <w:ind w:left="20"/>
              <w:spacing w:after="0"/>
              <w:rPr>
                <w:sz w:val="20"/>
                <w:szCs w:val="20"/>
                <w:color w:val="auto"/>
              </w:rPr>
            </w:pPr>
            <w:r>
              <w:rPr>
                <w:rFonts w:ascii="Arial" w:cs="Arial" w:eastAsia="Arial" w:hAnsi="Arial"/>
                <w:sz w:val="18"/>
                <w:szCs w:val="18"/>
                <w:color w:val="auto"/>
              </w:rPr>
              <w:t>​</w:t>
            </w:r>
          </w:p>
        </w:tc>
        <w:tc>
          <w:tcPr>
            <w:tcW w:w="2500" w:type="dxa"/>
            <w:vAlign w:val="bottom"/>
            <w:shd w:val="clear" w:color="auto" w:fill="D9DCE1"/>
          </w:tcPr>
          <w:p>
            <w:pPr>
              <w:spacing w:after="0"/>
              <w:rPr>
                <w:sz w:val="15"/>
                <w:szCs w:val="15"/>
                <w:color w:val="auto"/>
              </w:rPr>
            </w:pPr>
          </w:p>
        </w:tc>
        <w:tc>
          <w:tcPr>
            <w:tcW w:w="200" w:type="dxa"/>
            <w:vAlign w:val="bottom"/>
            <w:shd w:val="clear" w:color="auto" w:fill="D9DCE1"/>
          </w:tcPr>
          <w:p>
            <w:pPr>
              <w:spacing w:after="0"/>
              <w:rPr>
                <w:sz w:val="15"/>
                <w:szCs w:val="15"/>
                <w:color w:val="auto"/>
              </w:rPr>
            </w:pPr>
          </w:p>
        </w:tc>
        <w:tc>
          <w:tcPr>
            <w:tcW w:w="880" w:type="dxa"/>
            <w:vAlign w:val="bottom"/>
            <w:shd w:val="clear" w:color="auto" w:fill="D9DCE1"/>
          </w:tcPr>
          <w:p>
            <w:pPr>
              <w:jc w:val="right"/>
              <w:spacing w:after="0" w:line="181" w:lineRule="exact"/>
              <w:rPr>
                <w:sz w:val="20"/>
                <w:szCs w:val="20"/>
                <w:color w:val="auto"/>
              </w:rPr>
            </w:pPr>
            <w:r>
              <w:rPr>
                <w:rFonts w:ascii="Arial" w:cs="Arial" w:eastAsia="Arial" w:hAnsi="Arial"/>
                <w:sz w:val="18"/>
                <w:szCs w:val="18"/>
                <w:color w:val="auto"/>
              </w:rPr>
              <w:t>(% Target)</w:t>
            </w:r>
          </w:p>
        </w:tc>
        <w:tc>
          <w:tcPr>
            <w:tcW w:w="1140" w:type="dxa"/>
            <w:vAlign w:val="bottom"/>
            <w:gridSpan w:val="3"/>
            <w:shd w:val="clear" w:color="auto" w:fill="D9DCE1"/>
          </w:tcPr>
          <w:p>
            <w:pPr>
              <w:jc w:val="right"/>
              <w:ind w:right="163"/>
              <w:spacing w:after="0" w:line="181" w:lineRule="exact"/>
              <w:rPr>
                <w:sz w:val="20"/>
                <w:szCs w:val="20"/>
                <w:color w:val="auto"/>
              </w:rPr>
            </w:pPr>
            <w:r>
              <w:rPr>
                <w:rFonts w:ascii="Arial" w:cs="Arial" w:eastAsia="Arial" w:hAnsi="Arial"/>
                <w:sz w:val="18"/>
                <w:szCs w:val="18"/>
                <w:color w:val="auto"/>
              </w:rPr>
              <w:t>92.50%</w:t>
            </w:r>
          </w:p>
        </w:tc>
        <w:tc>
          <w:tcPr>
            <w:tcW w:w="600" w:type="dxa"/>
            <w:vAlign w:val="bottom"/>
            <w:gridSpan w:val="3"/>
            <w:shd w:val="clear" w:color="auto" w:fill="D9DCE1"/>
          </w:tcPr>
          <w:p>
            <w:pPr>
              <w:jc w:val="right"/>
              <w:spacing w:after="0" w:line="181" w:lineRule="exact"/>
              <w:rPr>
                <w:sz w:val="20"/>
                <w:szCs w:val="20"/>
                <w:color w:val="auto"/>
              </w:rPr>
            </w:pPr>
            <w:r>
              <w:rPr>
                <w:rFonts w:ascii="Arial" w:cs="Arial" w:eastAsia="Arial" w:hAnsi="Arial"/>
                <w:sz w:val="18"/>
                <w:szCs w:val="18"/>
                <w:color w:val="auto"/>
              </w:rPr>
              <w:t>100%</w:t>
            </w:r>
          </w:p>
        </w:tc>
        <w:tc>
          <w:tcPr>
            <w:tcW w:w="340" w:type="dxa"/>
            <w:vAlign w:val="bottom"/>
            <w:gridSpan w:val="2"/>
            <w:vMerge w:val="restart"/>
            <w:shd w:val="clear" w:color="auto" w:fill="D9DCE1"/>
          </w:tcPr>
          <w:p>
            <w:pPr>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D9DCE1"/>
          </w:tcPr>
          <w:p>
            <w:pPr>
              <w:jc w:val="right"/>
              <w:spacing w:after="0" w:line="181" w:lineRule="exact"/>
              <w:rPr>
                <w:sz w:val="20"/>
                <w:szCs w:val="20"/>
                <w:color w:val="auto"/>
              </w:rPr>
            </w:pPr>
            <w:r>
              <w:rPr>
                <w:rFonts w:ascii="Arial" w:cs="Arial" w:eastAsia="Arial" w:hAnsi="Arial"/>
                <w:sz w:val="18"/>
                <w:szCs w:val="18"/>
                <w:color w:val="auto"/>
              </w:rPr>
              <w:t>110%</w:t>
            </w:r>
          </w:p>
        </w:tc>
        <w:tc>
          <w:tcPr>
            <w:tcW w:w="120" w:type="dxa"/>
            <w:vAlign w:val="bottom"/>
            <w:tcBorders>
              <w:right w:val="single" w:sz="8" w:color="auto"/>
            </w:tcBorders>
            <w:vMerge w:val="restart"/>
            <w:shd w:val="clear" w:color="auto" w:fill="D9DCE1"/>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424E6A"/>
            </w:tcBorders>
            <w:shd w:val="clear" w:color="auto" w:fill="424E6A"/>
          </w:tcPr>
          <w:p>
            <w:pPr>
              <w:spacing w:after="0"/>
              <w:rPr>
                <w:sz w:val="7"/>
                <w:szCs w:val="7"/>
                <w:color w:val="auto"/>
              </w:rPr>
            </w:pPr>
          </w:p>
        </w:tc>
        <w:tc>
          <w:tcPr>
            <w:tcW w:w="140" w:type="dxa"/>
            <w:vAlign w:val="bottom"/>
            <w:tcBorders>
              <w:bottom w:val="single" w:sz="8" w:color="424E6A"/>
            </w:tcBorders>
            <w:vMerge w:val="continue"/>
            <w:shd w:val="clear" w:color="auto" w:fill="D9DCE1"/>
          </w:tcPr>
          <w:p>
            <w:pPr>
              <w:spacing w:after="0"/>
              <w:rPr>
                <w:sz w:val="7"/>
                <w:szCs w:val="7"/>
                <w:color w:val="auto"/>
              </w:rPr>
            </w:pPr>
          </w:p>
        </w:tc>
        <w:tc>
          <w:tcPr>
            <w:tcW w:w="2500" w:type="dxa"/>
            <w:vAlign w:val="bottom"/>
            <w:tcBorders>
              <w:bottom w:val="single" w:sz="8" w:color="424E6A"/>
            </w:tcBorders>
            <w:shd w:val="clear" w:color="auto" w:fill="D9DCE1"/>
          </w:tcPr>
          <w:p>
            <w:pPr>
              <w:spacing w:after="0"/>
              <w:rPr>
                <w:sz w:val="7"/>
                <w:szCs w:val="7"/>
                <w:color w:val="auto"/>
              </w:rPr>
            </w:pPr>
          </w:p>
        </w:tc>
        <w:tc>
          <w:tcPr>
            <w:tcW w:w="200" w:type="dxa"/>
            <w:vAlign w:val="bottom"/>
            <w:tcBorders>
              <w:bottom w:val="single" w:sz="8" w:color="424E6A"/>
            </w:tcBorders>
            <w:shd w:val="clear" w:color="auto" w:fill="D9DCE1"/>
          </w:tcPr>
          <w:p>
            <w:pPr>
              <w:spacing w:after="0"/>
              <w:rPr>
                <w:sz w:val="7"/>
                <w:szCs w:val="7"/>
                <w:color w:val="auto"/>
              </w:rPr>
            </w:pPr>
          </w:p>
        </w:tc>
        <w:tc>
          <w:tcPr>
            <w:tcW w:w="880" w:type="dxa"/>
            <w:vAlign w:val="bottom"/>
            <w:tcBorders>
              <w:bottom w:val="single" w:sz="8" w:color="424E6A"/>
            </w:tcBorders>
            <w:shd w:val="clear" w:color="auto" w:fill="D9DCE1"/>
          </w:tcPr>
          <w:p>
            <w:pPr>
              <w:spacing w:after="0"/>
              <w:rPr>
                <w:sz w:val="7"/>
                <w:szCs w:val="7"/>
                <w:color w:val="auto"/>
              </w:rPr>
            </w:pPr>
          </w:p>
        </w:tc>
        <w:tc>
          <w:tcPr>
            <w:tcW w:w="380" w:type="dxa"/>
            <w:vAlign w:val="bottom"/>
            <w:tcBorders>
              <w:bottom w:val="single" w:sz="8" w:color="424E6A"/>
            </w:tcBorders>
            <w:shd w:val="clear" w:color="auto" w:fill="D9DCE1"/>
          </w:tcPr>
          <w:p>
            <w:pPr>
              <w:ind w:left="40"/>
              <w:spacing w:after="0" w:line="81" w:lineRule="exact"/>
              <w:rPr>
                <w:sz w:val="20"/>
                <w:szCs w:val="20"/>
                <w:color w:val="auto"/>
              </w:rPr>
            </w:pPr>
            <w:r>
              <w:rPr>
                <w:rFonts w:ascii="Arial" w:cs="Arial" w:eastAsia="Arial" w:hAnsi="Arial"/>
                <w:sz w:val="9"/>
                <w:szCs w:val="9"/>
                <w:color w:val="auto"/>
              </w:rPr>
              <w:t>​ ​ ​</w:t>
            </w:r>
          </w:p>
        </w:tc>
        <w:tc>
          <w:tcPr>
            <w:tcW w:w="360" w:type="dxa"/>
            <w:vAlign w:val="bottom"/>
            <w:tcBorders>
              <w:bottom w:val="single" w:sz="8" w:color="424E6A"/>
            </w:tcBorders>
            <w:shd w:val="clear" w:color="auto" w:fill="D9DCE1"/>
          </w:tcPr>
          <w:p>
            <w:pPr>
              <w:spacing w:after="0"/>
              <w:rPr>
                <w:sz w:val="7"/>
                <w:szCs w:val="7"/>
                <w:color w:val="auto"/>
              </w:rPr>
            </w:pPr>
          </w:p>
        </w:tc>
        <w:tc>
          <w:tcPr>
            <w:tcW w:w="400" w:type="dxa"/>
            <w:vAlign w:val="bottom"/>
            <w:tcBorders>
              <w:bottom w:val="single" w:sz="8" w:color="424E6A"/>
            </w:tcBorders>
            <w:shd w:val="clear" w:color="auto" w:fill="D9DCE1"/>
          </w:tcPr>
          <w:p>
            <w:pPr>
              <w:jc w:val="right"/>
              <w:ind w:right="3"/>
              <w:spacing w:after="0" w:line="81" w:lineRule="exact"/>
              <w:rPr>
                <w:sz w:val="20"/>
                <w:szCs w:val="20"/>
                <w:color w:val="auto"/>
              </w:rPr>
            </w:pPr>
            <w:r>
              <w:rPr>
                <w:rFonts w:ascii="Arial" w:cs="Arial" w:eastAsia="Arial" w:hAnsi="Arial"/>
                <w:sz w:val="9"/>
                <w:szCs w:val="9"/>
                <w:color w:val="auto"/>
              </w:rPr>
              <w:t>​​ ​</w:t>
            </w:r>
          </w:p>
        </w:tc>
        <w:tc>
          <w:tcPr>
            <w:tcW w:w="160" w:type="dxa"/>
            <w:vAlign w:val="bottom"/>
            <w:tcBorders>
              <w:bottom w:val="single" w:sz="8" w:color="424E6A"/>
            </w:tcBorders>
            <w:shd w:val="clear" w:color="auto" w:fill="D9DCE1"/>
          </w:tcPr>
          <w:p>
            <w:pPr>
              <w:jc w:val="right"/>
              <w:spacing w:after="0" w:line="81" w:lineRule="exact"/>
              <w:rPr>
                <w:sz w:val="20"/>
                <w:szCs w:val="20"/>
                <w:color w:val="auto"/>
              </w:rPr>
            </w:pPr>
            <w:r>
              <w:rPr>
                <w:rFonts w:ascii="Arial" w:cs="Arial" w:eastAsia="Arial" w:hAnsi="Arial"/>
                <w:sz w:val="9"/>
                <w:szCs w:val="9"/>
                <w:color w:val="auto"/>
              </w:rPr>
              <w:t>​</w:t>
            </w:r>
          </w:p>
        </w:tc>
        <w:tc>
          <w:tcPr>
            <w:tcW w:w="120" w:type="dxa"/>
            <w:vAlign w:val="bottom"/>
            <w:tcBorders>
              <w:bottom w:val="single" w:sz="8" w:color="424E6A"/>
            </w:tcBorders>
            <w:shd w:val="clear" w:color="auto" w:fill="D9DCE1"/>
          </w:tcPr>
          <w:p>
            <w:pPr>
              <w:spacing w:after="0"/>
              <w:rPr>
                <w:sz w:val="7"/>
                <w:szCs w:val="7"/>
                <w:color w:val="auto"/>
              </w:rPr>
            </w:pPr>
          </w:p>
        </w:tc>
        <w:tc>
          <w:tcPr>
            <w:tcW w:w="320" w:type="dxa"/>
            <w:vAlign w:val="bottom"/>
            <w:tcBorders>
              <w:bottom w:val="single" w:sz="8" w:color="424E6A"/>
            </w:tcBorders>
            <w:shd w:val="clear" w:color="auto" w:fill="D9DCE1"/>
          </w:tcPr>
          <w:p>
            <w:pPr>
              <w:spacing w:after="0"/>
              <w:rPr>
                <w:sz w:val="7"/>
                <w:szCs w:val="7"/>
                <w:color w:val="auto"/>
              </w:rPr>
            </w:pPr>
          </w:p>
        </w:tc>
        <w:tc>
          <w:tcPr>
            <w:tcW w:w="340" w:type="dxa"/>
            <w:vAlign w:val="bottom"/>
            <w:tcBorders>
              <w:bottom w:val="single" w:sz="8" w:color="424E6A"/>
            </w:tcBorders>
            <w:gridSpan w:val="2"/>
            <w:vMerge w:val="continue"/>
            <w:shd w:val="clear" w:color="auto" w:fill="D9DCE1"/>
          </w:tcPr>
          <w:p>
            <w:pPr>
              <w:spacing w:after="0"/>
              <w:rPr>
                <w:sz w:val="7"/>
                <w:szCs w:val="7"/>
                <w:color w:val="auto"/>
              </w:rPr>
            </w:pPr>
          </w:p>
        </w:tc>
        <w:tc>
          <w:tcPr>
            <w:tcW w:w="80" w:type="dxa"/>
            <w:vAlign w:val="bottom"/>
            <w:tcBorders>
              <w:bottom w:val="single" w:sz="8" w:color="424E6A"/>
            </w:tcBorders>
            <w:shd w:val="clear" w:color="auto" w:fill="D9DCE1"/>
          </w:tcPr>
          <w:p>
            <w:pPr>
              <w:ind w:left="20"/>
              <w:spacing w:after="0" w:line="81" w:lineRule="exact"/>
              <w:rPr>
                <w:sz w:val="20"/>
                <w:szCs w:val="20"/>
                <w:color w:val="auto"/>
              </w:rPr>
            </w:pPr>
            <w:r>
              <w:rPr>
                <w:rFonts w:ascii="Arial" w:cs="Arial" w:eastAsia="Arial" w:hAnsi="Arial"/>
                <w:sz w:val="9"/>
                <w:szCs w:val="9"/>
                <w:color w:val="auto"/>
              </w:rPr>
              <w:t>​</w:t>
            </w:r>
          </w:p>
        </w:tc>
        <w:tc>
          <w:tcPr>
            <w:tcW w:w="420" w:type="dxa"/>
            <w:vAlign w:val="bottom"/>
            <w:tcBorders>
              <w:bottom w:val="single" w:sz="8" w:color="424E6A"/>
            </w:tcBorders>
            <w:shd w:val="clear" w:color="auto" w:fill="D9DCE1"/>
          </w:tcPr>
          <w:p>
            <w:pPr>
              <w:spacing w:after="0"/>
              <w:rPr>
                <w:sz w:val="7"/>
                <w:szCs w:val="7"/>
                <w:color w:val="auto"/>
              </w:rPr>
            </w:pPr>
          </w:p>
        </w:tc>
        <w:tc>
          <w:tcPr>
            <w:tcW w:w="120" w:type="dxa"/>
            <w:vAlign w:val="bottom"/>
            <w:tcBorders>
              <w:bottom w:val="single" w:sz="8" w:color="424E6A"/>
              <w:right w:val="single" w:sz="8" w:color="auto"/>
            </w:tcBorders>
            <w:vMerge w:val="continue"/>
            <w:shd w:val="clear" w:color="auto" w:fill="D9DCE1"/>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424E6A"/>
          </w:tcPr>
          <w:p>
            <w:pPr>
              <w:spacing w:after="0"/>
              <w:rPr>
                <w:sz w:val="17"/>
                <w:szCs w:val="17"/>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5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Safety/Env Reduction vs. ‘20 (% Target)</w:t>
            </w: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rPr>
              <w:t>​ ​ ​</w:t>
            </w:r>
          </w:p>
        </w:tc>
        <w:tc>
          <w:tcPr>
            <w:tcW w:w="760" w:type="dxa"/>
            <w:vAlign w:val="bottom"/>
            <w:gridSpan w:val="2"/>
          </w:tcPr>
          <w:p>
            <w:pPr>
              <w:jc w:val="right"/>
              <w:ind w:right="163"/>
              <w:spacing w:after="0" w:line="196" w:lineRule="exact"/>
              <w:rPr>
                <w:sz w:val="20"/>
                <w:szCs w:val="20"/>
                <w:color w:val="auto"/>
              </w:rPr>
            </w:pPr>
            <w:r>
              <w:rPr>
                <w:rFonts w:ascii="Arial" w:cs="Arial" w:eastAsia="Arial" w:hAnsi="Arial"/>
                <w:sz w:val="18"/>
                <w:szCs w:val="18"/>
                <w:color w:val="auto"/>
              </w:rPr>
              <w:t>-10%</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5"/>
              </w:rPr>
              <w:t>-20%</w:t>
            </w:r>
          </w:p>
        </w:tc>
        <w:tc>
          <w:tcPr>
            <w:tcW w:w="340" w:type="dxa"/>
            <w:vAlign w:val="bottom"/>
            <w:gridSpan w:val="2"/>
            <w:vMerge w:val="restart"/>
          </w:tcPr>
          <w:p>
            <w:pPr>
              <w:spacing w:after="0"/>
              <w:rPr>
                <w:sz w:val="20"/>
                <w:szCs w:val="20"/>
                <w:color w:val="auto"/>
              </w:rPr>
            </w:pPr>
            <w:r>
              <w:rPr>
                <w:rFonts w:ascii="Arial" w:cs="Arial" w:eastAsia="Arial" w:hAnsi="Arial"/>
                <w:sz w:val="18"/>
                <w:szCs w:val="18"/>
                <w:color w:val="auto"/>
              </w:rPr>
              <w:t>​​ ​</w:t>
            </w:r>
          </w:p>
        </w:tc>
        <w:tc>
          <w:tcPr>
            <w:tcW w:w="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95"/>
              </w:rPr>
              <w:t>-30%</w:t>
            </w:r>
          </w:p>
        </w:tc>
        <w:tc>
          <w:tcPr>
            <w:tcW w:w="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424E6A"/>
            </w:tcBorders>
            <w:shd w:val="clear" w:color="auto" w:fill="424E6A"/>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500" w:type="dxa"/>
            <w:vAlign w:val="bottom"/>
            <w:tcBorders>
              <w:bottom w:val="single" w:sz="8" w:color="424E6A"/>
            </w:tcBorders>
          </w:tcPr>
          <w:p>
            <w:pPr>
              <w:spacing w:after="0"/>
              <w:rPr>
                <w:sz w:val="5"/>
                <w:szCs w:val="5"/>
                <w:color w:val="auto"/>
              </w:rPr>
            </w:pPr>
          </w:p>
        </w:tc>
        <w:tc>
          <w:tcPr>
            <w:tcW w:w="200" w:type="dxa"/>
            <w:vAlign w:val="bottom"/>
            <w:tcBorders>
              <w:bottom w:val="single" w:sz="8" w:color="424E6A"/>
            </w:tcBorders>
          </w:tcPr>
          <w:p>
            <w:pPr>
              <w:spacing w:after="0"/>
              <w:rPr>
                <w:sz w:val="5"/>
                <w:szCs w:val="5"/>
                <w:color w:val="auto"/>
              </w:rPr>
            </w:pPr>
          </w:p>
        </w:tc>
        <w:tc>
          <w:tcPr>
            <w:tcW w:w="880" w:type="dxa"/>
            <w:vAlign w:val="bottom"/>
            <w:tcBorders>
              <w:bottom w:val="single" w:sz="8" w:color="424E6A"/>
            </w:tcBorders>
          </w:tcPr>
          <w:p>
            <w:pPr>
              <w:spacing w:after="0"/>
              <w:rPr>
                <w:sz w:val="5"/>
                <w:szCs w:val="5"/>
                <w:color w:val="auto"/>
              </w:rPr>
            </w:pPr>
          </w:p>
        </w:tc>
        <w:tc>
          <w:tcPr>
            <w:tcW w:w="380" w:type="dxa"/>
            <w:vAlign w:val="bottom"/>
            <w:tcBorders>
              <w:bottom w:val="single" w:sz="8" w:color="424E6A"/>
            </w:tcBorders>
            <w:vMerge w:val="continue"/>
          </w:tcPr>
          <w:p>
            <w:pPr>
              <w:spacing w:after="0"/>
              <w:rPr>
                <w:sz w:val="5"/>
                <w:szCs w:val="5"/>
                <w:color w:val="auto"/>
              </w:rPr>
            </w:pPr>
          </w:p>
        </w:tc>
        <w:tc>
          <w:tcPr>
            <w:tcW w:w="360" w:type="dxa"/>
            <w:vAlign w:val="bottom"/>
            <w:tcBorders>
              <w:bottom w:val="single" w:sz="8" w:color="424E6A"/>
            </w:tcBorders>
          </w:tcPr>
          <w:p>
            <w:pPr>
              <w:spacing w:after="0"/>
              <w:rPr>
                <w:sz w:val="5"/>
                <w:szCs w:val="5"/>
                <w:color w:val="auto"/>
              </w:rPr>
            </w:pPr>
          </w:p>
        </w:tc>
        <w:tc>
          <w:tcPr>
            <w:tcW w:w="400" w:type="dxa"/>
            <w:vAlign w:val="bottom"/>
            <w:tcBorders>
              <w:bottom w:val="single" w:sz="8" w:color="424E6A"/>
            </w:tcBorders>
          </w:tcPr>
          <w:p>
            <w:pPr>
              <w:jc w:val="right"/>
              <w:ind w:right="3"/>
              <w:spacing w:after="0"/>
              <w:rPr>
                <w:sz w:val="20"/>
                <w:szCs w:val="20"/>
                <w:color w:val="auto"/>
              </w:rPr>
            </w:pPr>
            <w:r>
              <w:rPr>
                <w:rFonts w:ascii="Arial" w:cs="Arial" w:eastAsia="Arial" w:hAnsi="Arial"/>
                <w:sz w:val="4"/>
                <w:szCs w:val="4"/>
                <w:color w:val="auto"/>
              </w:rPr>
              <w:t>​​ ​</w:t>
            </w:r>
          </w:p>
        </w:tc>
        <w:tc>
          <w:tcPr>
            <w:tcW w:w="160" w:type="dxa"/>
            <w:vAlign w:val="bottom"/>
            <w:tcBorders>
              <w:bottom w:val="single" w:sz="8" w:color="424E6A"/>
            </w:tcBorders>
            <w:vMerge w:val="continue"/>
          </w:tcPr>
          <w:p>
            <w:pPr>
              <w:spacing w:after="0"/>
              <w:rPr>
                <w:sz w:val="5"/>
                <w:szCs w:val="5"/>
                <w:color w:val="auto"/>
              </w:rPr>
            </w:pPr>
          </w:p>
        </w:tc>
        <w:tc>
          <w:tcPr>
            <w:tcW w:w="120" w:type="dxa"/>
            <w:vAlign w:val="bottom"/>
            <w:tcBorders>
              <w:bottom w:val="single" w:sz="8" w:color="424E6A"/>
            </w:tcBorders>
          </w:tcPr>
          <w:p>
            <w:pPr>
              <w:spacing w:after="0"/>
              <w:rPr>
                <w:sz w:val="5"/>
                <w:szCs w:val="5"/>
                <w:color w:val="auto"/>
              </w:rPr>
            </w:pPr>
          </w:p>
        </w:tc>
        <w:tc>
          <w:tcPr>
            <w:tcW w:w="320" w:type="dxa"/>
            <w:vAlign w:val="bottom"/>
            <w:tcBorders>
              <w:bottom w:val="single" w:sz="8" w:color="424E6A"/>
            </w:tcBorders>
          </w:tcPr>
          <w:p>
            <w:pPr>
              <w:spacing w:after="0"/>
              <w:rPr>
                <w:sz w:val="5"/>
                <w:szCs w:val="5"/>
                <w:color w:val="auto"/>
              </w:rPr>
            </w:pPr>
          </w:p>
        </w:tc>
        <w:tc>
          <w:tcPr>
            <w:tcW w:w="340" w:type="dxa"/>
            <w:vAlign w:val="bottom"/>
            <w:tcBorders>
              <w:bottom w:val="single" w:sz="8" w:color="424E6A"/>
            </w:tcBorders>
            <w:gridSpan w:val="2"/>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42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740" w:type="dxa"/>
            <w:vAlign w:val="bottom"/>
            <w:gridSpan w:val="4"/>
            <w:vMerge w:val="restart"/>
          </w:tcPr>
          <w:p>
            <w:pPr>
              <w:jc w:val="right"/>
              <w:ind w:right="56"/>
              <w:spacing w:after="0"/>
              <w:rPr>
                <w:sz w:val="20"/>
                <w:szCs w:val="20"/>
                <w:color w:val="auto"/>
              </w:rPr>
            </w:pPr>
            <w:r>
              <w:rPr>
                <w:rFonts w:ascii="Arial" w:cs="Arial" w:eastAsia="Arial" w:hAnsi="Arial"/>
                <w:sz w:val="14"/>
                <w:szCs w:val="14"/>
                <w:b w:val="1"/>
                <w:bCs w:val="1"/>
                <w:color w:val="auto"/>
              </w:rPr>
              <w:t>2022 Formulaic Payout</w:t>
            </w:r>
          </w:p>
        </w:tc>
        <w:tc>
          <w:tcPr>
            <w:tcW w:w="0" w:type="dxa"/>
            <w:vAlign w:val="bottom"/>
          </w:tcPr>
          <w:p>
            <w:pPr>
              <w:spacing w:after="0"/>
              <w:rPr>
                <w:sz w:val="1"/>
                <w:szCs w:val="1"/>
                <w:color w:val="auto"/>
              </w:rPr>
            </w:pPr>
          </w:p>
        </w:tc>
      </w:tr>
      <w:tr>
        <w:trPr>
          <w:trHeight w:val="74"/>
        </w:trPr>
        <w:tc>
          <w:tcPr>
            <w:tcW w:w="20" w:type="dxa"/>
            <w:vAlign w:val="bottom"/>
            <w:shd w:val="clear" w:color="auto" w:fill="424E6A"/>
          </w:tcPr>
          <w:p>
            <w:pPr>
              <w:spacing w:after="0"/>
              <w:rPr>
                <w:sz w:val="6"/>
                <w:szCs w:val="6"/>
                <w:color w:val="auto"/>
              </w:rPr>
            </w:pPr>
          </w:p>
        </w:tc>
        <w:tc>
          <w:tcPr>
            <w:tcW w:w="140" w:type="dxa"/>
            <w:vAlign w:val="bottom"/>
            <w:vMerge w:val="restart"/>
            <w:shd w:val="clear" w:color="auto" w:fill="D9DCE1"/>
          </w:tcPr>
          <w:p>
            <w:pPr>
              <w:ind w:left="20"/>
              <w:spacing w:after="0"/>
              <w:rPr>
                <w:sz w:val="20"/>
                <w:szCs w:val="20"/>
                <w:color w:val="auto"/>
              </w:rPr>
            </w:pPr>
            <w:r>
              <w:rPr>
                <w:rFonts w:ascii="Arial" w:cs="Arial" w:eastAsia="Arial" w:hAnsi="Arial"/>
                <w:sz w:val="18"/>
                <w:szCs w:val="18"/>
                <w:color w:val="auto"/>
              </w:rPr>
              <w:t>​</w:t>
            </w:r>
          </w:p>
        </w:tc>
        <w:tc>
          <w:tcPr>
            <w:tcW w:w="2500" w:type="dxa"/>
            <w:vAlign w:val="bottom"/>
            <w:shd w:val="clear" w:color="auto" w:fill="D9DCE1"/>
          </w:tcPr>
          <w:p>
            <w:pPr>
              <w:spacing w:after="0"/>
              <w:rPr>
                <w:sz w:val="6"/>
                <w:szCs w:val="6"/>
                <w:color w:val="auto"/>
              </w:rPr>
            </w:pPr>
          </w:p>
        </w:tc>
        <w:tc>
          <w:tcPr>
            <w:tcW w:w="200" w:type="dxa"/>
            <w:vAlign w:val="bottom"/>
            <w:shd w:val="clear" w:color="auto" w:fill="D9DCE1"/>
          </w:tcPr>
          <w:p>
            <w:pPr>
              <w:spacing w:after="0"/>
              <w:rPr>
                <w:sz w:val="6"/>
                <w:szCs w:val="6"/>
                <w:color w:val="auto"/>
              </w:rPr>
            </w:pPr>
          </w:p>
        </w:tc>
        <w:tc>
          <w:tcPr>
            <w:tcW w:w="880" w:type="dxa"/>
            <w:vAlign w:val="bottom"/>
            <w:vMerge w:val="restart"/>
            <w:shd w:val="clear" w:color="auto" w:fill="D9DCE1"/>
          </w:tcPr>
          <w:p>
            <w:pPr>
              <w:jc w:val="right"/>
              <w:spacing w:after="0"/>
              <w:rPr>
                <w:sz w:val="20"/>
                <w:szCs w:val="20"/>
                <w:color w:val="auto"/>
              </w:rPr>
            </w:pPr>
            <w:r>
              <w:rPr>
                <w:rFonts w:ascii="Arial" w:cs="Arial" w:eastAsia="Arial" w:hAnsi="Arial"/>
                <w:sz w:val="18"/>
                <w:szCs w:val="18"/>
                <w:color w:val="auto"/>
              </w:rPr>
              <w:t>Payout</w:t>
            </w:r>
          </w:p>
        </w:tc>
        <w:tc>
          <w:tcPr>
            <w:tcW w:w="380" w:type="dxa"/>
            <w:vAlign w:val="bottom"/>
            <w:vMerge w:val="restart"/>
            <w:shd w:val="clear" w:color="auto" w:fill="D9DCE1"/>
          </w:tcPr>
          <w:p>
            <w:pPr>
              <w:ind w:left="40"/>
              <w:spacing w:after="0"/>
              <w:rPr>
                <w:sz w:val="20"/>
                <w:szCs w:val="20"/>
                <w:color w:val="auto"/>
              </w:rPr>
            </w:pPr>
            <w:r>
              <w:rPr>
                <w:rFonts w:ascii="Arial" w:cs="Arial" w:eastAsia="Arial" w:hAnsi="Arial"/>
                <w:sz w:val="18"/>
                <w:szCs w:val="18"/>
                <w:color w:val="auto"/>
              </w:rPr>
              <w:t>​ ​ ​</w:t>
            </w:r>
          </w:p>
        </w:tc>
        <w:tc>
          <w:tcPr>
            <w:tcW w:w="760" w:type="dxa"/>
            <w:vAlign w:val="bottom"/>
            <w:gridSpan w:val="2"/>
            <w:vMerge w:val="restart"/>
            <w:shd w:val="clear" w:color="auto" w:fill="D9DCE1"/>
          </w:tcPr>
          <w:p>
            <w:pPr>
              <w:jc w:val="right"/>
              <w:ind w:right="163"/>
              <w:spacing w:after="0"/>
              <w:rPr>
                <w:sz w:val="20"/>
                <w:szCs w:val="20"/>
                <w:color w:val="auto"/>
              </w:rPr>
            </w:pPr>
            <w:r>
              <w:rPr>
                <w:rFonts w:ascii="Arial" w:cs="Arial" w:eastAsia="Arial" w:hAnsi="Arial"/>
                <w:sz w:val="18"/>
                <w:szCs w:val="18"/>
                <w:color w:val="auto"/>
              </w:rPr>
              <w:t>0%</w:t>
            </w:r>
          </w:p>
        </w:tc>
        <w:tc>
          <w:tcPr>
            <w:tcW w:w="600" w:type="dxa"/>
            <w:vAlign w:val="bottom"/>
            <w:gridSpan w:val="3"/>
            <w:vMerge w:val="restart"/>
            <w:shd w:val="clear" w:color="auto" w:fill="D9DCE1"/>
          </w:tcPr>
          <w:p>
            <w:pPr>
              <w:jc w:val="right"/>
              <w:spacing w:after="0"/>
              <w:rPr>
                <w:sz w:val="20"/>
                <w:szCs w:val="20"/>
                <w:color w:val="auto"/>
              </w:rPr>
            </w:pPr>
            <w:r>
              <w:rPr>
                <w:rFonts w:ascii="Arial" w:cs="Arial" w:eastAsia="Arial" w:hAnsi="Arial"/>
                <w:sz w:val="18"/>
                <w:szCs w:val="18"/>
                <w:color w:val="auto"/>
              </w:rPr>
              <w:t>100%</w:t>
            </w:r>
          </w:p>
        </w:tc>
        <w:tc>
          <w:tcPr>
            <w:tcW w:w="340" w:type="dxa"/>
            <w:vAlign w:val="bottom"/>
            <w:gridSpan w:val="2"/>
            <w:vMerge w:val="restart"/>
            <w:shd w:val="clear" w:color="auto" w:fill="D9DCE1"/>
          </w:tcPr>
          <w:p>
            <w:pPr>
              <w:spacing w:after="0"/>
              <w:rPr>
                <w:sz w:val="20"/>
                <w:szCs w:val="20"/>
                <w:color w:val="auto"/>
              </w:rPr>
            </w:pPr>
            <w:r>
              <w:rPr>
                <w:rFonts w:ascii="Arial" w:cs="Arial" w:eastAsia="Arial" w:hAnsi="Arial"/>
                <w:sz w:val="18"/>
                <w:szCs w:val="18"/>
                <w:color w:val="auto"/>
              </w:rPr>
              <w:t>​​ ​</w:t>
            </w:r>
          </w:p>
        </w:tc>
        <w:tc>
          <w:tcPr>
            <w:tcW w:w="500" w:type="dxa"/>
            <w:vAlign w:val="bottom"/>
            <w:gridSpan w:val="2"/>
            <w:vMerge w:val="restart"/>
            <w:shd w:val="clear" w:color="auto" w:fill="D9DCE1"/>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right w:val="single" w:sz="8" w:color="auto"/>
            </w:tcBorders>
            <w:vMerge w:val="restart"/>
            <w:shd w:val="clear" w:color="auto" w:fill="D9DCE1"/>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424E6A"/>
          </w:tcPr>
          <w:p>
            <w:pPr>
              <w:spacing w:after="0"/>
              <w:rPr>
                <w:sz w:val="11"/>
                <w:szCs w:val="11"/>
                <w:color w:val="auto"/>
              </w:rPr>
            </w:pPr>
          </w:p>
        </w:tc>
        <w:tc>
          <w:tcPr>
            <w:tcW w:w="140" w:type="dxa"/>
            <w:vAlign w:val="bottom"/>
            <w:vMerge w:val="continue"/>
            <w:shd w:val="clear" w:color="auto" w:fill="D9DCE1"/>
          </w:tcPr>
          <w:p>
            <w:pPr>
              <w:spacing w:after="0"/>
              <w:rPr>
                <w:sz w:val="11"/>
                <w:szCs w:val="11"/>
                <w:color w:val="auto"/>
              </w:rPr>
            </w:pPr>
          </w:p>
        </w:tc>
        <w:tc>
          <w:tcPr>
            <w:tcW w:w="2500" w:type="dxa"/>
            <w:vAlign w:val="bottom"/>
            <w:shd w:val="clear" w:color="auto" w:fill="D9DCE1"/>
          </w:tcPr>
          <w:p>
            <w:pPr>
              <w:spacing w:after="0"/>
              <w:rPr>
                <w:sz w:val="11"/>
                <w:szCs w:val="11"/>
                <w:color w:val="auto"/>
              </w:rPr>
            </w:pPr>
          </w:p>
        </w:tc>
        <w:tc>
          <w:tcPr>
            <w:tcW w:w="200" w:type="dxa"/>
            <w:vAlign w:val="bottom"/>
            <w:shd w:val="clear" w:color="auto" w:fill="D9DCE1"/>
          </w:tcPr>
          <w:p>
            <w:pPr>
              <w:spacing w:after="0"/>
              <w:rPr>
                <w:sz w:val="11"/>
                <w:szCs w:val="11"/>
                <w:color w:val="auto"/>
              </w:rPr>
            </w:pPr>
          </w:p>
        </w:tc>
        <w:tc>
          <w:tcPr>
            <w:tcW w:w="880" w:type="dxa"/>
            <w:vAlign w:val="bottom"/>
            <w:vMerge w:val="continue"/>
            <w:shd w:val="clear" w:color="auto" w:fill="D9DCE1"/>
          </w:tcPr>
          <w:p>
            <w:pPr>
              <w:spacing w:after="0"/>
              <w:rPr>
                <w:sz w:val="11"/>
                <w:szCs w:val="11"/>
                <w:color w:val="auto"/>
              </w:rPr>
            </w:pPr>
          </w:p>
        </w:tc>
        <w:tc>
          <w:tcPr>
            <w:tcW w:w="380" w:type="dxa"/>
            <w:vAlign w:val="bottom"/>
            <w:vMerge w:val="continue"/>
            <w:shd w:val="clear" w:color="auto" w:fill="D9DCE1"/>
          </w:tcPr>
          <w:p>
            <w:pPr>
              <w:spacing w:after="0"/>
              <w:rPr>
                <w:sz w:val="11"/>
                <w:szCs w:val="11"/>
                <w:color w:val="auto"/>
              </w:rPr>
            </w:pPr>
          </w:p>
        </w:tc>
        <w:tc>
          <w:tcPr>
            <w:tcW w:w="760" w:type="dxa"/>
            <w:vAlign w:val="bottom"/>
            <w:gridSpan w:val="2"/>
            <w:vMerge w:val="continue"/>
            <w:shd w:val="clear" w:color="auto" w:fill="D9DCE1"/>
          </w:tcPr>
          <w:p>
            <w:pPr>
              <w:spacing w:after="0"/>
              <w:rPr>
                <w:sz w:val="11"/>
                <w:szCs w:val="11"/>
                <w:color w:val="auto"/>
              </w:rPr>
            </w:pPr>
          </w:p>
        </w:tc>
        <w:tc>
          <w:tcPr>
            <w:tcW w:w="600" w:type="dxa"/>
            <w:vAlign w:val="bottom"/>
            <w:gridSpan w:val="3"/>
            <w:vMerge w:val="continue"/>
            <w:shd w:val="clear" w:color="auto" w:fill="D9DCE1"/>
          </w:tcPr>
          <w:p>
            <w:pPr>
              <w:spacing w:after="0"/>
              <w:rPr>
                <w:sz w:val="11"/>
                <w:szCs w:val="11"/>
                <w:color w:val="auto"/>
              </w:rPr>
            </w:pPr>
          </w:p>
        </w:tc>
        <w:tc>
          <w:tcPr>
            <w:tcW w:w="340" w:type="dxa"/>
            <w:vAlign w:val="bottom"/>
            <w:gridSpan w:val="2"/>
            <w:vMerge w:val="continue"/>
            <w:shd w:val="clear" w:color="auto" w:fill="D9DCE1"/>
          </w:tcPr>
          <w:p>
            <w:pPr>
              <w:spacing w:after="0"/>
              <w:rPr>
                <w:sz w:val="11"/>
                <w:szCs w:val="11"/>
                <w:color w:val="auto"/>
              </w:rPr>
            </w:pPr>
          </w:p>
        </w:tc>
        <w:tc>
          <w:tcPr>
            <w:tcW w:w="500" w:type="dxa"/>
            <w:vAlign w:val="bottom"/>
            <w:gridSpan w:val="2"/>
            <w:vMerge w:val="continue"/>
            <w:shd w:val="clear" w:color="auto" w:fill="D9DCE1"/>
          </w:tcPr>
          <w:p>
            <w:pPr>
              <w:spacing w:after="0"/>
              <w:rPr>
                <w:sz w:val="11"/>
                <w:szCs w:val="11"/>
                <w:color w:val="auto"/>
              </w:rPr>
            </w:pPr>
          </w:p>
        </w:tc>
        <w:tc>
          <w:tcPr>
            <w:tcW w:w="120" w:type="dxa"/>
            <w:vAlign w:val="bottom"/>
            <w:tcBorders>
              <w:right w:val="single" w:sz="8" w:color="auto"/>
            </w:tcBorders>
            <w:vMerge w:val="continue"/>
            <w:shd w:val="clear" w:color="auto" w:fill="D9DCE1"/>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vMerge w:val="restart"/>
          </w:tcPr>
          <w:p>
            <w:pPr>
              <w:spacing w:after="0"/>
              <w:rPr>
                <w:sz w:val="20"/>
                <w:szCs w:val="20"/>
                <w:color w:val="auto"/>
              </w:rPr>
            </w:pPr>
            <w:r>
              <w:rPr>
                <w:rFonts w:ascii="Arial" w:cs="Arial" w:eastAsia="Arial" w:hAnsi="Arial"/>
                <w:sz w:val="14"/>
                <w:szCs w:val="14"/>
                <w:b w:val="1"/>
                <w:bCs w:val="1"/>
                <w:color w:val="FFFFFF"/>
              </w:rPr>
              <w:t>​</w:t>
            </w:r>
          </w:p>
        </w:tc>
        <w:tc>
          <w:tcPr>
            <w:tcW w:w="1420" w:type="dxa"/>
            <w:vAlign w:val="bottom"/>
            <w:gridSpan w:val="3"/>
          </w:tcPr>
          <w:p>
            <w:pPr>
              <w:jc w:val="right"/>
              <w:ind w:right="416"/>
              <w:spacing w:after="0" w:line="135" w:lineRule="exact"/>
              <w:rPr>
                <w:sz w:val="20"/>
                <w:szCs w:val="20"/>
                <w:color w:val="auto"/>
              </w:rPr>
            </w:pPr>
            <w:r>
              <w:rPr>
                <w:rFonts w:ascii="Arial" w:cs="Arial" w:eastAsia="Arial" w:hAnsi="Arial"/>
                <w:sz w:val="14"/>
                <w:szCs w:val="14"/>
                <w:b w:val="1"/>
                <w:bCs w:val="1"/>
                <w:color w:val="auto"/>
              </w:rPr>
              <w:t>Calculation</w:t>
            </w:r>
          </w:p>
        </w:tc>
        <w:tc>
          <w:tcPr>
            <w:tcW w:w="0" w:type="dxa"/>
            <w:vAlign w:val="bottom"/>
          </w:tcPr>
          <w:p>
            <w:pPr>
              <w:spacing w:after="0"/>
              <w:rPr>
                <w:sz w:val="1"/>
                <w:szCs w:val="1"/>
                <w:color w:val="auto"/>
              </w:rPr>
            </w:pPr>
          </w:p>
        </w:tc>
      </w:tr>
      <w:tr>
        <w:trPr>
          <w:trHeight w:val="54"/>
        </w:trPr>
        <w:tc>
          <w:tcPr>
            <w:tcW w:w="20" w:type="dxa"/>
            <w:vAlign w:val="bottom"/>
            <w:tcBorders>
              <w:bottom w:val="single" w:sz="8" w:color="424E6A"/>
            </w:tcBorders>
            <w:shd w:val="clear" w:color="auto" w:fill="424E6A"/>
          </w:tcPr>
          <w:p>
            <w:pPr>
              <w:spacing w:after="0"/>
              <w:rPr>
                <w:sz w:val="4"/>
                <w:szCs w:val="4"/>
                <w:color w:val="auto"/>
              </w:rPr>
            </w:pPr>
          </w:p>
        </w:tc>
        <w:tc>
          <w:tcPr>
            <w:tcW w:w="140" w:type="dxa"/>
            <w:vAlign w:val="bottom"/>
            <w:tcBorders>
              <w:bottom w:val="single" w:sz="8" w:color="424E6A"/>
            </w:tcBorders>
            <w:vMerge w:val="continue"/>
            <w:shd w:val="clear" w:color="auto" w:fill="D9DCE1"/>
          </w:tcPr>
          <w:p>
            <w:pPr>
              <w:spacing w:after="0"/>
              <w:rPr>
                <w:sz w:val="4"/>
                <w:szCs w:val="4"/>
                <w:color w:val="auto"/>
              </w:rPr>
            </w:pPr>
          </w:p>
        </w:tc>
        <w:tc>
          <w:tcPr>
            <w:tcW w:w="2500" w:type="dxa"/>
            <w:vAlign w:val="bottom"/>
            <w:tcBorders>
              <w:bottom w:val="single" w:sz="8" w:color="424E6A"/>
            </w:tcBorders>
            <w:shd w:val="clear" w:color="auto" w:fill="D9DCE1"/>
          </w:tcPr>
          <w:p>
            <w:pPr>
              <w:spacing w:after="0"/>
              <w:rPr>
                <w:sz w:val="4"/>
                <w:szCs w:val="4"/>
                <w:color w:val="auto"/>
              </w:rPr>
            </w:pPr>
          </w:p>
        </w:tc>
        <w:tc>
          <w:tcPr>
            <w:tcW w:w="200" w:type="dxa"/>
            <w:vAlign w:val="bottom"/>
            <w:tcBorders>
              <w:bottom w:val="single" w:sz="8" w:color="424E6A"/>
            </w:tcBorders>
            <w:shd w:val="clear" w:color="auto" w:fill="D9DCE1"/>
          </w:tcPr>
          <w:p>
            <w:pPr>
              <w:spacing w:after="0"/>
              <w:rPr>
                <w:sz w:val="4"/>
                <w:szCs w:val="4"/>
                <w:color w:val="auto"/>
              </w:rPr>
            </w:pPr>
          </w:p>
        </w:tc>
        <w:tc>
          <w:tcPr>
            <w:tcW w:w="880" w:type="dxa"/>
            <w:vAlign w:val="bottom"/>
            <w:tcBorders>
              <w:bottom w:val="single" w:sz="8" w:color="424E6A"/>
            </w:tcBorders>
            <w:shd w:val="clear" w:color="auto" w:fill="D9DCE1"/>
          </w:tcPr>
          <w:p>
            <w:pPr>
              <w:spacing w:after="0"/>
              <w:rPr>
                <w:sz w:val="4"/>
                <w:szCs w:val="4"/>
                <w:color w:val="auto"/>
              </w:rPr>
            </w:pPr>
          </w:p>
        </w:tc>
        <w:tc>
          <w:tcPr>
            <w:tcW w:w="380" w:type="dxa"/>
            <w:vAlign w:val="bottom"/>
            <w:tcBorders>
              <w:bottom w:val="single" w:sz="8" w:color="424E6A"/>
            </w:tcBorders>
            <w:vMerge w:val="continue"/>
            <w:shd w:val="clear" w:color="auto" w:fill="D9DCE1"/>
          </w:tcPr>
          <w:p>
            <w:pPr>
              <w:spacing w:after="0"/>
              <w:rPr>
                <w:sz w:val="4"/>
                <w:szCs w:val="4"/>
                <w:color w:val="auto"/>
              </w:rPr>
            </w:pPr>
          </w:p>
        </w:tc>
        <w:tc>
          <w:tcPr>
            <w:tcW w:w="360" w:type="dxa"/>
            <w:vAlign w:val="bottom"/>
            <w:tcBorders>
              <w:bottom w:val="single" w:sz="8" w:color="424E6A"/>
            </w:tcBorders>
            <w:shd w:val="clear" w:color="auto" w:fill="D9DCE1"/>
          </w:tcPr>
          <w:p>
            <w:pPr>
              <w:spacing w:after="0"/>
              <w:rPr>
                <w:sz w:val="4"/>
                <w:szCs w:val="4"/>
                <w:color w:val="auto"/>
              </w:rPr>
            </w:pPr>
          </w:p>
        </w:tc>
        <w:tc>
          <w:tcPr>
            <w:tcW w:w="400" w:type="dxa"/>
            <w:vAlign w:val="bottom"/>
            <w:tcBorders>
              <w:bottom w:val="single" w:sz="8" w:color="424E6A"/>
            </w:tcBorders>
            <w:shd w:val="clear" w:color="auto" w:fill="D9DCE1"/>
          </w:tcPr>
          <w:p>
            <w:pPr>
              <w:jc w:val="right"/>
              <w:ind w:right="3"/>
              <w:spacing w:after="0" w:line="54" w:lineRule="exact"/>
              <w:rPr>
                <w:sz w:val="20"/>
                <w:szCs w:val="20"/>
                <w:color w:val="auto"/>
              </w:rPr>
            </w:pPr>
            <w:r>
              <w:rPr>
                <w:rFonts w:ascii="Arial" w:cs="Arial" w:eastAsia="Arial" w:hAnsi="Arial"/>
                <w:sz w:val="6"/>
                <w:szCs w:val="6"/>
                <w:color w:val="auto"/>
              </w:rPr>
              <w:t>​​ ​</w:t>
            </w:r>
          </w:p>
        </w:tc>
        <w:tc>
          <w:tcPr>
            <w:tcW w:w="160" w:type="dxa"/>
            <w:vAlign w:val="bottom"/>
            <w:tcBorders>
              <w:bottom w:val="single" w:sz="8" w:color="424E6A"/>
            </w:tcBorders>
            <w:shd w:val="clear" w:color="auto" w:fill="D9DCE1"/>
          </w:tcPr>
          <w:p>
            <w:pPr>
              <w:jc w:val="right"/>
              <w:spacing w:after="0" w:line="54" w:lineRule="exact"/>
              <w:rPr>
                <w:sz w:val="20"/>
                <w:szCs w:val="20"/>
                <w:color w:val="auto"/>
              </w:rPr>
            </w:pPr>
            <w:r>
              <w:rPr>
                <w:rFonts w:ascii="Arial" w:cs="Arial" w:eastAsia="Arial" w:hAnsi="Arial"/>
                <w:sz w:val="6"/>
                <w:szCs w:val="6"/>
                <w:color w:val="auto"/>
              </w:rPr>
              <w:t>​</w:t>
            </w:r>
          </w:p>
        </w:tc>
        <w:tc>
          <w:tcPr>
            <w:tcW w:w="120" w:type="dxa"/>
            <w:vAlign w:val="bottom"/>
            <w:tcBorders>
              <w:bottom w:val="single" w:sz="8" w:color="424E6A"/>
            </w:tcBorders>
            <w:shd w:val="clear" w:color="auto" w:fill="D9DCE1"/>
          </w:tcPr>
          <w:p>
            <w:pPr>
              <w:spacing w:after="0"/>
              <w:rPr>
                <w:sz w:val="4"/>
                <w:szCs w:val="4"/>
                <w:color w:val="auto"/>
              </w:rPr>
            </w:pPr>
          </w:p>
        </w:tc>
        <w:tc>
          <w:tcPr>
            <w:tcW w:w="320" w:type="dxa"/>
            <w:vAlign w:val="bottom"/>
            <w:tcBorders>
              <w:bottom w:val="single" w:sz="8" w:color="424E6A"/>
            </w:tcBorders>
            <w:shd w:val="clear" w:color="auto" w:fill="D9DCE1"/>
          </w:tcPr>
          <w:p>
            <w:pPr>
              <w:spacing w:after="0"/>
              <w:rPr>
                <w:sz w:val="4"/>
                <w:szCs w:val="4"/>
                <w:color w:val="auto"/>
              </w:rPr>
            </w:pPr>
          </w:p>
        </w:tc>
        <w:tc>
          <w:tcPr>
            <w:tcW w:w="340" w:type="dxa"/>
            <w:vAlign w:val="bottom"/>
            <w:tcBorders>
              <w:bottom w:val="single" w:sz="8" w:color="424E6A"/>
            </w:tcBorders>
            <w:gridSpan w:val="2"/>
            <w:vMerge w:val="continue"/>
            <w:shd w:val="clear" w:color="auto" w:fill="D9DCE1"/>
          </w:tcPr>
          <w:p>
            <w:pPr>
              <w:spacing w:after="0"/>
              <w:rPr>
                <w:sz w:val="4"/>
                <w:szCs w:val="4"/>
                <w:color w:val="auto"/>
              </w:rPr>
            </w:pPr>
          </w:p>
        </w:tc>
        <w:tc>
          <w:tcPr>
            <w:tcW w:w="80" w:type="dxa"/>
            <w:vAlign w:val="bottom"/>
            <w:tcBorders>
              <w:bottom w:val="single" w:sz="8" w:color="424E6A"/>
            </w:tcBorders>
            <w:shd w:val="clear" w:color="auto" w:fill="D9DCE1"/>
          </w:tcPr>
          <w:p>
            <w:pPr>
              <w:ind w:left="20"/>
              <w:spacing w:after="0" w:line="54" w:lineRule="exact"/>
              <w:rPr>
                <w:sz w:val="20"/>
                <w:szCs w:val="20"/>
                <w:color w:val="auto"/>
              </w:rPr>
            </w:pPr>
            <w:r>
              <w:rPr>
                <w:rFonts w:ascii="Arial" w:cs="Arial" w:eastAsia="Arial" w:hAnsi="Arial"/>
                <w:sz w:val="6"/>
                <w:szCs w:val="6"/>
                <w:color w:val="auto"/>
              </w:rPr>
              <w:t>​</w:t>
            </w:r>
          </w:p>
        </w:tc>
        <w:tc>
          <w:tcPr>
            <w:tcW w:w="420" w:type="dxa"/>
            <w:vAlign w:val="bottom"/>
            <w:tcBorders>
              <w:bottom w:val="single" w:sz="8" w:color="424E6A"/>
            </w:tcBorders>
            <w:shd w:val="clear" w:color="auto" w:fill="D9DCE1"/>
          </w:tcPr>
          <w:p>
            <w:pPr>
              <w:spacing w:after="0"/>
              <w:rPr>
                <w:sz w:val="4"/>
                <w:szCs w:val="4"/>
                <w:color w:val="auto"/>
              </w:rPr>
            </w:pPr>
          </w:p>
        </w:tc>
        <w:tc>
          <w:tcPr>
            <w:tcW w:w="120" w:type="dxa"/>
            <w:vAlign w:val="bottom"/>
            <w:tcBorders>
              <w:bottom w:val="single" w:sz="8" w:color="424E6A"/>
              <w:right w:val="single" w:sz="8" w:color="auto"/>
            </w:tcBorders>
            <w:vMerge w:val="continue"/>
            <w:shd w:val="clear" w:color="auto" w:fill="D9DCE1"/>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40" w:type="dxa"/>
            <w:vAlign w:val="bottom"/>
            <w:gridSpan w:val="2"/>
          </w:tcPr>
          <w:p>
            <w:pPr>
              <w:spacing w:after="0"/>
              <w:rPr>
                <w:sz w:val="11"/>
                <w:szCs w:val="11"/>
                <w:color w:val="auto"/>
              </w:rPr>
            </w:pPr>
          </w:p>
        </w:tc>
        <w:tc>
          <w:tcPr>
            <w:tcW w:w="2220" w:type="dxa"/>
            <w:vAlign w:val="bottom"/>
            <w:gridSpan w:val="5"/>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spacing w:after="0"/>
              <w:rPr>
                <w:sz w:val="11"/>
                <w:szCs w:val="11"/>
                <w:color w:val="auto"/>
              </w:rPr>
            </w:pPr>
          </w:p>
        </w:tc>
        <w:tc>
          <w:tcPr>
            <w:tcW w:w="1020" w:type="dxa"/>
            <w:vAlign w:val="bottom"/>
            <w:gridSpan w:val="4"/>
          </w:tcPr>
          <w:p>
            <w:pPr>
              <w:spacing w:after="0"/>
              <w:rPr>
                <w:sz w:val="11"/>
                <w:szCs w:val="11"/>
                <w:color w:val="auto"/>
              </w:rPr>
            </w:pPr>
          </w:p>
        </w:tc>
        <w:tc>
          <w:tcPr>
            <w:tcW w:w="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424E6A"/>
            </w:tcBorders>
          </w:tcPr>
          <w:p>
            <w:pPr>
              <w:spacing w:after="0"/>
              <w:rPr>
                <w:sz w:val="22"/>
                <w:szCs w:val="22"/>
                <w:color w:val="auto"/>
              </w:rPr>
            </w:pPr>
          </w:p>
        </w:tc>
        <w:tc>
          <w:tcPr>
            <w:tcW w:w="2640" w:type="dxa"/>
            <w:vAlign w:val="bottom"/>
            <w:tcBorders>
              <w:bottom w:val="single" w:sz="8" w:color="424E6A"/>
            </w:tcBorders>
            <w:gridSpan w:val="2"/>
            <w:shd w:val="clear" w:color="auto" w:fill="424E6A"/>
          </w:tcPr>
          <w:p>
            <w:pPr>
              <w:ind w:left="20"/>
              <w:spacing w:after="0" w:line="25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Company Performance Metrics</w:t>
            </w:r>
          </w:p>
        </w:tc>
        <w:tc>
          <w:tcPr>
            <w:tcW w:w="2220" w:type="dxa"/>
            <w:vAlign w:val="bottom"/>
            <w:tcBorders>
              <w:bottom w:val="single" w:sz="8" w:color="424E6A"/>
            </w:tcBorders>
            <w:gridSpan w:val="5"/>
            <w:shd w:val="clear" w:color="auto" w:fill="424E6A"/>
          </w:tcPr>
          <w:p>
            <w:pPr>
              <w:ind w:left="40"/>
              <w:spacing w:after="0" w:line="257" w:lineRule="exact"/>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Weight </w:t>
            </w: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Threshold </w:t>
            </w: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 Target</w:t>
            </w:r>
          </w:p>
        </w:tc>
        <w:tc>
          <w:tcPr>
            <w:tcW w:w="160" w:type="dxa"/>
            <w:vAlign w:val="bottom"/>
            <w:tcBorders>
              <w:bottom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20" w:type="dxa"/>
            <w:vAlign w:val="bottom"/>
            <w:tcBorders>
              <w:bottom w:val="single" w:sz="8" w:color="424E6A"/>
            </w:tcBorders>
            <w:shd w:val="clear" w:color="auto" w:fill="424E6A"/>
          </w:tcPr>
          <w:p>
            <w:pPr>
              <w:spacing w:after="0"/>
              <w:rPr>
                <w:sz w:val="22"/>
                <w:szCs w:val="22"/>
                <w:color w:val="auto"/>
              </w:rPr>
            </w:pPr>
          </w:p>
        </w:tc>
        <w:tc>
          <w:tcPr>
            <w:tcW w:w="320" w:type="dxa"/>
            <w:vAlign w:val="bottom"/>
            <w:tcBorders>
              <w:bottom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Max</w:t>
            </w:r>
          </w:p>
        </w:tc>
        <w:tc>
          <w:tcPr>
            <w:tcW w:w="140" w:type="dxa"/>
            <w:vAlign w:val="bottom"/>
            <w:tcBorders>
              <w:bottom w:val="single" w:sz="8" w:color="424E6A"/>
            </w:tcBorders>
            <w:shd w:val="clear" w:color="auto" w:fill="424E6A"/>
          </w:tcPr>
          <w:p>
            <w:pPr>
              <w:spacing w:after="0"/>
              <w:rPr>
                <w:sz w:val="22"/>
                <w:szCs w:val="22"/>
                <w:color w:val="auto"/>
              </w:rPr>
            </w:pPr>
          </w:p>
        </w:tc>
        <w:tc>
          <w:tcPr>
            <w:tcW w:w="700" w:type="dxa"/>
            <w:vAlign w:val="bottom"/>
            <w:tcBorders>
              <w:bottom w:val="single" w:sz="8" w:color="424E6A"/>
            </w:tcBorders>
            <w:gridSpan w:val="3"/>
            <w:shd w:val="clear" w:color="auto" w:fill="424E6A"/>
          </w:tcPr>
          <w:p>
            <w:pPr>
              <w:ind w:left="20"/>
              <w:spacing w:after="0" w:line="257" w:lineRule="exact"/>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 Result</w:t>
            </w:r>
          </w:p>
        </w:tc>
        <w:tc>
          <w:tcPr>
            <w:tcW w:w="1020" w:type="dxa"/>
            <w:vAlign w:val="bottom"/>
            <w:tcBorders>
              <w:bottom w:val="single" w:sz="8" w:color="424E6A"/>
            </w:tcBorders>
            <w:gridSpan w:val="4"/>
            <w:shd w:val="clear" w:color="auto" w:fill="424E6A"/>
          </w:tcPr>
          <w:p>
            <w:pPr>
              <w:ind w:left="40"/>
              <w:spacing w:after="0" w:line="257" w:lineRule="exact"/>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Payout % </w:t>
            </w:r>
            <w:r>
              <w:rPr>
                <w:rFonts w:ascii="Arial" w:cs="Arial" w:eastAsia="Arial" w:hAnsi="Arial"/>
                <w:sz w:val="28"/>
                <w:szCs w:val="28"/>
                <w:b w:val="1"/>
                <w:bCs w:val="1"/>
                <w:color w:val="FFFFFF"/>
                <w:vertAlign w:val="subscript"/>
              </w:rPr>
              <w:t>​ ​</w:t>
            </w:r>
          </w:p>
        </w:tc>
        <w:tc>
          <w:tcPr>
            <w:tcW w:w="880" w:type="dxa"/>
            <w:vAlign w:val="bottom"/>
            <w:tcBorders>
              <w:bottom w:val="single" w:sz="8" w:color="424E6A"/>
              <w:right w:val="single" w:sz="8" w:color="424E6A"/>
            </w:tcBorders>
            <w:gridSpan w:val="2"/>
            <w:shd w:val="clear" w:color="auto" w:fill="424E6A"/>
          </w:tcPr>
          <w:p>
            <w:pPr>
              <w:ind w:left="100"/>
              <w:spacing w:after="0"/>
              <w:rPr>
                <w:sz w:val="20"/>
                <w:szCs w:val="20"/>
                <w:color w:val="auto"/>
              </w:rPr>
            </w:pPr>
            <w:r>
              <w:rPr>
                <w:rFonts w:ascii="Arial" w:cs="Arial" w:eastAsia="Arial" w:hAnsi="Arial"/>
                <w:sz w:val="14"/>
                <w:szCs w:val="14"/>
                <w:b w:val="1"/>
                <w:bCs w:val="1"/>
                <w:color w:val="FFFFFF"/>
              </w:rPr>
              <w:t>Wgtd %</w:t>
            </w:r>
          </w:p>
        </w:tc>
        <w:tc>
          <w:tcPr>
            <w:tcW w:w="0" w:type="dxa"/>
            <w:vAlign w:val="bottom"/>
          </w:tcPr>
          <w:p>
            <w:pPr>
              <w:spacing w:after="0"/>
              <w:rPr>
                <w:sz w:val="1"/>
                <w:szCs w:val="1"/>
                <w:color w:val="auto"/>
              </w:rPr>
            </w:pPr>
          </w:p>
        </w:tc>
      </w:tr>
      <w:tr>
        <w:trPr>
          <w:trHeight w:val="204"/>
        </w:trPr>
        <w:tc>
          <w:tcPr>
            <w:tcW w:w="20" w:type="dxa"/>
            <w:vAlign w:val="bottom"/>
            <w:shd w:val="clear" w:color="auto" w:fill="424E6A"/>
          </w:tcPr>
          <w:p>
            <w:pPr>
              <w:spacing w:after="0"/>
              <w:rPr>
                <w:sz w:val="17"/>
                <w:szCs w:val="17"/>
                <w:color w:val="auto"/>
              </w:rPr>
            </w:pPr>
          </w:p>
        </w:tc>
        <w:tc>
          <w:tcPr>
            <w:tcW w:w="2640" w:type="dxa"/>
            <w:vAlign w:val="bottom"/>
            <w:gridSpan w:val="2"/>
            <w:shd w:val="clear" w:color="auto" w:fill="D9DCE1"/>
          </w:tcPr>
          <w:p>
            <w:pPr>
              <w:ind w:left="40"/>
              <w:spacing w:after="0" w:line="204" w:lineRule="exact"/>
              <w:rPr>
                <w:sz w:val="20"/>
                <w:szCs w:val="20"/>
                <w:color w:val="auto"/>
              </w:rPr>
            </w:pPr>
            <w:r>
              <w:rPr>
                <w:rFonts w:ascii="Arial" w:cs="Arial" w:eastAsia="Arial" w:hAnsi="Arial"/>
                <w:sz w:val="18"/>
                <w:szCs w:val="18"/>
                <w:color w:val="auto"/>
              </w:rPr>
              <w:t>Adjusted EBITDA attributable to</w:t>
            </w:r>
          </w:p>
        </w:tc>
        <w:tc>
          <w:tcPr>
            <w:tcW w:w="200" w:type="dxa"/>
            <w:vAlign w:val="bottom"/>
            <w:shd w:val="clear" w:color="auto" w:fill="D9DCE1"/>
          </w:tcPr>
          <w:p>
            <w:pPr>
              <w:spacing w:after="0"/>
              <w:rPr>
                <w:sz w:val="17"/>
                <w:szCs w:val="17"/>
                <w:color w:val="auto"/>
              </w:rPr>
            </w:pPr>
          </w:p>
        </w:tc>
        <w:tc>
          <w:tcPr>
            <w:tcW w:w="880" w:type="dxa"/>
            <w:vAlign w:val="bottom"/>
            <w:shd w:val="clear" w:color="auto" w:fill="D9DCE1"/>
          </w:tcPr>
          <w:p>
            <w:pPr>
              <w:spacing w:after="0"/>
              <w:rPr>
                <w:sz w:val="17"/>
                <w:szCs w:val="17"/>
                <w:color w:val="auto"/>
              </w:rPr>
            </w:pPr>
          </w:p>
        </w:tc>
        <w:tc>
          <w:tcPr>
            <w:tcW w:w="380" w:type="dxa"/>
            <w:vAlign w:val="bottom"/>
            <w:shd w:val="clear" w:color="auto" w:fill="D9DCE1"/>
          </w:tcPr>
          <w:p>
            <w:pPr>
              <w:spacing w:after="0"/>
              <w:rPr>
                <w:sz w:val="17"/>
                <w:szCs w:val="17"/>
                <w:color w:val="auto"/>
              </w:rPr>
            </w:pPr>
          </w:p>
        </w:tc>
        <w:tc>
          <w:tcPr>
            <w:tcW w:w="360" w:type="dxa"/>
            <w:vAlign w:val="bottom"/>
            <w:shd w:val="clear" w:color="auto" w:fill="D9DCE1"/>
          </w:tcPr>
          <w:p>
            <w:pPr>
              <w:spacing w:after="0"/>
              <w:rPr>
                <w:sz w:val="17"/>
                <w:szCs w:val="17"/>
                <w:color w:val="auto"/>
              </w:rPr>
            </w:pPr>
          </w:p>
        </w:tc>
        <w:tc>
          <w:tcPr>
            <w:tcW w:w="400" w:type="dxa"/>
            <w:vAlign w:val="bottom"/>
            <w:shd w:val="clear" w:color="auto" w:fill="D9DCE1"/>
          </w:tcPr>
          <w:p>
            <w:pPr>
              <w:spacing w:after="0"/>
              <w:rPr>
                <w:sz w:val="17"/>
                <w:szCs w:val="17"/>
                <w:color w:val="auto"/>
              </w:rPr>
            </w:pPr>
          </w:p>
        </w:tc>
        <w:tc>
          <w:tcPr>
            <w:tcW w:w="160" w:type="dxa"/>
            <w:vAlign w:val="bottom"/>
            <w:shd w:val="clear" w:color="auto" w:fill="D9DCE1"/>
          </w:tcPr>
          <w:p>
            <w:pPr>
              <w:spacing w:after="0"/>
              <w:rPr>
                <w:sz w:val="17"/>
                <w:szCs w:val="17"/>
                <w:color w:val="auto"/>
              </w:rPr>
            </w:pPr>
          </w:p>
        </w:tc>
        <w:tc>
          <w:tcPr>
            <w:tcW w:w="120" w:type="dxa"/>
            <w:vAlign w:val="bottom"/>
            <w:shd w:val="clear" w:color="auto" w:fill="D9DCE1"/>
          </w:tcPr>
          <w:p>
            <w:pPr>
              <w:spacing w:after="0"/>
              <w:rPr>
                <w:sz w:val="17"/>
                <w:szCs w:val="17"/>
                <w:color w:val="auto"/>
              </w:rPr>
            </w:pPr>
          </w:p>
        </w:tc>
        <w:tc>
          <w:tcPr>
            <w:tcW w:w="320" w:type="dxa"/>
            <w:vAlign w:val="bottom"/>
            <w:shd w:val="clear" w:color="auto" w:fill="D9DCE1"/>
          </w:tcPr>
          <w:p>
            <w:pPr>
              <w:spacing w:after="0"/>
              <w:rPr>
                <w:sz w:val="17"/>
                <w:szCs w:val="17"/>
                <w:color w:val="auto"/>
              </w:rPr>
            </w:pPr>
          </w:p>
        </w:tc>
        <w:tc>
          <w:tcPr>
            <w:tcW w:w="140" w:type="dxa"/>
            <w:vAlign w:val="bottom"/>
            <w:shd w:val="clear" w:color="auto" w:fill="D9DCE1"/>
          </w:tcPr>
          <w:p>
            <w:pPr>
              <w:spacing w:after="0"/>
              <w:rPr>
                <w:sz w:val="17"/>
                <w:szCs w:val="17"/>
                <w:color w:val="auto"/>
              </w:rPr>
            </w:pPr>
          </w:p>
        </w:tc>
        <w:tc>
          <w:tcPr>
            <w:tcW w:w="200" w:type="dxa"/>
            <w:vAlign w:val="bottom"/>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420" w:type="dxa"/>
            <w:vAlign w:val="bottom"/>
            <w:shd w:val="clear" w:color="auto" w:fill="D9DCE1"/>
          </w:tcPr>
          <w:p>
            <w:pPr>
              <w:spacing w:after="0"/>
              <w:rPr>
                <w:sz w:val="17"/>
                <w:szCs w:val="17"/>
                <w:color w:val="auto"/>
              </w:rPr>
            </w:pPr>
          </w:p>
        </w:tc>
        <w:tc>
          <w:tcPr>
            <w:tcW w:w="120" w:type="dxa"/>
            <w:vAlign w:val="bottom"/>
            <w:tcBorders>
              <w:right w:val="single" w:sz="8" w:color="D9DCE1"/>
            </w:tcBorders>
            <w:shd w:val="clear" w:color="auto" w:fill="D9DCE1"/>
          </w:tcPr>
          <w:p>
            <w:pPr>
              <w:spacing w:after="0"/>
              <w:rPr>
                <w:sz w:val="17"/>
                <w:szCs w:val="17"/>
                <w:color w:val="auto"/>
              </w:rPr>
            </w:pPr>
          </w:p>
        </w:tc>
        <w:tc>
          <w:tcPr>
            <w:tcW w:w="40" w:type="dxa"/>
            <w:vAlign w:val="bottom"/>
            <w:shd w:val="clear" w:color="auto" w:fill="D9DCE1"/>
          </w:tcPr>
          <w:p>
            <w:pPr>
              <w:spacing w:after="0"/>
              <w:rPr>
                <w:sz w:val="17"/>
                <w:szCs w:val="17"/>
                <w:color w:val="auto"/>
              </w:rPr>
            </w:pPr>
          </w:p>
        </w:tc>
        <w:tc>
          <w:tcPr>
            <w:tcW w:w="320" w:type="dxa"/>
            <w:vAlign w:val="bottom"/>
            <w:shd w:val="clear" w:color="auto" w:fill="D9DCE1"/>
          </w:tcPr>
          <w:p>
            <w:pPr>
              <w:spacing w:after="0"/>
              <w:rPr>
                <w:sz w:val="17"/>
                <w:szCs w:val="17"/>
                <w:color w:val="auto"/>
              </w:rPr>
            </w:pPr>
          </w:p>
        </w:tc>
        <w:tc>
          <w:tcPr>
            <w:tcW w:w="540" w:type="dxa"/>
            <w:vAlign w:val="bottom"/>
            <w:shd w:val="clear" w:color="auto" w:fill="D9DCE1"/>
          </w:tcPr>
          <w:p>
            <w:pPr>
              <w:spacing w:after="0"/>
              <w:rPr>
                <w:sz w:val="17"/>
                <w:szCs w:val="17"/>
                <w:color w:val="auto"/>
              </w:rPr>
            </w:pPr>
          </w:p>
        </w:tc>
        <w:tc>
          <w:tcPr>
            <w:tcW w:w="260" w:type="dxa"/>
            <w:vAlign w:val="bottom"/>
            <w:shd w:val="clear" w:color="auto" w:fill="D9DCE1"/>
          </w:tcPr>
          <w:p>
            <w:pPr>
              <w:spacing w:after="0"/>
              <w:rPr>
                <w:sz w:val="17"/>
                <w:szCs w:val="17"/>
                <w:color w:val="auto"/>
              </w:rPr>
            </w:pPr>
          </w:p>
        </w:tc>
        <w:tc>
          <w:tcPr>
            <w:tcW w:w="620" w:type="dxa"/>
            <w:vAlign w:val="bottom"/>
            <w:tcBorders>
              <w:right w:val="single" w:sz="8" w:color="424E6A"/>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 w:type="dxa"/>
            <w:vAlign w:val="bottom"/>
            <w:tcBorders>
              <w:bottom w:val="single" w:sz="8" w:color="424E6A"/>
            </w:tcBorders>
            <w:shd w:val="clear" w:color="auto" w:fill="424E6A"/>
          </w:tcPr>
          <w:p>
            <w:pPr>
              <w:spacing w:after="0"/>
              <w:rPr>
                <w:sz w:val="22"/>
                <w:szCs w:val="22"/>
                <w:color w:val="auto"/>
              </w:rPr>
            </w:pP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PAA</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424E6A"/>
            </w:tcBorders>
            <w:gridSpan w:val="2"/>
            <w:shd w:val="clear" w:color="auto" w:fill="D9DCE1"/>
          </w:tcPr>
          <w:p>
            <w:pPr>
              <w:ind w:left="100"/>
              <w:spacing w:after="0"/>
              <w:rPr>
                <w:sz w:val="20"/>
                <w:szCs w:val="20"/>
                <w:color w:val="auto"/>
              </w:rPr>
            </w:pPr>
            <w:r>
              <w:rPr>
                <w:rFonts w:ascii="Arial" w:cs="Arial" w:eastAsia="Arial" w:hAnsi="Arial"/>
                <w:sz w:val="18"/>
                <w:szCs w:val="18"/>
                <w:color w:val="auto"/>
              </w:rPr>
              <w:t>​40%​​​ ​$2,035</w:t>
            </w:r>
          </w:p>
        </w:tc>
        <w:tc>
          <w:tcPr>
            <w:tcW w:w="1500" w:type="dxa"/>
            <w:vAlign w:val="bottom"/>
            <w:tcBorders>
              <w:bottom w:val="single" w:sz="8" w:color="424E6A"/>
            </w:tcBorders>
            <w:gridSpan w:val="6"/>
            <w:shd w:val="clear" w:color="auto" w:fill="D9DCE1"/>
          </w:tcPr>
          <w:p>
            <w:pPr>
              <w:ind w:left="40"/>
              <w:spacing w:after="0"/>
              <w:rPr>
                <w:sz w:val="20"/>
                <w:szCs w:val="20"/>
                <w:color w:val="auto"/>
              </w:rPr>
            </w:pPr>
            <w:r>
              <w:rPr>
                <w:rFonts w:ascii="Arial" w:cs="Arial" w:eastAsia="Arial" w:hAnsi="Arial"/>
                <w:sz w:val="18"/>
                <w:szCs w:val="18"/>
                <w:color w:val="auto"/>
              </w:rPr>
              <w:t>​​​​$2,200 ​​​$2,420</w:t>
            </w:r>
          </w:p>
        </w:tc>
        <w:tc>
          <w:tcPr>
            <w:tcW w:w="700" w:type="dxa"/>
            <w:vAlign w:val="bottom"/>
            <w:tcBorders>
              <w:bottom w:val="single" w:sz="8" w:color="424E6A"/>
            </w:tcBorders>
            <w:gridSpan w:val="3"/>
            <w:shd w:val="clear" w:color="auto" w:fill="D9DCE1"/>
          </w:tcPr>
          <w:p>
            <w:pPr>
              <w:jc w:val="right"/>
              <w:spacing w:after="0"/>
              <w:rPr>
                <w:sz w:val="20"/>
                <w:szCs w:val="20"/>
                <w:color w:val="auto"/>
              </w:rPr>
            </w:pPr>
            <w:r>
              <w:rPr>
                <w:rFonts w:ascii="Arial" w:cs="Arial" w:eastAsia="Arial" w:hAnsi="Arial"/>
                <w:sz w:val="18"/>
                <w:szCs w:val="18"/>
                <w:color w:val="auto"/>
              </w:rPr>
              <w:t>​​​$2,510</w:t>
            </w:r>
          </w:p>
        </w:tc>
        <w:tc>
          <w:tcPr>
            <w:tcW w:w="160" w:type="dxa"/>
            <w:vAlign w:val="bottom"/>
            <w:tcBorders>
              <w:bottom w:val="single" w:sz="8" w:color="424E6A"/>
            </w:tcBorders>
            <w:gridSpan w:val="2"/>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424E6A"/>
            </w:tcBorders>
            <w:gridSpan w:val="2"/>
            <w:shd w:val="clear" w:color="auto" w:fill="D9DCE1"/>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Borders>
              <w:bottom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04"/>
        </w:trPr>
        <w:tc>
          <w:tcPr>
            <w:tcW w:w="20" w:type="dxa"/>
            <w:vAlign w:val="bottom"/>
            <w:shd w:val="clear" w:color="auto" w:fill="424E6A"/>
          </w:tcPr>
          <w:p>
            <w:pPr>
              <w:spacing w:after="0"/>
              <w:rPr>
                <w:sz w:val="17"/>
                <w:szCs w:val="17"/>
                <w:color w:val="auto"/>
              </w:rPr>
            </w:pPr>
          </w:p>
        </w:tc>
        <w:tc>
          <w:tcPr>
            <w:tcW w:w="2640" w:type="dxa"/>
            <w:vAlign w:val="bottom"/>
            <w:gridSpan w:val="2"/>
          </w:tcPr>
          <w:p>
            <w:pPr>
              <w:ind w:left="40"/>
              <w:spacing w:after="0" w:line="204" w:lineRule="exact"/>
              <w:rPr>
                <w:sz w:val="20"/>
                <w:szCs w:val="20"/>
                <w:color w:val="auto"/>
              </w:rPr>
            </w:pPr>
            <w:r>
              <w:rPr>
                <w:rFonts w:ascii="Arial" w:cs="Arial" w:eastAsia="Arial" w:hAnsi="Arial"/>
                <w:sz w:val="18"/>
                <w:szCs w:val="18"/>
                <w:color w:val="auto"/>
              </w:rPr>
              <w:t>Implied DCF/Common Unit and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right w:val="single" w:sz="8" w:color="424E6A"/>
            </w:tcBorders>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 w:type="dxa"/>
            <w:vAlign w:val="bottom"/>
            <w:tcBorders>
              <w:bottom w:val="single" w:sz="8" w:color="424E6A"/>
            </w:tcBorders>
            <w:shd w:val="clear" w:color="auto" w:fill="424E6A"/>
          </w:tcPr>
          <w:p>
            <w:pPr>
              <w:spacing w:after="0"/>
              <w:rPr>
                <w:sz w:val="22"/>
                <w:szCs w:val="22"/>
                <w:color w:val="auto"/>
              </w:rPr>
            </w:pP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CUE</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​40%​​​ ​$</w:t>
            </w:r>
          </w:p>
        </w:tc>
        <w:tc>
          <w:tcPr>
            <w:tcW w:w="3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w w:val="96"/>
              </w:rPr>
              <w:t>1.85</w:t>
            </w:r>
          </w:p>
        </w:tc>
        <w:tc>
          <w:tcPr>
            <w:tcW w:w="3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gridSpan w:val="3"/>
          </w:tcPr>
          <w:p>
            <w:pPr>
              <w:jc w:val="right"/>
              <w:spacing w:after="0"/>
              <w:rPr>
                <w:sz w:val="20"/>
                <w:szCs w:val="20"/>
                <w:color w:val="auto"/>
              </w:rPr>
            </w:pPr>
            <w:r>
              <w:rPr>
                <w:rFonts w:ascii="Arial" w:cs="Arial" w:eastAsia="Arial" w:hAnsi="Arial"/>
                <w:sz w:val="18"/>
                <w:szCs w:val="18"/>
                <w:color w:val="auto"/>
              </w:rPr>
              <w:t>2.00 ​​​$</w:t>
            </w:r>
          </w:p>
        </w:tc>
        <w:tc>
          <w:tcPr>
            <w:tcW w:w="460" w:type="dxa"/>
            <w:vAlign w:val="bottom"/>
            <w:tcBorders>
              <w:bottom w:val="single" w:sz="8" w:color="424E6A"/>
            </w:tcBorders>
            <w:gridSpan w:val="2"/>
          </w:tcPr>
          <w:p>
            <w:pPr>
              <w:jc w:val="right"/>
              <w:spacing w:after="0"/>
              <w:rPr>
                <w:sz w:val="20"/>
                <w:szCs w:val="20"/>
                <w:color w:val="auto"/>
              </w:rPr>
            </w:pPr>
            <w:r>
              <w:rPr>
                <w:rFonts w:ascii="Arial" w:cs="Arial" w:eastAsia="Arial" w:hAnsi="Arial"/>
                <w:sz w:val="18"/>
                <w:szCs w:val="18"/>
                <w:color w:val="auto"/>
              </w:rPr>
              <w:t>2.20</w:t>
            </w:r>
          </w:p>
        </w:tc>
        <w:tc>
          <w:tcPr>
            <w:tcW w:w="700" w:type="dxa"/>
            <w:vAlign w:val="bottom"/>
            <w:tcBorders>
              <w:bottom w:val="single" w:sz="8" w:color="424E6A"/>
            </w:tcBorders>
            <w:gridSpan w:val="3"/>
          </w:tcPr>
          <w:p>
            <w:pPr>
              <w:jc w:val="right"/>
              <w:spacing w:after="0"/>
              <w:rPr>
                <w:sz w:val="20"/>
                <w:szCs w:val="20"/>
                <w:color w:val="auto"/>
              </w:rPr>
            </w:pPr>
            <w:r>
              <w:rPr>
                <w:rFonts w:ascii="Arial" w:cs="Arial" w:eastAsia="Arial" w:hAnsi="Arial"/>
                <w:sz w:val="18"/>
                <w:szCs w:val="18"/>
                <w:color w:val="auto"/>
              </w:rPr>
              <w:t>​​​$ 2.26</w:t>
            </w:r>
          </w:p>
        </w:tc>
        <w:tc>
          <w:tcPr>
            <w:tcW w:w="160" w:type="dxa"/>
            <w:vAlign w:val="bottom"/>
            <w:tcBorders>
              <w:bottom w:val="single" w:sz="8" w:color="424E6A"/>
            </w:tcBorders>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424E6A"/>
            </w:tcBorders>
            <w:gridSpan w:val="2"/>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Borders>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50"/>
        </w:trPr>
        <w:tc>
          <w:tcPr>
            <w:tcW w:w="20" w:type="dxa"/>
            <w:vAlign w:val="bottom"/>
            <w:tcBorders>
              <w:bottom w:val="single" w:sz="8" w:color="424E6A"/>
            </w:tcBorders>
            <w:shd w:val="clear" w:color="auto" w:fill="424E6A"/>
          </w:tcPr>
          <w:p>
            <w:pPr>
              <w:spacing w:after="0"/>
              <w:rPr>
                <w:sz w:val="21"/>
                <w:szCs w:val="21"/>
                <w:color w:val="auto"/>
              </w:rPr>
            </w:pPr>
          </w:p>
        </w:tc>
        <w:tc>
          <w:tcPr>
            <w:tcW w:w="2640" w:type="dxa"/>
            <w:vAlign w:val="bottom"/>
            <w:tcBorders>
              <w:bottom w:val="single" w:sz="8" w:color="424E6A"/>
            </w:tcBorders>
            <w:gridSpan w:val="2"/>
            <w:shd w:val="clear" w:color="auto" w:fill="D9DCE1"/>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Safety (TRIR)</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shd w:val="clear" w:color="auto" w:fill="D9DCE1"/>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10%</w:t>
            </w:r>
            <w:r>
              <w:rPr>
                <w:rFonts w:ascii="Arial" w:cs="Arial" w:eastAsia="Arial" w:hAnsi="Arial"/>
                <w:sz w:val="15"/>
                <w:szCs w:val="15"/>
                <w:color w:val="auto"/>
              </w:rPr>
              <w:t>​​​ ​</w:t>
            </w:r>
          </w:p>
        </w:tc>
        <w:tc>
          <w:tcPr>
            <w:tcW w:w="3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w w:val="96"/>
              </w:rPr>
              <w:t>0.34</w:t>
            </w:r>
          </w:p>
        </w:tc>
        <w:tc>
          <w:tcPr>
            <w:tcW w:w="3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gridSpan w:val="3"/>
            <w:shd w:val="clear" w:color="auto" w:fill="D9DCE1"/>
          </w:tcPr>
          <w:p>
            <w:pPr>
              <w:jc w:val="right"/>
              <w:spacing w:after="0" w:line="250" w:lineRule="exact"/>
              <w:rPr>
                <w:sz w:val="20"/>
                <w:szCs w:val="20"/>
                <w:color w:val="auto"/>
              </w:rPr>
            </w:pPr>
            <w:r>
              <w:rPr>
                <w:rFonts w:ascii="Arial" w:cs="Arial" w:eastAsia="Arial" w:hAnsi="Arial"/>
                <w:sz w:val="15"/>
                <w:szCs w:val="15"/>
                <w:color w:val="auto"/>
              </w:rPr>
              <w:t xml:space="preserve">0.30 </w:t>
            </w:r>
            <w:r>
              <w:rPr>
                <w:rFonts w:ascii="Arial" w:cs="Arial" w:eastAsia="Arial" w:hAnsi="Arial"/>
                <w:sz w:val="28"/>
                <w:szCs w:val="28"/>
                <w:color w:val="auto"/>
                <w:vertAlign w:val="subscript"/>
              </w:rPr>
              <w:t>​​​</w:t>
            </w:r>
          </w:p>
        </w:tc>
        <w:tc>
          <w:tcPr>
            <w:tcW w:w="460" w:type="dxa"/>
            <w:vAlign w:val="bottom"/>
            <w:tcBorders>
              <w:bottom w:val="single" w:sz="8" w:color="424E6A"/>
            </w:tcBorders>
            <w:gridSpan w:val="2"/>
            <w:shd w:val="clear" w:color="auto" w:fill="D9DCE1"/>
          </w:tcPr>
          <w:p>
            <w:pPr>
              <w:jc w:val="right"/>
              <w:spacing w:after="0"/>
              <w:rPr>
                <w:sz w:val="20"/>
                <w:szCs w:val="20"/>
                <w:color w:val="auto"/>
              </w:rPr>
            </w:pPr>
            <w:r>
              <w:rPr>
                <w:rFonts w:ascii="Arial" w:cs="Arial" w:eastAsia="Arial" w:hAnsi="Arial"/>
                <w:sz w:val="18"/>
                <w:szCs w:val="18"/>
                <w:color w:val="auto"/>
              </w:rPr>
              <w:t>0.27</w:t>
            </w:r>
          </w:p>
        </w:tc>
        <w:tc>
          <w:tcPr>
            <w:tcW w:w="20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spacing w:after="0"/>
              <w:rPr>
                <w:sz w:val="21"/>
                <w:szCs w:val="21"/>
                <w:color w:val="auto"/>
              </w:rPr>
            </w:pPr>
          </w:p>
        </w:tc>
        <w:tc>
          <w:tcPr>
            <w:tcW w:w="4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0.31</w:t>
            </w:r>
          </w:p>
        </w:tc>
        <w:tc>
          <w:tcPr>
            <w:tcW w:w="160" w:type="dxa"/>
            <w:vAlign w:val="bottom"/>
            <w:tcBorders>
              <w:bottom w:val="single" w:sz="8" w:color="424E6A"/>
            </w:tcBorders>
            <w:gridSpan w:val="2"/>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84%</w:t>
            </w:r>
            <w:r>
              <w:rPr>
                <w:rFonts w:ascii="Arial" w:cs="Arial" w:eastAsia="Arial" w:hAnsi="Arial"/>
                <w:sz w:val="15"/>
                <w:szCs w:val="15"/>
                <w:color w:val="auto"/>
              </w:rPr>
              <w:t>​​​</w:t>
            </w:r>
          </w:p>
        </w:tc>
        <w:tc>
          <w:tcPr>
            <w:tcW w:w="260" w:type="dxa"/>
            <w:vAlign w:val="bottom"/>
            <w:tcBorders>
              <w:bottom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424E6A"/>
              <w:right w:val="single" w:sz="8" w:color="424E6A"/>
            </w:tcBorders>
            <w:shd w:val="clear" w:color="auto" w:fill="D9DCE1"/>
          </w:tcPr>
          <w:p>
            <w:pPr>
              <w:jc w:val="right"/>
              <w:spacing w:after="0" w:line="250" w:lineRule="exact"/>
              <w:rPr>
                <w:sz w:val="20"/>
                <w:szCs w:val="20"/>
                <w:color w:val="auto"/>
              </w:rPr>
            </w:pPr>
            <w:r>
              <w:rPr>
                <w:rFonts w:ascii="Arial" w:cs="Arial" w:eastAsia="Arial" w:hAnsi="Arial"/>
                <w:sz w:val="15"/>
                <w:szCs w:val="15"/>
                <w:color w:val="auto"/>
              </w:rPr>
              <w:t xml:space="preserve">8.4%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63"/>
        </w:trPr>
        <w:tc>
          <w:tcPr>
            <w:tcW w:w="20" w:type="dxa"/>
            <w:vAlign w:val="bottom"/>
            <w:tcBorders>
              <w:bottom w:val="single" w:sz="8" w:color="424E6A"/>
            </w:tcBorders>
            <w:shd w:val="clear" w:color="auto" w:fill="424E6A"/>
          </w:tcPr>
          <w:p>
            <w:pPr>
              <w:spacing w:after="0"/>
              <w:rPr>
                <w:sz w:val="22"/>
                <w:szCs w:val="22"/>
                <w:color w:val="auto"/>
              </w:rPr>
            </w:pPr>
          </w:p>
        </w:tc>
        <w:tc>
          <w:tcPr>
            <w:tcW w:w="2640" w:type="dxa"/>
            <w:vAlign w:val="bottom"/>
            <w:tcBorders>
              <w:bottom w:val="single" w:sz="8" w:color="424E6A"/>
            </w:tcBorders>
            <w:gridSpan w:val="2"/>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Environmental (DOT releases)</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ind w:left="1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10%</w:t>
            </w:r>
            <w:r>
              <w:rPr>
                <w:rFonts w:ascii="Arial" w:cs="Arial" w:eastAsia="Arial" w:hAnsi="Arial"/>
                <w:sz w:val="16"/>
                <w:szCs w:val="16"/>
                <w:color w:val="auto"/>
              </w:rPr>
              <w:t>​​​ ​</w:t>
            </w:r>
          </w:p>
        </w:tc>
        <w:tc>
          <w:tcPr>
            <w:tcW w:w="3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gridSpan w:val="3"/>
          </w:tcPr>
          <w:p>
            <w:pPr>
              <w:jc w:val="right"/>
              <w:spacing w:after="0" w:line="264" w:lineRule="exact"/>
              <w:rPr>
                <w:sz w:val="20"/>
                <w:szCs w:val="20"/>
                <w:color w:val="auto"/>
              </w:rPr>
            </w:pPr>
            <w:r>
              <w:rPr>
                <w:rFonts w:ascii="Arial" w:cs="Arial" w:eastAsia="Arial" w:hAnsi="Arial"/>
                <w:sz w:val="30"/>
                <w:szCs w:val="30"/>
                <w:color w:val="auto"/>
                <w:vertAlign w:val="superscript"/>
              </w:rPr>
              <w:t>14</w:t>
            </w:r>
            <w:r>
              <w:rPr>
                <w:rFonts w:ascii="Arial" w:cs="Arial" w:eastAsia="Arial" w:hAnsi="Arial"/>
                <w:sz w:val="16"/>
                <w:szCs w:val="16"/>
                <w:color w:val="auto"/>
              </w:rPr>
              <w:t xml:space="preserve"> ​​​</w:t>
            </w:r>
          </w:p>
        </w:tc>
        <w:tc>
          <w:tcPr>
            <w:tcW w:w="460" w:type="dxa"/>
            <w:vAlign w:val="bottom"/>
            <w:tcBorders>
              <w:bottom w:val="single" w:sz="8" w:color="424E6A"/>
            </w:tcBorders>
            <w:gridSpan w:val="2"/>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spacing w:after="0"/>
              <w:rPr>
                <w:sz w:val="22"/>
                <w:szCs w:val="22"/>
                <w:color w:val="auto"/>
              </w:rPr>
            </w:pPr>
          </w:p>
        </w:tc>
        <w:tc>
          <w:tcPr>
            <w:tcW w:w="4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424E6A"/>
            </w:tcBorders>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424E6A"/>
            </w:tcBorders>
            <w:gridSpan w:val="2"/>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200%</w:t>
            </w:r>
            <w:r>
              <w:rPr>
                <w:rFonts w:ascii="Arial" w:cs="Arial" w:eastAsia="Arial" w:hAnsi="Arial"/>
                <w:sz w:val="16"/>
                <w:szCs w:val="16"/>
                <w:color w:val="auto"/>
              </w:rPr>
              <w:t>​​​</w:t>
            </w:r>
          </w:p>
        </w:tc>
        <w:tc>
          <w:tcPr>
            <w:tcW w:w="260" w:type="dxa"/>
            <w:vAlign w:val="bottom"/>
            <w:tcBorders>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424E6A"/>
              <w:right w:val="single" w:sz="8" w:color="424E6A"/>
            </w:tcBorders>
          </w:tcPr>
          <w:p>
            <w:pPr>
              <w:jc w:val="right"/>
              <w:spacing w:after="0" w:line="264" w:lineRule="exact"/>
              <w:rPr>
                <w:sz w:val="20"/>
                <w:szCs w:val="20"/>
                <w:color w:val="auto"/>
              </w:rPr>
            </w:pPr>
            <w:r>
              <w:rPr>
                <w:rFonts w:ascii="Arial" w:cs="Arial" w:eastAsia="Arial" w:hAnsi="Arial"/>
                <w:sz w:val="16"/>
                <w:szCs w:val="16"/>
                <w:color w:val="auto"/>
              </w:rPr>
              <w:t xml:space="preserve">20% </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63"/>
        </w:trPr>
        <w:tc>
          <w:tcPr>
            <w:tcW w:w="20" w:type="dxa"/>
            <w:vAlign w:val="bottom"/>
            <w:tcBorders>
              <w:bottom w:val="single" w:sz="8" w:color="424E6A"/>
            </w:tcBorders>
            <w:shd w:val="clear" w:color="auto" w:fill="424E6A"/>
          </w:tcPr>
          <w:p>
            <w:pPr>
              <w:spacing w:after="0"/>
              <w:rPr>
                <w:sz w:val="22"/>
                <w:szCs w:val="22"/>
                <w:color w:val="auto"/>
              </w:rPr>
            </w:pPr>
          </w:p>
        </w:tc>
        <w:tc>
          <w:tcPr>
            <w:tcW w:w="2640" w:type="dxa"/>
            <w:vAlign w:val="bottom"/>
            <w:tcBorders>
              <w:bottom w:val="single" w:sz="8" w:color="424E6A"/>
            </w:tcBorders>
            <w:gridSpan w:val="2"/>
            <w:shd w:val="clear" w:color="auto" w:fill="D9DCE1"/>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Company Performance Subtotal</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color w:val="auto"/>
              </w:rPr>
              <w:t>​   ​​​ ​</w:t>
            </w:r>
          </w:p>
        </w:tc>
        <w:tc>
          <w:tcPr>
            <w:tcW w:w="380" w:type="dxa"/>
            <w:vAlign w:val="bottom"/>
            <w:tcBorders>
              <w:bottom w:val="single" w:sz="8" w:color="424E6A"/>
            </w:tcBorders>
            <w:shd w:val="clear" w:color="auto" w:fill="D9DCE1"/>
          </w:tcPr>
          <w:p>
            <w:pPr>
              <w:spacing w:after="0"/>
              <w:rPr>
                <w:sz w:val="22"/>
                <w:szCs w:val="22"/>
                <w:color w:val="auto"/>
              </w:rPr>
            </w:pPr>
          </w:p>
        </w:tc>
        <w:tc>
          <w:tcPr>
            <w:tcW w:w="3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424E6A"/>
            </w:tcBorders>
            <w:shd w:val="clear" w:color="auto" w:fill="D9DCE1"/>
          </w:tcPr>
          <w:p>
            <w:pPr>
              <w:spacing w:after="0"/>
              <w:rPr>
                <w:sz w:val="22"/>
                <w:szCs w:val="22"/>
                <w:color w:val="auto"/>
              </w:rPr>
            </w:pPr>
          </w:p>
        </w:tc>
        <w:tc>
          <w:tcPr>
            <w:tcW w:w="280" w:type="dxa"/>
            <w:vAlign w:val="bottom"/>
            <w:tcBorders>
              <w:bottom w:val="single" w:sz="8" w:color="424E6A"/>
            </w:tcBorders>
            <w:gridSpan w:val="2"/>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20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spacing w:after="0"/>
              <w:rPr>
                <w:sz w:val="22"/>
                <w:szCs w:val="22"/>
                <w:color w:val="auto"/>
              </w:rPr>
            </w:pPr>
          </w:p>
        </w:tc>
        <w:tc>
          <w:tcPr>
            <w:tcW w:w="420" w:type="dxa"/>
            <w:vAlign w:val="bottom"/>
            <w:tcBorders>
              <w:bottom w:val="single" w:sz="8" w:color="424E6A"/>
            </w:tcBorders>
            <w:shd w:val="clear" w:color="auto" w:fill="D9DCE1"/>
          </w:tcPr>
          <w:p>
            <w:pPr>
              <w:spacing w:after="0"/>
              <w:rPr>
                <w:sz w:val="22"/>
                <w:szCs w:val="22"/>
                <w:color w:val="auto"/>
              </w:rPr>
            </w:pPr>
          </w:p>
        </w:tc>
        <w:tc>
          <w:tcPr>
            <w:tcW w:w="160" w:type="dxa"/>
            <w:vAlign w:val="bottom"/>
            <w:tcBorders>
              <w:bottom w:val="single" w:sz="8" w:color="424E6A"/>
            </w:tcBorders>
            <w:gridSpan w:val="2"/>
            <w:shd w:val="clear" w:color="auto" w:fill="D9DCE1"/>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shd w:val="clear" w:color="auto" w:fill="D9DCE1"/>
          </w:tcPr>
          <w:p>
            <w:pPr>
              <w:ind w:left="1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right w:val="single" w:sz="8" w:color="424E6A"/>
            </w:tcBorders>
            <w:gridSpan w:val="2"/>
            <w:shd w:val="clear" w:color="auto" w:fill="D9DCE1"/>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188.4% </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-1319530</wp:posOffset>
            </wp:positionV>
            <wp:extent cx="3429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Individual Performance</w:t>
      </w:r>
    </w:p>
    <w:p>
      <w:pPr>
        <w:spacing w:after="0" w:line="156" w:lineRule="exact"/>
        <w:rPr>
          <w:sz w:val="20"/>
          <w:szCs w:val="20"/>
          <w:color w:val="auto"/>
        </w:rPr>
      </w:pPr>
    </w:p>
    <w:p>
      <w:pPr>
        <w:ind w:left="1260" w:right="539" w:firstLine="360"/>
        <w:spacing w:after="0" w:line="267" w:lineRule="auto"/>
        <w:rPr>
          <w:sz w:val="20"/>
          <w:szCs w:val="20"/>
          <w:color w:val="auto"/>
        </w:rPr>
      </w:pPr>
      <w:r>
        <w:rPr>
          <w:rFonts w:ascii="Arial" w:cs="Arial" w:eastAsia="Arial" w:hAnsi="Arial"/>
          <w:sz w:val="18"/>
          <w:szCs w:val="18"/>
          <w:color w:val="auto"/>
        </w:rPr>
        <w:t>As noted above, individual performance accounts for 33% of the annual bonus opportunity for our Named Executive Officers. Each officer’s individual contributions toward satisfaction of company goals and objectives is evaluated and payouts may range from 0-200% of target. During 2022, the executive leadership team executed well in an uncertain and volatile environment allowing Plains to successfully capture multiple upsides in the business and deliver results that exceeded plan. The individual payout scores for our NEOs for 2022 are set forth in the table below and take these factors into account, together with the specific items described for each NEO in the table.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65"/>
        </w:trPr>
        <w:tc>
          <w:tcPr>
            <w:tcW w:w="1480" w:type="dxa"/>
            <w:vAlign w:val="bottom"/>
            <w:tcBorders>
              <w:top w:val="single" w:sz="8" w:color="auto"/>
              <w:left w:val="single" w:sz="8" w:color="auto"/>
            </w:tcBorders>
            <w:vMerge w:val="restart"/>
          </w:tcPr>
          <w:p>
            <w:pPr>
              <w:ind w:left="60"/>
              <w:spacing w:after="0"/>
              <w:rPr>
                <w:sz w:val="20"/>
                <w:szCs w:val="20"/>
                <w:color w:val="auto"/>
              </w:rPr>
            </w:pPr>
            <w:r>
              <w:rPr>
                <w:rFonts w:ascii="Arial" w:cs="Arial" w:eastAsia="Arial" w:hAnsi="Arial"/>
                <w:sz w:val="35"/>
                <w:szCs w:val="35"/>
                <w:b w:val="1"/>
                <w:bCs w:val="1"/>
                <w:color w:val="auto"/>
                <w:vertAlign w:val="subscript"/>
              </w:rPr>
              <w:t>​</w:t>
            </w:r>
            <w:r>
              <w:rPr>
                <w:rFonts w:ascii="Arial" w:cs="Arial" w:eastAsia="Arial" w:hAnsi="Arial"/>
                <w:sz w:val="18"/>
                <w:szCs w:val="18"/>
                <w:b w:val="1"/>
                <w:bCs w:val="1"/>
                <w:color w:val="auto"/>
              </w:rPr>
              <w:t>Name</w:t>
            </w:r>
          </w:p>
        </w:tc>
        <w:tc>
          <w:tcPr>
            <w:tcW w:w="260" w:type="dxa"/>
            <w:vAlign w:val="bottom"/>
            <w:tcBorders>
              <w:top w:val="single" w:sz="8" w:color="auto"/>
              <w:right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4880" w:type="dxa"/>
            <w:vAlign w:val="bottom"/>
            <w:tcBorders>
              <w:top w:val="single" w:sz="8" w:color="auto"/>
            </w:tcBorders>
          </w:tcPr>
          <w:p>
            <w:pPr>
              <w:spacing w:after="0"/>
              <w:rPr>
                <w:sz w:val="23"/>
                <w:szCs w:val="23"/>
                <w:color w:val="auto"/>
              </w:rPr>
            </w:pPr>
          </w:p>
        </w:tc>
        <w:tc>
          <w:tcPr>
            <w:tcW w:w="120" w:type="dxa"/>
            <w:vAlign w:val="bottom"/>
            <w:tcBorders>
              <w:top w:val="single" w:sz="8" w:color="auto"/>
              <w:right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9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Payout</w:t>
            </w:r>
          </w:p>
        </w:tc>
        <w:tc>
          <w:tcPr>
            <w:tcW w:w="0" w:type="dxa"/>
            <w:vAlign w:val="bottom"/>
          </w:tcPr>
          <w:p>
            <w:pPr>
              <w:spacing w:after="0"/>
              <w:rPr>
                <w:sz w:val="1"/>
                <w:szCs w:val="1"/>
                <w:color w:val="auto"/>
              </w:rPr>
            </w:pPr>
          </w:p>
        </w:tc>
      </w:tr>
      <w:tr>
        <w:trPr>
          <w:trHeight w:val="248"/>
        </w:trPr>
        <w:tc>
          <w:tcPr>
            <w:tcW w:w="1480" w:type="dxa"/>
            <w:vAlign w:val="bottom"/>
            <w:tcBorders>
              <w:left w:val="single" w:sz="8" w:color="auto"/>
              <w:bottom w:val="single" w:sz="8" w:color="auto"/>
            </w:tcBorders>
            <w:vMerge w:val="continue"/>
          </w:tcPr>
          <w:p>
            <w:pPr>
              <w:spacing w:after="0"/>
              <w:rPr>
                <w:sz w:val="21"/>
                <w:szCs w:val="21"/>
                <w:color w:val="auto"/>
              </w:rPr>
            </w:pPr>
          </w:p>
        </w:tc>
        <w:tc>
          <w:tcPr>
            <w:tcW w:w="2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1"/>
                <w:szCs w:val="21"/>
                <w:color w:val="auto"/>
              </w:rPr>
            </w:pPr>
          </w:p>
        </w:tc>
        <w:tc>
          <w:tcPr>
            <w:tcW w:w="488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Individual Performance Highlights</w:t>
            </w:r>
          </w:p>
        </w:tc>
        <w:tc>
          <w:tcPr>
            <w:tcW w:w="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right w:val="single" w:sz="8" w:color="auto"/>
            </w:tcBorders>
          </w:tcPr>
          <w:p>
            <w:pPr>
              <w:jc w:val="center"/>
              <w:ind w:right="93"/>
              <w:spacing w:after="0"/>
              <w:rPr>
                <w:sz w:val="20"/>
                <w:szCs w:val="20"/>
                <w:color w:val="auto"/>
              </w:rPr>
            </w:pPr>
            <w:r>
              <w:rPr>
                <w:rFonts w:ascii="Arial" w:cs="Arial" w:eastAsia="Arial" w:hAnsi="Arial"/>
                <w:sz w:val="18"/>
                <w:szCs w:val="18"/>
                <w:b w:val="1"/>
                <w:bCs w:val="1"/>
                <w:color w:val="auto"/>
                <w:w w:val="99"/>
              </w:rPr>
              <w:t>Score</w:t>
            </w:r>
          </w:p>
        </w:tc>
        <w:tc>
          <w:tcPr>
            <w:tcW w:w="0" w:type="dxa"/>
            <w:vAlign w:val="bottom"/>
          </w:tcPr>
          <w:p>
            <w:pPr>
              <w:spacing w:after="0"/>
              <w:rPr>
                <w:sz w:val="1"/>
                <w:szCs w:val="1"/>
                <w:color w:val="auto"/>
              </w:rPr>
            </w:pPr>
          </w:p>
        </w:tc>
      </w:tr>
      <w:tr>
        <w:trPr>
          <w:trHeight w:val="228"/>
        </w:trPr>
        <w:tc>
          <w:tcPr>
            <w:tcW w:w="1480" w:type="dxa"/>
            <w:vAlign w:val="bottom"/>
            <w:tcBorders>
              <w:left w:val="single" w:sz="8" w:color="auto"/>
            </w:tcBorders>
          </w:tcPr>
          <w:p>
            <w:pPr>
              <w:ind w:left="100"/>
              <w:spacing w:after="0"/>
              <w:rPr>
                <w:sz w:val="20"/>
                <w:szCs w:val="20"/>
                <w:color w:val="auto"/>
              </w:rPr>
            </w:pPr>
            <w:r>
              <w:rPr>
                <w:rFonts w:ascii="Arial" w:cs="Arial" w:eastAsia="Arial" w:hAnsi="Arial"/>
                <w:sz w:val="17"/>
                <w:szCs w:val="17"/>
                <w:color w:val="auto"/>
              </w:rPr>
              <w:t>Willie Chiang</w:t>
            </w:r>
          </w:p>
        </w:tc>
        <w:tc>
          <w:tcPr>
            <w:tcW w:w="260" w:type="dxa"/>
            <w:vAlign w:val="bottom"/>
            <w:tcBorders>
              <w:right w:val="single" w:sz="8" w:color="auto"/>
            </w:tcBorders>
          </w:tcPr>
          <w:p>
            <w:pPr>
              <w:spacing w:after="0"/>
              <w:rPr>
                <w:sz w:val="19"/>
                <w:szCs w:val="19"/>
                <w:color w:val="auto"/>
              </w:rPr>
            </w:pP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Overall leadership, culture and tone setting</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right w:val="single" w:sz="8" w:color="auto"/>
            </w:tcBorders>
          </w:tcPr>
          <w:p>
            <w:pPr>
              <w:jc w:val="center"/>
              <w:ind w:right="93"/>
              <w:spacing w:after="0"/>
              <w:rPr>
                <w:sz w:val="20"/>
                <w:szCs w:val="20"/>
                <w:color w:val="auto"/>
              </w:rPr>
            </w:pPr>
            <w:r>
              <w:rPr>
                <w:rFonts w:ascii="Arial" w:cs="Arial" w:eastAsia="Arial" w:hAnsi="Arial"/>
                <w:sz w:val="17"/>
                <w:szCs w:val="17"/>
                <w:color w:val="auto"/>
                <w:w w:val="96"/>
              </w:rPr>
              <w:t>163%</w:t>
            </w: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5260" w:type="dxa"/>
            <w:vAlign w:val="bottom"/>
            <w:gridSpan w:val="3"/>
          </w:tcPr>
          <w:p>
            <w:pPr>
              <w:ind w:left="100"/>
              <w:spacing w:after="0"/>
              <w:rPr>
                <w:sz w:val="20"/>
                <w:szCs w:val="20"/>
                <w:color w:val="auto"/>
              </w:rPr>
            </w:pPr>
            <w:r>
              <w:rPr>
                <w:rFonts w:ascii="Arial" w:cs="Arial" w:eastAsia="Arial" w:hAnsi="Arial"/>
                <w:sz w:val="17"/>
                <w:szCs w:val="17"/>
                <w:color w:val="auto"/>
              </w:rPr>
              <w:t>• Investor engagement, capital allocation, ESG/sustainability</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5260" w:type="dxa"/>
            <w:vAlign w:val="bottom"/>
            <w:gridSpan w:val="3"/>
          </w:tcPr>
          <w:p>
            <w:pPr>
              <w:ind w:left="100"/>
              <w:spacing w:after="0"/>
              <w:rPr>
                <w:sz w:val="20"/>
                <w:szCs w:val="20"/>
                <w:color w:val="auto"/>
              </w:rPr>
            </w:pPr>
            <w:r>
              <w:rPr>
                <w:rFonts w:ascii="Arial" w:cs="Arial" w:eastAsia="Arial" w:hAnsi="Arial"/>
                <w:sz w:val="17"/>
                <w:szCs w:val="17"/>
                <w:color w:val="auto"/>
              </w:rPr>
              <w:t>• Led strategic positioning for 2022+</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526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color w:val="auto"/>
              </w:rPr>
              <w:t>• Ongoing Board initiatives, leadership development/succession</w:t>
            </w:r>
          </w:p>
        </w:tc>
        <w:tc>
          <w:tcPr>
            <w:tcW w:w="12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80" w:type="dxa"/>
            <w:vAlign w:val="bottom"/>
            <w:tcBorders>
              <w:left w:val="single" w:sz="8" w:color="auto"/>
            </w:tcBorders>
          </w:tcPr>
          <w:p>
            <w:pPr>
              <w:ind w:left="100"/>
              <w:spacing w:after="0"/>
              <w:rPr>
                <w:sz w:val="20"/>
                <w:szCs w:val="20"/>
                <w:color w:val="auto"/>
              </w:rPr>
            </w:pPr>
            <w:r>
              <w:rPr>
                <w:rFonts w:ascii="Arial" w:cs="Arial" w:eastAsia="Arial" w:hAnsi="Arial"/>
                <w:sz w:val="17"/>
                <w:szCs w:val="17"/>
                <w:color w:val="auto"/>
              </w:rPr>
              <w:t>Harry Pefanis</w:t>
            </w:r>
          </w:p>
        </w:tc>
        <w:tc>
          <w:tcPr>
            <w:tcW w:w="260" w:type="dxa"/>
            <w:vAlign w:val="bottom"/>
            <w:tcBorders>
              <w:right w:val="single" w:sz="8" w:color="auto"/>
            </w:tcBorders>
          </w:tcPr>
          <w:p>
            <w:pPr>
              <w:spacing w:after="0"/>
              <w:rPr>
                <w:sz w:val="19"/>
                <w:szCs w:val="19"/>
                <w:color w:val="auto"/>
              </w:rPr>
            </w:pP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Significant role in structuring &amp; negotiating JVs &amp; divestitures</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right w:val="single" w:sz="8" w:color="auto"/>
            </w:tcBorders>
          </w:tcPr>
          <w:p>
            <w:pPr>
              <w:jc w:val="center"/>
              <w:ind w:right="93"/>
              <w:spacing w:after="0"/>
              <w:rPr>
                <w:sz w:val="20"/>
                <w:szCs w:val="20"/>
                <w:color w:val="auto"/>
              </w:rPr>
            </w:pPr>
            <w:r>
              <w:rPr>
                <w:rFonts w:ascii="Arial" w:cs="Arial" w:eastAsia="Arial" w:hAnsi="Arial"/>
                <w:sz w:val="17"/>
                <w:szCs w:val="17"/>
                <w:color w:val="auto"/>
                <w:w w:val="96"/>
              </w:rPr>
              <w:t>150%</w:t>
            </w: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Mentored/developed key individuals</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5260" w:type="dxa"/>
            <w:vAlign w:val="bottom"/>
            <w:gridSpan w:val="3"/>
          </w:tcPr>
          <w:p>
            <w:pPr>
              <w:ind w:left="100"/>
              <w:spacing w:after="0"/>
              <w:rPr>
                <w:sz w:val="20"/>
                <w:szCs w:val="20"/>
                <w:color w:val="auto"/>
              </w:rPr>
            </w:pPr>
            <w:r>
              <w:rPr>
                <w:rFonts w:ascii="Arial" w:cs="Arial" w:eastAsia="Arial" w:hAnsi="Arial"/>
                <w:sz w:val="17"/>
                <w:szCs w:val="17"/>
                <w:color w:val="auto"/>
              </w:rPr>
              <w:t>• Led analysis of capital allocation alternatives</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80" w:type="dxa"/>
            <w:vAlign w:val="bottom"/>
            <w:tcBorders>
              <w:left w:val="single" w:sz="8" w:color="auto"/>
            </w:tcBorders>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5260" w:type="dxa"/>
            <w:vAlign w:val="bottom"/>
            <w:gridSpan w:val="3"/>
          </w:tcPr>
          <w:p>
            <w:pPr>
              <w:ind w:left="100"/>
              <w:spacing w:after="0" w:line="189" w:lineRule="exact"/>
              <w:rPr>
                <w:sz w:val="20"/>
                <w:szCs w:val="20"/>
                <w:color w:val="auto"/>
              </w:rPr>
            </w:pPr>
            <w:r>
              <w:rPr>
                <w:rFonts w:ascii="Arial" w:cs="Arial" w:eastAsia="Arial" w:hAnsi="Arial"/>
                <w:sz w:val="17"/>
                <w:szCs w:val="17"/>
                <w:color w:val="auto"/>
              </w:rPr>
              <w:t>• Strategic positioning for 2022+</w:t>
            </w: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5260" w:type="dxa"/>
            <w:vAlign w:val="bottom"/>
            <w:gridSpan w:val="3"/>
          </w:tcPr>
          <w:p>
            <w:pPr>
              <w:ind w:left="100"/>
              <w:spacing w:after="0"/>
              <w:rPr>
                <w:sz w:val="20"/>
                <w:szCs w:val="20"/>
                <w:color w:val="auto"/>
              </w:rPr>
            </w:pPr>
            <w:r>
              <w:rPr>
                <w:rFonts w:ascii="Arial" w:cs="Arial" w:eastAsia="Arial" w:hAnsi="Arial"/>
                <w:sz w:val="17"/>
                <w:szCs w:val="17"/>
                <w:color w:val="auto"/>
              </w:rPr>
              <w:t>• Strategic and tactical advice regarding commercial execution/​</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performance</w:t>
            </w: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4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526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color w:val="auto"/>
              </w:rPr>
              <w:t>• Develop/maintain/enhance major commercial relationships</w:t>
            </w:r>
          </w:p>
        </w:tc>
        <w:tc>
          <w:tcPr>
            <w:tcW w:w="1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80" w:type="dxa"/>
            <w:vAlign w:val="bottom"/>
            <w:tcBorders>
              <w:left w:val="single" w:sz="8" w:color="auto"/>
            </w:tcBorders>
          </w:tcPr>
          <w:p>
            <w:pPr>
              <w:ind w:left="100"/>
              <w:spacing w:after="0"/>
              <w:rPr>
                <w:sz w:val="20"/>
                <w:szCs w:val="20"/>
                <w:color w:val="auto"/>
              </w:rPr>
            </w:pPr>
            <w:r>
              <w:rPr>
                <w:rFonts w:ascii="Arial" w:cs="Arial" w:eastAsia="Arial" w:hAnsi="Arial"/>
                <w:sz w:val="17"/>
                <w:szCs w:val="17"/>
                <w:color w:val="auto"/>
              </w:rPr>
              <w:t>Al Swanson</w:t>
            </w:r>
          </w:p>
        </w:tc>
        <w:tc>
          <w:tcPr>
            <w:tcW w:w="260" w:type="dxa"/>
            <w:vAlign w:val="bottom"/>
            <w:tcBorders>
              <w:right w:val="single" w:sz="8" w:color="auto"/>
            </w:tcBorders>
          </w:tcPr>
          <w:p>
            <w:pPr>
              <w:spacing w:after="0"/>
              <w:rPr>
                <w:sz w:val="20"/>
                <w:szCs w:val="20"/>
                <w:color w:val="auto"/>
              </w:rPr>
            </w:pP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Finance group leadership during active year/challenging</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right w:val="single" w:sz="8" w:color="auto"/>
            </w:tcBorders>
          </w:tcPr>
          <w:p>
            <w:pPr>
              <w:jc w:val="center"/>
              <w:ind w:right="93"/>
              <w:spacing w:after="0"/>
              <w:rPr>
                <w:sz w:val="20"/>
                <w:szCs w:val="20"/>
                <w:color w:val="auto"/>
              </w:rPr>
            </w:pPr>
            <w:r>
              <w:rPr>
                <w:rFonts w:ascii="Arial" w:cs="Arial" w:eastAsia="Arial" w:hAnsi="Arial"/>
                <w:sz w:val="17"/>
                <w:szCs w:val="17"/>
                <w:color w:val="auto"/>
                <w:w w:val="96"/>
              </w:rPr>
              <w:t>150%</w:t>
            </w: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tcBorders>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environment</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48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5260" w:type="dxa"/>
            <w:vAlign w:val="bottom"/>
            <w:gridSpan w:val="3"/>
          </w:tcPr>
          <w:p>
            <w:pPr>
              <w:ind w:left="100"/>
              <w:spacing w:after="0"/>
              <w:rPr>
                <w:sz w:val="20"/>
                <w:szCs w:val="20"/>
                <w:color w:val="auto"/>
              </w:rPr>
            </w:pPr>
            <w:r>
              <w:rPr>
                <w:rFonts w:ascii="Arial" w:cs="Arial" w:eastAsia="Arial" w:hAnsi="Arial"/>
                <w:sz w:val="17"/>
                <w:szCs w:val="17"/>
                <w:color w:val="auto"/>
              </w:rPr>
              <w:t>• Drove focus on maximizing free cash flow/capital discipline</w:t>
            </w: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80" w:type="dxa"/>
            <w:vAlign w:val="bottom"/>
            <w:tcBorders>
              <w:left w:val="single" w:sz="8" w:color="auto"/>
            </w:tcBorders>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5260" w:type="dxa"/>
            <w:vAlign w:val="bottom"/>
            <w:gridSpan w:val="3"/>
          </w:tcPr>
          <w:p>
            <w:pPr>
              <w:ind w:left="100"/>
              <w:spacing w:after="0" w:line="189" w:lineRule="exact"/>
              <w:rPr>
                <w:sz w:val="20"/>
                <w:szCs w:val="20"/>
                <w:color w:val="auto"/>
              </w:rPr>
            </w:pPr>
            <w:r>
              <w:rPr>
                <w:rFonts w:ascii="Arial" w:cs="Arial" w:eastAsia="Arial" w:hAnsi="Arial"/>
                <w:sz w:val="17"/>
                <w:szCs w:val="17"/>
                <w:color w:val="auto"/>
              </w:rPr>
              <w:t>• Financial Strategy for 2022+</w:t>
            </w: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5260" w:type="dxa"/>
            <w:vAlign w:val="bottom"/>
            <w:gridSpan w:val="3"/>
          </w:tcPr>
          <w:p>
            <w:pPr>
              <w:ind w:left="100"/>
              <w:spacing w:after="0"/>
              <w:rPr>
                <w:sz w:val="20"/>
                <w:szCs w:val="20"/>
                <w:color w:val="auto"/>
              </w:rPr>
            </w:pPr>
            <w:r>
              <w:rPr>
                <w:rFonts w:ascii="Arial" w:cs="Arial" w:eastAsia="Arial" w:hAnsi="Arial"/>
                <w:sz w:val="17"/>
                <w:szCs w:val="17"/>
                <w:color w:val="auto"/>
              </w:rPr>
              <w:t>• Key role in development/roll-out of updated capital allocation</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tcBorders>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framework</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48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Financial flexibility/committed liquidity</w:t>
            </w: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504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Maintain/improve credit ratings</w:t>
            </w:r>
          </w:p>
        </w:tc>
        <w:tc>
          <w:tcPr>
            <w:tcW w:w="12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80" w:type="dxa"/>
            <w:vAlign w:val="bottom"/>
            <w:tcBorders>
              <w:left w:val="single" w:sz="8" w:color="auto"/>
            </w:tcBorders>
          </w:tcPr>
          <w:p>
            <w:pPr>
              <w:ind w:left="100"/>
              <w:spacing w:after="0"/>
              <w:rPr>
                <w:sz w:val="20"/>
                <w:szCs w:val="20"/>
                <w:color w:val="auto"/>
              </w:rPr>
            </w:pPr>
            <w:r>
              <w:rPr>
                <w:rFonts w:ascii="Arial" w:cs="Arial" w:eastAsia="Arial" w:hAnsi="Arial"/>
                <w:sz w:val="17"/>
                <w:szCs w:val="17"/>
                <w:color w:val="auto"/>
              </w:rPr>
              <w:t>Richard McGee</w:t>
            </w:r>
          </w:p>
        </w:tc>
        <w:tc>
          <w:tcPr>
            <w:tcW w:w="260" w:type="dxa"/>
            <w:vAlign w:val="bottom"/>
            <w:tcBorders>
              <w:right w:val="single" w:sz="8" w:color="auto"/>
            </w:tcBorders>
          </w:tcPr>
          <w:p>
            <w:pPr>
              <w:spacing w:after="0"/>
              <w:rPr>
                <w:sz w:val="19"/>
                <w:szCs w:val="19"/>
                <w:color w:val="auto"/>
              </w:rPr>
            </w:pP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Legal/Land and HR group oversight/leadership during active/​</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right w:val="single" w:sz="8" w:color="auto"/>
            </w:tcBorders>
          </w:tcPr>
          <w:p>
            <w:pPr>
              <w:jc w:val="center"/>
              <w:ind w:right="93"/>
              <w:spacing w:after="0"/>
              <w:rPr>
                <w:sz w:val="20"/>
                <w:szCs w:val="20"/>
                <w:color w:val="auto"/>
              </w:rPr>
            </w:pPr>
            <w:r>
              <w:rPr>
                <w:rFonts w:ascii="Arial" w:cs="Arial" w:eastAsia="Arial" w:hAnsi="Arial"/>
                <w:sz w:val="17"/>
                <w:szCs w:val="17"/>
                <w:color w:val="auto"/>
                <w:w w:val="96"/>
              </w:rPr>
              <w:t>175%</w:t>
            </w: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challenging year</w:t>
            </w: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5260" w:type="dxa"/>
            <w:vAlign w:val="bottom"/>
            <w:gridSpan w:val="3"/>
          </w:tcPr>
          <w:p>
            <w:pPr>
              <w:ind w:left="100"/>
              <w:spacing w:after="0"/>
              <w:rPr>
                <w:sz w:val="20"/>
                <w:szCs w:val="20"/>
                <w:color w:val="auto"/>
              </w:rPr>
            </w:pPr>
            <w:r>
              <w:rPr>
                <w:rFonts w:ascii="Arial" w:cs="Arial" w:eastAsia="Arial" w:hAnsi="Arial"/>
                <w:sz w:val="17"/>
                <w:szCs w:val="17"/>
                <w:color w:val="auto"/>
              </w:rPr>
              <w:t>• Facilitated acquisition, divestiture, JV and other transactions and</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key commercial arrangements</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Managed/mitigated Line 901 litigation exposure and advanced</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80" w:type="dxa"/>
            <w:vAlign w:val="bottom"/>
            <w:tcBorders>
              <w:lef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positioning for resolution</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5260" w:type="dxa"/>
            <w:vAlign w:val="bottom"/>
            <w:gridSpan w:val="3"/>
          </w:tcPr>
          <w:p>
            <w:pPr>
              <w:ind w:left="100"/>
              <w:spacing w:after="0"/>
              <w:rPr>
                <w:sz w:val="20"/>
                <w:szCs w:val="20"/>
                <w:color w:val="auto"/>
              </w:rPr>
            </w:pPr>
            <w:r>
              <w:rPr>
                <w:rFonts w:ascii="Arial" w:cs="Arial" w:eastAsia="Arial" w:hAnsi="Arial"/>
                <w:sz w:val="17"/>
                <w:szCs w:val="17"/>
                <w:color w:val="auto"/>
              </w:rPr>
              <w:t>• Facilitated investor engagement effort, SEC climate response and</w:t>
            </w: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48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various Board/governance/HR/compensation initiatives</w:t>
            </w:r>
          </w:p>
        </w:tc>
        <w:tc>
          <w:tcPr>
            <w:tcW w:w="1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480" w:type="dxa"/>
            <w:vAlign w:val="bottom"/>
            <w:tcBorders>
              <w:left w:val="single" w:sz="8" w:color="auto"/>
            </w:tcBorders>
          </w:tcPr>
          <w:p>
            <w:pPr>
              <w:ind w:left="100"/>
              <w:spacing w:after="0"/>
              <w:rPr>
                <w:sz w:val="20"/>
                <w:szCs w:val="20"/>
                <w:color w:val="auto"/>
              </w:rPr>
            </w:pPr>
            <w:r>
              <w:rPr>
                <w:rFonts w:ascii="Arial" w:cs="Arial" w:eastAsia="Arial" w:hAnsi="Arial"/>
                <w:sz w:val="17"/>
                <w:szCs w:val="17"/>
                <w:color w:val="auto"/>
              </w:rPr>
              <w:t>Chris Chandler</w:t>
            </w:r>
          </w:p>
        </w:tc>
        <w:tc>
          <w:tcPr>
            <w:tcW w:w="260" w:type="dxa"/>
            <w:vAlign w:val="bottom"/>
            <w:tcBorders>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Record HSE performance</w:t>
            </w: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jc w:val="center"/>
              <w:ind w:right="93"/>
              <w:spacing w:after="0"/>
              <w:rPr>
                <w:sz w:val="20"/>
                <w:szCs w:val="20"/>
                <w:color w:val="auto"/>
              </w:rPr>
            </w:pPr>
            <w:r>
              <w:rPr>
                <w:rFonts w:ascii="Arial" w:cs="Arial" w:eastAsia="Arial" w:hAnsi="Arial"/>
                <w:sz w:val="17"/>
                <w:szCs w:val="17"/>
                <w:color w:val="auto"/>
                <w:w w:val="96"/>
              </w:rPr>
              <w:t>200%</w:t>
            </w: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5260" w:type="dxa"/>
            <w:vAlign w:val="bottom"/>
            <w:gridSpan w:val="3"/>
          </w:tcPr>
          <w:p>
            <w:pPr>
              <w:ind w:left="100"/>
              <w:spacing w:after="0"/>
              <w:rPr>
                <w:sz w:val="20"/>
                <w:szCs w:val="20"/>
                <w:color w:val="auto"/>
              </w:rPr>
            </w:pPr>
            <w:r>
              <w:rPr>
                <w:rFonts w:ascii="Arial" w:cs="Arial" w:eastAsia="Arial" w:hAnsi="Arial"/>
                <w:sz w:val="17"/>
                <w:szCs w:val="17"/>
                <w:color w:val="auto"/>
              </w:rPr>
              <w:t>• Drove Oryx integration, including personnel, operating discipline,</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integrity, measurement and transition to Midland Control Center</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5260" w:type="dxa"/>
            <w:vAlign w:val="bottom"/>
            <w:gridSpan w:val="3"/>
          </w:tcPr>
          <w:p>
            <w:pPr>
              <w:ind w:left="100"/>
              <w:spacing w:after="0"/>
              <w:rPr>
                <w:sz w:val="20"/>
                <w:szCs w:val="20"/>
                <w:color w:val="auto"/>
              </w:rPr>
            </w:pPr>
            <w:r>
              <w:rPr>
                <w:rFonts w:ascii="Arial" w:cs="Arial" w:eastAsia="Arial" w:hAnsi="Arial"/>
                <w:sz w:val="17"/>
                <w:szCs w:val="17"/>
                <w:color w:val="auto"/>
              </w:rPr>
              <w:t>• Successful Canada operations focus to improve personnel safety,</w:t>
            </w: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process safety and reliability</w:t>
            </w: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80" w:type="dxa"/>
            <w:vAlign w:val="bottom"/>
            <w:tcBorders>
              <w:left w:val="single" w:sz="8" w:color="auto"/>
            </w:tcBorders>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5260" w:type="dxa"/>
            <w:vAlign w:val="bottom"/>
            <w:gridSpan w:val="3"/>
          </w:tcPr>
          <w:p>
            <w:pPr>
              <w:ind w:left="100"/>
              <w:spacing w:after="0" w:line="189" w:lineRule="exact"/>
              <w:rPr>
                <w:sz w:val="20"/>
                <w:szCs w:val="20"/>
                <w:color w:val="auto"/>
              </w:rPr>
            </w:pPr>
            <w:r>
              <w:rPr>
                <w:rFonts w:ascii="Arial" w:cs="Arial" w:eastAsia="Arial" w:hAnsi="Arial"/>
                <w:sz w:val="17"/>
                <w:szCs w:val="17"/>
                <w:color w:val="auto"/>
              </w:rPr>
              <w:t>• Optimized operations to support commercial opportunity capture</w:t>
            </w: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Operations/engineering meaningfully progressed Empress</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80" w:type="dxa"/>
            <w:vAlign w:val="bottom"/>
            <w:tcBorders>
              <w:lef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optimization and Fort Sask debottleneck projects</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5260" w:type="dxa"/>
            <w:vAlign w:val="bottom"/>
            <w:gridSpan w:val="3"/>
          </w:tcPr>
          <w:p>
            <w:pPr>
              <w:ind w:left="100"/>
              <w:spacing w:after="0"/>
              <w:rPr>
                <w:sz w:val="20"/>
                <w:szCs w:val="20"/>
                <w:color w:val="auto"/>
              </w:rPr>
            </w:pPr>
            <w:r>
              <w:rPr>
                <w:rFonts w:ascii="Arial" w:cs="Arial" w:eastAsia="Arial" w:hAnsi="Arial"/>
                <w:sz w:val="17"/>
                <w:szCs w:val="17"/>
                <w:color w:val="auto"/>
              </w:rPr>
              <w:t>• Led National Petroleum Council special study report on energy</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tcBorders>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supply resiliency and emergency preparedness</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48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480" w:type="dxa"/>
            <w:vAlign w:val="bottom"/>
            <w:tcBorders>
              <w:left w:val="single" w:sz="8" w:color="auto"/>
            </w:tcBorders>
          </w:tcPr>
          <w:p>
            <w:pPr>
              <w:ind w:left="100"/>
              <w:spacing w:after="0"/>
              <w:rPr>
                <w:sz w:val="20"/>
                <w:szCs w:val="20"/>
                <w:color w:val="auto"/>
              </w:rPr>
            </w:pPr>
            <w:r>
              <w:rPr>
                <w:rFonts w:ascii="Arial" w:cs="Arial" w:eastAsia="Arial" w:hAnsi="Arial"/>
                <w:sz w:val="17"/>
                <w:szCs w:val="17"/>
                <w:color w:val="auto"/>
              </w:rPr>
              <w:t>Jeremy Goebel</w:t>
            </w:r>
          </w:p>
        </w:tc>
        <w:tc>
          <w:tcPr>
            <w:tcW w:w="260" w:type="dxa"/>
            <w:vAlign w:val="bottom"/>
            <w:tcBorders>
              <w:right w:val="single" w:sz="8" w:color="auto"/>
            </w:tcBorders>
          </w:tcPr>
          <w:p>
            <w:pPr>
              <w:spacing w:after="0"/>
              <w:rPr>
                <w:sz w:val="17"/>
                <w:szCs w:val="17"/>
                <w:color w:val="auto"/>
              </w:rPr>
            </w:pP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Commercial organization leadership in competitive environment</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jc w:val="center"/>
              <w:ind w:right="93"/>
              <w:spacing w:after="0"/>
              <w:rPr>
                <w:sz w:val="20"/>
                <w:szCs w:val="20"/>
                <w:color w:val="auto"/>
              </w:rPr>
            </w:pPr>
            <w:r>
              <w:rPr>
                <w:rFonts w:ascii="Arial" w:cs="Arial" w:eastAsia="Arial" w:hAnsi="Arial"/>
                <w:sz w:val="17"/>
                <w:szCs w:val="17"/>
                <w:color w:val="auto"/>
                <w:w w:val="96"/>
              </w:rPr>
              <w:t>200%</w:t>
            </w: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5260" w:type="dxa"/>
            <w:vAlign w:val="bottom"/>
            <w:gridSpan w:val="3"/>
          </w:tcPr>
          <w:p>
            <w:pPr>
              <w:ind w:left="100"/>
              <w:spacing w:after="0"/>
              <w:rPr>
                <w:sz w:val="20"/>
                <w:szCs w:val="20"/>
                <w:color w:val="auto"/>
              </w:rPr>
            </w:pPr>
            <w:r>
              <w:rPr>
                <w:rFonts w:ascii="Arial" w:cs="Arial" w:eastAsia="Arial" w:hAnsi="Arial"/>
                <w:sz w:val="17"/>
                <w:szCs w:val="17"/>
                <w:color w:val="auto"/>
              </w:rPr>
              <w:t>• Solid execution enabled capture of unforecasted market</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tcBorders>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opportunities</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48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5260" w:type="dxa"/>
            <w:vAlign w:val="bottom"/>
            <w:gridSpan w:val="3"/>
          </w:tcPr>
          <w:p>
            <w:pPr>
              <w:ind w:left="100"/>
              <w:spacing w:after="0"/>
              <w:rPr>
                <w:sz w:val="20"/>
                <w:szCs w:val="20"/>
                <w:color w:val="auto"/>
              </w:rPr>
            </w:pPr>
            <w:r>
              <w:rPr>
                <w:rFonts w:ascii="Arial" w:cs="Arial" w:eastAsia="Arial" w:hAnsi="Arial"/>
                <w:sz w:val="17"/>
                <w:szCs w:val="17"/>
                <w:color w:val="auto"/>
              </w:rPr>
              <w:t>• Drove Oryx JV synergy capture/commercial integration</w:t>
            </w: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5260" w:type="dxa"/>
            <w:vAlign w:val="bottom"/>
            <w:gridSpan w:val="3"/>
          </w:tcPr>
          <w:p>
            <w:pPr>
              <w:ind w:left="100"/>
              <w:spacing w:after="0"/>
              <w:rPr>
                <w:sz w:val="20"/>
                <w:szCs w:val="20"/>
                <w:color w:val="auto"/>
              </w:rPr>
            </w:pPr>
            <w:r>
              <w:rPr>
                <w:rFonts w:ascii="Arial" w:cs="Arial" w:eastAsia="Arial" w:hAnsi="Arial"/>
                <w:sz w:val="17"/>
                <w:szCs w:val="17"/>
                <w:color w:val="auto"/>
              </w:rPr>
              <w:t>• Led key North American business development initiatives</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80" w:type="dxa"/>
            <w:vAlign w:val="bottom"/>
            <w:tcBorders>
              <w:left w:val="single" w:sz="8" w:color="auto"/>
            </w:tcBorders>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ind w:left="40"/>
              <w:spacing w:after="0" w:line="189" w:lineRule="exact"/>
              <w:rPr>
                <w:sz w:val="20"/>
                <w:szCs w:val="20"/>
                <w:color w:val="auto"/>
              </w:rPr>
            </w:pPr>
            <w:r>
              <w:rPr>
                <w:rFonts w:ascii="Arial" w:cs="Arial" w:eastAsia="Arial" w:hAnsi="Arial"/>
                <w:sz w:val="17"/>
                <w:szCs w:val="17"/>
                <w:color w:val="auto"/>
              </w:rPr>
              <w:t>•</w:t>
            </w:r>
          </w:p>
        </w:tc>
        <w:tc>
          <w:tcPr>
            <w:tcW w:w="4880" w:type="dxa"/>
            <w:vAlign w:val="bottom"/>
          </w:tcPr>
          <w:p>
            <w:pPr>
              <w:ind w:left="60"/>
              <w:spacing w:after="0" w:line="189" w:lineRule="exact"/>
              <w:rPr>
                <w:sz w:val="20"/>
                <w:szCs w:val="20"/>
                <w:color w:val="auto"/>
              </w:rPr>
            </w:pPr>
            <w:r>
              <w:rPr>
                <w:rFonts w:ascii="Arial" w:cs="Arial" w:eastAsia="Arial" w:hAnsi="Arial"/>
                <w:sz w:val="17"/>
                <w:szCs w:val="17"/>
                <w:color w:val="auto"/>
              </w:rPr>
              <w:t>Advantage, OMOG and Cactus II transactions</w:t>
            </w: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 $330 million in divestitures (including KFS sale which closed in</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tcBorders>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80" w:type="dxa"/>
            <w:vAlign w:val="bottom"/>
          </w:tcPr>
          <w:p>
            <w:pPr>
              <w:ind w:left="60"/>
              <w:spacing w:after="0"/>
              <w:rPr>
                <w:sz w:val="20"/>
                <w:szCs w:val="20"/>
                <w:color w:val="auto"/>
              </w:rPr>
            </w:pPr>
            <w:r>
              <w:rPr>
                <w:rFonts w:ascii="Arial" w:cs="Arial" w:eastAsia="Arial" w:hAnsi="Arial"/>
                <w:sz w:val="17"/>
                <w:szCs w:val="17"/>
                <w:color w:val="auto"/>
              </w:rPr>
              <w:t>1Q23)</w:t>
            </w:r>
          </w:p>
        </w:tc>
        <w:tc>
          <w:tcPr>
            <w:tcW w:w="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48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ind w:left="40"/>
              <w:spacing w:after="0"/>
              <w:rPr>
                <w:sz w:val="20"/>
                <w:szCs w:val="20"/>
                <w:color w:val="auto"/>
              </w:rPr>
            </w:pPr>
            <w:r>
              <w:rPr>
                <w:rFonts w:ascii="Arial" w:cs="Arial" w:eastAsia="Arial" w:hAnsi="Arial"/>
                <w:sz w:val="17"/>
                <w:szCs w:val="17"/>
                <w:color w:val="auto"/>
              </w:rPr>
              <w:t>•</w:t>
            </w:r>
          </w:p>
        </w:tc>
        <w:tc>
          <w:tcPr>
            <w:tcW w:w="4880" w:type="dxa"/>
            <w:vAlign w:val="bottom"/>
          </w:tcPr>
          <w:p>
            <w:pPr>
              <w:ind w:left="60"/>
              <w:spacing w:after="0"/>
              <w:rPr>
                <w:sz w:val="20"/>
                <w:szCs w:val="20"/>
                <w:color w:val="auto"/>
              </w:rPr>
            </w:pPr>
            <w:r>
              <w:rPr>
                <w:rFonts w:ascii="Arial" w:cs="Arial" w:eastAsia="Arial" w:hAnsi="Arial"/>
                <w:sz w:val="17"/>
                <w:szCs w:val="17"/>
                <w:color w:val="auto"/>
              </w:rPr>
              <w:t>Empress optimization and Ft. Sask expansion</w:t>
            </w: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ind w:left="40"/>
              <w:spacing w:after="0"/>
              <w:rPr>
                <w:sz w:val="20"/>
                <w:szCs w:val="20"/>
                <w:color w:val="auto"/>
              </w:rPr>
            </w:pPr>
            <w:r>
              <w:rPr>
                <w:rFonts w:ascii="Arial" w:cs="Arial" w:eastAsia="Arial" w:hAnsi="Arial"/>
                <w:sz w:val="17"/>
                <w:szCs w:val="17"/>
                <w:color w:val="auto"/>
              </w:rPr>
              <w:t>•</w:t>
            </w:r>
          </w:p>
        </w:tc>
        <w:tc>
          <w:tcPr>
            <w:tcW w:w="4880" w:type="dxa"/>
            <w:vAlign w:val="bottom"/>
          </w:tcPr>
          <w:p>
            <w:pPr>
              <w:ind w:left="60"/>
              <w:spacing w:after="0"/>
              <w:rPr>
                <w:sz w:val="20"/>
                <w:szCs w:val="20"/>
                <w:color w:val="auto"/>
              </w:rPr>
            </w:pPr>
            <w:r>
              <w:rPr>
                <w:rFonts w:ascii="Arial" w:cs="Arial" w:eastAsia="Arial" w:hAnsi="Arial"/>
                <w:sz w:val="17"/>
                <w:szCs w:val="17"/>
                <w:color w:val="auto"/>
              </w:rPr>
              <w:t>Increased Permian dedicated acreage by &gt;200,000</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80" w:type="dxa"/>
            <w:vAlign w:val="bottom"/>
            <w:tcBorders>
              <w:lef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 Significant additional volume capture (Permian and elsewhere)</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Borders>
              <w:lef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5040" w:type="dxa"/>
            <w:vAlign w:val="bottom"/>
            <w:gridSpan w:val="2"/>
          </w:tcPr>
          <w:p>
            <w:pPr>
              <w:ind w:left="40"/>
              <w:spacing w:after="0"/>
              <w:rPr>
                <w:sz w:val="20"/>
                <w:szCs w:val="20"/>
                <w:color w:val="auto"/>
              </w:rPr>
            </w:pPr>
            <w:r>
              <w:rPr>
                <w:rFonts w:ascii="Arial" w:cs="Arial" w:eastAsia="Arial" w:hAnsi="Arial"/>
                <w:sz w:val="17"/>
                <w:szCs w:val="17"/>
                <w:color w:val="auto"/>
              </w:rPr>
              <w:t>Drove NGL strategy/execution</w:t>
            </w:r>
          </w:p>
        </w:tc>
        <w:tc>
          <w:tcPr>
            <w:tcW w:w="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5260" w:type="dxa"/>
            <w:vAlign w:val="bottom"/>
            <w:gridSpan w:val="3"/>
          </w:tcPr>
          <w:p>
            <w:pPr>
              <w:ind w:left="100"/>
              <w:spacing w:after="0"/>
              <w:rPr>
                <w:sz w:val="20"/>
                <w:szCs w:val="20"/>
                <w:color w:val="auto"/>
              </w:rPr>
            </w:pPr>
            <w:r>
              <w:rPr>
                <w:rFonts w:ascii="Arial" w:cs="Arial" w:eastAsia="Arial" w:hAnsi="Arial"/>
                <w:sz w:val="17"/>
                <w:szCs w:val="17"/>
                <w:color w:val="auto"/>
              </w:rPr>
              <w:t>• Oversight of emerging energy effort</w:t>
            </w:r>
          </w:p>
        </w:tc>
        <w:tc>
          <w:tcPr>
            <w:tcW w:w="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480" w:type="dxa"/>
            <w:vAlign w:val="bottom"/>
            <w:tcBorders>
              <w:left w:val="single" w:sz="8" w:color="auto"/>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526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color w:val="auto"/>
              </w:rPr>
              <w:t>• Significant role in attractive positioning of business for 2023+</w:t>
            </w:r>
          </w:p>
        </w:tc>
        <w:tc>
          <w:tcPr>
            <w:tcW w:w="12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40" w:firstLine="360"/>
        <w:spacing w:after="0" w:line="268" w:lineRule="auto"/>
        <w:rPr>
          <w:sz w:val="20"/>
          <w:szCs w:val="20"/>
          <w:color w:val="auto"/>
        </w:rPr>
      </w:pPr>
      <w:r>
        <w:rPr>
          <w:rFonts w:ascii="Arial" w:cs="Arial" w:eastAsia="Arial" w:hAnsi="Arial"/>
          <w:sz w:val="18"/>
          <w:szCs w:val="18"/>
          <w:color w:val="auto"/>
        </w:rPr>
        <w:t>After applying the individual performance scores set forth in the table above ranging from 150% to 200%, the total formulaic bonus payout calculation for our NEOs ranged from 176% to 192%, as set forth in the table below.</w:t>
      </w:r>
    </w:p>
    <w:p>
      <w:pPr>
        <w:spacing w:after="0" w:line="102" w:lineRule="exact"/>
        <w:rPr>
          <w:sz w:val="20"/>
          <w:szCs w:val="20"/>
          <w:color w:val="auto"/>
        </w:rPr>
      </w:pPr>
    </w:p>
    <w:tbl>
      <w:tblPr>
        <w:tblLayout w:type="fixed"/>
        <w:tblInd w:w="830" w:type="dxa"/>
        <w:tblCellMar>
          <w:top w:w="0" w:type="dxa"/>
          <w:left w:w="0" w:type="dxa"/>
          <w:bottom w:w="0" w:type="dxa"/>
          <w:right w:w="0" w:type="dxa"/>
        </w:tblCellMar>
      </w:tblPr>
      <w:tr>
        <w:trPr>
          <w:trHeight w:val="376"/>
        </w:trPr>
        <w:tc>
          <w:tcPr>
            <w:tcW w:w="1400" w:type="dxa"/>
            <w:vAlign w:val="bottom"/>
            <w:tcBorders>
              <w:left w:val="single" w:sz="8" w:color="424E6A"/>
              <w:bottom w:val="single" w:sz="8" w:color="424E6A"/>
            </w:tcBorders>
            <w:shd w:val="clear" w:color="auto" w:fill="424E6A"/>
          </w:tcPr>
          <w:p>
            <w:pPr>
              <w:spacing w:after="0"/>
              <w:rPr>
                <w:sz w:val="24"/>
                <w:szCs w:val="24"/>
                <w:color w:val="auto"/>
              </w:rPr>
            </w:pPr>
          </w:p>
        </w:tc>
        <w:tc>
          <w:tcPr>
            <w:tcW w:w="1260" w:type="dxa"/>
            <w:vAlign w:val="bottom"/>
            <w:tcBorders>
              <w:bottom w:val="single" w:sz="8" w:color="424E6A"/>
            </w:tcBorders>
            <w:shd w:val="clear" w:color="auto" w:fill="424E6A"/>
          </w:tcPr>
          <w:p>
            <w:pPr>
              <w:spacing w:after="0"/>
              <w:rPr>
                <w:sz w:val="24"/>
                <w:szCs w:val="24"/>
                <w:color w:val="auto"/>
              </w:rPr>
            </w:pPr>
          </w:p>
        </w:tc>
        <w:tc>
          <w:tcPr>
            <w:tcW w:w="100" w:type="dxa"/>
            <w:vAlign w:val="bottom"/>
            <w:tcBorders>
              <w:bottom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1940" w:type="dxa"/>
            <w:vAlign w:val="bottom"/>
            <w:tcBorders>
              <w:bottom w:val="single" w:sz="8" w:color="424E6A"/>
            </w:tcBorders>
            <w:gridSpan w:val="3"/>
            <w:shd w:val="clear" w:color="auto" w:fill="424E6A"/>
          </w:tcPr>
          <w:p>
            <w:pPr>
              <w:jc w:val="right"/>
              <w:ind w:right="80"/>
              <w:spacing w:after="0"/>
              <w:rPr>
                <w:sz w:val="20"/>
                <w:szCs w:val="20"/>
                <w:color w:val="auto"/>
              </w:rPr>
            </w:pPr>
            <w:r>
              <w:rPr>
                <w:rFonts w:ascii="Arial" w:cs="Arial" w:eastAsia="Arial" w:hAnsi="Arial"/>
                <w:sz w:val="14"/>
                <w:szCs w:val="14"/>
                <w:b w:val="1"/>
                <w:bCs w:val="1"/>
                <w:color w:val="FFFFFF"/>
              </w:rPr>
              <w:t xml:space="preserve">Company Results    </w:t>
            </w:r>
            <w:r>
              <w:rPr>
                <w:rFonts w:ascii="Arial" w:cs="Arial" w:eastAsia="Arial" w:hAnsi="Arial"/>
                <w:sz w:val="28"/>
                <w:szCs w:val="28"/>
                <w:b w:val="1"/>
                <w:bCs w:val="1"/>
                <w:color w:val="FFFFFF"/>
                <w:vertAlign w:val="subscript"/>
              </w:rPr>
              <w:t>​ ​</w:t>
            </w:r>
          </w:p>
        </w:tc>
        <w:tc>
          <w:tcPr>
            <w:tcW w:w="220" w:type="dxa"/>
            <w:vAlign w:val="bottom"/>
            <w:tcBorders>
              <w:bottom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2100" w:type="dxa"/>
            <w:vAlign w:val="bottom"/>
            <w:tcBorders>
              <w:bottom w:val="single" w:sz="8" w:color="424E6A"/>
            </w:tcBorders>
            <w:gridSpan w:val="3"/>
            <w:shd w:val="clear" w:color="auto" w:fill="424E6A"/>
          </w:tcPr>
          <w:p>
            <w:pPr>
              <w:jc w:val="right"/>
              <w:ind w:right="220"/>
              <w:spacing w:after="0"/>
              <w:rPr>
                <w:sz w:val="20"/>
                <w:szCs w:val="20"/>
                <w:color w:val="auto"/>
              </w:rPr>
            </w:pPr>
            <w:r>
              <w:rPr>
                <w:rFonts w:ascii="Arial" w:cs="Arial" w:eastAsia="Arial" w:hAnsi="Arial"/>
                <w:sz w:val="14"/>
                <w:szCs w:val="14"/>
                <w:b w:val="1"/>
                <w:bCs w:val="1"/>
                <w:color w:val="FFFFFF"/>
              </w:rPr>
              <w:t xml:space="preserve">Individual Results    </w:t>
            </w:r>
            <w:r>
              <w:rPr>
                <w:rFonts w:ascii="Arial" w:cs="Arial" w:eastAsia="Arial" w:hAnsi="Arial"/>
                <w:sz w:val="28"/>
                <w:szCs w:val="28"/>
                <w:b w:val="1"/>
                <w:bCs w:val="1"/>
                <w:color w:val="FFFFFF"/>
                <w:vertAlign w:val="subscript"/>
              </w:rPr>
              <w:t>​ ​</w:t>
            </w:r>
          </w:p>
        </w:tc>
        <w:tc>
          <w:tcPr>
            <w:tcW w:w="100" w:type="dxa"/>
            <w:vAlign w:val="bottom"/>
            <w:tcBorders>
              <w:bottom w:val="single" w:sz="8" w:color="424E6A"/>
            </w:tcBorders>
            <w:shd w:val="clear" w:color="auto" w:fill="424E6A"/>
          </w:tcPr>
          <w:p>
            <w:pPr>
              <w:spacing w:after="0"/>
              <w:rPr>
                <w:sz w:val="24"/>
                <w:szCs w:val="24"/>
                <w:color w:val="auto"/>
              </w:rPr>
            </w:pPr>
          </w:p>
        </w:tc>
        <w:tc>
          <w:tcPr>
            <w:tcW w:w="880" w:type="dxa"/>
            <w:vAlign w:val="bottom"/>
            <w:tcBorders>
              <w:bottom w:val="single" w:sz="8" w:color="424E6A"/>
            </w:tcBorders>
            <w:shd w:val="clear" w:color="auto" w:fill="424E6A"/>
          </w:tcPr>
          <w:p>
            <w:pPr>
              <w:jc w:val="center"/>
              <w:ind w:right="107"/>
              <w:spacing w:after="0"/>
              <w:rPr>
                <w:sz w:val="20"/>
                <w:szCs w:val="20"/>
                <w:color w:val="auto"/>
              </w:rPr>
            </w:pPr>
            <w:r>
              <w:rPr>
                <w:rFonts w:ascii="Arial" w:cs="Arial" w:eastAsia="Arial" w:hAnsi="Arial"/>
                <w:sz w:val="14"/>
                <w:szCs w:val="14"/>
                <w:b w:val="1"/>
                <w:bCs w:val="1"/>
                <w:color w:val="FFFFFF"/>
              </w:rPr>
              <w:t>Percent of</w:t>
            </w:r>
          </w:p>
        </w:tc>
        <w:tc>
          <w:tcPr>
            <w:tcW w:w="1080" w:type="dxa"/>
            <w:vAlign w:val="bottom"/>
            <w:tcBorders>
              <w:bottom w:val="single" w:sz="8" w:color="424E6A"/>
              <w:right w:val="single" w:sz="8" w:color="424E6A"/>
            </w:tcBorders>
            <w:shd w:val="clear" w:color="auto" w:fill="424E6A"/>
          </w:tcPr>
          <w:p>
            <w:pPr>
              <w:spacing w:after="0"/>
              <w:rPr>
                <w:sz w:val="24"/>
                <w:szCs w:val="24"/>
                <w:color w:val="auto"/>
              </w:rPr>
            </w:pPr>
          </w:p>
        </w:tc>
      </w:tr>
      <w:tr>
        <w:trPr>
          <w:trHeight w:val="79"/>
        </w:trPr>
        <w:tc>
          <w:tcPr>
            <w:tcW w:w="1400" w:type="dxa"/>
            <w:vAlign w:val="bottom"/>
            <w:tcBorders>
              <w:top w:val="single" w:sz="8" w:color="424E6A"/>
              <w:left w:val="single" w:sz="8" w:color="424E6A"/>
            </w:tcBorders>
            <w:shd w:val="clear" w:color="auto" w:fill="424E6A"/>
          </w:tcPr>
          <w:p>
            <w:pPr>
              <w:spacing w:after="0"/>
              <w:rPr>
                <w:sz w:val="6"/>
                <w:szCs w:val="6"/>
                <w:color w:val="auto"/>
              </w:rPr>
            </w:pPr>
          </w:p>
        </w:tc>
        <w:tc>
          <w:tcPr>
            <w:tcW w:w="1260" w:type="dxa"/>
            <w:vAlign w:val="bottom"/>
            <w:tcBorders>
              <w:top w:val="single" w:sz="8" w:color="424E6A"/>
            </w:tcBorders>
            <w:shd w:val="clear" w:color="auto" w:fill="424E6A"/>
          </w:tcPr>
          <w:p>
            <w:pPr>
              <w:jc w:val="center"/>
              <w:ind w:left="48"/>
              <w:spacing w:after="0" w:line="79" w:lineRule="exact"/>
              <w:rPr>
                <w:sz w:val="20"/>
                <w:szCs w:val="20"/>
                <w:color w:val="auto"/>
              </w:rPr>
            </w:pPr>
            <w:r>
              <w:rPr>
                <w:rFonts w:ascii="Arial" w:cs="Arial" w:eastAsia="Arial" w:hAnsi="Arial"/>
                <w:sz w:val="9"/>
                <w:szCs w:val="9"/>
                <w:b w:val="1"/>
                <w:bCs w:val="1"/>
                <w:color w:val="FFFFFF"/>
              </w:rPr>
              <w:t>2022 Target</w:t>
            </w:r>
          </w:p>
        </w:tc>
        <w:tc>
          <w:tcPr>
            <w:tcW w:w="100" w:type="dxa"/>
            <w:vAlign w:val="bottom"/>
            <w:tcBorders>
              <w:top w:val="single" w:sz="8" w:color="424E6A"/>
            </w:tcBorders>
            <w:shd w:val="clear" w:color="auto" w:fill="424E6A"/>
          </w:tcPr>
          <w:p>
            <w:pPr>
              <w:spacing w:after="0"/>
              <w:rPr>
                <w:sz w:val="6"/>
                <w:szCs w:val="6"/>
                <w:color w:val="auto"/>
              </w:rPr>
            </w:pPr>
          </w:p>
        </w:tc>
        <w:tc>
          <w:tcPr>
            <w:tcW w:w="1240" w:type="dxa"/>
            <w:vAlign w:val="bottom"/>
            <w:tcBorders>
              <w:top w:val="single" w:sz="8" w:color="auto"/>
            </w:tcBorders>
            <w:shd w:val="clear" w:color="auto" w:fill="424E6A"/>
          </w:tcPr>
          <w:p>
            <w:pPr>
              <w:spacing w:after="0"/>
              <w:rPr>
                <w:sz w:val="6"/>
                <w:szCs w:val="6"/>
                <w:color w:val="auto"/>
              </w:rPr>
            </w:pPr>
          </w:p>
        </w:tc>
        <w:tc>
          <w:tcPr>
            <w:tcW w:w="440" w:type="dxa"/>
            <w:vAlign w:val="bottom"/>
            <w:tcBorders>
              <w:top w:val="single" w:sz="8" w:color="auto"/>
            </w:tcBorders>
            <w:shd w:val="clear" w:color="auto" w:fill="424E6A"/>
          </w:tcPr>
          <w:p>
            <w:pPr>
              <w:spacing w:after="0"/>
              <w:rPr>
                <w:sz w:val="6"/>
                <w:szCs w:val="6"/>
                <w:color w:val="auto"/>
              </w:rPr>
            </w:pPr>
          </w:p>
        </w:tc>
        <w:tc>
          <w:tcPr>
            <w:tcW w:w="260" w:type="dxa"/>
            <w:vAlign w:val="bottom"/>
            <w:tcBorders>
              <w:top w:val="single" w:sz="8" w:color="424E6A"/>
            </w:tcBorders>
            <w:shd w:val="clear" w:color="auto" w:fill="424E6A"/>
          </w:tcPr>
          <w:p>
            <w:pPr>
              <w:spacing w:after="0"/>
              <w:rPr>
                <w:sz w:val="6"/>
                <w:szCs w:val="6"/>
                <w:color w:val="auto"/>
              </w:rPr>
            </w:pPr>
          </w:p>
        </w:tc>
        <w:tc>
          <w:tcPr>
            <w:tcW w:w="220" w:type="dxa"/>
            <w:vAlign w:val="bottom"/>
            <w:tcBorders>
              <w:top w:val="single" w:sz="8" w:color="424E6A"/>
            </w:tcBorders>
            <w:shd w:val="clear" w:color="auto" w:fill="424E6A"/>
          </w:tcPr>
          <w:p>
            <w:pPr>
              <w:spacing w:after="0"/>
              <w:rPr>
                <w:sz w:val="6"/>
                <w:szCs w:val="6"/>
                <w:color w:val="auto"/>
              </w:rPr>
            </w:pPr>
          </w:p>
        </w:tc>
        <w:tc>
          <w:tcPr>
            <w:tcW w:w="1260" w:type="dxa"/>
            <w:vAlign w:val="bottom"/>
            <w:tcBorders>
              <w:top w:val="single" w:sz="8" w:color="auto"/>
            </w:tcBorders>
            <w:shd w:val="clear" w:color="auto" w:fill="424E6A"/>
          </w:tcPr>
          <w:p>
            <w:pPr>
              <w:spacing w:after="0"/>
              <w:rPr>
                <w:sz w:val="6"/>
                <w:szCs w:val="6"/>
                <w:color w:val="auto"/>
              </w:rPr>
            </w:pPr>
          </w:p>
        </w:tc>
        <w:tc>
          <w:tcPr>
            <w:tcW w:w="420" w:type="dxa"/>
            <w:vAlign w:val="bottom"/>
            <w:tcBorders>
              <w:top w:val="single" w:sz="8" w:color="auto"/>
            </w:tcBorders>
            <w:shd w:val="clear" w:color="auto" w:fill="424E6A"/>
          </w:tcPr>
          <w:p>
            <w:pPr>
              <w:spacing w:after="0"/>
              <w:rPr>
                <w:sz w:val="6"/>
                <w:szCs w:val="6"/>
                <w:color w:val="auto"/>
              </w:rPr>
            </w:pPr>
          </w:p>
        </w:tc>
        <w:tc>
          <w:tcPr>
            <w:tcW w:w="420" w:type="dxa"/>
            <w:vAlign w:val="bottom"/>
            <w:tcBorders>
              <w:top w:val="single" w:sz="8" w:color="424E6A"/>
            </w:tcBorders>
            <w:shd w:val="clear" w:color="auto" w:fill="424E6A"/>
          </w:tcPr>
          <w:p>
            <w:pPr>
              <w:spacing w:after="0"/>
              <w:rPr>
                <w:sz w:val="6"/>
                <w:szCs w:val="6"/>
                <w:color w:val="auto"/>
              </w:rPr>
            </w:pPr>
          </w:p>
        </w:tc>
        <w:tc>
          <w:tcPr>
            <w:tcW w:w="100" w:type="dxa"/>
            <w:vAlign w:val="bottom"/>
            <w:tcBorders>
              <w:top w:val="single" w:sz="8" w:color="424E6A"/>
            </w:tcBorders>
            <w:shd w:val="clear" w:color="auto" w:fill="424E6A"/>
          </w:tcPr>
          <w:p>
            <w:pPr>
              <w:spacing w:after="0"/>
              <w:rPr>
                <w:sz w:val="6"/>
                <w:szCs w:val="6"/>
                <w:color w:val="auto"/>
              </w:rPr>
            </w:pPr>
          </w:p>
        </w:tc>
        <w:tc>
          <w:tcPr>
            <w:tcW w:w="880" w:type="dxa"/>
            <w:vAlign w:val="bottom"/>
            <w:tcBorders>
              <w:top w:val="single" w:sz="8" w:color="424E6A"/>
            </w:tcBorders>
            <w:shd w:val="clear" w:color="auto" w:fill="424E6A"/>
          </w:tcPr>
          <w:p>
            <w:pPr>
              <w:jc w:val="center"/>
              <w:ind w:right="107"/>
              <w:spacing w:after="0" w:line="79" w:lineRule="exact"/>
              <w:rPr>
                <w:sz w:val="20"/>
                <w:szCs w:val="20"/>
                <w:color w:val="auto"/>
              </w:rPr>
            </w:pPr>
            <w:r>
              <w:rPr>
                <w:rFonts w:ascii="Arial" w:cs="Arial" w:eastAsia="Arial" w:hAnsi="Arial"/>
                <w:sz w:val="9"/>
                <w:szCs w:val="9"/>
                <w:b w:val="1"/>
                <w:bCs w:val="1"/>
                <w:color w:val="FFFFFF"/>
              </w:rPr>
              <w:t>Target</w:t>
            </w:r>
          </w:p>
        </w:tc>
        <w:tc>
          <w:tcPr>
            <w:tcW w:w="1080" w:type="dxa"/>
            <w:vAlign w:val="bottom"/>
            <w:tcBorders>
              <w:top w:val="single" w:sz="8" w:color="424E6A"/>
              <w:right w:val="single" w:sz="8" w:color="424E6A"/>
            </w:tcBorders>
            <w:shd w:val="clear" w:color="auto" w:fill="424E6A"/>
          </w:tcPr>
          <w:p>
            <w:pPr>
              <w:jc w:val="center"/>
              <w:spacing w:after="0" w:line="79" w:lineRule="exact"/>
              <w:rPr>
                <w:sz w:val="20"/>
                <w:szCs w:val="20"/>
                <w:color w:val="auto"/>
              </w:rPr>
            </w:pPr>
            <w:r>
              <w:rPr>
                <w:rFonts w:ascii="Arial" w:cs="Arial" w:eastAsia="Arial" w:hAnsi="Arial"/>
                <w:sz w:val="9"/>
                <w:szCs w:val="9"/>
                <w:b w:val="1"/>
                <w:bCs w:val="1"/>
                <w:color w:val="FFFFFF"/>
              </w:rPr>
              <w:t>2022 Actual</w:t>
            </w:r>
          </w:p>
        </w:tc>
      </w:tr>
      <w:tr>
        <w:trPr>
          <w:trHeight w:val="162"/>
        </w:trPr>
        <w:tc>
          <w:tcPr>
            <w:tcW w:w="140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Named Executive</w:t>
            </w:r>
          </w:p>
        </w:tc>
        <w:tc>
          <w:tcPr>
            <w:tcW w:w="1260" w:type="dxa"/>
            <w:vAlign w:val="bottom"/>
            <w:shd w:val="clear" w:color="auto" w:fill="424E6A"/>
          </w:tcPr>
          <w:p>
            <w:pPr>
              <w:jc w:val="center"/>
              <w:ind w:left="48"/>
              <w:spacing w:after="0"/>
              <w:rPr>
                <w:sz w:val="20"/>
                <w:szCs w:val="20"/>
                <w:color w:val="auto"/>
              </w:rPr>
            </w:pPr>
            <w:r>
              <w:rPr>
                <w:rFonts w:ascii="Arial" w:cs="Arial" w:eastAsia="Arial" w:hAnsi="Arial"/>
                <w:sz w:val="14"/>
                <w:szCs w:val="14"/>
                <w:b w:val="1"/>
                <w:bCs w:val="1"/>
                <w:color w:val="FFFFFF"/>
              </w:rPr>
              <w:t>Bonus</w:t>
            </w:r>
          </w:p>
        </w:tc>
        <w:tc>
          <w:tcPr>
            <w:tcW w:w="100" w:type="dxa"/>
            <w:vAlign w:val="bottom"/>
            <w:shd w:val="clear" w:color="auto" w:fill="424E6A"/>
          </w:tcPr>
          <w:p>
            <w:pPr>
              <w:spacing w:after="0"/>
              <w:rPr>
                <w:sz w:val="14"/>
                <w:szCs w:val="14"/>
                <w:color w:val="auto"/>
              </w:rPr>
            </w:pPr>
          </w:p>
        </w:tc>
        <w:tc>
          <w:tcPr>
            <w:tcW w:w="1240" w:type="dxa"/>
            <w:vAlign w:val="bottom"/>
            <w:shd w:val="clear" w:color="auto" w:fill="424E6A"/>
          </w:tcPr>
          <w:p>
            <w:pPr>
              <w:spacing w:after="0"/>
              <w:rPr>
                <w:sz w:val="20"/>
                <w:szCs w:val="20"/>
                <w:color w:val="auto"/>
              </w:rPr>
            </w:pPr>
            <w:r>
              <w:rPr>
                <w:rFonts w:ascii="Arial" w:cs="Arial" w:eastAsia="Arial" w:hAnsi="Arial"/>
                <w:sz w:val="14"/>
                <w:szCs w:val="14"/>
                <w:b w:val="1"/>
                <w:bCs w:val="1"/>
                <w:color w:val="FFFFFF"/>
              </w:rPr>
              <w:t>Company</w:t>
            </w:r>
          </w:p>
        </w:tc>
        <w:tc>
          <w:tcPr>
            <w:tcW w:w="44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1260" w:type="dxa"/>
            <w:vAlign w:val="bottom"/>
            <w:shd w:val="clear" w:color="auto" w:fill="424E6A"/>
          </w:tcPr>
          <w:p>
            <w:pPr>
              <w:spacing w:after="0"/>
              <w:rPr>
                <w:sz w:val="20"/>
                <w:szCs w:val="20"/>
                <w:color w:val="auto"/>
              </w:rPr>
            </w:pPr>
            <w:r>
              <w:rPr>
                <w:rFonts w:ascii="Arial" w:cs="Arial" w:eastAsia="Arial" w:hAnsi="Arial"/>
                <w:sz w:val="14"/>
                <w:szCs w:val="14"/>
                <w:b w:val="1"/>
                <w:bCs w:val="1"/>
                <w:color w:val="FFFFFF"/>
              </w:rPr>
              <w:t>Individual</w:t>
            </w:r>
          </w:p>
        </w:tc>
        <w:tc>
          <w:tcPr>
            <w:tcW w:w="420" w:type="dxa"/>
            <w:vAlign w:val="bottom"/>
            <w:shd w:val="clear" w:color="auto" w:fill="424E6A"/>
          </w:tcPr>
          <w:p>
            <w:pPr>
              <w:spacing w:after="0"/>
              <w:rPr>
                <w:sz w:val="14"/>
                <w:szCs w:val="14"/>
                <w:color w:val="auto"/>
              </w:rPr>
            </w:pPr>
          </w:p>
        </w:tc>
        <w:tc>
          <w:tcPr>
            <w:tcW w:w="420" w:type="dxa"/>
            <w:vAlign w:val="bottom"/>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87"/>
              <w:spacing w:after="0"/>
              <w:rPr>
                <w:sz w:val="20"/>
                <w:szCs w:val="20"/>
                <w:color w:val="auto"/>
              </w:rPr>
            </w:pPr>
            <w:r>
              <w:rPr>
                <w:rFonts w:ascii="Arial" w:cs="Arial" w:eastAsia="Arial" w:hAnsi="Arial"/>
                <w:sz w:val="14"/>
                <w:szCs w:val="14"/>
                <w:b w:val="1"/>
                <w:bCs w:val="1"/>
                <w:color w:val="FFFFFF"/>
              </w:rPr>
              <w:t>Bonus</w:t>
            </w:r>
          </w:p>
        </w:tc>
        <w:tc>
          <w:tcPr>
            <w:tcW w:w="108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Bonus</w:t>
            </w:r>
          </w:p>
        </w:tc>
      </w:tr>
      <w:tr>
        <w:trPr>
          <w:trHeight w:val="198"/>
        </w:trPr>
        <w:tc>
          <w:tcPr>
            <w:tcW w:w="1400" w:type="dxa"/>
            <w:vAlign w:val="bottom"/>
            <w:tcBorders>
              <w:left w:val="single" w:sz="8" w:color="424E6A"/>
            </w:tcBorders>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Officer</w:t>
            </w:r>
          </w:p>
        </w:tc>
        <w:tc>
          <w:tcPr>
            <w:tcW w:w="1360" w:type="dxa"/>
            <w:vAlign w:val="bottom"/>
            <w:gridSpan w:val="2"/>
            <w:shd w:val="clear" w:color="auto" w:fill="424E6A"/>
          </w:tcPr>
          <w:p>
            <w:pPr>
              <w:jc w:val="right"/>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Amount   </w:t>
            </w:r>
            <w:r>
              <w:rPr>
                <w:rFonts w:ascii="Arial" w:cs="Arial" w:eastAsia="Arial" w:hAnsi="Arial"/>
                <w:sz w:val="22"/>
                <w:szCs w:val="22"/>
                <w:b w:val="1"/>
                <w:bCs w:val="1"/>
                <w:color w:val="FFFFFF"/>
                <w:vertAlign w:val="subscript"/>
              </w:rPr>
              <w:t>​ ​</w:t>
            </w:r>
          </w:p>
        </w:tc>
        <w:tc>
          <w:tcPr>
            <w:tcW w:w="1940" w:type="dxa"/>
            <w:vAlign w:val="bottom"/>
            <w:gridSpan w:val="3"/>
            <w:shd w:val="clear" w:color="auto" w:fill="424E6A"/>
          </w:tcPr>
          <w:p>
            <w:pPr>
              <w:jc w:val="right"/>
              <w:ind w:right="80"/>
              <w:spacing w:after="0" w:line="199" w:lineRule="exact"/>
              <w:rPr>
                <w:sz w:val="20"/>
                <w:szCs w:val="20"/>
                <w:color w:val="auto"/>
              </w:rPr>
            </w:pPr>
            <w:r>
              <w:rPr>
                <w:rFonts w:ascii="Arial" w:cs="Arial" w:eastAsia="Arial" w:hAnsi="Arial"/>
                <w:sz w:val="12"/>
                <w:szCs w:val="12"/>
                <w:b w:val="1"/>
                <w:bCs w:val="1"/>
                <w:color w:val="FFFFFF"/>
              </w:rPr>
              <w:t xml:space="preserve">Score   </w:t>
            </w: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Weight </w:t>
            </w:r>
            <w:r>
              <w:rPr>
                <w:rFonts w:ascii="Arial" w:cs="Arial" w:eastAsia="Arial" w:hAnsi="Arial"/>
                <w:sz w:val="22"/>
                <w:szCs w:val="22"/>
                <w:b w:val="1"/>
                <w:bCs w:val="1"/>
                <w:color w:val="FFFFFF"/>
                <w:vertAlign w:val="subscript"/>
              </w:rPr>
              <w:t>​ ​</w:t>
            </w:r>
          </w:p>
        </w:tc>
        <w:tc>
          <w:tcPr>
            <w:tcW w:w="220" w:type="dxa"/>
            <w:vAlign w:val="bottom"/>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2100" w:type="dxa"/>
            <w:vAlign w:val="bottom"/>
            <w:gridSpan w:val="3"/>
            <w:shd w:val="clear" w:color="auto" w:fill="424E6A"/>
          </w:tcPr>
          <w:p>
            <w:pPr>
              <w:jc w:val="right"/>
              <w:ind w:right="220"/>
              <w:spacing w:after="0" w:line="199" w:lineRule="exact"/>
              <w:rPr>
                <w:sz w:val="20"/>
                <w:szCs w:val="20"/>
                <w:color w:val="auto"/>
              </w:rPr>
            </w:pPr>
            <w:r>
              <w:rPr>
                <w:rFonts w:ascii="Arial" w:cs="Arial" w:eastAsia="Arial" w:hAnsi="Arial"/>
                <w:sz w:val="12"/>
                <w:szCs w:val="12"/>
                <w:b w:val="1"/>
                <w:bCs w:val="1"/>
                <w:color w:val="FFFFFF"/>
              </w:rPr>
              <w:t xml:space="preserve">Score   </w:t>
            </w: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Weight </w:t>
            </w:r>
            <w:r>
              <w:rPr>
                <w:rFonts w:ascii="Arial" w:cs="Arial" w:eastAsia="Arial" w:hAnsi="Arial"/>
                <w:sz w:val="22"/>
                <w:szCs w:val="22"/>
                <w:b w:val="1"/>
                <w:bCs w:val="1"/>
                <w:color w:val="FFFFFF"/>
                <w:vertAlign w:val="subscript"/>
              </w:rPr>
              <w:t>​ ​</w:t>
            </w:r>
          </w:p>
        </w:tc>
        <w:tc>
          <w:tcPr>
            <w:tcW w:w="100" w:type="dxa"/>
            <w:vAlign w:val="bottom"/>
            <w:shd w:val="clear" w:color="auto" w:fill="424E6A"/>
          </w:tcPr>
          <w:p>
            <w:pPr>
              <w:spacing w:after="0"/>
              <w:rPr>
                <w:sz w:val="17"/>
                <w:szCs w:val="17"/>
                <w:color w:val="auto"/>
              </w:rPr>
            </w:pPr>
          </w:p>
        </w:tc>
        <w:tc>
          <w:tcPr>
            <w:tcW w:w="880" w:type="dxa"/>
            <w:vAlign w:val="bottom"/>
            <w:shd w:val="clear" w:color="auto" w:fill="424E6A"/>
          </w:tcPr>
          <w:p>
            <w:pPr>
              <w:jc w:val="center"/>
              <w:ind w:right="47"/>
              <w:spacing w:after="0"/>
              <w:rPr>
                <w:sz w:val="20"/>
                <w:szCs w:val="20"/>
                <w:color w:val="auto"/>
              </w:rPr>
            </w:pPr>
            <w:r>
              <w:rPr>
                <w:rFonts w:ascii="Arial" w:cs="Arial" w:eastAsia="Arial" w:hAnsi="Arial"/>
                <w:sz w:val="14"/>
                <w:szCs w:val="14"/>
                <w:b w:val="1"/>
                <w:bCs w:val="1"/>
                <w:color w:val="FFFFFF"/>
              </w:rPr>
              <w:t>Earned</w:t>
            </w:r>
          </w:p>
        </w:tc>
        <w:tc>
          <w:tcPr>
            <w:tcW w:w="108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Amount</w:t>
            </w:r>
            <w:r>
              <w:rPr>
                <w:rFonts w:ascii="Arial" w:cs="Arial" w:eastAsia="Arial" w:hAnsi="Arial"/>
                <w:sz w:val="17"/>
                <w:szCs w:val="17"/>
                <w:b w:val="1"/>
                <w:bCs w:val="1"/>
                <w:color w:val="FFFFFF"/>
                <w:w w:val="98"/>
                <w:vertAlign w:val="superscript"/>
              </w:rPr>
              <w:t>(1)</w:t>
            </w:r>
          </w:p>
        </w:tc>
      </w:tr>
      <w:tr>
        <w:trPr>
          <w:trHeight w:val="257"/>
        </w:trPr>
        <w:tc>
          <w:tcPr>
            <w:tcW w:w="1400" w:type="dxa"/>
            <w:vAlign w:val="bottom"/>
            <w:tcBorders>
              <w:left w:val="single" w:sz="8" w:color="424E6A"/>
              <w:bottom w:val="single" w:sz="8" w:color="424E6A"/>
            </w:tcBorders>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Willie Chiang</w:t>
            </w:r>
          </w:p>
        </w:tc>
        <w:tc>
          <w:tcPr>
            <w:tcW w:w="1360" w:type="dxa"/>
            <w:vAlign w:val="bottom"/>
            <w:tcBorders>
              <w:bottom w:val="single" w:sz="8" w:color="424E6A"/>
            </w:tcBorders>
            <w:gridSpan w:val="2"/>
            <w:shd w:val="clear" w:color="auto" w:fill="D9DCE1"/>
          </w:tcPr>
          <w:p>
            <w:pPr>
              <w:jc w:val="right"/>
              <w:spacing w:after="0" w:line="256"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6"/>
                <w:szCs w:val="16"/>
                <w:color w:val="auto"/>
              </w:rPr>
              <w:t xml:space="preserve">$2,000,000 </w:t>
            </w:r>
            <w:r>
              <w:rPr>
                <w:rFonts w:ascii="Arial" w:cs="Arial" w:eastAsia="Arial" w:hAnsi="Arial"/>
                <w:sz w:val="29"/>
                <w:szCs w:val="29"/>
                <w:color w:val="auto"/>
                <w:vertAlign w:val="subscript"/>
              </w:rPr>
              <w:t>​ ​</w:t>
            </w:r>
          </w:p>
        </w:tc>
        <w:tc>
          <w:tcPr>
            <w:tcW w:w="1240" w:type="dxa"/>
            <w:vAlign w:val="bottom"/>
            <w:tcBorders>
              <w:bottom w:val="single" w:sz="8" w:color="424E6A"/>
            </w:tcBorders>
            <w:shd w:val="clear" w:color="auto" w:fill="D9DCE1"/>
          </w:tcPr>
          <w:p>
            <w:pPr>
              <w:ind w:left="18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188%</w:t>
            </w:r>
            <w:r>
              <w:rPr>
                <w:rFonts w:ascii="Arial" w:cs="Arial" w:eastAsia="Arial" w:hAnsi="Arial"/>
                <w:sz w:val="16"/>
                <w:szCs w:val="16"/>
                <w:color w:val="auto"/>
              </w:rPr>
              <w:t xml:space="preserve"> ​​ ​</w:t>
            </w:r>
            <w:r>
              <w:rPr>
                <w:rFonts w:ascii="Arial" w:cs="Arial" w:eastAsia="Arial" w:hAnsi="Arial"/>
                <w:sz w:val="29"/>
                <w:szCs w:val="29"/>
                <w:color w:val="auto"/>
                <w:vertAlign w:val="superscript"/>
              </w:rPr>
              <w:t>x</w:t>
            </w:r>
            <w:r>
              <w:rPr>
                <w:rFonts w:ascii="Arial" w:cs="Arial" w:eastAsia="Arial" w:hAnsi="Arial"/>
                <w:sz w:val="16"/>
                <w:szCs w:val="16"/>
                <w:color w:val="auto"/>
              </w:rPr>
              <w:t xml:space="preserve"> ​ ​</w:t>
            </w:r>
          </w:p>
        </w:tc>
        <w:tc>
          <w:tcPr>
            <w:tcW w:w="920" w:type="dxa"/>
            <w:vAlign w:val="bottom"/>
            <w:tcBorders>
              <w:bottom w:val="single" w:sz="8" w:color="424E6A"/>
            </w:tcBorders>
            <w:gridSpan w:val="3"/>
            <w:shd w:val="clear" w:color="auto" w:fill="D9DCE1"/>
          </w:tcPr>
          <w:p>
            <w:pPr>
              <w:jc w:val="right"/>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67%</w:t>
            </w:r>
            <w:r>
              <w:rPr>
                <w:rFonts w:ascii="Arial" w:cs="Arial" w:eastAsia="Arial" w:hAnsi="Arial"/>
                <w:sz w:val="16"/>
                <w:szCs w:val="16"/>
                <w:color w:val="auto"/>
              </w:rPr>
              <w:t>​​ ​</w:t>
            </w:r>
            <w:r>
              <w:rPr>
                <w:rFonts w:ascii="Arial" w:cs="Arial" w:eastAsia="Arial" w:hAnsi="Arial"/>
                <w:sz w:val="29"/>
                <w:szCs w:val="29"/>
                <w:color w:val="auto"/>
                <w:vertAlign w:val="superscript"/>
              </w:rPr>
              <w:t>+</w:t>
            </w:r>
            <w:r>
              <w:rPr>
                <w:rFonts w:ascii="Arial" w:cs="Arial" w:eastAsia="Arial" w:hAnsi="Arial"/>
                <w:sz w:val="16"/>
                <w:szCs w:val="16"/>
                <w:color w:val="auto"/>
              </w:rPr>
              <w:t xml:space="preserve"> ​ ​</w:t>
            </w:r>
          </w:p>
        </w:tc>
        <w:tc>
          <w:tcPr>
            <w:tcW w:w="1260" w:type="dxa"/>
            <w:vAlign w:val="bottom"/>
            <w:tcBorders>
              <w:bottom w:val="single" w:sz="8" w:color="424E6A"/>
            </w:tcBorders>
            <w:shd w:val="clear" w:color="auto" w:fill="D9DCE1"/>
          </w:tcPr>
          <w:p>
            <w:pPr>
              <w:ind w:left="18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163%</w:t>
            </w:r>
            <w:r>
              <w:rPr>
                <w:rFonts w:ascii="Arial" w:cs="Arial" w:eastAsia="Arial" w:hAnsi="Arial"/>
                <w:sz w:val="16"/>
                <w:szCs w:val="16"/>
                <w:color w:val="auto"/>
              </w:rPr>
              <w:t xml:space="preserve"> ​​ ​</w:t>
            </w:r>
            <w:r>
              <w:rPr>
                <w:rFonts w:ascii="Arial" w:cs="Arial" w:eastAsia="Arial" w:hAnsi="Arial"/>
                <w:sz w:val="29"/>
                <w:szCs w:val="29"/>
                <w:color w:val="auto"/>
                <w:vertAlign w:val="superscript"/>
              </w:rPr>
              <w:t>x</w:t>
            </w:r>
            <w:r>
              <w:rPr>
                <w:rFonts w:ascii="Arial" w:cs="Arial" w:eastAsia="Arial" w:hAnsi="Arial"/>
                <w:sz w:val="16"/>
                <w:szCs w:val="16"/>
                <w:color w:val="auto"/>
              </w:rPr>
              <w:t xml:space="preserve"> ​ ​</w:t>
            </w:r>
          </w:p>
        </w:tc>
        <w:tc>
          <w:tcPr>
            <w:tcW w:w="840" w:type="dxa"/>
            <w:vAlign w:val="bottom"/>
            <w:tcBorders>
              <w:bottom w:val="single" w:sz="8" w:color="424E6A"/>
            </w:tcBorders>
            <w:gridSpan w:val="2"/>
            <w:shd w:val="clear" w:color="auto" w:fill="D9DCE1"/>
          </w:tcPr>
          <w:p>
            <w:pPr>
              <w:ind w:left="8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33%</w:t>
            </w:r>
            <w:r>
              <w:rPr>
                <w:rFonts w:ascii="Arial" w:cs="Arial" w:eastAsia="Arial" w:hAnsi="Arial"/>
                <w:sz w:val="16"/>
                <w:szCs w:val="16"/>
                <w:color w:val="auto"/>
              </w:rPr>
              <w:t>​​ ​</w:t>
            </w:r>
            <w:r>
              <w:rPr>
                <w:rFonts w:ascii="Arial" w:cs="Arial" w:eastAsia="Arial" w:hAnsi="Arial"/>
                <w:sz w:val="29"/>
                <w:szCs w:val="29"/>
                <w:color w:val="auto"/>
                <w:vertAlign w:val="superscript"/>
              </w:rPr>
              <w:t>=</w:t>
            </w:r>
          </w:p>
        </w:tc>
        <w:tc>
          <w:tcPr>
            <w:tcW w:w="100" w:type="dxa"/>
            <w:vAlign w:val="bottom"/>
            <w:tcBorders>
              <w:bottom w:val="single" w:sz="8" w:color="424E6A"/>
            </w:tcBorders>
            <w:shd w:val="clear" w:color="auto" w:fill="D9DCE1"/>
          </w:tcPr>
          <w:p>
            <w:pPr>
              <w:spacing w:after="0"/>
              <w:rPr>
                <w:sz w:val="22"/>
                <w:szCs w:val="22"/>
                <w:color w:val="auto"/>
              </w:rPr>
            </w:pPr>
          </w:p>
        </w:tc>
        <w:tc>
          <w:tcPr>
            <w:tcW w:w="880" w:type="dxa"/>
            <w:vAlign w:val="bottom"/>
            <w:tcBorders>
              <w:bottom w:val="single" w:sz="8" w:color="424E6A"/>
            </w:tcBorders>
            <w:shd w:val="clear" w:color="auto" w:fill="D9DCE1"/>
          </w:tcPr>
          <w:p>
            <w:pPr>
              <w:ind w:left="20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180% </w:t>
            </w:r>
            <w:r>
              <w:rPr>
                <w:rFonts w:ascii="Arial" w:cs="Arial" w:eastAsia="Arial" w:hAnsi="Arial"/>
                <w:sz w:val="29"/>
                <w:szCs w:val="29"/>
                <w:color w:val="auto"/>
                <w:vertAlign w:val="subscript"/>
              </w:rPr>
              <w:t>​</w:t>
            </w:r>
          </w:p>
        </w:tc>
        <w:tc>
          <w:tcPr>
            <w:tcW w:w="1080" w:type="dxa"/>
            <w:vAlign w:val="bottom"/>
            <w:tcBorders>
              <w:bottom w:val="single" w:sz="8" w:color="424E6A"/>
              <w:right w:val="single" w:sz="8" w:color="424E6A"/>
            </w:tcBorders>
            <w:shd w:val="clear" w:color="auto" w:fill="D9DCE1"/>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$3,600,000</w:t>
            </w:r>
          </w:p>
        </w:tc>
      </w:tr>
      <w:tr>
        <w:trPr>
          <w:trHeight w:val="250"/>
        </w:trPr>
        <w:tc>
          <w:tcPr>
            <w:tcW w:w="140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Harry Pefanis</w:t>
            </w:r>
          </w:p>
        </w:tc>
        <w:tc>
          <w:tcPr>
            <w:tcW w:w="1360" w:type="dxa"/>
            <w:vAlign w:val="bottom"/>
            <w:tcBorders>
              <w:bottom w:val="single" w:sz="8" w:color="424E6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$1,200,000 </w:t>
            </w:r>
            <w:r>
              <w:rPr>
                <w:rFonts w:ascii="Arial" w:cs="Arial" w:eastAsia="Arial" w:hAnsi="Arial"/>
                <w:sz w:val="28"/>
                <w:szCs w:val="28"/>
                <w:color w:val="auto"/>
                <w:vertAlign w:val="subscript"/>
              </w:rPr>
              <w:t>​ ​</w:t>
            </w:r>
          </w:p>
        </w:tc>
        <w:tc>
          <w:tcPr>
            <w:tcW w:w="1240" w:type="dxa"/>
            <w:vAlign w:val="bottom"/>
            <w:tcBorders>
              <w:bottom w:val="single" w:sz="8" w:color="424E6A"/>
            </w:tcBorders>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188%</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 ​</w:t>
            </w:r>
          </w:p>
        </w:tc>
        <w:tc>
          <w:tcPr>
            <w:tcW w:w="920" w:type="dxa"/>
            <w:vAlign w:val="bottom"/>
            <w:tcBorders>
              <w:bottom w:val="single" w:sz="8" w:color="424E6A"/>
            </w:tcBorders>
            <w:gridSpan w:val="3"/>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67%</w:t>
            </w:r>
            <w:r>
              <w:rPr>
                <w:rFonts w:ascii="Arial" w:cs="Arial" w:eastAsia="Arial" w:hAnsi="Arial"/>
                <w:sz w:val="15"/>
                <w:szCs w:val="15"/>
                <w:color w:val="auto"/>
              </w:rPr>
              <w:t>​​ ​</w:t>
            </w:r>
            <w:r>
              <w:rPr>
                <w:rFonts w:ascii="Arial" w:cs="Arial" w:eastAsia="Arial" w:hAnsi="Arial"/>
                <w:sz w:val="28"/>
                <w:szCs w:val="28"/>
                <w:color w:val="auto"/>
                <w:vertAlign w:val="superscript"/>
              </w:rPr>
              <w:t>+</w:t>
            </w:r>
            <w:r>
              <w:rPr>
                <w:rFonts w:ascii="Arial" w:cs="Arial" w:eastAsia="Arial" w:hAnsi="Arial"/>
                <w:sz w:val="15"/>
                <w:szCs w:val="15"/>
                <w:color w:val="auto"/>
              </w:rPr>
              <w:t xml:space="preserve"> ​ ​</w:t>
            </w:r>
          </w:p>
        </w:tc>
        <w:tc>
          <w:tcPr>
            <w:tcW w:w="1260" w:type="dxa"/>
            <w:vAlign w:val="bottom"/>
            <w:tcBorders>
              <w:bottom w:val="single" w:sz="8" w:color="424E6A"/>
            </w:tcBorders>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150%</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 ​</w:t>
            </w:r>
          </w:p>
        </w:tc>
        <w:tc>
          <w:tcPr>
            <w:tcW w:w="840" w:type="dxa"/>
            <w:vAlign w:val="bottom"/>
            <w:tcBorders>
              <w:bottom w:val="single" w:sz="8" w:color="424E6A"/>
            </w:tcBorders>
            <w:gridSpan w:val="2"/>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33%</w:t>
            </w: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00" w:type="dxa"/>
            <w:vAlign w:val="bottom"/>
            <w:tcBorders>
              <w:bottom w:val="single" w:sz="8" w:color="424E6A"/>
            </w:tcBorders>
          </w:tcPr>
          <w:p>
            <w:pPr>
              <w:spacing w:after="0"/>
              <w:rPr>
                <w:sz w:val="21"/>
                <w:szCs w:val="21"/>
                <w:color w:val="auto"/>
              </w:rPr>
            </w:pPr>
          </w:p>
        </w:tc>
        <w:tc>
          <w:tcPr>
            <w:tcW w:w="880" w:type="dxa"/>
            <w:vAlign w:val="bottom"/>
            <w:tcBorders>
              <w:bottom w:val="single" w:sz="8" w:color="424E6A"/>
            </w:tcBorders>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176% </w:t>
            </w:r>
            <w:r>
              <w:rPr>
                <w:rFonts w:ascii="Arial" w:cs="Arial" w:eastAsia="Arial" w:hAnsi="Arial"/>
                <w:sz w:val="28"/>
                <w:szCs w:val="28"/>
                <w:color w:val="auto"/>
                <w:vertAlign w:val="subscript"/>
              </w:rPr>
              <w:t>​</w:t>
            </w:r>
          </w:p>
        </w:tc>
        <w:tc>
          <w:tcPr>
            <w:tcW w:w="108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$2,105,000</w:t>
            </w:r>
          </w:p>
        </w:tc>
      </w:tr>
      <w:tr>
        <w:trPr>
          <w:trHeight w:val="250"/>
        </w:trPr>
        <w:tc>
          <w:tcPr>
            <w:tcW w:w="140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 Swanson</w:t>
            </w:r>
          </w:p>
        </w:tc>
        <w:tc>
          <w:tcPr>
            <w:tcW w:w="1360" w:type="dxa"/>
            <w:vAlign w:val="bottom"/>
            <w:tcBorders>
              <w:bottom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825,000 </w:t>
            </w:r>
            <w:r>
              <w:rPr>
                <w:rFonts w:ascii="Arial" w:cs="Arial" w:eastAsia="Arial" w:hAnsi="Arial"/>
                <w:sz w:val="28"/>
                <w:szCs w:val="28"/>
                <w:color w:val="auto"/>
                <w:vertAlign w:val="subscript"/>
              </w:rPr>
              <w:t>​ ​</w:t>
            </w:r>
          </w:p>
        </w:tc>
        <w:tc>
          <w:tcPr>
            <w:tcW w:w="1240" w:type="dxa"/>
            <w:vAlign w:val="bottom"/>
            <w:tcBorders>
              <w:bottom w:val="single" w:sz="8" w:color="424E6A"/>
            </w:tcBorders>
            <w:shd w:val="clear" w:color="auto" w:fill="D9DCE1"/>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188%</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 ​</w:t>
            </w:r>
          </w:p>
        </w:tc>
        <w:tc>
          <w:tcPr>
            <w:tcW w:w="920" w:type="dxa"/>
            <w:vAlign w:val="bottom"/>
            <w:tcBorders>
              <w:bottom w:val="single" w:sz="8" w:color="424E6A"/>
            </w:tcBorders>
            <w:gridSpan w:val="3"/>
            <w:shd w:val="clear" w:color="auto" w:fill="D9DCE1"/>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67%</w:t>
            </w:r>
            <w:r>
              <w:rPr>
                <w:rFonts w:ascii="Arial" w:cs="Arial" w:eastAsia="Arial" w:hAnsi="Arial"/>
                <w:sz w:val="15"/>
                <w:szCs w:val="15"/>
                <w:color w:val="auto"/>
              </w:rPr>
              <w:t>​​ ​</w:t>
            </w:r>
            <w:r>
              <w:rPr>
                <w:rFonts w:ascii="Arial" w:cs="Arial" w:eastAsia="Arial" w:hAnsi="Arial"/>
                <w:sz w:val="28"/>
                <w:szCs w:val="28"/>
                <w:color w:val="auto"/>
                <w:vertAlign w:val="superscript"/>
              </w:rPr>
              <w:t>+</w:t>
            </w:r>
            <w:r>
              <w:rPr>
                <w:rFonts w:ascii="Arial" w:cs="Arial" w:eastAsia="Arial" w:hAnsi="Arial"/>
                <w:sz w:val="15"/>
                <w:szCs w:val="15"/>
                <w:color w:val="auto"/>
              </w:rPr>
              <w:t xml:space="preserve"> ​ ​</w:t>
            </w:r>
          </w:p>
        </w:tc>
        <w:tc>
          <w:tcPr>
            <w:tcW w:w="1260" w:type="dxa"/>
            <w:vAlign w:val="bottom"/>
            <w:tcBorders>
              <w:bottom w:val="single" w:sz="8" w:color="424E6A"/>
            </w:tcBorders>
            <w:shd w:val="clear" w:color="auto" w:fill="D9DCE1"/>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150%</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 ​</w:t>
            </w:r>
          </w:p>
        </w:tc>
        <w:tc>
          <w:tcPr>
            <w:tcW w:w="840" w:type="dxa"/>
            <w:vAlign w:val="bottom"/>
            <w:tcBorders>
              <w:bottom w:val="single" w:sz="8" w:color="424E6A"/>
            </w:tcBorders>
            <w:gridSpan w:val="2"/>
            <w:shd w:val="clear" w:color="auto" w:fill="D9DCE1"/>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33%</w:t>
            </w: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00" w:type="dxa"/>
            <w:vAlign w:val="bottom"/>
            <w:tcBorders>
              <w:bottom w:val="single" w:sz="8" w:color="424E6A"/>
            </w:tcBorders>
            <w:shd w:val="clear" w:color="auto" w:fill="D9DCE1"/>
          </w:tcPr>
          <w:p>
            <w:pPr>
              <w:spacing w:after="0"/>
              <w:rPr>
                <w:sz w:val="21"/>
                <w:szCs w:val="21"/>
                <w:color w:val="auto"/>
              </w:rPr>
            </w:pPr>
          </w:p>
        </w:tc>
        <w:tc>
          <w:tcPr>
            <w:tcW w:w="880" w:type="dxa"/>
            <w:vAlign w:val="bottom"/>
            <w:tcBorders>
              <w:bottom w:val="single" w:sz="8" w:color="424E6A"/>
            </w:tcBorders>
            <w:shd w:val="clear" w:color="auto" w:fill="D9DCE1"/>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176% </w:t>
            </w:r>
            <w:r>
              <w:rPr>
                <w:rFonts w:ascii="Arial" w:cs="Arial" w:eastAsia="Arial" w:hAnsi="Arial"/>
                <w:sz w:val="28"/>
                <w:szCs w:val="28"/>
                <w:color w:val="auto"/>
                <w:vertAlign w:val="subscript"/>
              </w:rPr>
              <w:t>​</w:t>
            </w:r>
          </w:p>
        </w:tc>
        <w:tc>
          <w:tcPr>
            <w:tcW w:w="1080" w:type="dxa"/>
            <w:vAlign w:val="bottom"/>
            <w:tcBorders>
              <w:bottom w:val="single" w:sz="8" w:color="424E6A"/>
              <w:right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$1,450,000</w:t>
            </w:r>
          </w:p>
        </w:tc>
      </w:tr>
      <w:tr>
        <w:trPr>
          <w:trHeight w:val="250"/>
        </w:trPr>
        <w:tc>
          <w:tcPr>
            <w:tcW w:w="140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Richard McGee</w:t>
            </w:r>
          </w:p>
        </w:tc>
        <w:tc>
          <w:tcPr>
            <w:tcW w:w="1360" w:type="dxa"/>
            <w:vAlign w:val="bottom"/>
            <w:tcBorders>
              <w:bottom w:val="single" w:sz="8" w:color="424E6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825,000 </w:t>
            </w:r>
            <w:r>
              <w:rPr>
                <w:rFonts w:ascii="Arial" w:cs="Arial" w:eastAsia="Arial" w:hAnsi="Arial"/>
                <w:sz w:val="28"/>
                <w:szCs w:val="28"/>
                <w:color w:val="auto"/>
                <w:vertAlign w:val="subscript"/>
              </w:rPr>
              <w:t>​ ​</w:t>
            </w:r>
          </w:p>
        </w:tc>
        <w:tc>
          <w:tcPr>
            <w:tcW w:w="1240" w:type="dxa"/>
            <w:vAlign w:val="bottom"/>
            <w:tcBorders>
              <w:bottom w:val="single" w:sz="8" w:color="424E6A"/>
            </w:tcBorders>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188%</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 ​</w:t>
            </w:r>
          </w:p>
        </w:tc>
        <w:tc>
          <w:tcPr>
            <w:tcW w:w="920" w:type="dxa"/>
            <w:vAlign w:val="bottom"/>
            <w:tcBorders>
              <w:bottom w:val="single" w:sz="8" w:color="424E6A"/>
            </w:tcBorders>
            <w:gridSpan w:val="3"/>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67%</w:t>
            </w:r>
            <w:r>
              <w:rPr>
                <w:rFonts w:ascii="Arial" w:cs="Arial" w:eastAsia="Arial" w:hAnsi="Arial"/>
                <w:sz w:val="15"/>
                <w:szCs w:val="15"/>
                <w:color w:val="auto"/>
              </w:rPr>
              <w:t>​​ ​</w:t>
            </w:r>
            <w:r>
              <w:rPr>
                <w:rFonts w:ascii="Arial" w:cs="Arial" w:eastAsia="Arial" w:hAnsi="Arial"/>
                <w:sz w:val="28"/>
                <w:szCs w:val="28"/>
                <w:color w:val="auto"/>
                <w:vertAlign w:val="superscript"/>
              </w:rPr>
              <w:t>+</w:t>
            </w:r>
            <w:r>
              <w:rPr>
                <w:rFonts w:ascii="Arial" w:cs="Arial" w:eastAsia="Arial" w:hAnsi="Arial"/>
                <w:sz w:val="15"/>
                <w:szCs w:val="15"/>
                <w:color w:val="auto"/>
              </w:rPr>
              <w:t xml:space="preserve"> ​ ​</w:t>
            </w:r>
          </w:p>
        </w:tc>
        <w:tc>
          <w:tcPr>
            <w:tcW w:w="1260" w:type="dxa"/>
            <w:vAlign w:val="bottom"/>
            <w:tcBorders>
              <w:bottom w:val="single" w:sz="8" w:color="424E6A"/>
            </w:tcBorders>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175%</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 ​</w:t>
            </w:r>
          </w:p>
        </w:tc>
        <w:tc>
          <w:tcPr>
            <w:tcW w:w="840" w:type="dxa"/>
            <w:vAlign w:val="bottom"/>
            <w:tcBorders>
              <w:bottom w:val="single" w:sz="8" w:color="424E6A"/>
            </w:tcBorders>
            <w:gridSpan w:val="2"/>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33%</w:t>
            </w: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00" w:type="dxa"/>
            <w:vAlign w:val="bottom"/>
            <w:tcBorders>
              <w:bottom w:val="single" w:sz="8" w:color="424E6A"/>
            </w:tcBorders>
          </w:tcPr>
          <w:p>
            <w:pPr>
              <w:spacing w:after="0"/>
              <w:rPr>
                <w:sz w:val="21"/>
                <w:szCs w:val="21"/>
                <w:color w:val="auto"/>
              </w:rPr>
            </w:pPr>
          </w:p>
        </w:tc>
        <w:tc>
          <w:tcPr>
            <w:tcW w:w="880" w:type="dxa"/>
            <w:vAlign w:val="bottom"/>
            <w:tcBorders>
              <w:bottom w:val="single" w:sz="8" w:color="424E6A"/>
            </w:tcBorders>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184% </w:t>
            </w:r>
            <w:r>
              <w:rPr>
                <w:rFonts w:ascii="Arial" w:cs="Arial" w:eastAsia="Arial" w:hAnsi="Arial"/>
                <w:sz w:val="28"/>
                <w:szCs w:val="28"/>
                <w:color w:val="auto"/>
                <w:vertAlign w:val="subscript"/>
              </w:rPr>
              <w:t>​</w:t>
            </w:r>
          </w:p>
        </w:tc>
        <w:tc>
          <w:tcPr>
            <w:tcW w:w="108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$1,515,000</w:t>
            </w:r>
          </w:p>
        </w:tc>
      </w:tr>
      <w:tr>
        <w:trPr>
          <w:trHeight w:val="250"/>
        </w:trPr>
        <w:tc>
          <w:tcPr>
            <w:tcW w:w="140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 Chandler</w:t>
            </w:r>
          </w:p>
        </w:tc>
        <w:tc>
          <w:tcPr>
            <w:tcW w:w="1360" w:type="dxa"/>
            <w:vAlign w:val="bottom"/>
            <w:tcBorders>
              <w:bottom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900,000 </w:t>
            </w:r>
            <w:r>
              <w:rPr>
                <w:rFonts w:ascii="Arial" w:cs="Arial" w:eastAsia="Arial" w:hAnsi="Arial"/>
                <w:sz w:val="28"/>
                <w:szCs w:val="28"/>
                <w:color w:val="auto"/>
                <w:vertAlign w:val="subscript"/>
              </w:rPr>
              <w:t>​ ​</w:t>
            </w:r>
          </w:p>
        </w:tc>
        <w:tc>
          <w:tcPr>
            <w:tcW w:w="1240" w:type="dxa"/>
            <w:vAlign w:val="bottom"/>
            <w:tcBorders>
              <w:bottom w:val="single" w:sz="8" w:color="424E6A"/>
            </w:tcBorders>
            <w:shd w:val="clear" w:color="auto" w:fill="D9DCE1"/>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188%</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 ​</w:t>
            </w:r>
          </w:p>
        </w:tc>
        <w:tc>
          <w:tcPr>
            <w:tcW w:w="920" w:type="dxa"/>
            <w:vAlign w:val="bottom"/>
            <w:tcBorders>
              <w:bottom w:val="single" w:sz="8" w:color="424E6A"/>
            </w:tcBorders>
            <w:gridSpan w:val="3"/>
            <w:shd w:val="clear" w:color="auto" w:fill="D9DCE1"/>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67%</w:t>
            </w:r>
            <w:r>
              <w:rPr>
                <w:rFonts w:ascii="Arial" w:cs="Arial" w:eastAsia="Arial" w:hAnsi="Arial"/>
                <w:sz w:val="15"/>
                <w:szCs w:val="15"/>
                <w:color w:val="auto"/>
              </w:rPr>
              <w:t>​​ ​</w:t>
            </w:r>
            <w:r>
              <w:rPr>
                <w:rFonts w:ascii="Arial" w:cs="Arial" w:eastAsia="Arial" w:hAnsi="Arial"/>
                <w:sz w:val="28"/>
                <w:szCs w:val="28"/>
                <w:color w:val="auto"/>
                <w:vertAlign w:val="superscript"/>
              </w:rPr>
              <w:t>+</w:t>
            </w:r>
            <w:r>
              <w:rPr>
                <w:rFonts w:ascii="Arial" w:cs="Arial" w:eastAsia="Arial" w:hAnsi="Arial"/>
                <w:sz w:val="15"/>
                <w:szCs w:val="15"/>
                <w:color w:val="auto"/>
              </w:rPr>
              <w:t xml:space="preserve"> ​ ​</w:t>
            </w:r>
          </w:p>
        </w:tc>
        <w:tc>
          <w:tcPr>
            <w:tcW w:w="1260" w:type="dxa"/>
            <w:vAlign w:val="bottom"/>
            <w:tcBorders>
              <w:bottom w:val="single" w:sz="8" w:color="424E6A"/>
            </w:tcBorders>
            <w:shd w:val="clear" w:color="auto" w:fill="D9DCE1"/>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200%</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 ​</w:t>
            </w:r>
          </w:p>
        </w:tc>
        <w:tc>
          <w:tcPr>
            <w:tcW w:w="840" w:type="dxa"/>
            <w:vAlign w:val="bottom"/>
            <w:tcBorders>
              <w:bottom w:val="single" w:sz="8" w:color="424E6A"/>
            </w:tcBorders>
            <w:gridSpan w:val="2"/>
            <w:shd w:val="clear" w:color="auto" w:fill="D9DCE1"/>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33%</w:t>
            </w: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00" w:type="dxa"/>
            <w:vAlign w:val="bottom"/>
            <w:tcBorders>
              <w:bottom w:val="single" w:sz="8" w:color="424E6A"/>
            </w:tcBorders>
            <w:shd w:val="clear" w:color="auto" w:fill="D9DCE1"/>
          </w:tcPr>
          <w:p>
            <w:pPr>
              <w:spacing w:after="0"/>
              <w:rPr>
                <w:sz w:val="21"/>
                <w:szCs w:val="21"/>
                <w:color w:val="auto"/>
              </w:rPr>
            </w:pPr>
          </w:p>
        </w:tc>
        <w:tc>
          <w:tcPr>
            <w:tcW w:w="880" w:type="dxa"/>
            <w:vAlign w:val="bottom"/>
            <w:tcBorders>
              <w:bottom w:val="single" w:sz="8" w:color="424E6A"/>
            </w:tcBorders>
            <w:shd w:val="clear" w:color="auto" w:fill="D9DCE1"/>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192% </w:t>
            </w:r>
            <w:r>
              <w:rPr>
                <w:rFonts w:ascii="Arial" w:cs="Arial" w:eastAsia="Arial" w:hAnsi="Arial"/>
                <w:sz w:val="28"/>
                <w:szCs w:val="28"/>
                <w:color w:val="auto"/>
                <w:vertAlign w:val="subscript"/>
              </w:rPr>
              <w:t>​</w:t>
            </w:r>
          </w:p>
        </w:tc>
        <w:tc>
          <w:tcPr>
            <w:tcW w:w="1080" w:type="dxa"/>
            <w:vAlign w:val="bottom"/>
            <w:tcBorders>
              <w:bottom w:val="single" w:sz="8" w:color="424E6A"/>
              <w:right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$1,730,000</w:t>
            </w:r>
          </w:p>
        </w:tc>
      </w:tr>
      <w:tr>
        <w:trPr>
          <w:trHeight w:val="250"/>
        </w:trPr>
        <w:tc>
          <w:tcPr>
            <w:tcW w:w="140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Jeremy Goebel</w:t>
            </w:r>
          </w:p>
        </w:tc>
        <w:tc>
          <w:tcPr>
            <w:tcW w:w="1360" w:type="dxa"/>
            <w:vAlign w:val="bottom"/>
            <w:tcBorders>
              <w:bottom w:val="single" w:sz="8" w:color="424E6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900,000 </w:t>
            </w:r>
            <w:r>
              <w:rPr>
                <w:rFonts w:ascii="Arial" w:cs="Arial" w:eastAsia="Arial" w:hAnsi="Arial"/>
                <w:sz w:val="28"/>
                <w:szCs w:val="28"/>
                <w:color w:val="auto"/>
                <w:vertAlign w:val="subscript"/>
              </w:rPr>
              <w:t>​ ​</w:t>
            </w:r>
          </w:p>
        </w:tc>
        <w:tc>
          <w:tcPr>
            <w:tcW w:w="1240" w:type="dxa"/>
            <w:vAlign w:val="bottom"/>
            <w:tcBorders>
              <w:bottom w:val="single" w:sz="8" w:color="424E6A"/>
            </w:tcBorders>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188%</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 ​</w:t>
            </w:r>
          </w:p>
        </w:tc>
        <w:tc>
          <w:tcPr>
            <w:tcW w:w="920" w:type="dxa"/>
            <w:vAlign w:val="bottom"/>
            <w:tcBorders>
              <w:bottom w:val="single" w:sz="8" w:color="424E6A"/>
            </w:tcBorders>
            <w:gridSpan w:val="3"/>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67%</w:t>
            </w:r>
            <w:r>
              <w:rPr>
                <w:rFonts w:ascii="Arial" w:cs="Arial" w:eastAsia="Arial" w:hAnsi="Arial"/>
                <w:sz w:val="15"/>
                <w:szCs w:val="15"/>
                <w:color w:val="auto"/>
              </w:rPr>
              <w:t>​​ ​</w:t>
            </w:r>
            <w:r>
              <w:rPr>
                <w:rFonts w:ascii="Arial" w:cs="Arial" w:eastAsia="Arial" w:hAnsi="Arial"/>
                <w:sz w:val="28"/>
                <w:szCs w:val="28"/>
                <w:color w:val="auto"/>
                <w:vertAlign w:val="superscript"/>
              </w:rPr>
              <w:t>+</w:t>
            </w:r>
            <w:r>
              <w:rPr>
                <w:rFonts w:ascii="Arial" w:cs="Arial" w:eastAsia="Arial" w:hAnsi="Arial"/>
                <w:sz w:val="15"/>
                <w:szCs w:val="15"/>
                <w:color w:val="auto"/>
              </w:rPr>
              <w:t xml:space="preserve"> ​ ​</w:t>
            </w:r>
          </w:p>
        </w:tc>
        <w:tc>
          <w:tcPr>
            <w:tcW w:w="1260" w:type="dxa"/>
            <w:vAlign w:val="bottom"/>
            <w:tcBorders>
              <w:bottom w:val="single" w:sz="8" w:color="424E6A"/>
            </w:tcBorders>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200%</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 ​</w:t>
            </w:r>
          </w:p>
        </w:tc>
        <w:tc>
          <w:tcPr>
            <w:tcW w:w="840" w:type="dxa"/>
            <w:vAlign w:val="bottom"/>
            <w:tcBorders>
              <w:bottom w:val="single" w:sz="8" w:color="424E6A"/>
            </w:tcBorders>
            <w:gridSpan w:val="2"/>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33%</w:t>
            </w: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00" w:type="dxa"/>
            <w:vAlign w:val="bottom"/>
            <w:tcBorders>
              <w:bottom w:val="single" w:sz="8" w:color="424E6A"/>
            </w:tcBorders>
          </w:tcPr>
          <w:p>
            <w:pPr>
              <w:spacing w:after="0"/>
              <w:rPr>
                <w:sz w:val="21"/>
                <w:szCs w:val="21"/>
                <w:color w:val="auto"/>
              </w:rPr>
            </w:pPr>
          </w:p>
        </w:tc>
        <w:tc>
          <w:tcPr>
            <w:tcW w:w="880" w:type="dxa"/>
            <w:vAlign w:val="bottom"/>
            <w:tcBorders>
              <w:bottom w:val="single" w:sz="8" w:color="424E6A"/>
            </w:tcBorders>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192% </w:t>
            </w:r>
            <w:r>
              <w:rPr>
                <w:rFonts w:ascii="Arial" w:cs="Arial" w:eastAsia="Arial" w:hAnsi="Arial"/>
                <w:sz w:val="28"/>
                <w:szCs w:val="28"/>
                <w:color w:val="auto"/>
                <w:vertAlign w:val="subscript"/>
              </w:rPr>
              <w:t>​</w:t>
            </w:r>
          </w:p>
        </w:tc>
        <w:tc>
          <w:tcPr>
            <w:tcW w:w="108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$1,730,000</w:t>
            </w:r>
          </w:p>
        </w:tc>
      </w:tr>
    </w:tbl>
    <w:p>
      <w:pPr>
        <w:spacing w:after="0" w:line="126" w:lineRule="exact"/>
        <w:rPr>
          <w:sz w:val="20"/>
          <w:szCs w:val="20"/>
          <w:color w:val="auto"/>
        </w:rPr>
      </w:pPr>
    </w:p>
    <w:p>
      <w:pPr>
        <w:ind w:left="1620" w:hanging="360"/>
        <w:spacing w:after="0"/>
        <w:tabs>
          <w:tab w:leader="none" w:pos="1620" w:val="left"/>
        </w:tabs>
        <w:numPr>
          <w:ilvl w:val="0"/>
          <w:numId w:val="52"/>
        </w:numPr>
        <w:rPr>
          <w:rFonts w:ascii="Arial" w:cs="Arial" w:eastAsia="Arial" w:hAnsi="Arial"/>
          <w:sz w:val="27"/>
          <w:szCs w:val="27"/>
          <w:color w:val="auto"/>
          <w:vertAlign w:val="superscript"/>
        </w:rPr>
      </w:pPr>
      <w:r>
        <w:rPr>
          <w:rFonts w:ascii="Arial" w:cs="Arial" w:eastAsia="Arial" w:hAnsi="Arial"/>
          <w:sz w:val="18"/>
          <w:szCs w:val="18"/>
          <w:color w:val="auto"/>
        </w:rPr>
        <w:t>Final amounts were rounded to the nearest multiple of $5,000.</w:t>
      </w:r>
    </w:p>
    <w:p>
      <w:pPr>
        <w:spacing w:after="0" w:line="139" w:lineRule="exact"/>
        <w:rPr>
          <w:sz w:val="20"/>
          <w:szCs w:val="20"/>
          <w:color w:val="auto"/>
        </w:rPr>
      </w:pPr>
    </w:p>
    <w:p>
      <w:pPr>
        <w:ind w:left="1260" w:right="460" w:firstLine="360"/>
        <w:spacing w:after="0" w:line="268" w:lineRule="auto"/>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The annual LTIP targets for the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as a percentage of base salary, and the value of the 2022 annual LTIP awards to the Named Executive Officers are set forth in the table below:</w:t>
      </w:r>
    </w:p>
    <w:p>
      <w:pPr>
        <w:spacing w:after="0" w:line="149"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2060" w:type="dxa"/>
            <w:vAlign w:val="bottom"/>
            <w:tcBorders>
              <w:left w:val="single" w:sz="8" w:color="424E6A"/>
              <w:right w:val="single" w:sz="8" w:color="424E6A"/>
            </w:tcBorders>
            <w:shd w:val="clear" w:color="auto" w:fill="424E6A"/>
          </w:tcPr>
          <w:p>
            <w:pPr>
              <w:spacing w:after="0"/>
              <w:rPr>
                <w:sz w:val="17"/>
                <w:szCs w:val="17"/>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Annual LTIP</w:t>
            </w:r>
          </w:p>
        </w:tc>
        <w:tc>
          <w:tcPr>
            <w:tcW w:w="120" w:type="dxa"/>
            <w:vAlign w:val="bottom"/>
            <w:tcBorders>
              <w:right w:val="single" w:sz="8" w:color="424E6A"/>
            </w:tcBorders>
            <w:shd w:val="clear" w:color="auto" w:fill="424E6A"/>
          </w:tcPr>
          <w:p>
            <w:pPr>
              <w:spacing w:after="0"/>
              <w:rPr>
                <w:sz w:val="17"/>
                <w:szCs w:val="17"/>
                <w:color w:val="auto"/>
              </w:rPr>
            </w:pPr>
          </w:p>
        </w:tc>
        <w:tc>
          <w:tcPr>
            <w:tcW w:w="160" w:type="dxa"/>
            <w:vAlign w:val="bottom"/>
            <w:shd w:val="clear" w:color="auto" w:fill="424E6A"/>
          </w:tcPr>
          <w:p>
            <w:pPr>
              <w:spacing w:after="0"/>
              <w:rPr>
                <w:sz w:val="17"/>
                <w:szCs w:val="17"/>
                <w:color w:val="auto"/>
              </w:rPr>
            </w:pPr>
          </w:p>
        </w:tc>
        <w:tc>
          <w:tcPr>
            <w:tcW w:w="1000" w:type="dxa"/>
            <w:vAlign w:val="bottom"/>
            <w:tcBorders>
              <w:right w:val="single" w:sz="8" w:color="424E6A"/>
            </w:tcBorders>
            <w:shd w:val="clear" w:color="auto" w:fill="424E6A"/>
          </w:tcPr>
          <w:p>
            <w:pPr>
              <w:spacing w:after="0"/>
              <w:rPr>
                <w:sz w:val="17"/>
                <w:szCs w:val="17"/>
                <w:color w:val="auto"/>
              </w:rPr>
            </w:pPr>
          </w:p>
        </w:tc>
        <w:tc>
          <w:tcPr>
            <w:tcW w:w="1100" w:type="dxa"/>
            <w:vAlign w:val="bottom"/>
            <w:shd w:val="clear" w:color="auto" w:fill="424E6A"/>
          </w:tcPr>
          <w:p>
            <w:pPr>
              <w:spacing w:after="0"/>
              <w:rPr>
                <w:sz w:val="17"/>
                <w:szCs w:val="17"/>
                <w:color w:val="auto"/>
              </w:rPr>
            </w:pPr>
          </w:p>
        </w:tc>
        <w:tc>
          <w:tcPr>
            <w:tcW w:w="14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860" w:type="dxa"/>
            <w:vAlign w:val="bottom"/>
            <w:shd w:val="clear" w:color="auto" w:fill="424E6A"/>
          </w:tcPr>
          <w:p>
            <w:pPr>
              <w:spacing w:after="0"/>
              <w:rPr>
                <w:sz w:val="17"/>
                <w:szCs w:val="17"/>
                <w:color w:val="auto"/>
              </w:rPr>
            </w:pPr>
          </w:p>
        </w:tc>
        <w:tc>
          <w:tcPr>
            <w:tcW w:w="16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1140" w:type="dxa"/>
            <w:vAlign w:val="bottom"/>
            <w:shd w:val="clear" w:color="auto" w:fill="424E6A"/>
          </w:tcPr>
          <w:p>
            <w:pPr>
              <w:spacing w:after="0"/>
              <w:rPr>
                <w:sz w:val="17"/>
                <w:szCs w:val="17"/>
                <w:color w:val="auto"/>
              </w:rPr>
            </w:pPr>
          </w:p>
        </w:tc>
        <w:tc>
          <w:tcPr>
            <w:tcW w:w="100" w:type="dxa"/>
            <w:vAlign w:val="bottom"/>
            <w:tcBorders>
              <w:right w:val="single" w:sz="8" w:color="424E6A"/>
            </w:tcBorders>
            <w:shd w:val="clear" w:color="auto" w:fill="424E6A"/>
          </w:tcPr>
          <w:p>
            <w:pPr>
              <w:spacing w:after="0"/>
              <w:rPr>
                <w:sz w:val="17"/>
                <w:szCs w:val="17"/>
                <w:color w:val="auto"/>
              </w:rPr>
            </w:pPr>
          </w:p>
        </w:tc>
      </w:tr>
      <w:tr>
        <w:trPr>
          <w:trHeight w:val="162"/>
        </w:trPr>
        <w:tc>
          <w:tcPr>
            <w:tcW w:w="2060" w:type="dxa"/>
            <w:vAlign w:val="bottom"/>
            <w:tcBorders>
              <w:left w:val="single" w:sz="8" w:color="424E6A"/>
              <w:right w:val="single" w:sz="8" w:color="424E6A"/>
            </w:tcBorders>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Award</w:t>
            </w:r>
          </w:p>
        </w:tc>
        <w:tc>
          <w:tcPr>
            <w:tcW w:w="12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000" w:type="dxa"/>
            <w:vAlign w:val="bottom"/>
            <w:tcBorders>
              <w:right w:val="single" w:sz="8" w:color="424E6A"/>
            </w:tcBorders>
            <w:shd w:val="clear" w:color="auto" w:fill="424E6A"/>
          </w:tcPr>
          <w:p>
            <w:pPr>
              <w:spacing w:after="0"/>
              <w:rPr>
                <w:sz w:val="14"/>
                <w:szCs w:val="14"/>
                <w:color w:val="auto"/>
              </w:rPr>
            </w:pPr>
          </w:p>
        </w:tc>
        <w:tc>
          <w:tcPr>
            <w:tcW w:w="110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86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r>
      <w:tr>
        <w:trPr>
          <w:trHeight w:val="162"/>
        </w:trPr>
        <w:tc>
          <w:tcPr>
            <w:tcW w:w="2060" w:type="dxa"/>
            <w:vAlign w:val="bottom"/>
            <w:tcBorders>
              <w:left w:val="single" w:sz="8" w:color="424E6A"/>
              <w:right w:val="single" w:sz="8" w:color="424E6A"/>
            </w:tcBorders>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Target Value</w:t>
            </w:r>
          </w:p>
        </w:tc>
        <w:tc>
          <w:tcPr>
            <w:tcW w:w="120" w:type="dxa"/>
            <w:vAlign w:val="bottom"/>
            <w:tcBorders>
              <w:right w:val="single" w:sz="8" w:color="424E6A"/>
            </w:tcBorders>
            <w:shd w:val="clear" w:color="auto" w:fill="424E6A"/>
          </w:tcPr>
          <w:p>
            <w:pPr>
              <w:spacing w:after="0"/>
              <w:rPr>
                <w:sz w:val="14"/>
                <w:szCs w:val="14"/>
                <w:color w:val="auto"/>
              </w:rPr>
            </w:pPr>
          </w:p>
        </w:tc>
        <w:tc>
          <w:tcPr>
            <w:tcW w:w="1160" w:type="dxa"/>
            <w:vAlign w:val="bottom"/>
            <w:tcBorders>
              <w:right w:val="single" w:sz="8" w:color="424E6A"/>
            </w:tcBorders>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2022 Annual</w:t>
            </w:r>
          </w:p>
        </w:tc>
        <w:tc>
          <w:tcPr>
            <w:tcW w:w="11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2022 Annual</w:t>
            </w:r>
          </w:p>
        </w:tc>
        <w:tc>
          <w:tcPr>
            <w:tcW w:w="14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860" w:type="dxa"/>
            <w:vAlign w:val="bottom"/>
            <w:shd w:val="clear" w:color="auto" w:fill="424E6A"/>
          </w:tcPr>
          <w:p>
            <w:pPr>
              <w:ind w:left="20"/>
              <w:spacing w:after="0"/>
              <w:rPr>
                <w:sz w:val="20"/>
                <w:szCs w:val="20"/>
                <w:color w:val="auto"/>
              </w:rPr>
            </w:pPr>
            <w:r>
              <w:rPr>
                <w:rFonts w:ascii="Arial" w:cs="Arial" w:eastAsia="Arial" w:hAnsi="Arial"/>
                <w:sz w:val="14"/>
                <w:szCs w:val="14"/>
                <w:b w:val="1"/>
                <w:bCs w:val="1"/>
                <w:color w:val="FFFFFF"/>
                <w:w w:val="98"/>
              </w:rPr>
              <w:t>Time-Vested</w:t>
            </w: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Performance-</w:t>
            </w:r>
          </w:p>
        </w:tc>
        <w:tc>
          <w:tcPr>
            <w:tcW w:w="100" w:type="dxa"/>
            <w:vAlign w:val="bottom"/>
            <w:tcBorders>
              <w:right w:val="single" w:sz="8" w:color="424E6A"/>
            </w:tcBorders>
            <w:shd w:val="clear" w:color="auto" w:fill="424E6A"/>
          </w:tcPr>
          <w:p>
            <w:pPr>
              <w:spacing w:after="0"/>
              <w:rPr>
                <w:sz w:val="14"/>
                <w:szCs w:val="14"/>
                <w:color w:val="auto"/>
              </w:rPr>
            </w:pPr>
          </w:p>
        </w:tc>
      </w:tr>
      <w:tr>
        <w:trPr>
          <w:trHeight w:val="162"/>
        </w:trPr>
        <w:tc>
          <w:tcPr>
            <w:tcW w:w="2060" w:type="dxa"/>
            <w:vAlign w:val="bottom"/>
            <w:tcBorders>
              <w:left w:val="single" w:sz="8" w:color="424E6A"/>
              <w:right w:val="single" w:sz="8" w:color="424E6A"/>
            </w:tcBorders>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(as a percentage</w:t>
            </w:r>
          </w:p>
        </w:tc>
        <w:tc>
          <w:tcPr>
            <w:tcW w:w="12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000" w:type="dxa"/>
            <w:vAlign w:val="bottom"/>
            <w:tcBorders>
              <w:right w:val="single" w:sz="8" w:color="424E6A"/>
            </w:tcBorders>
            <w:shd w:val="clear" w:color="auto" w:fill="424E6A"/>
          </w:tcPr>
          <w:p>
            <w:pPr>
              <w:jc w:val="center"/>
              <w:ind w:right="144"/>
              <w:spacing w:after="0"/>
              <w:rPr>
                <w:sz w:val="20"/>
                <w:szCs w:val="20"/>
                <w:color w:val="auto"/>
              </w:rPr>
            </w:pPr>
            <w:r>
              <w:rPr>
                <w:rFonts w:ascii="Arial" w:cs="Arial" w:eastAsia="Arial" w:hAnsi="Arial"/>
                <w:sz w:val="14"/>
                <w:szCs w:val="14"/>
                <w:b w:val="1"/>
                <w:bCs w:val="1"/>
                <w:color w:val="FFFFFF"/>
              </w:rPr>
              <w:t>LTIP Award</w:t>
            </w:r>
          </w:p>
        </w:tc>
        <w:tc>
          <w:tcPr>
            <w:tcW w:w="11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Phantom Units</w:t>
            </w:r>
          </w:p>
        </w:tc>
        <w:tc>
          <w:tcPr>
            <w:tcW w:w="14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860" w:type="dxa"/>
            <w:vAlign w:val="bottom"/>
            <w:shd w:val="clear" w:color="auto" w:fill="424E6A"/>
          </w:tcPr>
          <w:p>
            <w:pPr>
              <w:ind w:left="120"/>
              <w:spacing w:after="0"/>
              <w:rPr>
                <w:sz w:val="20"/>
                <w:szCs w:val="20"/>
                <w:color w:val="auto"/>
              </w:rPr>
            </w:pPr>
            <w:r>
              <w:rPr>
                <w:rFonts w:ascii="Arial" w:cs="Arial" w:eastAsia="Arial" w:hAnsi="Arial"/>
                <w:sz w:val="14"/>
                <w:szCs w:val="14"/>
                <w:b w:val="1"/>
                <w:bCs w:val="1"/>
                <w:color w:val="FFFFFF"/>
              </w:rPr>
              <w:t>Phantom</w:t>
            </w: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Vested Phantom</w:t>
            </w:r>
          </w:p>
        </w:tc>
        <w:tc>
          <w:tcPr>
            <w:tcW w:w="100" w:type="dxa"/>
            <w:vAlign w:val="bottom"/>
            <w:tcBorders>
              <w:right w:val="single" w:sz="8" w:color="424E6A"/>
            </w:tcBorders>
            <w:shd w:val="clear" w:color="auto" w:fill="424E6A"/>
          </w:tcPr>
          <w:p>
            <w:pPr>
              <w:spacing w:after="0"/>
              <w:rPr>
                <w:sz w:val="14"/>
                <w:szCs w:val="14"/>
                <w:color w:val="auto"/>
              </w:rPr>
            </w:pPr>
          </w:p>
        </w:tc>
      </w:tr>
      <w:tr>
        <w:trPr>
          <w:trHeight w:val="212"/>
        </w:trPr>
        <w:tc>
          <w:tcPr>
            <w:tcW w:w="2060" w:type="dxa"/>
            <w:vAlign w:val="bottom"/>
            <w:tcBorders>
              <w:left w:val="single" w:sz="8" w:color="424E6A"/>
              <w:right w:val="single" w:sz="8" w:color="424E6A"/>
            </w:tcBorders>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Named Executive Officer</w:t>
            </w:r>
          </w:p>
        </w:tc>
        <w:tc>
          <w:tcPr>
            <w:tcW w:w="1220" w:type="dxa"/>
            <w:vAlign w:val="bottom"/>
            <w:shd w:val="clear" w:color="auto" w:fill="424E6A"/>
          </w:tcPr>
          <w:p>
            <w:pPr>
              <w:jc w:val="center"/>
              <w:ind w:left="24"/>
              <w:spacing w:after="0"/>
              <w:rPr>
                <w:sz w:val="20"/>
                <w:szCs w:val="20"/>
                <w:color w:val="auto"/>
              </w:rPr>
            </w:pPr>
            <w:r>
              <w:rPr>
                <w:rFonts w:ascii="Arial" w:cs="Arial" w:eastAsia="Arial" w:hAnsi="Arial"/>
                <w:sz w:val="14"/>
                <w:szCs w:val="14"/>
                <w:b w:val="1"/>
                <w:bCs w:val="1"/>
                <w:color w:val="FFFFFF"/>
              </w:rPr>
              <w:t>of base salary)</w:t>
            </w:r>
          </w:p>
        </w:tc>
        <w:tc>
          <w:tcPr>
            <w:tcW w:w="120" w:type="dxa"/>
            <w:vAlign w:val="bottom"/>
            <w:tcBorders>
              <w:right w:val="single" w:sz="8" w:color="424E6A"/>
            </w:tcBorders>
            <w:shd w:val="clear" w:color="auto" w:fill="424E6A"/>
          </w:tcPr>
          <w:p>
            <w:pPr>
              <w:spacing w:after="0"/>
              <w:rPr>
                <w:sz w:val="18"/>
                <w:szCs w:val="18"/>
                <w:color w:val="auto"/>
              </w:rPr>
            </w:pPr>
          </w:p>
        </w:tc>
        <w:tc>
          <w:tcPr>
            <w:tcW w:w="160" w:type="dxa"/>
            <w:vAlign w:val="bottom"/>
            <w:shd w:val="clear" w:color="auto" w:fill="424E6A"/>
          </w:tcPr>
          <w:p>
            <w:pPr>
              <w:spacing w:after="0"/>
              <w:rPr>
                <w:sz w:val="18"/>
                <w:szCs w:val="18"/>
                <w:color w:val="auto"/>
              </w:rPr>
            </w:pPr>
          </w:p>
        </w:tc>
        <w:tc>
          <w:tcPr>
            <w:tcW w:w="1000" w:type="dxa"/>
            <w:vAlign w:val="bottom"/>
            <w:tcBorders>
              <w:right w:val="single" w:sz="8" w:color="424E6A"/>
            </w:tcBorders>
            <w:shd w:val="clear" w:color="auto" w:fill="424E6A"/>
          </w:tcPr>
          <w:p>
            <w:pPr>
              <w:jc w:val="center"/>
              <w:ind w:right="104"/>
              <w:spacing w:after="0"/>
              <w:rPr>
                <w:sz w:val="20"/>
                <w:szCs w:val="20"/>
                <w:color w:val="auto"/>
              </w:rPr>
            </w:pPr>
            <w:r>
              <w:rPr>
                <w:rFonts w:ascii="Arial" w:cs="Arial" w:eastAsia="Arial" w:hAnsi="Arial"/>
                <w:sz w:val="14"/>
                <w:szCs w:val="14"/>
                <w:b w:val="1"/>
                <w:bCs w:val="1"/>
                <w:color w:val="FFFFFF"/>
              </w:rPr>
              <w:t>Value</w:t>
            </w:r>
          </w:p>
        </w:tc>
        <w:tc>
          <w:tcPr>
            <w:tcW w:w="1100" w:type="dxa"/>
            <w:vAlign w:val="bottom"/>
            <w:shd w:val="clear" w:color="auto" w:fill="424E6A"/>
          </w:tcPr>
          <w:p>
            <w:pPr>
              <w:jc w:val="center"/>
              <w:ind w:left="4"/>
              <w:spacing w:after="0"/>
              <w:rPr>
                <w:sz w:val="20"/>
                <w:szCs w:val="20"/>
                <w:color w:val="auto"/>
              </w:rPr>
            </w:pPr>
            <w:r>
              <w:rPr>
                <w:rFonts w:ascii="Arial" w:cs="Arial" w:eastAsia="Arial" w:hAnsi="Arial"/>
                <w:sz w:val="14"/>
                <w:szCs w:val="14"/>
                <w:b w:val="1"/>
                <w:bCs w:val="1"/>
                <w:color w:val="FFFFFF"/>
                <w:w w:val="97"/>
              </w:rPr>
              <w:t>Granted</w:t>
            </w:r>
            <w:r>
              <w:rPr>
                <w:rFonts w:ascii="Arial" w:cs="Arial" w:eastAsia="Arial" w:hAnsi="Arial"/>
                <w:sz w:val="17"/>
                <w:szCs w:val="17"/>
                <w:b w:val="1"/>
                <w:bCs w:val="1"/>
                <w:color w:val="FFFFFF"/>
                <w:w w:val="97"/>
                <w:vertAlign w:val="superscript"/>
              </w:rPr>
              <w:t>(1)</w:t>
            </w:r>
          </w:p>
        </w:tc>
        <w:tc>
          <w:tcPr>
            <w:tcW w:w="1080" w:type="dxa"/>
            <w:vAlign w:val="bottom"/>
            <w:gridSpan w:val="3"/>
            <w:shd w:val="clear" w:color="auto" w:fill="424E6A"/>
          </w:tcPr>
          <w:p>
            <w:pPr>
              <w:ind w:left="8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Units (50%)</w:t>
            </w:r>
          </w:p>
        </w:tc>
        <w:tc>
          <w:tcPr>
            <w:tcW w:w="24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Units (50%)</w:t>
            </w:r>
          </w:p>
        </w:tc>
        <w:tc>
          <w:tcPr>
            <w:tcW w:w="100" w:type="dxa"/>
            <w:vAlign w:val="bottom"/>
            <w:tcBorders>
              <w:right w:val="single" w:sz="8" w:color="424E6A"/>
            </w:tcBorders>
            <w:shd w:val="clear" w:color="auto" w:fill="424E6A"/>
          </w:tcPr>
          <w:p>
            <w:pPr>
              <w:spacing w:after="0"/>
              <w:rPr>
                <w:sz w:val="18"/>
                <w:szCs w:val="18"/>
                <w:color w:val="auto"/>
              </w:rPr>
            </w:pPr>
          </w:p>
        </w:tc>
      </w:tr>
      <w:tr>
        <w:trPr>
          <w:trHeight w:val="256"/>
        </w:trPr>
        <w:tc>
          <w:tcPr>
            <w:tcW w:w="2060" w:type="dxa"/>
            <w:vAlign w:val="bottom"/>
            <w:tcBorders>
              <w:left w:val="single" w:sz="8" w:color="424E6A"/>
              <w:bottom w:val="single" w:sz="8" w:color="424E6A"/>
              <w:right w:val="single" w:sz="8" w:color="424E6A"/>
            </w:tcBorders>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Willie Chiang</w:t>
            </w:r>
          </w:p>
        </w:tc>
        <w:tc>
          <w:tcPr>
            <w:tcW w:w="1220" w:type="dxa"/>
            <w:vAlign w:val="bottom"/>
            <w:tcBorders>
              <w:bottom w:val="single" w:sz="8" w:color="424E6A"/>
            </w:tcBorders>
            <w:shd w:val="clear" w:color="auto" w:fill="D9DCE1"/>
          </w:tcPr>
          <w:p>
            <w:pPr>
              <w:ind w:left="50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600%</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gridSpan w:val="2"/>
            <w:shd w:val="clear" w:color="auto" w:fill="D9DCE1"/>
          </w:tcPr>
          <w:p>
            <w:pPr>
              <w:ind w:left="10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highlight w:val="lightGray"/>
              </w:rPr>
              <w:t xml:space="preserve">$4,800,000 </w:t>
            </w:r>
            <w:r>
              <w:rPr>
                <w:rFonts w:ascii="Arial" w:cs="Arial" w:eastAsia="Arial" w:hAnsi="Arial"/>
                <w:sz w:val="29"/>
                <w:szCs w:val="29"/>
                <w:color w:val="auto"/>
                <w:highlight w:val="lightGray"/>
                <w:vertAlign w:val="subscript"/>
              </w:rPr>
              <w:t>​</w:t>
            </w:r>
          </w:p>
        </w:tc>
        <w:tc>
          <w:tcPr>
            <w:tcW w:w="1100" w:type="dxa"/>
            <w:vAlign w:val="bottom"/>
            <w:tcBorders>
              <w:bottom w:val="single" w:sz="8" w:color="424E6A"/>
            </w:tcBorders>
            <w:shd w:val="clear" w:color="auto" w:fill="D9DCE1"/>
          </w:tcPr>
          <w:p>
            <w:pPr>
              <w:jc w:val="center"/>
              <w:ind w:left="4"/>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440,000</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424E6A"/>
            </w:tcBorders>
            <w:shd w:val="clear" w:color="auto" w:fill="D9DCE1"/>
          </w:tcPr>
          <w:p>
            <w:pPr>
              <w:ind w:left="10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220,000</w:t>
            </w: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24E6A"/>
            </w:tcBorders>
            <w:shd w:val="clear" w:color="auto" w:fill="D9DCE1"/>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220,000</w:t>
            </w:r>
          </w:p>
        </w:tc>
        <w:tc>
          <w:tcPr>
            <w:tcW w:w="1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r>
      <w:tr>
        <w:trPr>
          <w:trHeight w:val="277"/>
        </w:trPr>
        <w:tc>
          <w:tcPr>
            <w:tcW w:w="2060" w:type="dxa"/>
            <w:vAlign w:val="bottom"/>
            <w:tcBorders>
              <w:left w:val="single" w:sz="8" w:color="424E6A"/>
              <w:bottom w:val="single" w:sz="8" w:color="424E6A"/>
              <w:right w:val="single" w:sz="8" w:color="424E6A"/>
            </w:tcBorders>
          </w:tcPr>
          <w:p>
            <w:pPr>
              <w:ind w:left="4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Harry Pefanis</w:t>
            </w:r>
          </w:p>
        </w:tc>
        <w:tc>
          <w:tcPr>
            <w:tcW w:w="1220" w:type="dxa"/>
            <w:vAlign w:val="bottom"/>
            <w:tcBorders>
              <w:bottom w:val="single" w:sz="8" w:color="424E6A"/>
            </w:tcBorders>
          </w:tcPr>
          <w:p>
            <w:pPr>
              <w:ind w:left="50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500%</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right w:val="single" w:sz="8" w:color="424E6A"/>
            </w:tcBorders>
          </w:tcPr>
          <w:p>
            <w:pPr>
              <w:ind w:left="520"/>
              <w:spacing w:after="0" w:line="276" w:lineRule="exact"/>
              <w:rPr>
                <w:sz w:val="20"/>
                <w:szCs w:val="20"/>
                <w:color w:val="auto"/>
              </w:rPr>
            </w:pPr>
            <w:r>
              <w:rPr>
                <w:rFonts w:ascii="Arial" w:cs="Arial" w:eastAsia="Arial" w:hAnsi="Arial"/>
                <w:sz w:val="17"/>
                <w:szCs w:val="17"/>
                <w:color w:val="auto"/>
              </w:rPr>
              <w:t>n/a</w:t>
            </w:r>
            <w:r>
              <w:rPr>
                <w:rFonts w:ascii="Arial" w:cs="Arial" w:eastAsia="Arial" w:hAnsi="Arial"/>
                <w:sz w:val="21"/>
                <w:szCs w:val="21"/>
                <w:color w:val="auto"/>
                <w:vertAlign w:val="superscript"/>
              </w:rPr>
              <w:t>(2)</w:t>
            </w:r>
            <w:r>
              <w:rPr>
                <w:rFonts w:ascii="Arial" w:cs="Arial" w:eastAsia="Arial" w:hAnsi="Arial"/>
                <w:sz w:val="32"/>
                <w:szCs w:val="32"/>
                <w:color w:val="auto"/>
                <w:vertAlign w:val="subscript"/>
              </w:rPr>
              <w:t>​</w:t>
            </w:r>
          </w:p>
        </w:tc>
        <w:tc>
          <w:tcPr>
            <w:tcW w:w="1100" w:type="dxa"/>
            <w:vAlign w:val="bottom"/>
            <w:tcBorders>
              <w:bottom w:val="single" w:sz="8" w:color="424E6A"/>
            </w:tcBorders>
          </w:tcPr>
          <w:p>
            <w:pPr>
              <w:ind w:left="26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n/a</w:t>
            </w:r>
            <w:r>
              <w:rPr>
                <w:rFonts w:ascii="Arial" w:cs="Arial" w:eastAsia="Arial" w:hAnsi="Arial"/>
                <w:sz w:val="21"/>
                <w:szCs w:val="21"/>
                <w:color w:val="auto"/>
                <w:vertAlign w:val="superscript"/>
              </w:rPr>
              <w:t>(2)</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424E6A"/>
            </w:tcBorders>
          </w:tcPr>
          <w:p>
            <w:pPr>
              <w:ind w:left="10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n/a</w:t>
            </w:r>
            <w:r>
              <w:rPr>
                <w:rFonts w:ascii="Arial" w:cs="Arial" w:eastAsia="Arial" w:hAnsi="Arial"/>
                <w:sz w:val="21"/>
                <w:szCs w:val="21"/>
                <w:color w:val="auto"/>
                <w:vertAlign w:val="superscript"/>
              </w:rPr>
              <w:t>(2)</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24E6A"/>
            </w:tcBorders>
          </w:tcPr>
          <w:p>
            <w:pPr>
              <w:ind w:left="24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n/a</w:t>
            </w:r>
            <w:r>
              <w:rPr>
                <w:rFonts w:ascii="Arial" w:cs="Arial" w:eastAsia="Arial" w:hAnsi="Arial"/>
                <w:sz w:val="21"/>
                <w:szCs w:val="21"/>
                <w:color w:val="auto"/>
                <w:vertAlign w:val="superscript"/>
              </w:rPr>
              <w:t>(2)</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w:t>
            </w:r>
          </w:p>
        </w:tc>
      </w:tr>
      <w:tr>
        <w:trPr>
          <w:trHeight w:val="250"/>
        </w:trPr>
        <w:tc>
          <w:tcPr>
            <w:tcW w:w="2060" w:type="dxa"/>
            <w:vAlign w:val="bottom"/>
            <w:tcBorders>
              <w:left w:val="single" w:sz="8" w:color="424E6A"/>
              <w:bottom w:val="single" w:sz="8" w:color="424E6A"/>
              <w:right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 Swanson</w:t>
            </w:r>
          </w:p>
        </w:tc>
        <w:tc>
          <w:tcPr>
            <w:tcW w:w="1220" w:type="dxa"/>
            <w:vAlign w:val="bottom"/>
            <w:tcBorders>
              <w:bottom w:val="single" w:sz="8" w:color="424E6A"/>
            </w:tcBorders>
            <w:shd w:val="clear" w:color="auto" w:fill="D9DCE1"/>
          </w:tcPr>
          <w:p>
            <w:pPr>
              <w:ind w:left="5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275%</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gridSpan w:val="2"/>
            <w:shd w:val="clear" w:color="auto" w:fill="D9DCE1"/>
          </w:tcPr>
          <w:p>
            <w:pPr>
              <w:ind w:left="1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 xml:space="preserve">$1,513,000 </w:t>
            </w:r>
            <w:r>
              <w:rPr>
                <w:rFonts w:ascii="Arial" w:cs="Arial" w:eastAsia="Arial" w:hAnsi="Arial"/>
                <w:sz w:val="28"/>
                <w:szCs w:val="28"/>
                <w:color w:val="auto"/>
                <w:highlight w:val="lightGray"/>
                <w:vertAlign w:val="subscript"/>
              </w:rPr>
              <w:t>​</w:t>
            </w:r>
          </w:p>
        </w:tc>
        <w:tc>
          <w:tcPr>
            <w:tcW w:w="1100" w:type="dxa"/>
            <w:vAlign w:val="bottom"/>
            <w:tcBorders>
              <w:bottom w:val="single" w:sz="8" w:color="424E6A"/>
            </w:tcBorders>
            <w:shd w:val="clear" w:color="auto" w:fill="D9DCE1"/>
          </w:tcPr>
          <w:p>
            <w:pPr>
              <w:jc w:val="center"/>
              <w:ind w:left="4"/>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138,600</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424E6A"/>
            </w:tcBorders>
            <w:shd w:val="clear" w:color="auto" w:fill="D9DCE1"/>
          </w:tcPr>
          <w:p>
            <w:pPr>
              <w:ind w:left="1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69,300</w:t>
            </w: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69,300</w:t>
            </w:r>
          </w:p>
        </w:tc>
        <w:tc>
          <w:tcPr>
            <w:tcW w:w="1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r>
      <w:tr>
        <w:trPr>
          <w:trHeight w:val="250"/>
        </w:trPr>
        <w:tc>
          <w:tcPr>
            <w:tcW w:w="2060" w:type="dxa"/>
            <w:vAlign w:val="bottom"/>
            <w:tcBorders>
              <w:left w:val="single" w:sz="8" w:color="424E6A"/>
              <w:bottom w:val="single" w:sz="8" w:color="424E6A"/>
              <w:right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Richard McGee</w:t>
            </w:r>
          </w:p>
        </w:tc>
        <w:tc>
          <w:tcPr>
            <w:tcW w:w="1220" w:type="dxa"/>
            <w:vAlign w:val="bottom"/>
            <w:tcBorders>
              <w:bottom w:val="single" w:sz="8" w:color="424E6A"/>
            </w:tcBorders>
          </w:tcPr>
          <w:p>
            <w:pPr>
              <w:ind w:left="5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275%</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gridSpan w:val="2"/>
          </w:tcPr>
          <w:p>
            <w:pPr>
              <w:ind w:left="1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$1,513,000 </w:t>
            </w:r>
            <w:r>
              <w:rPr>
                <w:rFonts w:ascii="Arial" w:cs="Arial" w:eastAsia="Arial" w:hAnsi="Arial"/>
                <w:sz w:val="28"/>
                <w:szCs w:val="28"/>
                <w:color w:val="auto"/>
                <w:vertAlign w:val="subscript"/>
              </w:rPr>
              <w:t>​</w:t>
            </w:r>
          </w:p>
        </w:tc>
        <w:tc>
          <w:tcPr>
            <w:tcW w:w="1100" w:type="dxa"/>
            <w:vAlign w:val="bottom"/>
            <w:tcBorders>
              <w:bottom w:val="single" w:sz="8" w:color="424E6A"/>
            </w:tcBorders>
          </w:tcPr>
          <w:p>
            <w:pPr>
              <w:jc w:val="center"/>
              <w:ind w:left="4"/>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138,600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424E6A"/>
            </w:tcBorders>
          </w:tcPr>
          <w:p>
            <w:pPr>
              <w:ind w:left="1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69,300</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69,300</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w:t>
            </w:r>
          </w:p>
        </w:tc>
      </w:tr>
      <w:tr>
        <w:trPr>
          <w:trHeight w:val="250"/>
        </w:trPr>
        <w:tc>
          <w:tcPr>
            <w:tcW w:w="2060" w:type="dxa"/>
            <w:vAlign w:val="bottom"/>
            <w:tcBorders>
              <w:left w:val="single" w:sz="8" w:color="424E6A"/>
              <w:bottom w:val="single" w:sz="8" w:color="424E6A"/>
              <w:right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 Chandler</w:t>
            </w:r>
          </w:p>
        </w:tc>
        <w:tc>
          <w:tcPr>
            <w:tcW w:w="1220" w:type="dxa"/>
            <w:vAlign w:val="bottom"/>
            <w:tcBorders>
              <w:bottom w:val="single" w:sz="8" w:color="424E6A"/>
            </w:tcBorders>
            <w:shd w:val="clear" w:color="auto" w:fill="D9DCE1"/>
          </w:tcPr>
          <w:p>
            <w:pPr>
              <w:ind w:left="5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325%</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gridSpan w:val="2"/>
            <w:shd w:val="clear" w:color="auto" w:fill="D9DCE1"/>
          </w:tcPr>
          <w:p>
            <w:pPr>
              <w:ind w:left="1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 xml:space="preserve">$1,950,000 </w:t>
            </w:r>
            <w:r>
              <w:rPr>
                <w:rFonts w:ascii="Arial" w:cs="Arial" w:eastAsia="Arial" w:hAnsi="Arial"/>
                <w:sz w:val="28"/>
                <w:szCs w:val="28"/>
                <w:color w:val="auto"/>
                <w:highlight w:val="lightGray"/>
                <w:vertAlign w:val="subscript"/>
              </w:rPr>
              <w:t>​</w:t>
            </w:r>
          </w:p>
        </w:tc>
        <w:tc>
          <w:tcPr>
            <w:tcW w:w="1100" w:type="dxa"/>
            <w:vAlign w:val="bottom"/>
            <w:tcBorders>
              <w:bottom w:val="single" w:sz="8" w:color="424E6A"/>
            </w:tcBorders>
            <w:shd w:val="clear" w:color="auto" w:fill="D9DCE1"/>
          </w:tcPr>
          <w:p>
            <w:pPr>
              <w:jc w:val="center"/>
              <w:ind w:left="4"/>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178,700</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424E6A"/>
            </w:tcBorders>
            <w:shd w:val="clear" w:color="auto" w:fill="D9DCE1"/>
          </w:tcPr>
          <w:p>
            <w:pPr>
              <w:ind w:left="1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89,350</w:t>
            </w: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89,350</w:t>
            </w:r>
          </w:p>
        </w:tc>
        <w:tc>
          <w:tcPr>
            <w:tcW w:w="1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r>
      <w:tr>
        <w:trPr>
          <w:trHeight w:val="250"/>
        </w:trPr>
        <w:tc>
          <w:tcPr>
            <w:tcW w:w="2060" w:type="dxa"/>
            <w:vAlign w:val="bottom"/>
            <w:tcBorders>
              <w:left w:val="single" w:sz="8" w:color="424E6A"/>
              <w:bottom w:val="single" w:sz="8" w:color="424E6A"/>
              <w:right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Jeremy Goebel</w:t>
            </w:r>
          </w:p>
        </w:tc>
        <w:tc>
          <w:tcPr>
            <w:tcW w:w="1220" w:type="dxa"/>
            <w:vAlign w:val="bottom"/>
            <w:tcBorders>
              <w:bottom w:val="single" w:sz="8" w:color="424E6A"/>
            </w:tcBorders>
          </w:tcPr>
          <w:p>
            <w:pPr>
              <w:ind w:left="5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325%</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gridSpan w:val="2"/>
          </w:tcPr>
          <w:p>
            <w:pPr>
              <w:ind w:left="1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$1,950,000 </w:t>
            </w:r>
            <w:r>
              <w:rPr>
                <w:rFonts w:ascii="Arial" w:cs="Arial" w:eastAsia="Arial" w:hAnsi="Arial"/>
                <w:sz w:val="28"/>
                <w:szCs w:val="28"/>
                <w:color w:val="auto"/>
                <w:vertAlign w:val="subscript"/>
              </w:rPr>
              <w:t>​</w:t>
            </w:r>
          </w:p>
        </w:tc>
        <w:tc>
          <w:tcPr>
            <w:tcW w:w="1100" w:type="dxa"/>
            <w:vAlign w:val="bottom"/>
            <w:tcBorders>
              <w:bottom w:val="single" w:sz="8" w:color="424E6A"/>
            </w:tcBorders>
          </w:tcPr>
          <w:p>
            <w:pPr>
              <w:jc w:val="center"/>
              <w:ind w:left="4"/>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178,700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424E6A"/>
            </w:tcBorders>
          </w:tcPr>
          <w:p>
            <w:pPr>
              <w:ind w:left="1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89,350</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89,350</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w:t>
            </w:r>
          </w:p>
        </w:tc>
      </w:tr>
    </w:tbl>
    <w:p>
      <w:pPr>
        <w:spacing w:after="0" w:line="49" w:lineRule="exact"/>
        <w:rPr>
          <w:sz w:val="20"/>
          <w:szCs w:val="20"/>
          <w:color w:val="auto"/>
        </w:rPr>
      </w:pPr>
    </w:p>
    <w:p>
      <w:pPr>
        <w:ind w:left="1620" w:right="760" w:hanging="360"/>
        <w:spacing w:after="0" w:line="222" w:lineRule="auto"/>
        <w:tabs>
          <w:tab w:leader="none" w:pos="1620" w:val="left"/>
        </w:tabs>
        <w:numPr>
          <w:ilvl w:val="0"/>
          <w:numId w:val="53"/>
        </w:numPr>
        <w:rPr>
          <w:rFonts w:ascii="Arial" w:cs="Arial" w:eastAsia="Arial" w:hAnsi="Arial"/>
          <w:sz w:val="27"/>
          <w:szCs w:val="27"/>
          <w:color w:val="auto"/>
          <w:vertAlign w:val="superscript"/>
        </w:rPr>
      </w:pPr>
      <w:r>
        <w:rPr>
          <w:rFonts w:ascii="Arial" w:cs="Arial" w:eastAsia="Arial" w:hAnsi="Arial"/>
          <w:sz w:val="18"/>
          <w:szCs w:val="18"/>
          <w:color w:val="auto"/>
        </w:rPr>
        <w:t>Based on a volume weighted average price per unit for the 10-trading day period beginning five days before and ending five days after the ex-dividend date for the August 2022 distribution ($10.91).</w:t>
      </w:r>
    </w:p>
    <w:p>
      <w:pPr>
        <w:spacing w:after="0" w:line="58" w:lineRule="exact"/>
        <w:rPr>
          <w:rFonts w:ascii="Arial" w:cs="Arial" w:eastAsia="Arial" w:hAnsi="Arial"/>
          <w:sz w:val="27"/>
          <w:szCs w:val="27"/>
          <w:color w:val="auto"/>
          <w:vertAlign w:val="superscript"/>
        </w:rPr>
      </w:pPr>
    </w:p>
    <w:p>
      <w:pPr>
        <w:ind w:left="1620" w:right="500" w:hanging="360"/>
        <w:spacing w:after="0" w:line="210" w:lineRule="auto"/>
        <w:tabs>
          <w:tab w:leader="none" w:pos="1620" w:val="left"/>
        </w:tabs>
        <w:numPr>
          <w:ilvl w:val="0"/>
          <w:numId w:val="53"/>
        </w:numPr>
        <w:rPr>
          <w:rFonts w:ascii="Arial" w:cs="Arial" w:eastAsia="Arial" w:hAnsi="Arial"/>
          <w:sz w:val="27"/>
          <w:szCs w:val="27"/>
          <w:color w:val="auto"/>
          <w:vertAlign w:val="superscript"/>
        </w:rPr>
      </w:pPr>
      <w:r>
        <w:rPr>
          <w:rFonts w:ascii="Arial" w:cs="Arial" w:eastAsia="Arial" w:hAnsi="Arial"/>
          <w:sz w:val="18"/>
          <w:szCs w:val="18"/>
          <w:color w:val="auto"/>
        </w:rPr>
        <w:t>Annual LTIP grants were not awarded to Mr. Pefanis as he requested to not participate in the 2022 long-term incentive program.</w:t>
      </w:r>
    </w:p>
    <w:p>
      <w:pPr>
        <w:spacing w:after="0" w:line="114" w:lineRule="exact"/>
        <w:rPr>
          <w:sz w:val="20"/>
          <w:szCs w:val="20"/>
          <w:color w:val="auto"/>
        </w:rPr>
      </w:pPr>
    </w:p>
    <w:p>
      <w:pPr>
        <w:jc w:val="both"/>
        <w:ind w:left="1260" w:right="640" w:firstLine="360"/>
        <w:spacing w:after="0" w:line="268" w:lineRule="auto"/>
        <w:rPr>
          <w:sz w:val="20"/>
          <w:szCs w:val="20"/>
          <w:color w:val="auto"/>
        </w:rPr>
      </w:pPr>
      <w:r>
        <w:rPr>
          <w:rFonts w:ascii="Arial" w:cs="Arial" w:eastAsia="Arial" w:hAnsi="Arial"/>
          <w:sz w:val="18"/>
          <w:szCs w:val="18"/>
          <w:color w:val="auto"/>
        </w:rPr>
        <w:t>The 2022 time-vested phantom units will vest (become payable 1-for-1 in PAA common units) on the August 2025 distribution date. The performance-vested phantom units will potentially vest on the August 2025 distribution date at a scaled payout range of between 0% to 200% based on:</w:t>
      </w:r>
    </w:p>
    <w:p>
      <w:pPr>
        <w:spacing w:after="0" w:line="103" w:lineRule="exact"/>
        <w:rPr>
          <w:sz w:val="20"/>
          <w:szCs w:val="20"/>
          <w:color w:val="auto"/>
        </w:rPr>
      </w:pPr>
    </w:p>
    <w:p>
      <w:pPr>
        <w:ind w:left="1980" w:right="460" w:hanging="360"/>
        <w:spacing w:after="0" w:line="259"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50% Relative TSR with Negative TSR Modifier</w:t>
      </w:r>
      <w:r>
        <w:rPr>
          <w:rFonts w:ascii="Arial" w:cs="Arial" w:eastAsia="Arial" w:hAnsi="Arial"/>
          <w:sz w:val="18"/>
          <w:szCs w:val="18"/>
          <w:color w:val="auto"/>
        </w:rPr>
        <w:t>: PAA’s TSR measured over the three-year period ending June 30, 2025 compared to the TSR of the TSR Comparator Peer Group identified on page 35 (if PAA’s relative TSR results in a payout of over 100%, but actual TSR is negative, the payout on this portion of the award will be reduced by 25 gross percentage points, but not below 100%); and</w:t>
      </w:r>
    </w:p>
    <w:p>
      <w:pPr>
        <w:spacing w:after="0" w:line="111" w:lineRule="exact"/>
        <w:rPr>
          <w:rFonts w:ascii="Arial" w:cs="Arial" w:eastAsia="Arial" w:hAnsi="Arial"/>
          <w:sz w:val="18"/>
          <w:szCs w:val="18"/>
          <w:color w:val="auto"/>
        </w:rPr>
      </w:pPr>
    </w:p>
    <w:p>
      <w:pPr>
        <w:ind w:left="1980" w:right="440" w:hanging="360"/>
        <w:spacing w:after="0" w:line="268"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50% DCF per CUE with Leverage Modifier</w:t>
      </w:r>
      <w:r>
        <w:rPr>
          <w:rFonts w:ascii="Arial" w:cs="Arial" w:eastAsia="Arial" w:hAnsi="Arial"/>
          <w:sz w:val="18"/>
          <w:szCs w:val="18"/>
          <w:color w:val="auto"/>
        </w:rPr>
        <w:t>: PAA achieving cumulative DCF per CUE of $7.05 over the three-year period ending June 30, 2025 (payout may be decreased by 25 basis points if PAA’s leverage ratio as of June 30, 2025 is greater than 3.5x).</w:t>
      </w:r>
    </w:p>
    <w:p>
      <w:pPr>
        <w:spacing w:after="0" w:line="103" w:lineRule="exact"/>
        <w:rPr>
          <w:sz w:val="20"/>
          <w:szCs w:val="20"/>
          <w:color w:val="auto"/>
        </w:rPr>
      </w:pPr>
    </w:p>
    <w:p>
      <w:pPr>
        <w:ind w:left="1260" w:right="460" w:firstLine="360"/>
        <w:spacing w:after="0" w:line="282" w:lineRule="auto"/>
        <w:rPr>
          <w:sz w:val="20"/>
          <w:szCs w:val="20"/>
          <w:color w:val="auto"/>
        </w:rPr>
      </w:pPr>
      <w:r>
        <w:rPr>
          <w:rFonts w:ascii="Arial" w:cs="Arial" w:eastAsia="Arial" w:hAnsi="Arial"/>
          <w:sz w:val="17"/>
          <w:szCs w:val="17"/>
          <w:color w:val="auto"/>
        </w:rPr>
        <w:t>DERs associated with the time-vested phantom units will accrue for the first year and such accrued amount will be paid in cash in a lump sum on the August 2023 distribution date; beginning in November 2023, DERs on such time-vested phantom units will be paid quarterly until the associated phantom units vest. DERs associated with the performance-vested phantom units will accrue during the</w:t>
      </w:r>
    </w:p>
    <w:p>
      <w:pPr>
        <w:sectPr>
          <w:pgSz w:w="11900" w:h="16838" w:orient="portrait"/>
          <w:cols w:equalWidth="0" w:num="1">
            <w:col w:w="9900"/>
          </w:cols>
          <w:pgMar w:left="580" w:top="97" w:right="1419"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color w:val="auto"/>
        </w:rPr>
        <w:t>three-year performance period and be paid in cash in a lump sum on the August 2025 distribution date with respect to the number of such phantom units, if any, that vest on such date. See the “Grants of Plan Based Awards Table” below for additional information regarding the 2022 annual grants.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Adjustment of Certain Pre-Pandemic Long-Term Incentive Awards</w:t>
      </w:r>
    </w:p>
    <w:p>
      <w:pPr>
        <w:spacing w:after="0" w:line="156" w:lineRule="exact"/>
        <w:rPr>
          <w:sz w:val="20"/>
          <w:szCs w:val="20"/>
          <w:color w:val="auto"/>
        </w:rPr>
      </w:pPr>
    </w:p>
    <w:p>
      <w:pPr>
        <w:ind w:left="1260" w:right="639" w:firstLine="360"/>
        <w:spacing w:after="0" w:line="252" w:lineRule="auto"/>
        <w:rPr>
          <w:sz w:val="20"/>
          <w:szCs w:val="20"/>
          <w:color w:val="auto"/>
        </w:rPr>
      </w:pPr>
      <w:r>
        <w:rPr>
          <w:rFonts w:ascii="Arial" w:cs="Arial" w:eastAsia="Arial" w:hAnsi="Arial"/>
          <w:sz w:val="18"/>
          <w:szCs w:val="18"/>
          <w:color w:val="auto"/>
        </w:rPr>
        <w:t>On February 24, 2022, the Board approved, upon the recommendation of the Compensation Committee, amendments to the performance-based portion of long-term incentive awards originally granted in November 2019 to Messrs. Chandler and Goebel (the “2019 Special Grants”). The original terms of the 2019 Special Grants provided as follows:</w:t>
      </w:r>
    </w:p>
    <w:p>
      <w:pPr>
        <w:spacing w:after="0" w:line="103" w:lineRule="exact"/>
        <w:rPr>
          <w:sz w:val="20"/>
          <w:szCs w:val="20"/>
          <w:color w:val="auto"/>
        </w:rPr>
      </w:pPr>
    </w:p>
    <w:p>
      <w:pPr>
        <w:ind w:left="1980" w:right="679" w:hanging="360"/>
        <w:spacing w:after="0" w:line="287"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50% of the award (250,000 phantom units for each of Messrs. Goebel and Chandler) would vest on the August 2026 distribution date (the “time-based portion”);</w:t>
      </w:r>
    </w:p>
    <w:p>
      <w:pPr>
        <w:spacing w:after="0" w:line="71" w:lineRule="exact"/>
        <w:rPr>
          <w:rFonts w:ascii="Arial" w:cs="Arial" w:eastAsia="Arial" w:hAnsi="Arial"/>
          <w:sz w:val="18"/>
          <w:szCs w:val="18"/>
          <w:color w:val="auto"/>
        </w:rPr>
      </w:pPr>
    </w:p>
    <w:p>
      <w:pPr>
        <w:jc w:val="both"/>
        <w:ind w:left="1980" w:right="679" w:hanging="360"/>
        <w:spacing w:after="0" w:line="268"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25% of the award (125,000 phantom units for each of Messrs. Goebel and Chandler) would vest on the later of the August 2026 distribution date and the first distribution date following PAA’s achievement of DCF per CUE of $2.80 on a trailing four quarter basis; and</w:t>
      </w:r>
    </w:p>
    <w:p>
      <w:pPr>
        <w:spacing w:after="0" w:line="103" w:lineRule="exact"/>
        <w:rPr>
          <w:rFonts w:ascii="Arial" w:cs="Arial" w:eastAsia="Arial" w:hAnsi="Arial"/>
          <w:sz w:val="18"/>
          <w:szCs w:val="18"/>
          <w:color w:val="auto"/>
        </w:rPr>
      </w:pPr>
    </w:p>
    <w:p>
      <w:pPr>
        <w:jc w:val="both"/>
        <w:ind w:left="1980" w:right="679" w:hanging="360"/>
        <w:spacing w:after="0" w:line="262"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25% of the award (125,000 phantom units for each of Messrs. Goebel and Chandler) would vest on the later of the August 2026 distribution date and the first distribution date following PAA’s achievement of DCF per CUE of $3.15 on a trailing four quarter basis (together with (ii) above, the “performance-based portion”).</w:t>
      </w:r>
    </w:p>
    <w:p>
      <w:pPr>
        <w:spacing w:after="0" w:line="109" w:lineRule="exact"/>
        <w:rPr>
          <w:sz w:val="20"/>
          <w:szCs w:val="20"/>
          <w:color w:val="auto"/>
        </w:rPr>
      </w:pPr>
    </w:p>
    <w:p>
      <w:pPr>
        <w:ind w:left="1260" w:right="519" w:firstLine="360"/>
        <w:spacing w:after="0" w:line="256" w:lineRule="auto"/>
        <w:rPr>
          <w:sz w:val="20"/>
          <w:szCs w:val="20"/>
          <w:color w:val="auto"/>
        </w:rPr>
      </w:pPr>
      <w:r>
        <w:rPr>
          <w:rFonts w:ascii="Arial" w:cs="Arial" w:eastAsia="Arial" w:hAnsi="Arial"/>
          <w:sz w:val="17"/>
          <w:szCs w:val="17"/>
          <w:color w:val="auto"/>
        </w:rPr>
        <w:t>The vesting thresholds for the performance-based portion of the awards (a total of 250,000 phantom units for each of Messrs. Goebel and Chandler) were based on PAA’s pre-pandemic outlook for its business. The pandemic triggered a “reset” of the North American production outlook, which in turn fundamentally changed the key forecasts and outlook upon which such performance metrics were based. As a result, the Compensation Committee and Board decided that the retentive and incentive benefit of the performance-based portion of the 2019 Special Grants had effectively been eliminated. Given the Board’s view that Messrs. Goebel and Chandler are critical to the future leadership of the company, the Board concluded that it would be prudent to reestablish an appropriate amount of retentive and incentive value for these grants, but to do so in a manner that further aligns the interests of these executive officers with the interests of our equity holders. In order to identify a solution that struck this balance, we sought input from our investors during our 2021 engagement effort. We discussed various alternatives with our investors and taking their feedback and input into account, the Compensation Committee and Board ultimately concluded that replacing the original DCF/CUE targets with a relative TSR metric was the most “investor-friendly” way to restore an appropriate amount of retentive and incentive value to the performance-based portion of the 2019 Special Grants. The key features of the amended performance-based portion of the 2019 Special Grants are as follows:</w:t>
      </w:r>
    </w:p>
    <w:p>
      <w:pPr>
        <w:spacing w:after="0" w:line="79" w:lineRule="exact"/>
        <w:rPr>
          <w:sz w:val="20"/>
          <w:szCs w:val="20"/>
          <w:color w:val="auto"/>
        </w:rPr>
      </w:pPr>
    </w:p>
    <w:p>
      <w:pPr>
        <w:ind w:left="1800" w:right="699" w:hanging="180"/>
        <w:spacing w:after="0" w:line="259"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Vesting of the performance-based portion of the awards is based on the TSR ranking of PAA relative to a designated comparator group from January 1, 2022 through June 30, 2026, an approximate four and one-half year measurement period with an end date that represents the quarter-end date closest in time to the vesting date for the time-based portion of the original grants;</w:t>
      </w:r>
    </w:p>
    <w:p>
      <w:pPr>
        <w:spacing w:after="0" w:line="57" w:lineRule="exact"/>
        <w:rPr>
          <w:rFonts w:ascii="Arial" w:cs="Arial" w:eastAsia="Arial" w:hAnsi="Arial"/>
          <w:sz w:val="18"/>
          <w:szCs w:val="18"/>
          <w:color w:val="auto"/>
        </w:rPr>
      </w:pPr>
    </w:p>
    <w:p>
      <w:pPr>
        <w:jc w:val="both"/>
        <w:ind w:left="1800" w:right="459" w:hanging="180"/>
        <w:spacing w:after="0" w:line="268"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comparator group is the same comparator group that was used for the TSR metric included in the regular annual equity grants issued by PAA to its NEOs in August 2021, which includes 14 midstream peers, the S&amp;P 500 index, the AMNA index and PAA; and</w:t>
      </w:r>
    </w:p>
    <w:p>
      <w:pPr>
        <w:spacing w:after="0" w:line="62" w:lineRule="exact"/>
        <w:rPr>
          <w:rFonts w:ascii="Arial" w:cs="Arial" w:eastAsia="Arial" w:hAnsi="Arial"/>
          <w:sz w:val="18"/>
          <w:szCs w:val="18"/>
          <w:color w:val="auto"/>
        </w:rPr>
      </w:pPr>
    </w:p>
    <w:p>
      <w:pPr>
        <w:ind w:left="1800" w:right="579" w:hanging="180"/>
        <w:spacing w:after="0" w:line="255"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Payout is based on the numeric ranking of PAA’s TSR over the designated performance period relative to the TSR for the various members of the comparator group, with payout capped at 100% (i.e., a performance ranking at the midpoint or in the top half of the comparator group will pay out at 100% and performance in the bottom half will be scaled from 100% payout down to 0% payout). Not allowing a payout above 100% was an important feature based on our engagement discussions with investors as it insured that the maximum payout in terms of the number of performance units remained unchanged from the original grant, thus eliminating the opportunity for the holders of the 2019 Special Grants to recoup the degradation of value experienced by all unitholders since the 2019 grant date.</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39" w:firstLine="360"/>
        <w:spacing w:after="0" w:line="258" w:lineRule="auto"/>
        <w:rPr>
          <w:sz w:val="20"/>
          <w:szCs w:val="20"/>
          <w:color w:val="auto"/>
        </w:rPr>
      </w:pPr>
      <w:r>
        <w:rPr>
          <w:rFonts w:ascii="Arial" w:cs="Arial" w:eastAsia="Arial" w:hAnsi="Arial"/>
          <w:sz w:val="17"/>
          <w:szCs w:val="17"/>
          <w:color w:val="auto"/>
        </w:rPr>
        <w:t>Although Mr. Chiang received a pre-pandemic performance-based grant in 2018 that was 100% based on DCF/CUE targets reflecting PAA’s pre-pandemic outlook for its business, the Compensation Committee and the Board elected not to make any changes to such award, which was consistent with Mr. Chiang’s desires. The Compensation Committee and Board also elected not to make any changes to the performance-based portion of the regular annual phantom unit awards that were granted to the NEOs in August 2019; these awards also include DCF/CUE targets based on PAA’s pre-pandemic outlook. See “Outstanding Equity Awards at Fiscal Year End” for a description of the terms of</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Mr. Chiang’s 2018 promotion grant and the August 2019 annual NEO grants.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Compensation Related Matters</w:t>
      </w:r>
    </w:p>
    <w:p>
      <w:pPr>
        <w:spacing w:after="0" w:line="156" w:lineRule="exact"/>
        <w:rPr>
          <w:sz w:val="20"/>
          <w:szCs w:val="20"/>
          <w:color w:val="auto"/>
        </w:rPr>
      </w:pPr>
    </w:p>
    <w:p>
      <w:pPr>
        <w:ind w:left="1260" w:right="459" w:firstLine="360"/>
        <w:spacing w:after="0" w:line="245" w:lineRule="auto"/>
        <w:rPr>
          <w:sz w:val="20"/>
          <w:szCs w:val="20"/>
          <w:color w:val="auto"/>
        </w:rPr>
      </w:pPr>
      <w:r>
        <w:rPr>
          <w:rFonts w:ascii="Arial" w:cs="Arial" w:eastAsia="Arial" w:hAnsi="Arial"/>
          <w:sz w:val="18"/>
          <w:szCs w:val="18"/>
          <w:i w:val="1"/>
          <w:iCs w:val="1"/>
          <w:color w:val="auto"/>
        </w:rPr>
        <w:t xml:space="preserve">Equity Ownership. </w:t>
      </w:r>
      <w:r>
        <w:rPr>
          <w:rFonts w:ascii="Arial" w:cs="Arial" w:eastAsia="Arial" w:hAnsi="Arial"/>
          <w:sz w:val="18"/>
          <w:szCs w:val="18"/>
          <w:color w:val="auto"/>
        </w:rPr>
        <w:t>Our Named Executive Officers and directors collectively own substantial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in PAA and PAGP including unvested long-term equity awards. As of March 27, 2023, the Named Executive Officers beneficially owned, in the aggregate, approximately 12.0 million units of equity interests in PAA and/or PAGP with an approximate market value of $144 million, and all executive officers and directors beneficially owned, in the aggregate, approximately 80.0 million units of equity interests in PAA and/or PAGP with an approximate market value of $963 million.</w:t>
      </w:r>
    </w:p>
    <w:p>
      <w:pPr>
        <w:spacing w:after="0" w:line="109"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i w:val="1"/>
          <w:iCs w:val="1"/>
          <w:color w:val="auto"/>
        </w:rPr>
        <w:t xml:space="preserve">Equity Ownership Guidelines. </w:t>
      </w:r>
      <w:r>
        <w:rPr>
          <w:rFonts w:ascii="Arial" w:cs="Arial" w:eastAsia="Arial" w:hAnsi="Arial"/>
          <w:sz w:val="17"/>
          <w:szCs w:val="17"/>
          <w:color w:val="auto"/>
        </w:rPr>
        <w:t>In November 2020, the Board adopted Equity Ownership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to further align the interests of our executive officers and directors with the interests of our unitholders by requiring each to achieve and maintain a minimum equity ownership level. Under these guidelines, each executive officer and director is expected to continuously own PAA and/or PAGP securities with a value equal to a specified multiple of his or her base salary or annual cash retainer as follows:</w:t>
      </w:r>
    </w:p>
    <w:p>
      <w:pPr>
        <w:spacing w:after="0" w:line="69" w:lineRule="exact"/>
        <w:rPr>
          <w:sz w:val="20"/>
          <w:szCs w:val="20"/>
          <w:color w:val="auto"/>
        </w:rPr>
      </w:pPr>
    </w:p>
    <w:tbl>
      <w:tblPr>
        <w:tblLayout w:type="fixed"/>
        <w:tblInd w:w="1630" w:type="dxa"/>
        <w:tblCellMar>
          <w:top w:w="0" w:type="dxa"/>
          <w:left w:w="0" w:type="dxa"/>
          <w:bottom w:w="0" w:type="dxa"/>
          <w:right w:w="0" w:type="dxa"/>
        </w:tblCellMar>
      </w:tblPr>
      <w:tr>
        <w:trPr>
          <w:trHeight w:val="322"/>
        </w:trPr>
        <w:tc>
          <w:tcPr>
            <w:tcW w:w="2340" w:type="dxa"/>
            <w:vAlign w:val="bottom"/>
            <w:tcBorders>
              <w:left w:val="single" w:sz="8" w:color="424E6A"/>
            </w:tcBorders>
            <w:shd w:val="clear" w:color="auto" w:fill="424E6A"/>
          </w:tcPr>
          <w:p>
            <w:pPr>
              <w:ind w:left="2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Title</w:t>
            </w:r>
          </w:p>
        </w:tc>
        <w:tc>
          <w:tcPr>
            <w:tcW w:w="1760" w:type="dxa"/>
            <w:vAlign w:val="bottom"/>
            <w:gridSpan w:val="2"/>
            <w:shd w:val="clear" w:color="auto" w:fill="424E6A"/>
          </w:tcPr>
          <w:p>
            <w:pPr>
              <w:jc w:val="center"/>
              <w:ind w:left="1373"/>
              <w:spacing w:after="0"/>
              <w:rPr>
                <w:sz w:val="20"/>
                <w:szCs w:val="20"/>
                <w:color w:val="auto"/>
              </w:rPr>
            </w:pPr>
            <w:r>
              <w:rPr>
                <w:rFonts w:ascii="Arial" w:cs="Arial" w:eastAsia="Arial" w:hAnsi="Arial"/>
                <w:sz w:val="14"/>
                <w:szCs w:val="14"/>
                <w:b w:val="1"/>
                <w:bCs w:val="1"/>
                <w:color w:val="FFFFFF"/>
              </w:rPr>
              <w:t>​ ​</w:t>
            </w:r>
          </w:p>
        </w:tc>
        <w:tc>
          <w:tcPr>
            <w:tcW w:w="3380" w:type="dxa"/>
            <w:vAlign w:val="bottom"/>
            <w:tcBorders>
              <w:right w:val="single" w:sz="8" w:color="424E6A"/>
            </w:tcBorders>
            <w:gridSpan w:val="2"/>
            <w:shd w:val="clear" w:color="auto" w:fill="424E6A"/>
          </w:tcPr>
          <w:p>
            <w:pPr>
              <w:spacing w:after="0"/>
              <w:rPr>
                <w:sz w:val="20"/>
                <w:szCs w:val="20"/>
                <w:color w:val="auto"/>
              </w:rPr>
            </w:pPr>
            <w:r>
              <w:rPr>
                <w:rFonts w:ascii="Arial" w:cs="Arial" w:eastAsia="Arial" w:hAnsi="Arial"/>
                <w:sz w:val="14"/>
                <w:szCs w:val="14"/>
                <w:b w:val="1"/>
                <w:bCs w:val="1"/>
                <w:color w:val="FFFFFF"/>
              </w:rPr>
              <w:t xml:space="preserve">Multiple of Base Salary or Annual Cash Retainer </w:t>
            </w:r>
            <w:r>
              <w:rPr>
                <w:rFonts w:ascii="Arial" w:cs="Arial" w:eastAsia="Arial" w:hAnsi="Arial"/>
                <w:sz w:val="28"/>
                <w:szCs w:val="28"/>
                <w:b w:val="1"/>
                <w:bCs w:val="1"/>
                <w:color w:val="FFFFFF"/>
                <w:vertAlign w:val="subscript"/>
              </w:rPr>
              <w:t>​</w:t>
            </w:r>
          </w:p>
        </w:tc>
      </w:tr>
      <w:tr>
        <w:trPr>
          <w:trHeight w:val="256"/>
        </w:trPr>
        <w:tc>
          <w:tcPr>
            <w:tcW w:w="2340" w:type="dxa"/>
            <w:vAlign w:val="bottom"/>
            <w:tcBorders>
              <w:left w:val="single" w:sz="8" w:color="424E6A"/>
              <w:bottom w:val="single" w:sz="8" w:color="424E6A"/>
            </w:tcBorders>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CEO</w:t>
            </w:r>
          </w:p>
        </w:tc>
        <w:tc>
          <w:tcPr>
            <w:tcW w:w="1660" w:type="dxa"/>
            <w:vAlign w:val="bottom"/>
            <w:tcBorders>
              <w:bottom w:val="single" w:sz="8" w:color="424E6A"/>
              <w:right w:val="single" w:sz="8" w:color="424E6A"/>
            </w:tcBorders>
            <w:shd w:val="clear" w:color="auto" w:fill="D9DCE1"/>
          </w:tcPr>
          <w:p>
            <w:pPr>
              <w:jc w:val="center"/>
              <w:ind w:left="14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shd w:val="clear" w:color="auto" w:fill="D9DCE1"/>
          </w:tcPr>
          <w:p>
            <w:pPr>
              <w:ind w:left="1540"/>
              <w:spacing w:after="0"/>
              <w:rPr>
                <w:sz w:val="20"/>
                <w:szCs w:val="20"/>
                <w:color w:val="auto"/>
              </w:rPr>
            </w:pPr>
            <w:r>
              <w:rPr>
                <w:rFonts w:ascii="Arial" w:cs="Arial" w:eastAsia="Arial" w:hAnsi="Arial"/>
                <w:sz w:val="18"/>
                <w:szCs w:val="18"/>
                <w:color w:val="auto"/>
              </w:rPr>
              <w:t>​6x</w:t>
            </w:r>
          </w:p>
        </w:tc>
        <w:tc>
          <w:tcPr>
            <w:tcW w:w="860" w:type="dxa"/>
            <w:vAlign w:val="bottom"/>
            <w:tcBorders>
              <w:bottom w:val="single" w:sz="8" w:color="424E6A"/>
              <w:right w:val="single" w:sz="8" w:color="424E6A"/>
            </w:tcBorders>
            <w:shd w:val="clear" w:color="auto" w:fill="D9DCE1"/>
          </w:tcPr>
          <w:p>
            <w:pPr>
              <w:ind w:left="780"/>
              <w:spacing w:after="0"/>
              <w:rPr>
                <w:sz w:val="20"/>
                <w:szCs w:val="20"/>
                <w:color w:val="auto"/>
              </w:rPr>
            </w:pPr>
            <w:r>
              <w:rPr>
                <w:rFonts w:ascii="Arial" w:cs="Arial" w:eastAsia="Arial" w:hAnsi="Arial"/>
                <w:sz w:val="18"/>
                <w:szCs w:val="18"/>
                <w:color w:val="auto"/>
              </w:rPr>
              <w:t>​​</w:t>
            </w:r>
          </w:p>
        </w:tc>
      </w:tr>
      <w:tr>
        <w:trPr>
          <w:trHeight w:val="250"/>
        </w:trPr>
        <w:tc>
          <w:tcPr>
            <w:tcW w:w="234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President</w:t>
            </w:r>
          </w:p>
        </w:tc>
        <w:tc>
          <w:tcPr>
            <w:tcW w:w="1660" w:type="dxa"/>
            <w:vAlign w:val="bottom"/>
            <w:tcBorders>
              <w:bottom w:val="single" w:sz="8" w:color="424E6A"/>
              <w:right w:val="single" w:sz="8" w:color="424E6A"/>
            </w:tcBorders>
          </w:tcPr>
          <w:p>
            <w:pPr>
              <w:jc w:val="center"/>
              <w:ind w:left="14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tcPr>
          <w:p>
            <w:pPr>
              <w:ind w:left="1540"/>
              <w:spacing w:after="0"/>
              <w:rPr>
                <w:sz w:val="20"/>
                <w:szCs w:val="20"/>
                <w:color w:val="auto"/>
              </w:rPr>
            </w:pPr>
            <w:r>
              <w:rPr>
                <w:rFonts w:ascii="Arial" w:cs="Arial" w:eastAsia="Arial" w:hAnsi="Arial"/>
                <w:sz w:val="18"/>
                <w:szCs w:val="18"/>
                <w:color w:val="auto"/>
              </w:rPr>
              <w:t>​5x</w:t>
            </w:r>
          </w:p>
        </w:tc>
        <w:tc>
          <w:tcPr>
            <w:tcW w:w="860" w:type="dxa"/>
            <w:vAlign w:val="bottom"/>
            <w:tcBorders>
              <w:bottom w:val="single" w:sz="8" w:color="424E6A"/>
              <w:right w:val="single" w:sz="8" w:color="424E6A"/>
            </w:tcBorders>
          </w:tcPr>
          <w:p>
            <w:pPr>
              <w:ind w:left="780"/>
              <w:spacing w:after="0"/>
              <w:rPr>
                <w:sz w:val="20"/>
                <w:szCs w:val="20"/>
                <w:color w:val="auto"/>
              </w:rPr>
            </w:pPr>
            <w:r>
              <w:rPr>
                <w:rFonts w:ascii="Arial" w:cs="Arial" w:eastAsia="Arial" w:hAnsi="Arial"/>
                <w:sz w:val="18"/>
                <w:szCs w:val="18"/>
                <w:color w:val="auto"/>
              </w:rPr>
              <w:t>​​</w:t>
            </w:r>
          </w:p>
        </w:tc>
      </w:tr>
      <w:tr>
        <w:trPr>
          <w:trHeight w:val="250"/>
        </w:trPr>
        <w:tc>
          <w:tcPr>
            <w:tcW w:w="234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EVP</w:t>
            </w:r>
          </w:p>
        </w:tc>
        <w:tc>
          <w:tcPr>
            <w:tcW w:w="1660" w:type="dxa"/>
            <w:vAlign w:val="bottom"/>
            <w:tcBorders>
              <w:bottom w:val="single" w:sz="8" w:color="424E6A"/>
              <w:right w:val="single" w:sz="8" w:color="424E6A"/>
            </w:tcBorders>
            <w:shd w:val="clear" w:color="auto" w:fill="D9DCE1"/>
          </w:tcPr>
          <w:p>
            <w:pPr>
              <w:jc w:val="center"/>
              <w:ind w:left="14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shd w:val="clear" w:color="auto" w:fill="D9DCE1"/>
          </w:tcPr>
          <w:p>
            <w:pPr>
              <w:ind w:left="1540"/>
              <w:spacing w:after="0"/>
              <w:rPr>
                <w:sz w:val="20"/>
                <w:szCs w:val="20"/>
                <w:color w:val="auto"/>
              </w:rPr>
            </w:pPr>
            <w:r>
              <w:rPr>
                <w:rFonts w:ascii="Arial" w:cs="Arial" w:eastAsia="Arial" w:hAnsi="Arial"/>
                <w:sz w:val="18"/>
                <w:szCs w:val="18"/>
                <w:color w:val="auto"/>
              </w:rPr>
              <w:t>​3x</w:t>
            </w:r>
          </w:p>
        </w:tc>
        <w:tc>
          <w:tcPr>
            <w:tcW w:w="860" w:type="dxa"/>
            <w:vAlign w:val="bottom"/>
            <w:tcBorders>
              <w:bottom w:val="single" w:sz="8" w:color="424E6A"/>
              <w:right w:val="single" w:sz="8" w:color="424E6A"/>
            </w:tcBorders>
            <w:shd w:val="clear" w:color="auto" w:fill="D9DCE1"/>
          </w:tcPr>
          <w:p>
            <w:pPr>
              <w:ind w:left="780"/>
              <w:spacing w:after="0"/>
              <w:rPr>
                <w:sz w:val="20"/>
                <w:szCs w:val="20"/>
                <w:color w:val="auto"/>
              </w:rPr>
            </w:pPr>
            <w:r>
              <w:rPr>
                <w:rFonts w:ascii="Arial" w:cs="Arial" w:eastAsia="Arial" w:hAnsi="Arial"/>
                <w:sz w:val="18"/>
                <w:szCs w:val="18"/>
                <w:color w:val="auto"/>
              </w:rPr>
              <w:t>​​</w:t>
            </w:r>
          </w:p>
        </w:tc>
      </w:tr>
      <w:tr>
        <w:trPr>
          <w:trHeight w:val="250"/>
        </w:trPr>
        <w:tc>
          <w:tcPr>
            <w:tcW w:w="234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SVP</w:t>
            </w:r>
          </w:p>
        </w:tc>
        <w:tc>
          <w:tcPr>
            <w:tcW w:w="1660" w:type="dxa"/>
            <w:vAlign w:val="bottom"/>
            <w:tcBorders>
              <w:bottom w:val="single" w:sz="8" w:color="424E6A"/>
              <w:right w:val="single" w:sz="8" w:color="424E6A"/>
            </w:tcBorders>
          </w:tcPr>
          <w:p>
            <w:pPr>
              <w:jc w:val="center"/>
              <w:ind w:left="14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tcPr>
          <w:p>
            <w:pPr>
              <w:ind w:left="1540"/>
              <w:spacing w:after="0"/>
              <w:rPr>
                <w:sz w:val="20"/>
                <w:szCs w:val="20"/>
                <w:color w:val="auto"/>
              </w:rPr>
            </w:pPr>
            <w:r>
              <w:rPr>
                <w:rFonts w:ascii="Arial" w:cs="Arial" w:eastAsia="Arial" w:hAnsi="Arial"/>
                <w:sz w:val="18"/>
                <w:szCs w:val="18"/>
                <w:color w:val="auto"/>
              </w:rPr>
              <w:t>​1x</w:t>
            </w:r>
          </w:p>
        </w:tc>
        <w:tc>
          <w:tcPr>
            <w:tcW w:w="860" w:type="dxa"/>
            <w:vAlign w:val="bottom"/>
            <w:tcBorders>
              <w:bottom w:val="single" w:sz="8" w:color="424E6A"/>
              <w:right w:val="single" w:sz="8" w:color="424E6A"/>
            </w:tcBorders>
          </w:tcPr>
          <w:p>
            <w:pPr>
              <w:ind w:left="780"/>
              <w:spacing w:after="0"/>
              <w:rPr>
                <w:sz w:val="20"/>
                <w:szCs w:val="20"/>
                <w:color w:val="auto"/>
              </w:rPr>
            </w:pPr>
            <w:r>
              <w:rPr>
                <w:rFonts w:ascii="Arial" w:cs="Arial" w:eastAsia="Arial" w:hAnsi="Arial"/>
                <w:sz w:val="18"/>
                <w:szCs w:val="18"/>
                <w:color w:val="auto"/>
              </w:rPr>
              <w:t>​​</w:t>
            </w:r>
          </w:p>
        </w:tc>
      </w:tr>
      <w:tr>
        <w:trPr>
          <w:trHeight w:val="250"/>
        </w:trPr>
        <w:tc>
          <w:tcPr>
            <w:tcW w:w="234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Director</w:t>
            </w:r>
          </w:p>
        </w:tc>
        <w:tc>
          <w:tcPr>
            <w:tcW w:w="1660" w:type="dxa"/>
            <w:vAlign w:val="bottom"/>
            <w:tcBorders>
              <w:bottom w:val="single" w:sz="8" w:color="424E6A"/>
              <w:right w:val="single" w:sz="8" w:color="424E6A"/>
            </w:tcBorders>
            <w:shd w:val="clear" w:color="auto" w:fill="D9DCE1"/>
          </w:tcPr>
          <w:p>
            <w:pPr>
              <w:jc w:val="center"/>
              <w:ind w:left="14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shd w:val="clear" w:color="auto" w:fill="D9DCE1"/>
          </w:tcPr>
          <w:p>
            <w:pPr>
              <w:ind w:left="1540"/>
              <w:spacing w:after="0"/>
              <w:rPr>
                <w:sz w:val="20"/>
                <w:szCs w:val="20"/>
                <w:color w:val="auto"/>
              </w:rPr>
            </w:pPr>
            <w:r>
              <w:rPr>
                <w:rFonts w:ascii="Arial" w:cs="Arial" w:eastAsia="Arial" w:hAnsi="Arial"/>
                <w:sz w:val="18"/>
                <w:szCs w:val="18"/>
                <w:color w:val="auto"/>
              </w:rPr>
              <w:t>​5x</w:t>
            </w:r>
          </w:p>
        </w:tc>
        <w:tc>
          <w:tcPr>
            <w:tcW w:w="860" w:type="dxa"/>
            <w:vAlign w:val="bottom"/>
            <w:tcBorders>
              <w:bottom w:val="single" w:sz="8" w:color="424E6A"/>
              <w:right w:val="single" w:sz="8" w:color="424E6A"/>
            </w:tcBorders>
            <w:shd w:val="clear" w:color="auto" w:fill="D9DCE1"/>
          </w:tcPr>
          <w:p>
            <w:pPr>
              <w:ind w:left="780"/>
              <w:spacing w:after="0"/>
              <w:rPr>
                <w:sz w:val="20"/>
                <w:szCs w:val="20"/>
                <w:color w:val="auto"/>
              </w:rPr>
            </w:pPr>
            <w:r>
              <w:rPr>
                <w:rFonts w:ascii="Arial" w:cs="Arial" w:eastAsia="Arial" w:hAnsi="Arial"/>
                <w:sz w:val="18"/>
                <w:szCs w:val="18"/>
                <w:color w:val="auto"/>
              </w:rPr>
              <w:t>​​</w:t>
            </w:r>
          </w:p>
        </w:tc>
      </w:tr>
    </w:tbl>
    <w:p>
      <w:pPr>
        <w:spacing w:after="0" w:line="116" w:lineRule="exact"/>
        <w:rPr>
          <w:sz w:val="20"/>
          <w:szCs w:val="20"/>
          <w:color w:val="auto"/>
        </w:rPr>
      </w:pPr>
    </w:p>
    <w:p>
      <w:pPr>
        <w:ind w:left="1260" w:right="479" w:firstLine="360"/>
        <w:spacing w:after="0" w:line="244" w:lineRule="auto"/>
        <w:rPr>
          <w:sz w:val="20"/>
          <w:szCs w:val="20"/>
          <w:color w:val="auto"/>
        </w:rPr>
      </w:pPr>
      <w:r>
        <w:rPr>
          <w:rFonts w:ascii="Arial" w:cs="Arial" w:eastAsia="Arial" w:hAnsi="Arial"/>
          <w:sz w:val="18"/>
          <w:szCs w:val="18"/>
          <w:color w:val="auto"/>
        </w:rPr>
        <w:t>Executive officers and directors are expected to meet these guidelines within five years after the later of becoming subject to the guidelines or the date of adoption of the guidelines. The compliance date for current executive officers and directors is November 2025, except for Mr. McCarthy whose compliance date is August 2026 and Ms. DeSanctis whose compliance date is August 2027. All current executive officers and directors are on track to meet the applicable guidelines on their respective compliance dates. Executive officers and directors are required to hold 100% of units/shares acquired upon vesting of phantom units or phantom shares until ownership guidelines are met (“hold until met” requirement).</w:t>
      </w:r>
    </w:p>
    <w:p>
      <w:pPr>
        <w:spacing w:after="0" w:line="112"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i w:val="1"/>
          <w:iCs w:val="1"/>
          <w:color w:val="auto"/>
        </w:rPr>
        <w:t>Anti-Hedging and Pledging Policies</w:t>
      </w:r>
      <w:r>
        <w:rPr>
          <w:rFonts w:ascii="Arial" w:cs="Arial" w:eastAsia="Arial" w:hAnsi="Arial"/>
          <w:sz w:val="18"/>
          <w:szCs w:val="18"/>
          <w:color w:val="auto"/>
        </w:rPr>
        <w:t>. We have policies and procedures in place that prohibit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officers, including our Named Executive Officers, from using puts, calls, options or other derivative securities to hedge the economic risk of their equity ownership in us, and from engaging in other types of hedging transactions, including prepaid variable forwards, equity swaps, collars and exchange funds. Our policies also prohibit pledging company securities or holding such securities as marginable securities in a margin account.</w:t>
      </w:r>
    </w:p>
    <w:p>
      <w:pPr>
        <w:spacing w:after="0" w:line="107"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i w:val="1"/>
          <w:iCs w:val="1"/>
          <w:color w:val="auto"/>
        </w:rPr>
        <w:t xml:space="preserve">Clawback Policy. </w:t>
      </w:r>
      <w:r>
        <w:rPr>
          <w:rFonts w:ascii="Arial" w:cs="Arial" w:eastAsia="Arial" w:hAnsi="Arial"/>
          <w:sz w:val="18"/>
          <w:szCs w:val="18"/>
          <w:color w:val="auto"/>
        </w:rPr>
        <w:t>In November 2020, the Board also adopted a Clawback Policy to further align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of our executive officers with the interests of our unitholders, incentivize appropriate behaviors and discourage excessive risk taking. The Clawback Policy covers all executive officers and includes the following clawback triggers and related recoveries:</w:t>
      </w:r>
    </w:p>
    <w:p>
      <w:pPr>
        <w:spacing w:after="0" w:line="62" w:lineRule="exact"/>
        <w:rPr>
          <w:sz w:val="20"/>
          <w:szCs w:val="20"/>
          <w:color w:val="auto"/>
        </w:rPr>
      </w:pPr>
    </w:p>
    <w:p>
      <w:pPr>
        <w:ind w:left="1800" w:right="619" w:hanging="180"/>
        <w:spacing w:after="0" w:line="268"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Fraud or intentional/unlawful conduct that contributes to a material financial restatement that results in over-payment of performance-based compensation (Company may seek recovery of any excess compensation awarded or paid); and</w:t>
      </w:r>
    </w:p>
    <w:p>
      <w:pPr>
        <w:spacing w:after="0" w:line="62" w:lineRule="exact"/>
        <w:rPr>
          <w:rFonts w:ascii="Arial" w:cs="Arial" w:eastAsia="Arial" w:hAnsi="Arial"/>
          <w:sz w:val="18"/>
          <w:szCs w:val="18"/>
          <w:color w:val="auto"/>
        </w:rPr>
      </w:pPr>
    </w:p>
    <w:p>
      <w:pPr>
        <w:ind w:left="1800" w:right="619" w:hanging="180"/>
        <w:spacing w:after="0" w:line="318" w:lineRule="auto"/>
        <w:tabs>
          <w:tab w:leader="none" w:pos="18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Detrimental conduct that results in significant financial, reputational or other harm to the Company (Company may seek recovery or forfeiture of any performance-based compensation</w:t>
      </w:r>
    </w:p>
    <w:p>
      <w:pPr>
        <w:sectPr>
          <w:pgSz w:w="11900" w:h="16838" w:orient="portrait"/>
          <w:cols w:equalWidth="0" w:num="1">
            <w:col w:w="9879"/>
          </w:cols>
          <w:pgMar w:left="580" w:top="97" w:right="1440" w:bottom="1440" w:gutter="0" w:footer="0" w:header="0"/>
        </w:sectPr>
      </w:pPr>
    </w:p>
    <w:p>
      <w:pPr>
        <w:spacing w:after="0" w:line="30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439"/>
        <w:spacing w:after="0" w:line="287" w:lineRule="auto"/>
        <w:rPr>
          <w:sz w:val="20"/>
          <w:szCs w:val="20"/>
          <w:color w:val="auto"/>
        </w:rPr>
      </w:pPr>
      <w:r>
        <w:rPr>
          <w:rFonts w:ascii="Arial" w:cs="Arial" w:eastAsia="Arial" w:hAnsi="Arial"/>
          <w:sz w:val="18"/>
          <w:szCs w:val="18"/>
          <w:color w:val="auto"/>
        </w:rPr>
        <w:t>or unvested time-based equity awards granted or paid during the 3-year period prior to discovery of the misconduct).</w:t>
      </w:r>
    </w:p>
    <w:p>
      <w:pPr>
        <w:spacing w:after="0" w:line="85"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i w:val="1"/>
          <w:iCs w:val="1"/>
          <w:color w:val="auto"/>
        </w:rPr>
        <w:t xml:space="preserve">Change in Control Triggers. </w:t>
      </w:r>
      <w:r>
        <w:rPr>
          <w:rFonts w:ascii="Arial" w:cs="Arial" w:eastAsia="Arial" w:hAnsi="Arial"/>
          <w:sz w:val="18"/>
          <w:szCs w:val="18"/>
          <w:color w:val="auto"/>
        </w:rPr>
        <w:t>Our long-term incentive plan grants provide for accelerated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upon a change of control (as defined in such agreements), but such vesting becomes operative only if the change in control is accompanied by a “change in status” ​(which includes the termination of employment by GP LLC without cause and certain other circumstances involving a voluntary separation or retirement). We believe this “double trigger” arrangement is appropriate because it provides assurance to the executive, but does not offer a windfall to the executive when there has been no real change in employment status. In addition, the provisions in Mr. Pefanis’ legacy employment agreement provide for a severance payment if he terminates employment within three months following a change in control. Mr. Pefanis agreed to a conditional waiver of these provisions with respect to all prior qualifying transactions. See “— Potential Payments Upon Termination or Change-in-Control.” The provision of severance or equity acceleration for certain terminations and change of control transactions helps to create a retention tool by assuring the executive that the benefit of the employment arrangement will be at least partially realized despite the occurrence of an event that could materially alter the employment arrangement.</w:t>
      </w:r>
    </w:p>
    <w:p>
      <w:pPr>
        <w:spacing w:after="0" w:line="118"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With respect to the deduction limitations under Section 162(m) of the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Code, we are a limited partnership and do not fall within the definition of a “corporation” under Section 162(m).</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Relation of Compensation Policies and Practices to Risk Management</w:t>
      </w:r>
    </w:p>
    <w:p>
      <w:pPr>
        <w:spacing w:after="0" w:line="144"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targeted performance thresholds. For us, such risks would primarily attach to certain commercial merchant activities as well as to the execution of investment capital projects and acquisitions and the realization of associated returns.</w:t>
      </w:r>
    </w:p>
    <w:p>
      <w:pPr>
        <w:spacing w:after="0" w:line="117" w:lineRule="exact"/>
        <w:rPr>
          <w:sz w:val="20"/>
          <w:szCs w:val="20"/>
          <w:color w:val="auto"/>
        </w:rPr>
      </w:pPr>
    </w:p>
    <w:p>
      <w:pPr>
        <w:ind w:left="1260" w:right="499" w:firstLine="360"/>
        <w:spacing w:after="0" w:line="282" w:lineRule="auto"/>
        <w:rPr>
          <w:sz w:val="20"/>
          <w:szCs w:val="20"/>
          <w:color w:val="auto"/>
        </w:rPr>
      </w:pPr>
      <w:r>
        <w:rPr>
          <w:rFonts w:ascii="Arial" w:cs="Arial" w:eastAsia="Arial" w:hAnsi="Arial"/>
          <w:sz w:val="17"/>
          <w:szCs w:val="17"/>
          <w:color w:val="auto"/>
        </w:rPr>
        <w:t>From a risk management perspective, our policy is to conduct our commercial activities within pre-defined risk parameters that are closely monitored and are structured in a manner intended to control and minimize the potential for unwarranted risk-taking. We also routinely monitor and measure the execution and performance of investment capital projects and acquisitions relative to expectations.</w:t>
      </w:r>
    </w:p>
    <w:p>
      <w:pPr>
        <w:spacing w:after="0" w:line="94"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Our compensation arrangements contain a number of design elements that serve to minimize the incentive for unwarranted risk-taking to achieve short-term, unsustainable results, including splitting the awards into a number of tranches and delaying the vesting date for various tranches, in addition to subjecting such awards to forfeiture for terminations related to violations of our risk management policies and practices or of our Code of Business Conduct. In addition, the vesting criteria for long-term incentive awards are typically based on the passage of time and performance thresholds associated with achieving specified long-term financial goals. Also, the fact that we utilize a variety of metrics in connection with our incentive arrangements (both short and long term), including a leverage modifier in the case of our long-term incentive plan grants, provides a structural mitigant against excessive risk taking to achieve performance targets.</w:t>
      </w:r>
    </w:p>
    <w:p>
      <w:pPr>
        <w:spacing w:after="0" w:line="104"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In combination with our risk-management practices and the processes employed by the Compensation Committee and the Board, we believe there is an adequate level of oversight with respect to the degree of risk being taken by management to achieve short- and long-term performance goals and we believe that risks arising from our compensation policies and practices for employees are not reasonably likely to have a material adverse effect on us.</w:t>
      </w: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58" w:lineRule="exact"/>
        <w:rPr>
          <w:sz w:val="20"/>
          <w:szCs w:val="20"/>
          <w:color w:val="auto"/>
        </w:rPr>
      </w:pPr>
    </w:p>
    <w:p>
      <w:pPr>
        <w:jc w:val="both"/>
        <w:ind w:left="1260" w:right="559" w:firstLine="360"/>
        <w:spacing w:after="0" w:line="262" w:lineRule="auto"/>
        <w:rPr>
          <w:sz w:val="20"/>
          <w:szCs w:val="20"/>
          <w:color w:val="auto"/>
        </w:rPr>
      </w:pPr>
      <w:r>
        <w:rPr>
          <w:rFonts w:ascii="Arial" w:cs="Arial" w:eastAsia="Arial" w:hAnsi="Arial"/>
          <w:sz w:val="18"/>
          <w:szCs w:val="18"/>
          <w:color w:val="auto"/>
        </w:rPr>
        <w:t>The following table sets forth certain compensation information for our Named Executive Officers. As a result of his request to not participate in the 2022 long-term incentive program, Mr. Pefanis is not one of our three most highly compensated executive officers for 2022, but he has been included as a Named Executive Officer given the significance of his role as President of Plains.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98425</wp:posOffset>
            </wp:positionV>
            <wp:extent cx="5212080" cy="4612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12080" cy="4612005"/>
                    </a:xfrm>
                    <a:prstGeom prst="rect">
                      <a:avLst/>
                    </a:prstGeom>
                    <a:noFill/>
                  </pic:spPr>
                </pic:pic>
              </a:graphicData>
            </a:graphic>
          </wp:anchor>
        </w:drawing>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300" w:type="dxa"/>
            <w:vAlign w:val="bottom"/>
            <w:shd w:val="clear" w:color="auto" w:fill="424E6A"/>
          </w:tcPr>
          <w:p>
            <w:pPr>
              <w:spacing w:after="0"/>
              <w:rPr>
                <w:sz w:val="17"/>
                <w:szCs w:val="17"/>
                <w:color w:val="auto"/>
              </w:rPr>
            </w:pPr>
          </w:p>
        </w:tc>
        <w:tc>
          <w:tcPr>
            <w:tcW w:w="800" w:type="dxa"/>
            <w:vAlign w:val="bottom"/>
            <w:shd w:val="clear" w:color="auto" w:fill="424E6A"/>
          </w:tcPr>
          <w:p>
            <w:pPr>
              <w:spacing w:after="0"/>
              <w:rPr>
                <w:sz w:val="17"/>
                <w:szCs w:val="17"/>
                <w:color w:val="auto"/>
              </w:rPr>
            </w:pPr>
          </w:p>
        </w:tc>
        <w:tc>
          <w:tcPr>
            <w:tcW w:w="700" w:type="dxa"/>
            <w:vAlign w:val="bottom"/>
            <w:shd w:val="clear" w:color="auto" w:fill="424E6A"/>
          </w:tcPr>
          <w:p>
            <w:pPr>
              <w:spacing w:after="0"/>
              <w:rPr>
                <w:sz w:val="17"/>
                <w:szCs w:val="17"/>
                <w:color w:val="auto"/>
              </w:rPr>
            </w:pPr>
          </w:p>
        </w:tc>
        <w:tc>
          <w:tcPr>
            <w:tcW w:w="860" w:type="dxa"/>
            <w:vAlign w:val="bottom"/>
            <w:shd w:val="clear" w:color="auto" w:fill="424E6A"/>
          </w:tcPr>
          <w:p>
            <w:pPr>
              <w:spacing w:after="0"/>
              <w:rPr>
                <w:sz w:val="17"/>
                <w:szCs w:val="17"/>
                <w:color w:val="auto"/>
              </w:rPr>
            </w:pPr>
          </w:p>
        </w:tc>
        <w:tc>
          <w:tcPr>
            <w:tcW w:w="260" w:type="dxa"/>
            <w:vAlign w:val="bottom"/>
            <w:shd w:val="clear" w:color="auto" w:fill="424E6A"/>
          </w:tcPr>
          <w:p>
            <w:pPr>
              <w:spacing w:after="0"/>
              <w:rPr>
                <w:sz w:val="17"/>
                <w:szCs w:val="17"/>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Non-Equity</w:t>
            </w:r>
          </w:p>
        </w:tc>
        <w:tc>
          <w:tcPr>
            <w:tcW w:w="200" w:type="dxa"/>
            <w:vAlign w:val="bottom"/>
            <w:shd w:val="clear" w:color="auto" w:fill="424E6A"/>
          </w:tcPr>
          <w:p>
            <w:pPr>
              <w:spacing w:after="0"/>
              <w:rPr>
                <w:sz w:val="17"/>
                <w:szCs w:val="17"/>
                <w:color w:val="auto"/>
              </w:rPr>
            </w:pPr>
          </w:p>
        </w:tc>
        <w:tc>
          <w:tcPr>
            <w:tcW w:w="1040" w:type="dxa"/>
            <w:vAlign w:val="bottom"/>
            <w:shd w:val="clear" w:color="auto" w:fill="424E6A"/>
          </w:tcPr>
          <w:p>
            <w:pPr>
              <w:spacing w:after="0"/>
              <w:rPr>
                <w:sz w:val="17"/>
                <w:szCs w:val="17"/>
                <w:color w:val="auto"/>
              </w:rPr>
            </w:pPr>
          </w:p>
        </w:tc>
        <w:tc>
          <w:tcPr>
            <w:tcW w:w="280" w:type="dxa"/>
            <w:vAlign w:val="bottom"/>
            <w:shd w:val="clear" w:color="auto" w:fill="424E6A"/>
          </w:tcPr>
          <w:p>
            <w:pPr>
              <w:spacing w:after="0"/>
              <w:rPr>
                <w:sz w:val="17"/>
                <w:szCs w:val="17"/>
                <w:color w:val="auto"/>
              </w:rPr>
            </w:pPr>
          </w:p>
        </w:tc>
        <w:tc>
          <w:tcPr>
            <w:tcW w:w="720" w:type="dxa"/>
            <w:vAlign w:val="bottom"/>
            <w:shd w:val="clear" w:color="auto" w:fill="424E6A"/>
          </w:tcPr>
          <w:p>
            <w:pPr>
              <w:spacing w:after="0"/>
              <w:rPr>
                <w:sz w:val="17"/>
                <w:szCs w:val="17"/>
                <w:color w:val="auto"/>
              </w:rPr>
            </w:pPr>
          </w:p>
        </w:tc>
      </w:tr>
      <w:tr>
        <w:trPr>
          <w:trHeight w:val="162"/>
        </w:trPr>
        <w:tc>
          <w:tcPr>
            <w:tcW w:w="2300" w:type="dxa"/>
            <w:vAlign w:val="bottom"/>
            <w:shd w:val="clear" w:color="auto" w:fill="424E6A"/>
          </w:tcPr>
          <w:p>
            <w:pPr>
              <w:spacing w:after="0"/>
              <w:rPr>
                <w:sz w:val="14"/>
                <w:szCs w:val="14"/>
                <w:color w:val="auto"/>
              </w:rPr>
            </w:pPr>
          </w:p>
        </w:tc>
        <w:tc>
          <w:tcPr>
            <w:tcW w:w="800" w:type="dxa"/>
            <w:vAlign w:val="bottom"/>
            <w:shd w:val="clear" w:color="auto" w:fill="424E6A"/>
          </w:tcPr>
          <w:p>
            <w:pPr>
              <w:spacing w:after="0"/>
              <w:rPr>
                <w:sz w:val="14"/>
                <w:szCs w:val="14"/>
                <w:color w:val="auto"/>
              </w:rPr>
            </w:pPr>
          </w:p>
        </w:tc>
        <w:tc>
          <w:tcPr>
            <w:tcW w:w="700" w:type="dxa"/>
            <w:vAlign w:val="bottom"/>
            <w:shd w:val="clear" w:color="auto" w:fill="424E6A"/>
          </w:tcPr>
          <w:p>
            <w:pPr>
              <w:spacing w:after="0"/>
              <w:rPr>
                <w:sz w:val="14"/>
                <w:szCs w:val="14"/>
                <w:color w:val="auto"/>
              </w:rPr>
            </w:pPr>
          </w:p>
        </w:tc>
        <w:tc>
          <w:tcPr>
            <w:tcW w:w="86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Incentive</w:t>
            </w:r>
          </w:p>
        </w:tc>
        <w:tc>
          <w:tcPr>
            <w:tcW w:w="200" w:type="dxa"/>
            <w:vAlign w:val="bottom"/>
            <w:shd w:val="clear" w:color="auto" w:fill="424E6A"/>
          </w:tcPr>
          <w:p>
            <w:pPr>
              <w:spacing w:after="0"/>
              <w:rPr>
                <w:sz w:val="14"/>
                <w:szCs w:val="14"/>
                <w:color w:val="auto"/>
              </w:rPr>
            </w:pPr>
          </w:p>
        </w:tc>
        <w:tc>
          <w:tcPr>
            <w:tcW w:w="1040" w:type="dxa"/>
            <w:vAlign w:val="bottom"/>
            <w:shd w:val="clear" w:color="auto" w:fill="424E6A"/>
          </w:tcPr>
          <w:p>
            <w:pPr>
              <w:spacing w:after="0"/>
              <w:rPr>
                <w:sz w:val="14"/>
                <w:szCs w:val="14"/>
                <w:color w:val="auto"/>
              </w:rPr>
            </w:pPr>
          </w:p>
        </w:tc>
        <w:tc>
          <w:tcPr>
            <w:tcW w:w="280" w:type="dxa"/>
            <w:vAlign w:val="bottom"/>
            <w:shd w:val="clear" w:color="auto" w:fill="424E6A"/>
          </w:tcPr>
          <w:p>
            <w:pPr>
              <w:spacing w:after="0"/>
              <w:rPr>
                <w:sz w:val="14"/>
                <w:szCs w:val="14"/>
                <w:color w:val="auto"/>
              </w:rPr>
            </w:pPr>
          </w:p>
        </w:tc>
        <w:tc>
          <w:tcPr>
            <w:tcW w:w="720" w:type="dxa"/>
            <w:vAlign w:val="bottom"/>
            <w:shd w:val="clear" w:color="auto" w:fill="424E6A"/>
          </w:tcPr>
          <w:p>
            <w:pPr>
              <w:spacing w:after="0"/>
              <w:rPr>
                <w:sz w:val="14"/>
                <w:szCs w:val="14"/>
                <w:color w:val="auto"/>
              </w:rPr>
            </w:pPr>
          </w:p>
        </w:tc>
      </w:tr>
      <w:tr>
        <w:trPr>
          <w:trHeight w:val="162"/>
        </w:trPr>
        <w:tc>
          <w:tcPr>
            <w:tcW w:w="2300" w:type="dxa"/>
            <w:vAlign w:val="bottom"/>
            <w:shd w:val="clear" w:color="auto" w:fill="424E6A"/>
          </w:tcPr>
          <w:p>
            <w:pPr>
              <w:spacing w:after="0"/>
              <w:rPr>
                <w:sz w:val="14"/>
                <w:szCs w:val="14"/>
                <w:color w:val="auto"/>
              </w:rPr>
            </w:pPr>
          </w:p>
        </w:tc>
        <w:tc>
          <w:tcPr>
            <w:tcW w:w="800" w:type="dxa"/>
            <w:vAlign w:val="bottom"/>
            <w:shd w:val="clear" w:color="auto" w:fill="424E6A"/>
          </w:tcPr>
          <w:p>
            <w:pPr>
              <w:spacing w:after="0"/>
              <w:rPr>
                <w:sz w:val="14"/>
                <w:szCs w:val="14"/>
                <w:color w:val="auto"/>
              </w:rPr>
            </w:pPr>
          </w:p>
        </w:tc>
        <w:tc>
          <w:tcPr>
            <w:tcW w:w="700" w:type="dxa"/>
            <w:vAlign w:val="bottom"/>
            <w:shd w:val="clear" w:color="auto" w:fill="424E6A"/>
          </w:tcPr>
          <w:p>
            <w:pPr>
              <w:spacing w:after="0"/>
              <w:rPr>
                <w:sz w:val="14"/>
                <w:szCs w:val="14"/>
                <w:color w:val="auto"/>
              </w:rPr>
            </w:pPr>
          </w:p>
        </w:tc>
        <w:tc>
          <w:tcPr>
            <w:tcW w:w="860" w:type="dxa"/>
            <w:vAlign w:val="bottom"/>
            <w:shd w:val="clear" w:color="auto" w:fill="424E6A"/>
          </w:tcPr>
          <w:p>
            <w:pPr>
              <w:jc w:val="center"/>
              <w:ind w:left="112"/>
              <w:spacing w:after="0"/>
              <w:rPr>
                <w:sz w:val="20"/>
                <w:szCs w:val="20"/>
                <w:color w:val="auto"/>
              </w:rPr>
            </w:pPr>
            <w:r>
              <w:rPr>
                <w:rFonts w:ascii="Arial" w:cs="Arial" w:eastAsia="Arial" w:hAnsi="Arial"/>
                <w:sz w:val="14"/>
                <w:szCs w:val="14"/>
                <w:b w:val="1"/>
                <w:bCs w:val="1"/>
                <w:color w:val="FFFFFF"/>
              </w:rPr>
              <w:t>Stock</w:t>
            </w:r>
          </w:p>
        </w:tc>
        <w:tc>
          <w:tcPr>
            <w:tcW w:w="26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Plan</w:t>
            </w:r>
          </w:p>
        </w:tc>
        <w:tc>
          <w:tcPr>
            <w:tcW w:w="20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All Other</w:t>
            </w:r>
          </w:p>
        </w:tc>
        <w:tc>
          <w:tcPr>
            <w:tcW w:w="280" w:type="dxa"/>
            <w:vAlign w:val="bottom"/>
            <w:shd w:val="clear" w:color="auto" w:fill="424E6A"/>
          </w:tcPr>
          <w:p>
            <w:pPr>
              <w:spacing w:after="0"/>
              <w:rPr>
                <w:sz w:val="14"/>
                <w:szCs w:val="14"/>
                <w:color w:val="auto"/>
              </w:rPr>
            </w:pPr>
          </w:p>
        </w:tc>
        <w:tc>
          <w:tcPr>
            <w:tcW w:w="720" w:type="dxa"/>
            <w:vAlign w:val="bottom"/>
            <w:shd w:val="clear" w:color="auto" w:fill="424E6A"/>
          </w:tcPr>
          <w:p>
            <w:pPr>
              <w:spacing w:after="0"/>
              <w:rPr>
                <w:sz w:val="14"/>
                <w:szCs w:val="14"/>
                <w:color w:val="auto"/>
              </w:rPr>
            </w:pPr>
          </w:p>
        </w:tc>
      </w:tr>
      <w:tr>
        <w:trPr>
          <w:trHeight w:val="162"/>
        </w:trPr>
        <w:tc>
          <w:tcPr>
            <w:tcW w:w="2300" w:type="dxa"/>
            <w:vAlign w:val="bottom"/>
            <w:shd w:val="clear" w:color="auto" w:fill="424E6A"/>
          </w:tcPr>
          <w:p>
            <w:pPr>
              <w:ind w:left="60"/>
              <w:spacing w:after="0"/>
              <w:rPr>
                <w:sz w:val="20"/>
                <w:szCs w:val="20"/>
                <w:color w:val="auto"/>
              </w:rPr>
            </w:pPr>
            <w:r>
              <w:rPr>
                <w:rFonts w:ascii="Arial" w:cs="Arial" w:eastAsia="Arial" w:hAnsi="Arial"/>
                <w:sz w:val="14"/>
                <w:szCs w:val="14"/>
                <w:b w:val="1"/>
                <w:bCs w:val="1"/>
                <w:color w:val="FFFFFF"/>
              </w:rPr>
              <w:t>Name and Current Principal</w:t>
            </w:r>
          </w:p>
        </w:tc>
        <w:tc>
          <w:tcPr>
            <w:tcW w:w="800" w:type="dxa"/>
            <w:vAlign w:val="bottom"/>
            <w:shd w:val="clear" w:color="auto" w:fill="424E6A"/>
          </w:tcPr>
          <w:p>
            <w:pPr>
              <w:spacing w:after="0"/>
              <w:rPr>
                <w:sz w:val="14"/>
                <w:szCs w:val="14"/>
                <w:color w:val="auto"/>
              </w:rPr>
            </w:pPr>
          </w:p>
        </w:tc>
        <w:tc>
          <w:tcPr>
            <w:tcW w:w="7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Salary</w:t>
            </w:r>
          </w:p>
        </w:tc>
        <w:tc>
          <w:tcPr>
            <w:tcW w:w="860" w:type="dxa"/>
            <w:vAlign w:val="bottom"/>
            <w:shd w:val="clear" w:color="auto" w:fill="424E6A"/>
          </w:tcPr>
          <w:p>
            <w:pPr>
              <w:jc w:val="center"/>
              <w:ind w:left="112"/>
              <w:spacing w:after="0"/>
              <w:rPr>
                <w:sz w:val="20"/>
                <w:szCs w:val="20"/>
                <w:color w:val="auto"/>
              </w:rPr>
            </w:pPr>
            <w:r>
              <w:rPr>
                <w:rFonts w:ascii="Arial" w:cs="Arial" w:eastAsia="Arial" w:hAnsi="Arial"/>
                <w:sz w:val="14"/>
                <w:szCs w:val="14"/>
                <w:b w:val="1"/>
                <w:bCs w:val="1"/>
                <w:color w:val="FFFFFF"/>
              </w:rPr>
              <w:t>Awards</w:t>
            </w:r>
          </w:p>
        </w:tc>
        <w:tc>
          <w:tcPr>
            <w:tcW w:w="26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Compensation</w:t>
            </w:r>
          </w:p>
        </w:tc>
        <w:tc>
          <w:tcPr>
            <w:tcW w:w="20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Compensation</w:t>
            </w:r>
          </w:p>
        </w:tc>
        <w:tc>
          <w:tcPr>
            <w:tcW w:w="280" w:type="dxa"/>
            <w:vAlign w:val="bottom"/>
            <w:shd w:val="clear" w:color="auto" w:fill="424E6A"/>
          </w:tcPr>
          <w:p>
            <w:pPr>
              <w:spacing w:after="0"/>
              <w:rPr>
                <w:sz w:val="14"/>
                <w:szCs w:val="14"/>
                <w:color w:val="auto"/>
              </w:rPr>
            </w:pPr>
          </w:p>
        </w:tc>
        <w:tc>
          <w:tcPr>
            <w:tcW w:w="720" w:type="dxa"/>
            <w:vAlign w:val="bottom"/>
            <w:shd w:val="clear" w:color="auto" w:fill="424E6A"/>
          </w:tcPr>
          <w:p>
            <w:pPr>
              <w:jc w:val="center"/>
              <w:ind w:right="108"/>
              <w:spacing w:after="0"/>
              <w:rPr>
                <w:sz w:val="20"/>
                <w:szCs w:val="20"/>
                <w:color w:val="auto"/>
              </w:rPr>
            </w:pPr>
            <w:r>
              <w:rPr>
                <w:rFonts w:ascii="Arial" w:cs="Arial" w:eastAsia="Arial" w:hAnsi="Arial"/>
                <w:sz w:val="14"/>
                <w:szCs w:val="14"/>
                <w:b w:val="1"/>
                <w:bCs w:val="1"/>
                <w:color w:val="FFFFFF"/>
              </w:rPr>
              <w:t>Total</w:t>
            </w:r>
          </w:p>
        </w:tc>
      </w:tr>
      <w:tr>
        <w:trPr>
          <w:trHeight w:val="198"/>
        </w:trPr>
        <w:tc>
          <w:tcPr>
            <w:tcW w:w="2300" w:type="dxa"/>
            <w:vAlign w:val="bottom"/>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Position</w:t>
            </w:r>
          </w:p>
        </w:tc>
        <w:tc>
          <w:tcPr>
            <w:tcW w:w="800" w:type="dxa"/>
            <w:vAlign w:val="bottom"/>
            <w:shd w:val="clear" w:color="auto" w:fill="424E6A"/>
          </w:tcPr>
          <w:p>
            <w:pPr>
              <w:ind w:left="360"/>
              <w:spacing w:after="0"/>
              <w:rPr>
                <w:sz w:val="20"/>
                <w:szCs w:val="20"/>
                <w:color w:val="auto"/>
              </w:rPr>
            </w:pPr>
            <w:r>
              <w:rPr>
                <w:rFonts w:ascii="Arial" w:cs="Arial" w:eastAsia="Arial" w:hAnsi="Arial"/>
                <w:sz w:val="14"/>
                <w:szCs w:val="14"/>
                <w:b w:val="1"/>
                <w:bCs w:val="1"/>
                <w:color w:val="FFFFFF"/>
              </w:rPr>
              <w:t>Year</w:t>
            </w:r>
          </w:p>
        </w:tc>
        <w:tc>
          <w:tcPr>
            <w:tcW w:w="700" w:type="dxa"/>
            <w:vAlign w:val="bottom"/>
            <w:shd w:val="clear" w:color="auto" w:fill="424E6A"/>
          </w:tcPr>
          <w:p>
            <w:pPr>
              <w:jc w:val="center"/>
              <w:ind w:right="104"/>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8"/>
                <w:szCs w:val="8"/>
                <w:b w:val="1"/>
                <w:bCs w:val="1"/>
                <w:color w:val="FFFFFF"/>
              </w:rPr>
              <w:t>(1)</w:t>
            </w:r>
          </w:p>
        </w:tc>
        <w:tc>
          <w:tcPr>
            <w:tcW w:w="860" w:type="dxa"/>
            <w:vAlign w:val="bottom"/>
            <w:shd w:val="clear" w:color="auto" w:fill="424E6A"/>
          </w:tcPr>
          <w:p>
            <w:pPr>
              <w:ind w:left="12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w:t>
            </w:r>
            <w:r>
              <w:rPr>
                <w:rFonts w:ascii="Arial" w:cs="Arial" w:eastAsia="Arial" w:hAnsi="Arial"/>
                <w:sz w:val="14"/>
                <w:szCs w:val="14"/>
                <w:b w:val="1"/>
                <w:bCs w:val="1"/>
                <w:color w:val="FFFFFF"/>
                <w:vertAlign w:val="superscript"/>
              </w:rPr>
              <w:t>(2)</w:t>
            </w:r>
          </w:p>
        </w:tc>
        <w:tc>
          <w:tcPr>
            <w:tcW w:w="260" w:type="dxa"/>
            <w:vAlign w:val="bottom"/>
            <w:shd w:val="clear" w:color="auto" w:fill="424E6A"/>
          </w:tcPr>
          <w:p>
            <w:pPr>
              <w:ind w:left="100"/>
              <w:spacing w:after="0"/>
              <w:rPr>
                <w:sz w:val="20"/>
                <w:szCs w:val="20"/>
                <w:color w:val="auto"/>
              </w:rPr>
            </w:pPr>
            <w:r>
              <w:rPr>
                <w:rFonts w:ascii="Arial" w:cs="Arial" w:eastAsia="Arial" w:hAnsi="Arial"/>
                <w:sz w:val="14"/>
                <w:szCs w:val="14"/>
                <w:b w:val="1"/>
                <w:bCs w:val="1"/>
                <w:color w:val="FFFFFF"/>
              </w:rPr>
              <w:t>​ ​</w:t>
            </w: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w:t>
            </w:r>
          </w:p>
        </w:tc>
        <w:tc>
          <w:tcPr>
            <w:tcW w:w="20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 ​</w:t>
            </w:r>
          </w:p>
        </w:tc>
        <w:tc>
          <w:tcPr>
            <w:tcW w:w="1040" w:type="dxa"/>
            <w:vAlign w:val="bottom"/>
            <w:shd w:val="clear" w:color="auto" w:fill="424E6A"/>
          </w:tcPr>
          <w:p>
            <w:pPr>
              <w:jc w:val="center"/>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8"/>
                <w:szCs w:val="8"/>
                <w:b w:val="1"/>
                <w:bCs w:val="1"/>
                <w:color w:val="FFFFFF"/>
              </w:rPr>
              <w:t>(3)</w:t>
            </w:r>
          </w:p>
        </w:tc>
        <w:tc>
          <w:tcPr>
            <w:tcW w:w="28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 ​</w:t>
            </w:r>
          </w:p>
        </w:tc>
        <w:tc>
          <w:tcPr>
            <w:tcW w:w="720" w:type="dxa"/>
            <w:vAlign w:val="bottom"/>
            <w:shd w:val="clear" w:color="auto" w:fill="424E6A"/>
          </w:tcPr>
          <w:p>
            <w:pPr>
              <w:jc w:val="right"/>
              <w:ind w:right="268"/>
              <w:spacing w:after="0"/>
              <w:rPr>
                <w:sz w:val="20"/>
                <w:szCs w:val="20"/>
                <w:color w:val="auto"/>
              </w:rPr>
            </w:pPr>
            <w:r>
              <w:rPr>
                <w:rFonts w:ascii="Arial" w:cs="Arial" w:eastAsia="Arial" w:hAnsi="Arial"/>
                <w:sz w:val="14"/>
                <w:szCs w:val="14"/>
                <w:b w:val="1"/>
                <w:bCs w:val="1"/>
                <w:color w:val="FFFFFF"/>
              </w:rPr>
              <w:t>($)</w:t>
            </w:r>
          </w:p>
        </w:tc>
      </w:tr>
    </w:tbl>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236"/>
        </w:trPr>
        <w:tc>
          <w:tcPr>
            <w:tcW w:w="20" w:type="dxa"/>
            <w:vAlign w:val="bottom"/>
            <w:tcBorders>
              <w:top w:val="single" w:sz="8" w:color="424E6A"/>
              <w:bottom w:val="single" w:sz="8" w:color="424E6A"/>
            </w:tcBorders>
          </w:tcPr>
          <w:p>
            <w:pPr>
              <w:spacing w:after="0"/>
              <w:rPr>
                <w:sz w:val="20"/>
                <w:szCs w:val="20"/>
                <w:color w:val="auto"/>
              </w:rPr>
            </w:pPr>
          </w:p>
        </w:tc>
        <w:tc>
          <w:tcPr>
            <w:tcW w:w="2520" w:type="dxa"/>
            <w:vAlign w:val="bottom"/>
            <w:tcBorders>
              <w:top w:val="single" w:sz="8" w:color="424E6A"/>
              <w:bottom w:val="single" w:sz="8" w:color="424E6A"/>
              <w:right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Willie Chiang</w:t>
            </w:r>
          </w:p>
        </w:tc>
        <w:tc>
          <w:tcPr>
            <w:tcW w:w="56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78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750,000</w:t>
            </w:r>
          </w:p>
        </w:tc>
        <w:tc>
          <w:tcPr>
            <w:tcW w:w="940" w:type="dxa"/>
            <w:vAlign w:val="bottom"/>
            <w:tcBorders>
              <w:top w:val="single" w:sz="8" w:color="424E6A"/>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3,927,000 </w:t>
            </w:r>
            <w:r>
              <w:rPr>
                <w:rFonts w:ascii="Arial" w:cs="Arial" w:eastAsia="Arial" w:hAnsi="Arial"/>
                <w:sz w:val="27"/>
                <w:szCs w:val="27"/>
                <w:color w:val="auto"/>
                <w:vertAlign w:val="subscript"/>
              </w:rPr>
              <w:t>​</w:t>
            </w:r>
          </w:p>
        </w:tc>
        <w:tc>
          <w:tcPr>
            <w:tcW w:w="16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424E6A"/>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3,600,000</w:t>
            </w:r>
          </w:p>
        </w:tc>
        <w:tc>
          <w:tcPr>
            <w:tcW w:w="200" w:type="dxa"/>
            <w:vAlign w:val="bottom"/>
            <w:tcBorders>
              <w:top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424E6A"/>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19,140</w:t>
            </w:r>
          </w:p>
        </w:tc>
        <w:tc>
          <w:tcPr>
            <w:tcW w:w="240" w:type="dxa"/>
            <w:vAlign w:val="bottom"/>
            <w:tcBorders>
              <w:top w:val="single" w:sz="8" w:color="424E6A"/>
              <w:bottom w:val="single" w:sz="8" w:color="424E6A"/>
              <w:right w:val="single" w:sz="8" w:color="424E6A"/>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424E6A"/>
              <w:bottom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8,296,140</w:t>
            </w:r>
          </w:p>
        </w:tc>
      </w:tr>
      <w:tr>
        <w:trPr>
          <w:trHeight w:val="237"/>
        </w:trPr>
        <w:tc>
          <w:tcPr>
            <w:tcW w:w="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Chairman and Chief Executive</w:t>
            </w: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600,000</w:t>
            </w:r>
          </w:p>
        </w:tc>
        <w:tc>
          <w:tcPr>
            <w:tcW w:w="940" w:type="dxa"/>
            <w:vAlign w:val="bottom"/>
            <w:tcBorders>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2,053,850 </w:t>
            </w:r>
            <w:r>
              <w:rPr>
                <w:rFonts w:ascii="Arial" w:cs="Arial" w:eastAsia="Arial" w:hAnsi="Arial"/>
                <w:sz w:val="27"/>
                <w:szCs w:val="27"/>
                <w:color w:val="auto"/>
                <w:vertAlign w:val="subscript"/>
              </w:rPr>
              <w:t>​</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1,720,000</w:t>
            </w:r>
          </w:p>
        </w:tc>
        <w:tc>
          <w:tcPr>
            <w:tcW w:w="2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18,360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4,392,210</w:t>
            </w:r>
          </w:p>
        </w:tc>
      </w:tr>
      <w:tr>
        <w:trPr>
          <w:trHeight w:val="237"/>
        </w:trPr>
        <w:tc>
          <w:tcPr>
            <w:tcW w:w="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Officer</w:t>
            </w: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2020</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600,000</w:t>
            </w:r>
          </w:p>
        </w:tc>
        <w:tc>
          <w:tcPr>
            <w:tcW w:w="940" w:type="dxa"/>
            <w:vAlign w:val="bottom"/>
            <w:tcBorders>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2,247,181 </w:t>
            </w:r>
            <w:r>
              <w:rPr>
                <w:rFonts w:ascii="Arial" w:cs="Arial" w:eastAsia="Arial" w:hAnsi="Arial"/>
                <w:sz w:val="27"/>
                <w:szCs w:val="27"/>
                <w:color w:val="auto"/>
                <w:vertAlign w:val="subscript"/>
              </w:rPr>
              <w:t>​</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1,425,000</w:t>
            </w:r>
          </w:p>
        </w:tc>
        <w:tc>
          <w:tcPr>
            <w:tcW w:w="2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18,060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4,290,241</w:t>
            </w:r>
          </w:p>
        </w:tc>
      </w:tr>
      <w:tr>
        <w:trPr>
          <w:trHeight w:val="291"/>
        </w:trPr>
        <w:tc>
          <w:tcPr>
            <w:tcW w:w="20" w:type="dxa"/>
            <w:vAlign w:val="bottom"/>
          </w:tcPr>
          <w:p>
            <w:pPr>
              <w:spacing w:after="0"/>
              <w:rPr>
                <w:sz w:val="24"/>
                <w:szCs w:val="24"/>
                <w:color w:val="auto"/>
              </w:rPr>
            </w:pPr>
          </w:p>
        </w:tc>
        <w:tc>
          <w:tcPr>
            <w:tcW w:w="120" w:type="dxa"/>
            <w:vAlign w:val="bottom"/>
            <w:tcBorders>
              <w:bottom w:val="single" w:sz="8" w:color="D9DCE1"/>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2400" w:type="dxa"/>
            <w:vAlign w:val="bottom"/>
            <w:tcBorders>
              <w:bottom w:val="single" w:sz="8" w:color="D9DCE1"/>
              <w:right w:val="single" w:sz="8" w:color="424E6A"/>
            </w:tcBorders>
            <w:shd w:val="clear" w:color="auto" w:fill="D9DCE1"/>
          </w:tcPr>
          <w:p>
            <w:pPr>
              <w:spacing w:after="0"/>
              <w:rPr>
                <w:sz w:val="24"/>
                <w:szCs w:val="24"/>
                <w:color w:val="auto"/>
              </w:rPr>
            </w:pPr>
          </w:p>
        </w:tc>
        <w:tc>
          <w:tcPr>
            <w:tcW w:w="56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660" w:type="dxa"/>
            <w:vAlign w:val="bottom"/>
            <w:tcBorders>
              <w:bottom w:val="single" w:sz="8" w:color="D9DCE1"/>
            </w:tcBorders>
            <w:shd w:val="clear" w:color="auto" w:fill="D9DCE1"/>
          </w:tcPr>
          <w:p>
            <w:pPr>
              <w:spacing w:after="0"/>
              <w:rPr>
                <w:sz w:val="24"/>
                <w:szCs w:val="24"/>
                <w:color w:val="auto"/>
              </w:rPr>
            </w:pPr>
          </w:p>
        </w:tc>
        <w:tc>
          <w:tcPr>
            <w:tcW w:w="80" w:type="dxa"/>
            <w:vAlign w:val="bottom"/>
            <w:tcBorders>
              <w:bottom w:val="single" w:sz="8" w:color="D9DCE1"/>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tcBorders>
            <w:shd w:val="clear" w:color="auto" w:fill="D9DCE1"/>
          </w:tcPr>
          <w:p>
            <w:pPr>
              <w:spacing w:after="0"/>
              <w:rPr>
                <w:sz w:val="24"/>
                <w:szCs w:val="24"/>
                <w:color w:val="auto"/>
              </w:rPr>
            </w:pPr>
          </w:p>
        </w:tc>
        <w:tc>
          <w:tcPr>
            <w:tcW w:w="20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tcBorders>
            <w:shd w:val="clear" w:color="auto" w:fill="D9DCE1"/>
          </w:tcPr>
          <w:p>
            <w:pPr>
              <w:ind w:left="140"/>
              <w:spacing w:after="0"/>
              <w:rPr>
                <w:sz w:val="20"/>
                <w:szCs w:val="20"/>
                <w:color w:val="auto"/>
              </w:rPr>
            </w:pPr>
            <w:r>
              <w:rPr>
                <w:rFonts w:ascii="Arial" w:cs="Arial" w:eastAsia="Arial" w:hAnsi="Arial"/>
                <w:sz w:val="14"/>
                <w:szCs w:val="14"/>
                <w:b w:val="1"/>
                <w:bCs w:val="1"/>
                <w:color w:val="FFFFFF"/>
              </w:rPr>
              <w:t>​</w:t>
            </w:r>
          </w:p>
        </w:tc>
        <w:tc>
          <w:tcPr>
            <w:tcW w:w="240" w:type="dxa"/>
            <w:vAlign w:val="bottom"/>
            <w:tcBorders>
              <w:bottom w:val="single" w:sz="8" w:color="D9DCE1"/>
              <w:right w:val="single" w:sz="8" w:color="424E6A"/>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r>
      <w:tr>
        <w:trPr>
          <w:trHeight w:val="236"/>
        </w:trPr>
        <w:tc>
          <w:tcPr>
            <w:tcW w:w="20" w:type="dxa"/>
            <w:vAlign w:val="bottom"/>
            <w:tcBorders>
              <w:top w:val="single" w:sz="8" w:color="424E6A"/>
              <w:bottom w:val="single" w:sz="8" w:color="424E6A"/>
            </w:tcBorders>
          </w:tcPr>
          <w:p>
            <w:pPr>
              <w:spacing w:after="0"/>
              <w:rPr>
                <w:sz w:val="20"/>
                <w:szCs w:val="20"/>
                <w:color w:val="auto"/>
              </w:rPr>
            </w:pPr>
          </w:p>
        </w:tc>
        <w:tc>
          <w:tcPr>
            <w:tcW w:w="2520" w:type="dxa"/>
            <w:vAlign w:val="bottom"/>
            <w:tcBorders>
              <w:top w:val="single" w:sz="8" w:color="424E6A"/>
              <w:bottom w:val="single" w:sz="8" w:color="424E6A"/>
              <w:right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Harry Pefanis</w:t>
            </w:r>
          </w:p>
        </w:tc>
        <w:tc>
          <w:tcPr>
            <w:tcW w:w="56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78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550,000</w:t>
            </w:r>
          </w:p>
        </w:tc>
        <w:tc>
          <w:tcPr>
            <w:tcW w:w="20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424E6A"/>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16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424E6A"/>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2,105,000</w:t>
            </w:r>
          </w:p>
        </w:tc>
        <w:tc>
          <w:tcPr>
            <w:tcW w:w="200" w:type="dxa"/>
            <w:vAlign w:val="bottom"/>
            <w:tcBorders>
              <w:top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424E6A"/>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19,140</w:t>
            </w:r>
          </w:p>
        </w:tc>
        <w:tc>
          <w:tcPr>
            <w:tcW w:w="240" w:type="dxa"/>
            <w:vAlign w:val="bottom"/>
            <w:tcBorders>
              <w:top w:val="single" w:sz="8" w:color="424E6A"/>
              <w:bottom w:val="single" w:sz="8" w:color="424E6A"/>
              <w:right w:val="single" w:sz="8" w:color="424E6A"/>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424E6A"/>
              <w:bottom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2,674,140</w:t>
            </w:r>
          </w:p>
        </w:tc>
      </w:tr>
      <w:tr>
        <w:trPr>
          <w:trHeight w:val="236"/>
        </w:trPr>
        <w:tc>
          <w:tcPr>
            <w:tcW w:w="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President</w:t>
            </w: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1,150,000</w:t>
            </w:r>
          </w:p>
        </w:tc>
        <w:tc>
          <w:tcPr>
            <w:tcW w:w="2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18,360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1,568,360</w:t>
            </w:r>
          </w:p>
        </w:tc>
      </w:tr>
      <w:tr>
        <w:trPr>
          <w:trHeight w:val="237"/>
        </w:trPr>
        <w:tc>
          <w:tcPr>
            <w:tcW w:w="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spacing w:after="0"/>
              <w:rPr>
                <w:sz w:val="20"/>
                <w:szCs w:val="20"/>
                <w:color w:val="auto"/>
              </w:rPr>
            </w:pP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2020</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950,000</w:t>
            </w:r>
          </w:p>
        </w:tc>
        <w:tc>
          <w:tcPr>
            <w:tcW w:w="2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18,060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1,368,060</w:t>
            </w:r>
          </w:p>
        </w:tc>
      </w:tr>
      <w:tr>
        <w:trPr>
          <w:trHeight w:val="291"/>
        </w:trPr>
        <w:tc>
          <w:tcPr>
            <w:tcW w:w="20" w:type="dxa"/>
            <w:vAlign w:val="bottom"/>
          </w:tcPr>
          <w:p>
            <w:pPr>
              <w:spacing w:after="0"/>
              <w:rPr>
                <w:sz w:val="24"/>
                <w:szCs w:val="24"/>
                <w:color w:val="auto"/>
              </w:rPr>
            </w:pPr>
          </w:p>
        </w:tc>
        <w:tc>
          <w:tcPr>
            <w:tcW w:w="120" w:type="dxa"/>
            <w:vAlign w:val="bottom"/>
            <w:tcBorders>
              <w:bottom w:val="single" w:sz="8" w:color="D9DCE1"/>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2400" w:type="dxa"/>
            <w:vAlign w:val="bottom"/>
            <w:tcBorders>
              <w:bottom w:val="single" w:sz="8" w:color="D9DCE1"/>
              <w:right w:val="single" w:sz="8" w:color="424E6A"/>
            </w:tcBorders>
            <w:shd w:val="clear" w:color="auto" w:fill="D9DCE1"/>
          </w:tcPr>
          <w:p>
            <w:pPr>
              <w:spacing w:after="0"/>
              <w:rPr>
                <w:sz w:val="24"/>
                <w:szCs w:val="24"/>
                <w:color w:val="auto"/>
              </w:rPr>
            </w:pPr>
          </w:p>
        </w:tc>
        <w:tc>
          <w:tcPr>
            <w:tcW w:w="56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660" w:type="dxa"/>
            <w:vAlign w:val="bottom"/>
            <w:tcBorders>
              <w:bottom w:val="single" w:sz="8" w:color="D9DCE1"/>
            </w:tcBorders>
            <w:shd w:val="clear" w:color="auto" w:fill="D9DCE1"/>
          </w:tcPr>
          <w:p>
            <w:pPr>
              <w:spacing w:after="0"/>
              <w:rPr>
                <w:sz w:val="24"/>
                <w:szCs w:val="24"/>
                <w:color w:val="auto"/>
              </w:rPr>
            </w:pPr>
          </w:p>
        </w:tc>
        <w:tc>
          <w:tcPr>
            <w:tcW w:w="80" w:type="dxa"/>
            <w:vAlign w:val="bottom"/>
            <w:tcBorders>
              <w:bottom w:val="single" w:sz="8" w:color="D9DCE1"/>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tcBorders>
            <w:shd w:val="clear" w:color="auto" w:fill="D9DCE1"/>
          </w:tcPr>
          <w:p>
            <w:pPr>
              <w:spacing w:after="0"/>
              <w:rPr>
                <w:sz w:val="24"/>
                <w:szCs w:val="24"/>
                <w:color w:val="auto"/>
              </w:rPr>
            </w:pPr>
          </w:p>
        </w:tc>
        <w:tc>
          <w:tcPr>
            <w:tcW w:w="20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tcBorders>
            <w:shd w:val="clear" w:color="auto" w:fill="D9DCE1"/>
          </w:tcPr>
          <w:p>
            <w:pPr>
              <w:ind w:left="140"/>
              <w:spacing w:after="0"/>
              <w:rPr>
                <w:sz w:val="20"/>
                <w:szCs w:val="20"/>
                <w:color w:val="auto"/>
              </w:rPr>
            </w:pPr>
            <w:r>
              <w:rPr>
                <w:rFonts w:ascii="Arial" w:cs="Arial" w:eastAsia="Arial" w:hAnsi="Arial"/>
                <w:sz w:val="14"/>
                <w:szCs w:val="14"/>
                <w:b w:val="1"/>
                <w:bCs w:val="1"/>
                <w:color w:val="FFFFFF"/>
              </w:rPr>
              <w:t>​</w:t>
            </w:r>
          </w:p>
        </w:tc>
        <w:tc>
          <w:tcPr>
            <w:tcW w:w="240" w:type="dxa"/>
            <w:vAlign w:val="bottom"/>
            <w:tcBorders>
              <w:bottom w:val="single" w:sz="8" w:color="D9DCE1"/>
              <w:right w:val="single" w:sz="8" w:color="424E6A"/>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r>
      <w:tr>
        <w:trPr>
          <w:trHeight w:val="236"/>
        </w:trPr>
        <w:tc>
          <w:tcPr>
            <w:tcW w:w="20" w:type="dxa"/>
            <w:vAlign w:val="bottom"/>
            <w:tcBorders>
              <w:top w:val="single" w:sz="8" w:color="424E6A"/>
              <w:bottom w:val="single" w:sz="8" w:color="424E6A"/>
            </w:tcBorders>
          </w:tcPr>
          <w:p>
            <w:pPr>
              <w:spacing w:after="0"/>
              <w:rPr>
                <w:sz w:val="20"/>
                <w:szCs w:val="20"/>
                <w:color w:val="auto"/>
              </w:rPr>
            </w:pPr>
          </w:p>
        </w:tc>
        <w:tc>
          <w:tcPr>
            <w:tcW w:w="2520" w:type="dxa"/>
            <w:vAlign w:val="bottom"/>
            <w:tcBorders>
              <w:top w:val="single" w:sz="8" w:color="424E6A"/>
              <w:bottom w:val="single" w:sz="8" w:color="424E6A"/>
              <w:right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Al Swanson</w:t>
            </w:r>
          </w:p>
        </w:tc>
        <w:tc>
          <w:tcPr>
            <w:tcW w:w="56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78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512,500</w:t>
            </w:r>
          </w:p>
        </w:tc>
        <w:tc>
          <w:tcPr>
            <w:tcW w:w="940" w:type="dxa"/>
            <w:vAlign w:val="bottom"/>
            <w:tcBorders>
              <w:top w:val="single" w:sz="8" w:color="424E6A"/>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1,237,005 </w:t>
            </w:r>
            <w:r>
              <w:rPr>
                <w:rFonts w:ascii="Arial" w:cs="Arial" w:eastAsia="Arial" w:hAnsi="Arial"/>
                <w:sz w:val="27"/>
                <w:szCs w:val="27"/>
                <w:color w:val="auto"/>
                <w:vertAlign w:val="subscript"/>
              </w:rPr>
              <w:t>​</w:t>
            </w:r>
          </w:p>
        </w:tc>
        <w:tc>
          <w:tcPr>
            <w:tcW w:w="16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424E6A"/>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1,450,000</w:t>
            </w:r>
          </w:p>
        </w:tc>
        <w:tc>
          <w:tcPr>
            <w:tcW w:w="200" w:type="dxa"/>
            <w:vAlign w:val="bottom"/>
            <w:tcBorders>
              <w:top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424E6A"/>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19,140</w:t>
            </w:r>
          </w:p>
        </w:tc>
        <w:tc>
          <w:tcPr>
            <w:tcW w:w="240" w:type="dxa"/>
            <w:vAlign w:val="bottom"/>
            <w:tcBorders>
              <w:top w:val="single" w:sz="8" w:color="424E6A"/>
              <w:bottom w:val="single" w:sz="8" w:color="424E6A"/>
              <w:right w:val="single" w:sz="8" w:color="424E6A"/>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424E6A"/>
              <w:bottom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3,218,645</w:t>
            </w:r>
          </w:p>
        </w:tc>
      </w:tr>
      <w:tr>
        <w:trPr>
          <w:trHeight w:val="236"/>
        </w:trPr>
        <w:tc>
          <w:tcPr>
            <w:tcW w:w="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Executive Vice President and</w:t>
            </w: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821,267</w:t>
            </w:r>
          </w:p>
        </w:tc>
        <w:tc>
          <w:tcPr>
            <w:tcW w:w="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980,000</w:t>
            </w:r>
          </w:p>
        </w:tc>
        <w:tc>
          <w:tcPr>
            <w:tcW w:w="2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18,360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2,219,627</w:t>
            </w:r>
          </w:p>
        </w:tc>
      </w:tr>
      <w:tr>
        <w:trPr>
          <w:trHeight w:val="237"/>
        </w:trPr>
        <w:tc>
          <w:tcPr>
            <w:tcW w:w="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Chief Financial Officer</w:t>
            </w: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2020</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898,896</w:t>
            </w:r>
          </w:p>
        </w:tc>
        <w:tc>
          <w:tcPr>
            <w:tcW w:w="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775,000</w:t>
            </w:r>
          </w:p>
        </w:tc>
        <w:tc>
          <w:tcPr>
            <w:tcW w:w="2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18,060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2,091,956</w:t>
            </w:r>
          </w:p>
        </w:tc>
      </w:tr>
      <w:tr>
        <w:trPr>
          <w:trHeight w:val="290"/>
        </w:trPr>
        <w:tc>
          <w:tcPr>
            <w:tcW w:w="20" w:type="dxa"/>
            <w:vAlign w:val="bottom"/>
          </w:tcPr>
          <w:p>
            <w:pPr>
              <w:spacing w:after="0"/>
              <w:rPr>
                <w:sz w:val="24"/>
                <w:szCs w:val="24"/>
                <w:color w:val="auto"/>
              </w:rPr>
            </w:pPr>
          </w:p>
        </w:tc>
        <w:tc>
          <w:tcPr>
            <w:tcW w:w="120" w:type="dxa"/>
            <w:vAlign w:val="bottom"/>
            <w:tcBorders>
              <w:bottom w:val="single" w:sz="8" w:color="D9DCE1"/>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2400" w:type="dxa"/>
            <w:vAlign w:val="bottom"/>
            <w:tcBorders>
              <w:bottom w:val="single" w:sz="8" w:color="D9DCE1"/>
              <w:right w:val="single" w:sz="8" w:color="424E6A"/>
            </w:tcBorders>
            <w:shd w:val="clear" w:color="auto" w:fill="D9DCE1"/>
          </w:tcPr>
          <w:p>
            <w:pPr>
              <w:spacing w:after="0"/>
              <w:rPr>
                <w:sz w:val="24"/>
                <w:szCs w:val="24"/>
                <w:color w:val="auto"/>
              </w:rPr>
            </w:pPr>
          </w:p>
        </w:tc>
        <w:tc>
          <w:tcPr>
            <w:tcW w:w="56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660" w:type="dxa"/>
            <w:vAlign w:val="bottom"/>
            <w:tcBorders>
              <w:bottom w:val="single" w:sz="8" w:color="D9DCE1"/>
            </w:tcBorders>
            <w:shd w:val="clear" w:color="auto" w:fill="D9DCE1"/>
          </w:tcPr>
          <w:p>
            <w:pPr>
              <w:spacing w:after="0"/>
              <w:rPr>
                <w:sz w:val="24"/>
                <w:szCs w:val="24"/>
                <w:color w:val="auto"/>
              </w:rPr>
            </w:pPr>
          </w:p>
        </w:tc>
        <w:tc>
          <w:tcPr>
            <w:tcW w:w="80" w:type="dxa"/>
            <w:vAlign w:val="bottom"/>
            <w:tcBorders>
              <w:bottom w:val="single" w:sz="8" w:color="D9DCE1"/>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tcBorders>
            <w:shd w:val="clear" w:color="auto" w:fill="D9DCE1"/>
          </w:tcPr>
          <w:p>
            <w:pPr>
              <w:spacing w:after="0"/>
              <w:rPr>
                <w:sz w:val="24"/>
                <w:szCs w:val="24"/>
                <w:color w:val="auto"/>
              </w:rPr>
            </w:pPr>
          </w:p>
        </w:tc>
        <w:tc>
          <w:tcPr>
            <w:tcW w:w="20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tcBorders>
            <w:shd w:val="clear" w:color="auto" w:fill="D9DCE1"/>
          </w:tcPr>
          <w:p>
            <w:pPr>
              <w:ind w:left="140"/>
              <w:spacing w:after="0"/>
              <w:rPr>
                <w:sz w:val="20"/>
                <w:szCs w:val="20"/>
                <w:color w:val="auto"/>
              </w:rPr>
            </w:pPr>
            <w:r>
              <w:rPr>
                <w:rFonts w:ascii="Arial" w:cs="Arial" w:eastAsia="Arial" w:hAnsi="Arial"/>
                <w:sz w:val="14"/>
                <w:szCs w:val="14"/>
                <w:b w:val="1"/>
                <w:bCs w:val="1"/>
                <w:color w:val="FFFFFF"/>
              </w:rPr>
              <w:t>​</w:t>
            </w:r>
          </w:p>
        </w:tc>
        <w:tc>
          <w:tcPr>
            <w:tcW w:w="240" w:type="dxa"/>
            <w:vAlign w:val="bottom"/>
            <w:tcBorders>
              <w:bottom w:val="single" w:sz="8" w:color="D9DCE1"/>
              <w:right w:val="single" w:sz="8" w:color="424E6A"/>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r>
      <w:tr>
        <w:trPr>
          <w:trHeight w:val="237"/>
        </w:trPr>
        <w:tc>
          <w:tcPr>
            <w:tcW w:w="20" w:type="dxa"/>
            <w:vAlign w:val="bottom"/>
            <w:tcBorders>
              <w:top w:val="single" w:sz="8" w:color="424E6A"/>
              <w:bottom w:val="single" w:sz="8" w:color="424E6A"/>
            </w:tcBorders>
          </w:tcPr>
          <w:p>
            <w:pPr>
              <w:spacing w:after="0"/>
              <w:rPr>
                <w:sz w:val="20"/>
                <w:szCs w:val="20"/>
                <w:color w:val="auto"/>
              </w:rPr>
            </w:pPr>
          </w:p>
        </w:tc>
        <w:tc>
          <w:tcPr>
            <w:tcW w:w="2520" w:type="dxa"/>
            <w:vAlign w:val="bottom"/>
            <w:tcBorders>
              <w:top w:val="single" w:sz="8" w:color="424E6A"/>
              <w:bottom w:val="single" w:sz="8" w:color="424E6A"/>
              <w:right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Richard McGee</w:t>
            </w:r>
          </w:p>
        </w:tc>
        <w:tc>
          <w:tcPr>
            <w:tcW w:w="56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78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512,500</w:t>
            </w:r>
          </w:p>
        </w:tc>
        <w:tc>
          <w:tcPr>
            <w:tcW w:w="940" w:type="dxa"/>
            <w:vAlign w:val="bottom"/>
            <w:tcBorders>
              <w:top w:val="single" w:sz="8" w:color="424E6A"/>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1,237,005 </w:t>
            </w:r>
            <w:r>
              <w:rPr>
                <w:rFonts w:ascii="Arial" w:cs="Arial" w:eastAsia="Arial" w:hAnsi="Arial"/>
                <w:sz w:val="27"/>
                <w:szCs w:val="27"/>
                <w:color w:val="auto"/>
                <w:vertAlign w:val="subscript"/>
              </w:rPr>
              <w:t>​</w:t>
            </w:r>
          </w:p>
        </w:tc>
        <w:tc>
          <w:tcPr>
            <w:tcW w:w="16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424E6A"/>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1,515,000</w:t>
            </w:r>
          </w:p>
        </w:tc>
        <w:tc>
          <w:tcPr>
            <w:tcW w:w="200" w:type="dxa"/>
            <w:vAlign w:val="bottom"/>
            <w:tcBorders>
              <w:top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424E6A"/>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19,140</w:t>
            </w:r>
          </w:p>
        </w:tc>
        <w:tc>
          <w:tcPr>
            <w:tcW w:w="240" w:type="dxa"/>
            <w:vAlign w:val="bottom"/>
            <w:tcBorders>
              <w:top w:val="single" w:sz="8" w:color="424E6A"/>
              <w:bottom w:val="single" w:sz="8" w:color="424E6A"/>
              <w:right w:val="single" w:sz="8" w:color="424E6A"/>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424E6A"/>
              <w:bottom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3,283,645</w:t>
            </w:r>
          </w:p>
        </w:tc>
      </w:tr>
      <w:tr>
        <w:trPr>
          <w:trHeight w:val="236"/>
        </w:trPr>
        <w:tc>
          <w:tcPr>
            <w:tcW w:w="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Executive Vice President,</w:t>
            </w: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821,267</w:t>
            </w:r>
          </w:p>
        </w:tc>
        <w:tc>
          <w:tcPr>
            <w:tcW w:w="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1,050,000</w:t>
            </w:r>
          </w:p>
        </w:tc>
        <w:tc>
          <w:tcPr>
            <w:tcW w:w="2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18,360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2,289,627</w:t>
            </w:r>
          </w:p>
        </w:tc>
      </w:tr>
      <w:tr>
        <w:trPr>
          <w:trHeight w:val="195"/>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Borders>
              <w:right w:val="single" w:sz="8" w:color="424E6A"/>
            </w:tcBorders>
          </w:tcPr>
          <w:p>
            <w:pPr>
              <w:ind w:left="80"/>
              <w:spacing w:after="0"/>
              <w:rPr>
                <w:sz w:val="20"/>
                <w:szCs w:val="20"/>
                <w:color w:val="auto"/>
              </w:rPr>
            </w:pPr>
            <w:r>
              <w:rPr>
                <w:rFonts w:ascii="Arial" w:cs="Arial" w:eastAsia="Arial" w:hAnsi="Arial"/>
                <w:sz w:val="16"/>
                <w:szCs w:val="16"/>
                <w:color w:val="auto"/>
              </w:rPr>
              <w:t>General Counsel and</w:t>
            </w:r>
          </w:p>
        </w:tc>
        <w:tc>
          <w:tcPr>
            <w:tcW w:w="560" w:type="dxa"/>
            <w:vAlign w:val="bottom"/>
            <w:tcBorders>
              <w:right w:val="single" w:sz="8" w:color="424E6A"/>
            </w:tcBorders>
          </w:tcPr>
          <w:p>
            <w:pPr>
              <w:spacing w:after="0"/>
              <w:rPr>
                <w:sz w:val="16"/>
                <w:szCs w:val="16"/>
                <w:color w:val="auto"/>
              </w:rPr>
            </w:pPr>
          </w:p>
        </w:tc>
        <w:tc>
          <w:tcPr>
            <w:tcW w:w="780" w:type="dxa"/>
            <w:vAlign w:val="bottom"/>
            <w:tcBorders>
              <w:right w:val="single" w:sz="8" w:color="424E6A"/>
            </w:tcBorders>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Borders>
              <w:right w:val="single" w:sz="8" w:color="424E6A"/>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Borders>
              <w:right w:val="single" w:sz="8" w:color="424E6A"/>
            </w:tcBorders>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Borders>
              <w:right w:val="single" w:sz="8" w:color="424E6A"/>
            </w:tcBorders>
          </w:tcPr>
          <w:p>
            <w:pPr>
              <w:spacing w:after="0"/>
              <w:rPr>
                <w:sz w:val="16"/>
                <w:szCs w:val="16"/>
                <w:color w:val="auto"/>
              </w:rPr>
            </w:pPr>
          </w:p>
        </w:tc>
        <w:tc>
          <w:tcPr>
            <w:tcW w:w="900" w:type="dxa"/>
            <w:vAlign w:val="bottom"/>
          </w:tcPr>
          <w:p>
            <w:pPr>
              <w:spacing w:after="0"/>
              <w:rPr>
                <w:sz w:val="16"/>
                <w:szCs w:val="16"/>
                <w:color w:val="auto"/>
              </w:rPr>
            </w:pPr>
          </w:p>
        </w:tc>
      </w:tr>
      <w:tr>
        <w:trPr>
          <w:trHeight w:val="230"/>
        </w:trPr>
        <w:tc>
          <w:tcPr>
            <w:tcW w:w="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Secretary</w:t>
            </w:r>
          </w:p>
        </w:tc>
        <w:tc>
          <w:tcPr>
            <w:tcW w:w="56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​2020</w:t>
            </w:r>
          </w:p>
        </w:tc>
        <w:tc>
          <w:tcPr>
            <w:tcW w:w="78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​400,000</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898,896</w:t>
            </w:r>
          </w:p>
        </w:tc>
        <w:tc>
          <w:tcPr>
            <w:tcW w:w="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775,000</w:t>
            </w:r>
          </w:p>
        </w:tc>
        <w:tc>
          <w:tcPr>
            <w:tcW w:w="2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24E6A"/>
            </w:tcBorders>
          </w:tcPr>
          <w:p>
            <w:pPr>
              <w:ind w:left="140"/>
              <w:spacing w:after="0"/>
              <w:rPr>
                <w:sz w:val="20"/>
                <w:szCs w:val="20"/>
                <w:color w:val="auto"/>
              </w:rPr>
            </w:pPr>
            <w:r>
              <w:rPr>
                <w:rFonts w:ascii="Arial" w:cs="Arial" w:eastAsia="Arial" w:hAnsi="Arial"/>
                <w:sz w:val="16"/>
                <w:szCs w:val="16"/>
                <w:color w:val="auto"/>
              </w:rPr>
              <w:t>​18,060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tcPr>
          <w:p>
            <w:pPr>
              <w:ind w:left="60"/>
              <w:spacing w:after="0"/>
              <w:rPr>
                <w:sz w:val="20"/>
                <w:szCs w:val="20"/>
                <w:color w:val="auto"/>
              </w:rPr>
            </w:pPr>
            <w:r>
              <w:rPr>
                <w:rFonts w:ascii="Arial" w:cs="Arial" w:eastAsia="Arial" w:hAnsi="Arial"/>
                <w:sz w:val="16"/>
                <w:szCs w:val="16"/>
                <w:color w:val="auto"/>
              </w:rPr>
              <w:t>​​2,091,956</w:t>
            </w:r>
          </w:p>
        </w:tc>
      </w:tr>
      <w:tr>
        <w:trPr>
          <w:trHeight w:val="291"/>
        </w:trPr>
        <w:tc>
          <w:tcPr>
            <w:tcW w:w="20" w:type="dxa"/>
            <w:vAlign w:val="bottom"/>
          </w:tcPr>
          <w:p>
            <w:pPr>
              <w:spacing w:after="0"/>
              <w:rPr>
                <w:sz w:val="24"/>
                <w:szCs w:val="24"/>
                <w:color w:val="auto"/>
              </w:rPr>
            </w:pPr>
          </w:p>
        </w:tc>
        <w:tc>
          <w:tcPr>
            <w:tcW w:w="120" w:type="dxa"/>
            <w:vAlign w:val="bottom"/>
            <w:tcBorders>
              <w:bottom w:val="single" w:sz="8" w:color="D9DCE1"/>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2400" w:type="dxa"/>
            <w:vAlign w:val="bottom"/>
            <w:tcBorders>
              <w:bottom w:val="single" w:sz="8" w:color="D9DCE1"/>
              <w:right w:val="single" w:sz="8" w:color="424E6A"/>
            </w:tcBorders>
            <w:shd w:val="clear" w:color="auto" w:fill="D9DCE1"/>
          </w:tcPr>
          <w:p>
            <w:pPr>
              <w:spacing w:after="0"/>
              <w:rPr>
                <w:sz w:val="24"/>
                <w:szCs w:val="24"/>
                <w:color w:val="auto"/>
              </w:rPr>
            </w:pPr>
          </w:p>
        </w:tc>
        <w:tc>
          <w:tcPr>
            <w:tcW w:w="56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660" w:type="dxa"/>
            <w:vAlign w:val="bottom"/>
            <w:tcBorders>
              <w:bottom w:val="single" w:sz="8" w:color="D9DCE1"/>
            </w:tcBorders>
            <w:shd w:val="clear" w:color="auto" w:fill="D9DCE1"/>
          </w:tcPr>
          <w:p>
            <w:pPr>
              <w:spacing w:after="0"/>
              <w:rPr>
                <w:sz w:val="24"/>
                <w:szCs w:val="24"/>
                <w:color w:val="auto"/>
              </w:rPr>
            </w:pPr>
          </w:p>
        </w:tc>
        <w:tc>
          <w:tcPr>
            <w:tcW w:w="80" w:type="dxa"/>
            <w:vAlign w:val="bottom"/>
            <w:tcBorders>
              <w:bottom w:val="single" w:sz="8" w:color="D9DCE1"/>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tcBorders>
            <w:shd w:val="clear" w:color="auto" w:fill="D9DCE1"/>
          </w:tcPr>
          <w:p>
            <w:pPr>
              <w:spacing w:after="0"/>
              <w:rPr>
                <w:sz w:val="24"/>
                <w:szCs w:val="24"/>
                <w:color w:val="auto"/>
              </w:rPr>
            </w:pPr>
          </w:p>
        </w:tc>
        <w:tc>
          <w:tcPr>
            <w:tcW w:w="20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tcBorders>
            <w:shd w:val="clear" w:color="auto" w:fill="D9DCE1"/>
          </w:tcPr>
          <w:p>
            <w:pPr>
              <w:ind w:left="140"/>
              <w:spacing w:after="0"/>
              <w:rPr>
                <w:sz w:val="20"/>
                <w:szCs w:val="20"/>
                <w:color w:val="auto"/>
              </w:rPr>
            </w:pPr>
            <w:r>
              <w:rPr>
                <w:rFonts w:ascii="Arial" w:cs="Arial" w:eastAsia="Arial" w:hAnsi="Arial"/>
                <w:sz w:val="14"/>
                <w:szCs w:val="14"/>
                <w:b w:val="1"/>
                <w:bCs w:val="1"/>
                <w:color w:val="FFFFFF"/>
              </w:rPr>
              <w:t>​</w:t>
            </w:r>
          </w:p>
        </w:tc>
        <w:tc>
          <w:tcPr>
            <w:tcW w:w="240" w:type="dxa"/>
            <w:vAlign w:val="bottom"/>
            <w:tcBorders>
              <w:bottom w:val="single" w:sz="8" w:color="D9DCE1"/>
              <w:right w:val="single" w:sz="8" w:color="424E6A"/>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r>
      <w:tr>
        <w:trPr>
          <w:trHeight w:val="237"/>
        </w:trPr>
        <w:tc>
          <w:tcPr>
            <w:tcW w:w="20" w:type="dxa"/>
            <w:vAlign w:val="bottom"/>
            <w:tcBorders>
              <w:top w:val="single" w:sz="8" w:color="424E6A"/>
              <w:bottom w:val="single" w:sz="8" w:color="424E6A"/>
            </w:tcBorders>
          </w:tcPr>
          <w:p>
            <w:pPr>
              <w:spacing w:after="0"/>
              <w:rPr>
                <w:sz w:val="20"/>
                <w:szCs w:val="20"/>
                <w:color w:val="auto"/>
              </w:rPr>
            </w:pPr>
          </w:p>
        </w:tc>
        <w:tc>
          <w:tcPr>
            <w:tcW w:w="2520" w:type="dxa"/>
            <w:vAlign w:val="bottom"/>
            <w:tcBorders>
              <w:top w:val="single" w:sz="8" w:color="424E6A"/>
              <w:bottom w:val="single" w:sz="8" w:color="424E6A"/>
              <w:right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Chris Chandler</w:t>
            </w:r>
          </w:p>
        </w:tc>
        <w:tc>
          <w:tcPr>
            <w:tcW w:w="56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78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550,000</w:t>
            </w:r>
          </w:p>
        </w:tc>
        <w:tc>
          <w:tcPr>
            <w:tcW w:w="940" w:type="dxa"/>
            <w:vAlign w:val="bottom"/>
            <w:tcBorders>
              <w:top w:val="single" w:sz="8" w:color="424E6A"/>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4,081,569 </w:t>
            </w:r>
            <w:r>
              <w:rPr>
                <w:rFonts w:ascii="Arial" w:cs="Arial" w:eastAsia="Arial" w:hAnsi="Arial"/>
                <w:sz w:val="27"/>
                <w:szCs w:val="27"/>
                <w:color w:val="auto"/>
                <w:vertAlign w:val="subscript"/>
              </w:rPr>
              <w:t>​</w:t>
            </w:r>
          </w:p>
        </w:tc>
        <w:tc>
          <w:tcPr>
            <w:tcW w:w="16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424E6A"/>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1,730,000</w:t>
            </w:r>
          </w:p>
        </w:tc>
        <w:tc>
          <w:tcPr>
            <w:tcW w:w="200" w:type="dxa"/>
            <w:vAlign w:val="bottom"/>
            <w:tcBorders>
              <w:top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424E6A"/>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19,140</w:t>
            </w:r>
          </w:p>
        </w:tc>
        <w:tc>
          <w:tcPr>
            <w:tcW w:w="240" w:type="dxa"/>
            <w:vAlign w:val="bottom"/>
            <w:tcBorders>
              <w:top w:val="single" w:sz="8" w:color="424E6A"/>
              <w:bottom w:val="single" w:sz="8" w:color="424E6A"/>
              <w:right w:val="single" w:sz="8" w:color="424E6A"/>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424E6A"/>
              <w:bottom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6,380,709</w:t>
            </w:r>
          </w:p>
        </w:tc>
      </w:tr>
      <w:tr>
        <w:trPr>
          <w:trHeight w:val="236"/>
        </w:trPr>
        <w:tc>
          <w:tcPr>
            <w:tcW w:w="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Executive Vice President and</w:t>
            </w: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821,267</w:t>
            </w:r>
          </w:p>
        </w:tc>
        <w:tc>
          <w:tcPr>
            <w:tcW w:w="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1,010,000</w:t>
            </w:r>
          </w:p>
        </w:tc>
        <w:tc>
          <w:tcPr>
            <w:tcW w:w="2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18,360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2,249,627</w:t>
            </w:r>
          </w:p>
        </w:tc>
      </w:tr>
      <w:tr>
        <w:trPr>
          <w:trHeight w:val="237"/>
        </w:trPr>
        <w:tc>
          <w:tcPr>
            <w:tcW w:w="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Chief Operating Officer</w:t>
            </w: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2020</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898,896</w:t>
            </w:r>
          </w:p>
        </w:tc>
        <w:tc>
          <w:tcPr>
            <w:tcW w:w="8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800,000</w:t>
            </w:r>
          </w:p>
        </w:tc>
        <w:tc>
          <w:tcPr>
            <w:tcW w:w="2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18,060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2,116,956</w:t>
            </w:r>
          </w:p>
        </w:tc>
      </w:tr>
      <w:tr>
        <w:trPr>
          <w:trHeight w:val="290"/>
        </w:trPr>
        <w:tc>
          <w:tcPr>
            <w:tcW w:w="20" w:type="dxa"/>
            <w:vAlign w:val="bottom"/>
          </w:tcPr>
          <w:p>
            <w:pPr>
              <w:spacing w:after="0"/>
              <w:rPr>
                <w:sz w:val="24"/>
                <w:szCs w:val="24"/>
                <w:color w:val="auto"/>
              </w:rPr>
            </w:pPr>
          </w:p>
        </w:tc>
        <w:tc>
          <w:tcPr>
            <w:tcW w:w="120" w:type="dxa"/>
            <w:vAlign w:val="bottom"/>
            <w:tcBorders>
              <w:bottom w:val="single" w:sz="8" w:color="D9DCE1"/>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2400" w:type="dxa"/>
            <w:vAlign w:val="bottom"/>
            <w:tcBorders>
              <w:bottom w:val="single" w:sz="8" w:color="D9DCE1"/>
              <w:right w:val="single" w:sz="8" w:color="424E6A"/>
            </w:tcBorders>
            <w:shd w:val="clear" w:color="auto" w:fill="D9DCE1"/>
          </w:tcPr>
          <w:p>
            <w:pPr>
              <w:spacing w:after="0"/>
              <w:rPr>
                <w:sz w:val="24"/>
                <w:szCs w:val="24"/>
                <w:color w:val="auto"/>
              </w:rPr>
            </w:pPr>
          </w:p>
        </w:tc>
        <w:tc>
          <w:tcPr>
            <w:tcW w:w="56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660" w:type="dxa"/>
            <w:vAlign w:val="bottom"/>
            <w:tcBorders>
              <w:bottom w:val="single" w:sz="8" w:color="D9DCE1"/>
            </w:tcBorders>
            <w:shd w:val="clear" w:color="auto" w:fill="D9DCE1"/>
          </w:tcPr>
          <w:p>
            <w:pPr>
              <w:spacing w:after="0"/>
              <w:rPr>
                <w:sz w:val="24"/>
                <w:szCs w:val="24"/>
                <w:color w:val="auto"/>
              </w:rPr>
            </w:pPr>
          </w:p>
        </w:tc>
        <w:tc>
          <w:tcPr>
            <w:tcW w:w="80" w:type="dxa"/>
            <w:vAlign w:val="bottom"/>
            <w:tcBorders>
              <w:bottom w:val="single" w:sz="8" w:color="D9DCE1"/>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tcBorders>
            <w:shd w:val="clear" w:color="auto" w:fill="D9DCE1"/>
          </w:tcPr>
          <w:p>
            <w:pPr>
              <w:spacing w:after="0"/>
              <w:rPr>
                <w:sz w:val="24"/>
                <w:szCs w:val="24"/>
                <w:color w:val="auto"/>
              </w:rPr>
            </w:pPr>
          </w:p>
        </w:tc>
        <w:tc>
          <w:tcPr>
            <w:tcW w:w="20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tcBorders>
            <w:shd w:val="clear" w:color="auto" w:fill="D9DCE1"/>
          </w:tcPr>
          <w:p>
            <w:pPr>
              <w:ind w:left="140"/>
              <w:spacing w:after="0"/>
              <w:rPr>
                <w:sz w:val="20"/>
                <w:szCs w:val="20"/>
                <w:color w:val="auto"/>
              </w:rPr>
            </w:pPr>
            <w:r>
              <w:rPr>
                <w:rFonts w:ascii="Arial" w:cs="Arial" w:eastAsia="Arial" w:hAnsi="Arial"/>
                <w:sz w:val="14"/>
                <w:szCs w:val="14"/>
                <w:b w:val="1"/>
                <w:bCs w:val="1"/>
                <w:color w:val="FFFFFF"/>
              </w:rPr>
              <w:t>​</w:t>
            </w:r>
          </w:p>
        </w:tc>
        <w:tc>
          <w:tcPr>
            <w:tcW w:w="240" w:type="dxa"/>
            <w:vAlign w:val="bottom"/>
            <w:tcBorders>
              <w:bottom w:val="single" w:sz="8" w:color="D9DCE1"/>
              <w:right w:val="single" w:sz="8" w:color="424E6A"/>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r>
      <w:tr>
        <w:trPr>
          <w:trHeight w:val="237"/>
        </w:trPr>
        <w:tc>
          <w:tcPr>
            <w:tcW w:w="20" w:type="dxa"/>
            <w:vAlign w:val="bottom"/>
            <w:tcBorders>
              <w:top w:val="single" w:sz="8" w:color="424E6A"/>
              <w:bottom w:val="single" w:sz="8" w:color="424E6A"/>
            </w:tcBorders>
          </w:tcPr>
          <w:p>
            <w:pPr>
              <w:spacing w:after="0"/>
              <w:rPr>
                <w:sz w:val="20"/>
                <w:szCs w:val="20"/>
                <w:color w:val="auto"/>
              </w:rPr>
            </w:pPr>
          </w:p>
        </w:tc>
        <w:tc>
          <w:tcPr>
            <w:tcW w:w="2520" w:type="dxa"/>
            <w:vAlign w:val="bottom"/>
            <w:tcBorders>
              <w:top w:val="single" w:sz="8" w:color="424E6A"/>
              <w:bottom w:val="single" w:sz="8" w:color="424E6A"/>
              <w:right w:val="single" w:sz="8" w:color="424E6A"/>
            </w:tcBorders>
            <w:gridSpan w:val="2"/>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Jeremy Goebel</w:t>
            </w:r>
          </w:p>
        </w:tc>
        <w:tc>
          <w:tcPr>
            <w:tcW w:w="56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78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550,000</w:t>
            </w:r>
          </w:p>
        </w:tc>
        <w:tc>
          <w:tcPr>
            <w:tcW w:w="940" w:type="dxa"/>
            <w:vAlign w:val="bottom"/>
            <w:tcBorders>
              <w:top w:val="single" w:sz="8" w:color="424E6A"/>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4,081,569 </w:t>
            </w:r>
            <w:r>
              <w:rPr>
                <w:rFonts w:ascii="Arial" w:cs="Arial" w:eastAsia="Arial" w:hAnsi="Arial"/>
                <w:sz w:val="27"/>
                <w:szCs w:val="27"/>
                <w:color w:val="auto"/>
                <w:vertAlign w:val="subscript"/>
              </w:rPr>
              <w:t>​</w:t>
            </w:r>
          </w:p>
        </w:tc>
        <w:tc>
          <w:tcPr>
            <w:tcW w:w="16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424E6A"/>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1,730,000</w:t>
            </w:r>
          </w:p>
        </w:tc>
        <w:tc>
          <w:tcPr>
            <w:tcW w:w="200" w:type="dxa"/>
            <w:vAlign w:val="bottom"/>
            <w:tcBorders>
              <w:top w:val="single" w:sz="8" w:color="424E6A"/>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424E6A"/>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19,140</w:t>
            </w:r>
          </w:p>
        </w:tc>
        <w:tc>
          <w:tcPr>
            <w:tcW w:w="240" w:type="dxa"/>
            <w:vAlign w:val="bottom"/>
            <w:tcBorders>
              <w:top w:val="single" w:sz="8" w:color="424E6A"/>
              <w:bottom w:val="single" w:sz="8" w:color="424E6A"/>
              <w:right w:val="single" w:sz="8" w:color="424E6A"/>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424E6A"/>
              <w:bottom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6,380,709</w:t>
            </w:r>
          </w:p>
        </w:tc>
      </w:tr>
      <w:tr>
        <w:trPr>
          <w:trHeight w:val="236"/>
        </w:trPr>
        <w:tc>
          <w:tcPr>
            <w:tcW w:w="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Executive Vice President and</w:t>
            </w: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14"/>
                <w:szCs w:val="14"/>
                <w:color w:val="auto"/>
              </w:rPr>
              <w:t xml:space="preserve">821,267 </w:t>
            </w:r>
            <w:r>
              <w:rPr>
                <w:rFonts w:ascii="Arial" w:cs="Arial" w:eastAsia="Arial" w:hAnsi="Arial"/>
                <w:sz w:val="27"/>
                <w:szCs w:val="27"/>
                <w:color w:val="auto"/>
                <w:vertAlign w:val="subscript"/>
              </w:rPr>
              <w:t>​</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1,170,000</w:t>
            </w:r>
          </w:p>
        </w:tc>
        <w:tc>
          <w:tcPr>
            <w:tcW w:w="2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18,360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2,409,627</w:t>
            </w:r>
          </w:p>
        </w:tc>
      </w:tr>
      <w:tr>
        <w:trPr>
          <w:trHeight w:val="237"/>
        </w:trPr>
        <w:tc>
          <w:tcPr>
            <w:tcW w:w="2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Chief Commercial Officer</w:t>
            </w: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2020</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14"/>
                <w:szCs w:val="14"/>
                <w:color w:val="auto"/>
              </w:rPr>
              <w:t xml:space="preserve">898,896 </w:t>
            </w:r>
            <w:r>
              <w:rPr>
                <w:rFonts w:ascii="Arial" w:cs="Arial" w:eastAsia="Arial" w:hAnsi="Arial"/>
                <w:sz w:val="27"/>
                <w:szCs w:val="27"/>
                <w:color w:val="auto"/>
                <w:vertAlign w:val="subscript"/>
              </w:rPr>
              <w:t>​</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800,000</w:t>
            </w:r>
          </w:p>
        </w:tc>
        <w:tc>
          <w:tcPr>
            <w:tcW w:w="2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24E6A"/>
            </w:tcBorders>
          </w:tcPr>
          <w:p>
            <w:pPr>
              <w:ind w:left="1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18,060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2,116,956</w:t>
            </w:r>
          </w:p>
        </w:tc>
      </w:tr>
    </w:tbl>
    <w:p>
      <w:pPr>
        <w:spacing w:after="0" w:line="157" w:lineRule="exact"/>
        <w:rPr>
          <w:sz w:val="20"/>
          <w:szCs w:val="20"/>
          <w:color w:val="auto"/>
        </w:rPr>
      </w:pPr>
    </w:p>
    <w:p>
      <w:pPr>
        <w:ind w:left="1620" w:right="619" w:hanging="360"/>
        <w:spacing w:after="0" w:line="222" w:lineRule="auto"/>
        <w:tabs>
          <w:tab w:leader="none" w:pos="1620" w:val="left"/>
        </w:tabs>
        <w:numPr>
          <w:ilvl w:val="0"/>
          <w:numId w:val="58"/>
        </w:numPr>
        <w:rPr>
          <w:rFonts w:ascii="Arial" w:cs="Arial" w:eastAsia="Arial" w:hAnsi="Arial"/>
          <w:sz w:val="27"/>
          <w:szCs w:val="27"/>
          <w:color w:val="auto"/>
          <w:vertAlign w:val="superscript"/>
        </w:rPr>
      </w:pPr>
      <w:r>
        <w:rPr>
          <w:rFonts w:ascii="Arial" w:cs="Arial" w:eastAsia="Arial" w:hAnsi="Arial"/>
          <w:sz w:val="18"/>
          <w:szCs w:val="18"/>
          <w:color w:val="auto"/>
        </w:rPr>
        <w:t>As discussed above in CD&amp;A, NEO base salaries were increased effective April 1, 2022. Salary amounts in the table reflect the total salary earned by each NEO in 2022, taking into account this increase for the applicable portion of 2022.</w:t>
      </w:r>
    </w:p>
    <w:p>
      <w:pPr>
        <w:spacing w:after="0" w:line="58" w:lineRule="exact"/>
        <w:rPr>
          <w:rFonts w:ascii="Arial" w:cs="Arial" w:eastAsia="Arial" w:hAnsi="Arial"/>
          <w:sz w:val="27"/>
          <w:szCs w:val="27"/>
          <w:color w:val="auto"/>
          <w:vertAlign w:val="superscript"/>
        </w:rPr>
      </w:pPr>
    </w:p>
    <w:p>
      <w:pPr>
        <w:ind w:left="1620" w:right="419" w:hanging="360"/>
        <w:spacing w:after="0" w:line="260" w:lineRule="auto"/>
        <w:tabs>
          <w:tab w:leader="none" w:pos="1620" w:val="left"/>
        </w:tabs>
        <w:numPr>
          <w:ilvl w:val="0"/>
          <w:numId w:val="58"/>
        </w:numPr>
        <w:rPr>
          <w:rFonts w:ascii="Arial" w:cs="Arial" w:eastAsia="Arial" w:hAnsi="Arial"/>
          <w:sz w:val="26"/>
          <w:szCs w:val="26"/>
          <w:color w:val="auto"/>
          <w:vertAlign w:val="superscript"/>
        </w:rPr>
      </w:pPr>
      <w:r>
        <w:rPr>
          <w:rFonts w:ascii="Arial" w:cs="Arial" w:eastAsia="Arial" w:hAnsi="Arial"/>
          <w:sz w:val="17"/>
          <w:szCs w:val="17"/>
          <w:color w:val="auto"/>
        </w:rPr>
        <w:t>Grant date fair values are presented for (i) phantom unit grants awarded to Messrs. Chiang, Swanson, McGee, Chandler and Goebel in August 2020, 2021 and 2022, and (ii) a portion of phantom unit grants awarded to Messrs. Chandler and Goebel in November 2019, which were amended in February 2022. Dollar amounts in the table represent the aggregate fair value of phantom units awarded based on the probable outcome of underlying performance conditions pursuant to FASB ASC Topic 718. See Note 18 to our Consolidated Financial Statements included in our 2022 Annual Report for further discussion regarding the calculation of grant date fair values. For phantom unit grants awarded to Messrs. Chandler and Goebel in November 2019, 50% were deemed probable of vesting on the grant date. The probability-based fair value of the phantom unit grants awarded in November 2019 was $3,901,500; the maximum fair value of phantom unit grants awarded in November 2019, assuming that the highest level of performance conditions will</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99"/>
        <w:spacing w:after="0" w:line="255" w:lineRule="auto"/>
        <w:rPr>
          <w:sz w:val="20"/>
          <w:szCs w:val="20"/>
          <w:color w:val="auto"/>
        </w:rPr>
      </w:pPr>
      <w:r>
        <w:rPr>
          <w:rFonts w:ascii="Arial" w:cs="Arial" w:eastAsia="Arial" w:hAnsi="Arial"/>
          <w:sz w:val="18"/>
          <w:szCs w:val="18"/>
          <w:color w:val="auto"/>
        </w:rPr>
        <w:t>be met, was $6,865,000 for each of Messrs. Chandler and Goebel. The November 2019 phantom unit grants were amended in February 2022 to replace the original DCF/CUE metric in the performance-based portion of the award with a relative TSR metric. As a result of the amendment, 100% of the grants were deemed probable of vesting on the amendment date. The amounts presented for each of Messrs. Chandler and Goebel for 2022 include aggregate incremental fair value of $2,486,671 resulting from the amendment of the performance-based portion of the November 2019 awards. The incremental fair value represents the net increase in fair value of the amended awards relative to the fair value on the original grant date.</w:t>
      </w:r>
    </w:p>
    <w:p>
      <w:pPr>
        <w:spacing w:after="0" w:line="9" w:lineRule="exact"/>
        <w:rPr>
          <w:sz w:val="20"/>
          <w:szCs w:val="20"/>
          <w:color w:val="auto"/>
        </w:rPr>
      </w:pPr>
    </w:p>
    <w:p>
      <w:pPr>
        <w:ind w:left="1620" w:right="419"/>
        <w:spacing w:after="0" w:line="262" w:lineRule="auto"/>
        <w:rPr>
          <w:sz w:val="20"/>
          <w:szCs w:val="20"/>
          <w:color w:val="auto"/>
        </w:rPr>
      </w:pPr>
      <w:r>
        <w:rPr>
          <w:rFonts w:ascii="Arial" w:cs="Arial" w:eastAsia="Arial" w:hAnsi="Arial"/>
          <w:sz w:val="18"/>
          <w:szCs w:val="18"/>
          <w:color w:val="auto"/>
        </w:rPr>
        <w:t>For phantom unit grants awarded in August 2020, 75% were deemed probable of vesting on the grant date. The maximum fair value of phantom unit grants awarded in August 2020, assuming that the highest level of performance conditions will be met, was $4,494,363 for Mr. Chiang and $1,797,793 for each of Messrs. Swanson, McGee, Chandler and Goebel.</w:t>
      </w:r>
    </w:p>
    <w:p>
      <w:pPr>
        <w:spacing w:after="0" w:line="1" w:lineRule="exact"/>
        <w:rPr>
          <w:sz w:val="20"/>
          <w:szCs w:val="20"/>
          <w:color w:val="auto"/>
        </w:rPr>
      </w:pPr>
    </w:p>
    <w:p>
      <w:pPr>
        <w:ind w:left="1620" w:right="419"/>
        <w:spacing w:after="0" w:line="258" w:lineRule="auto"/>
        <w:rPr>
          <w:sz w:val="20"/>
          <w:szCs w:val="20"/>
          <w:color w:val="auto"/>
        </w:rPr>
      </w:pPr>
      <w:r>
        <w:rPr>
          <w:rFonts w:ascii="Arial" w:cs="Arial" w:eastAsia="Arial" w:hAnsi="Arial"/>
          <w:sz w:val="18"/>
          <w:szCs w:val="18"/>
          <w:color w:val="auto"/>
        </w:rPr>
        <w:t>For phantom unit grants awarded in August 2021, 75% were deemed probable of vesting on the grant date. The maximum fair value of phantom unit grants awarded in August 2021, assuming that the highest level of performance conditions will be met, was $2,738,466 for Mr. Chiang and $1,095,022 for each of Messrs. Swanson, McGee, Chandler and Goebel.</w:t>
      </w:r>
    </w:p>
    <w:p>
      <w:pPr>
        <w:spacing w:after="0" w:line="1" w:lineRule="exact"/>
        <w:rPr>
          <w:sz w:val="20"/>
          <w:szCs w:val="20"/>
          <w:color w:val="auto"/>
        </w:rPr>
      </w:pPr>
    </w:p>
    <w:p>
      <w:pPr>
        <w:ind w:left="1620" w:right="419"/>
        <w:spacing w:after="0" w:line="259" w:lineRule="auto"/>
        <w:rPr>
          <w:sz w:val="20"/>
          <w:szCs w:val="20"/>
          <w:color w:val="auto"/>
        </w:rPr>
      </w:pPr>
      <w:r>
        <w:rPr>
          <w:rFonts w:ascii="Arial" w:cs="Arial" w:eastAsia="Arial" w:hAnsi="Arial"/>
          <w:sz w:val="18"/>
          <w:szCs w:val="18"/>
          <w:color w:val="auto"/>
        </w:rPr>
        <w:t>For phantom unit grants awarded in August 2022, 75% were deemed probable of vesting on the grant date. The maximum fair value of phantom unit grants awarded in August 2022, assuming that the highest level of performance conditions will be met, was $7,854,000 for Mr. Chiang, $2,474,010 for each of Messrs. Swanson and McGee, and $3,189,795 for each of Messrs. Chandler and Goebel.</w:t>
      </w:r>
    </w:p>
    <w:p>
      <w:pPr>
        <w:spacing w:after="0" w:line="4" w:lineRule="exact"/>
        <w:rPr>
          <w:sz w:val="20"/>
          <w:szCs w:val="20"/>
          <w:color w:val="auto"/>
        </w:rPr>
      </w:pPr>
    </w:p>
    <w:p>
      <w:pPr>
        <w:jc w:val="both"/>
        <w:ind w:left="1620" w:right="479"/>
        <w:spacing w:after="0" w:line="268" w:lineRule="auto"/>
        <w:rPr>
          <w:sz w:val="20"/>
          <w:szCs w:val="20"/>
          <w:color w:val="auto"/>
        </w:rPr>
      </w:pPr>
      <w:r>
        <w:rPr>
          <w:rFonts w:ascii="Arial" w:cs="Arial" w:eastAsia="Arial" w:hAnsi="Arial"/>
          <w:sz w:val="18"/>
          <w:szCs w:val="18"/>
          <w:color w:val="auto"/>
        </w:rPr>
        <w:t>As referenced previously, Mr. Pefanis is a co-founder and substantial equity owner and for the last several years, despite being eligible for equity awards, has requested to not participate in the long-term incentive program.</w:t>
      </w:r>
    </w:p>
    <w:p>
      <w:pPr>
        <w:spacing w:after="0" w:line="22" w:lineRule="exact"/>
        <w:rPr>
          <w:sz w:val="20"/>
          <w:szCs w:val="20"/>
          <w:color w:val="auto"/>
        </w:rPr>
      </w:pPr>
    </w:p>
    <w:p>
      <w:pPr>
        <w:ind w:left="1620" w:right="459" w:hanging="360"/>
        <w:spacing w:after="0" w:line="228" w:lineRule="auto"/>
        <w:tabs>
          <w:tab w:leader="none" w:pos="162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GP LLC matches 100% of employees’ contributions to its 401(k) plan in cash, subject to certain limitations in the plan. All Other Compensation for 2022 includes $18,300 in matching contributions for each of the Named Executive Officers. The remaining amount represents premium payments on behalf of such Named Executive Officer for group term life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Grants of Plan-Based Awards Table</w:t>
      </w:r>
    </w:p>
    <w:p>
      <w:pPr>
        <w:spacing w:after="0" w:line="158" w:lineRule="exact"/>
        <w:rPr>
          <w:sz w:val="20"/>
          <w:szCs w:val="20"/>
          <w:color w:val="auto"/>
        </w:rPr>
      </w:pPr>
    </w:p>
    <w:p>
      <w:pPr>
        <w:ind w:left="1260" w:right="760" w:firstLine="360"/>
        <w:spacing w:after="0" w:line="287" w:lineRule="auto"/>
        <w:rPr>
          <w:sz w:val="20"/>
          <w:szCs w:val="20"/>
          <w:color w:val="auto"/>
        </w:rPr>
      </w:pPr>
      <w:r>
        <w:rPr>
          <w:rFonts w:ascii="Arial" w:cs="Arial" w:eastAsia="Arial" w:hAnsi="Arial"/>
          <w:sz w:val="18"/>
          <w:szCs w:val="18"/>
          <w:color w:val="auto"/>
        </w:rPr>
        <w:t>The following table sets forth summary information regarding all grants of plan-based awards made to our Named Executive Officers during the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109220</wp:posOffset>
            </wp:positionV>
            <wp:extent cx="43180" cy="677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677545"/>
                    </a:xfrm>
                    <a:prstGeom prst="rect">
                      <a:avLst/>
                    </a:prstGeom>
                    <a:noFill/>
                  </pic:spPr>
                </pic:pic>
              </a:graphicData>
            </a:graphic>
          </wp:anchor>
        </w:drawing>
      </w:r>
    </w:p>
    <w:p>
      <w:pPr>
        <w:spacing w:after="0" w:line="152" w:lineRule="exact"/>
        <w:rPr>
          <w:sz w:val="20"/>
          <w:szCs w:val="20"/>
          <w:color w:val="auto"/>
        </w:rPr>
      </w:pPr>
    </w:p>
    <w:tbl>
      <w:tblPr>
        <w:tblLayout w:type="fixed"/>
        <w:tblInd w:w="510" w:type="dxa"/>
        <w:tblCellMar>
          <w:top w:w="0" w:type="dxa"/>
          <w:left w:w="0" w:type="dxa"/>
          <w:bottom w:w="0" w:type="dxa"/>
          <w:right w:w="0" w:type="dxa"/>
        </w:tblCellMar>
      </w:tblPr>
      <w:tr>
        <w:trPr>
          <w:trHeight w:val="207"/>
        </w:trPr>
        <w:tc>
          <w:tcPr>
            <w:tcW w:w="1060" w:type="dxa"/>
            <w:vAlign w:val="bottom"/>
            <w:tcBorders>
              <w:lef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140" w:type="dxa"/>
            <w:vAlign w:val="bottom"/>
            <w:shd w:val="clear" w:color="auto" w:fill="424E6A"/>
          </w:tcPr>
          <w:p>
            <w:pPr>
              <w:spacing w:after="0"/>
              <w:rPr>
                <w:sz w:val="17"/>
                <w:szCs w:val="17"/>
                <w:color w:val="auto"/>
              </w:rPr>
            </w:pPr>
          </w:p>
        </w:tc>
        <w:tc>
          <w:tcPr>
            <w:tcW w:w="540" w:type="dxa"/>
            <w:vAlign w:val="bottom"/>
            <w:shd w:val="clear" w:color="auto" w:fill="424E6A"/>
          </w:tcPr>
          <w:p>
            <w:pPr>
              <w:spacing w:after="0"/>
              <w:rPr>
                <w:sz w:val="17"/>
                <w:szCs w:val="17"/>
                <w:color w:val="auto"/>
              </w:rPr>
            </w:pPr>
          </w:p>
        </w:tc>
        <w:tc>
          <w:tcPr>
            <w:tcW w:w="220" w:type="dxa"/>
            <w:vAlign w:val="bottom"/>
            <w:tcBorders>
              <w:right w:val="single" w:sz="8" w:color="424E6A"/>
            </w:tcBorders>
            <w:shd w:val="clear" w:color="auto" w:fill="424E6A"/>
          </w:tcPr>
          <w:p>
            <w:pPr>
              <w:spacing w:after="0"/>
              <w:rPr>
                <w:sz w:val="17"/>
                <w:szCs w:val="17"/>
                <w:color w:val="auto"/>
              </w:rPr>
            </w:pPr>
          </w:p>
        </w:tc>
        <w:tc>
          <w:tcPr>
            <w:tcW w:w="80" w:type="dxa"/>
            <w:vAlign w:val="bottom"/>
            <w:tcBorders>
              <w:left w:val="single" w:sz="8" w:color="424E6A"/>
            </w:tcBorders>
            <w:shd w:val="clear" w:color="auto" w:fill="424E6A"/>
          </w:tcPr>
          <w:p>
            <w:pPr>
              <w:spacing w:after="0"/>
              <w:rPr>
                <w:sz w:val="17"/>
                <w:szCs w:val="17"/>
                <w:color w:val="auto"/>
              </w:rPr>
            </w:pPr>
          </w:p>
        </w:tc>
        <w:tc>
          <w:tcPr>
            <w:tcW w:w="700" w:type="dxa"/>
            <w:vAlign w:val="bottom"/>
            <w:shd w:val="clear" w:color="auto" w:fill="424E6A"/>
          </w:tcPr>
          <w:p>
            <w:pPr>
              <w:spacing w:after="0"/>
              <w:rPr>
                <w:sz w:val="17"/>
                <w:szCs w:val="17"/>
                <w:color w:val="auto"/>
              </w:rPr>
            </w:pPr>
          </w:p>
        </w:tc>
        <w:tc>
          <w:tcPr>
            <w:tcW w:w="20" w:type="dxa"/>
            <w:vAlign w:val="bottom"/>
            <w:shd w:val="clear" w:color="auto" w:fill="424E6A"/>
          </w:tcPr>
          <w:p>
            <w:pPr>
              <w:spacing w:after="0"/>
              <w:rPr>
                <w:sz w:val="17"/>
                <w:szCs w:val="17"/>
                <w:color w:val="auto"/>
              </w:rPr>
            </w:pPr>
          </w:p>
        </w:tc>
        <w:tc>
          <w:tcPr>
            <w:tcW w:w="120" w:type="dxa"/>
            <w:vAlign w:val="bottom"/>
            <w:tcBorders>
              <w:right w:val="single" w:sz="8" w:color="424E6A"/>
            </w:tcBorders>
            <w:shd w:val="clear" w:color="auto" w:fill="424E6A"/>
          </w:tcPr>
          <w:p>
            <w:pPr>
              <w:spacing w:after="0"/>
              <w:rPr>
                <w:sz w:val="17"/>
                <w:szCs w:val="17"/>
                <w:color w:val="auto"/>
              </w:rPr>
            </w:pPr>
          </w:p>
        </w:tc>
        <w:tc>
          <w:tcPr>
            <w:tcW w:w="160" w:type="dxa"/>
            <w:vAlign w:val="bottom"/>
            <w:shd w:val="clear" w:color="auto" w:fill="424E6A"/>
          </w:tcPr>
          <w:p>
            <w:pPr>
              <w:spacing w:after="0"/>
              <w:rPr>
                <w:sz w:val="17"/>
                <w:szCs w:val="17"/>
                <w:color w:val="auto"/>
              </w:rPr>
            </w:pPr>
          </w:p>
        </w:tc>
        <w:tc>
          <w:tcPr>
            <w:tcW w:w="400" w:type="dxa"/>
            <w:vAlign w:val="bottom"/>
            <w:shd w:val="clear" w:color="auto" w:fill="424E6A"/>
          </w:tcPr>
          <w:p>
            <w:pPr>
              <w:spacing w:after="0"/>
              <w:rPr>
                <w:sz w:val="17"/>
                <w:szCs w:val="17"/>
                <w:color w:val="auto"/>
              </w:rPr>
            </w:pPr>
          </w:p>
        </w:tc>
        <w:tc>
          <w:tcPr>
            <w:tcW w:w="300" w:type="dxa"/>
            <w:vAlign w:val="bottom"/>
            <w:tcBorders>
              <w:right w:val="single" w:sz="8" w:color="424E6A"/>
            </w:tcBorders>
            <w:shd w:val="clear" w:color="auto" w:fill="424E6A"/>
          </w:tcPr>
          <w:p>
            <w:pPr>
              <w:spacing w:after="0"/>
              <w:rPr>
                <w:sz w:val="17"/>
                <w:szCs w:val="17"/>
                <w:color w:val="auto"/>
              </w:rPr>
            </w:pPr>
          </w:p>
        </w:tc>
        <w:tc>
          <w:tcPr>
            <w:tcW w:w="260" w:type="dxa"/>
            <w:vAlign w:val="bottom"/>
            <w:shd w:val="clear" w:color="auto" w:fill="424E6A"/>
          </w:tcPr>
          <w:p>
            <w:pPr>
              <w:spacing w:after="0"/>
              <w:rPr>
                <w:sz w:val="17"/>
                <w:szCs w:val="17"/>
                <w:color w:val="auto"/>
              </w:rPr>
            </w:pPr>
          </w:p>
        </w:tc>
        <w:tc>
          <w:tcPr>
            <w:tcW w:w="320" w:type="dxa"/>
            <w:vAlign w:val="bottom"/>
            <w:shd w:val="clear" w:color="auto" w:fill="424E6A"/>
          </w:tcPr>
          <w:p>
            <w:pPr>
              <w:spacing w:after="0"/>
              <w:rPr>
                <w:sz w:val="17"/>
                <w:szCs w:val="17"/>
                <w:color w:val="auto"/>
              </w:rPr>
            </w:pPr>
          </w:p>
        </w:tc>
        <w:tc>
          <w:tcPr>
            <w:tcW w:w="32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700" w:type="dxa"/>
            <w:vAlign w:val="bottom"/>
            <w:shd w:val="clear" w:color="auto" w:fill="424E6A"/>
          </w:tcPr>
          <w:p>
            <w:pPr>
              <w:spacing w:after="0"/>
              <w:rPr>
                <w:sz w:val="17"/>
                <w:szCs w:val="17"/>
                <w:color w:val="auto"/>
              </w:rPr>
            </w:pPr>
          </w:p>
        </w:tc>
        <w:tc>
          <w:tcPr>
            <w:tcW w:w="140" w:type="dxa"/>
            <w:vAlign w:val="bottom"/>
            <w:tcBorders>
              <w:right w:val="single" w:sz="8" w:color="424E6A"/>
            </w:tcBorders>
            <w:shd w:val="clear" w:color="auto" w:fill="424E6A"/>
          </w:tcPr>
          <w:p>
            <w:pPr>
              <w:spacing w:after="0"/>
              <w:rPr>
                <w:sz w:val="17"/>
                <w:szCs w:val="17"/>
                <w:color w:val="auto"/>
              </w:rPr>
            </w:pPr>
          </w:p>
        </w:tc>
        <w:tc>
          <w:tcPr>
            <w:tcW w:w="480" w:type="dxa"/>
            <w:vAlign w:val="bottom"/>
            <w:shd w:val="clear" w:color="auto" w:fill="424E6A"/>
          </w:tcPr>
          <w:p>
            <w:pPr>
              <w:spacing w:after="0"/>
              <w:rPr>
                <w:sz w:val="17"/>
                <w:szCs w:val="17"/>
                <w:color w:val="auto"/>
              </w:rPr>
            </w:pPr>
          </w:p>
        </w:tc>
        <w:tc>
          <w:tcPr>
            <w:tcW w:w="26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200" w:type="dxa"/>
            <w:vAlign w:val="bottom"/>
            <w:shd w:val="clear" w:color="auto" w:fill="424E6A"/>
          </w:tcPr>
          <w:p>
            <w:pPr>
              <w:spacing w:after="0"/>
              <w:rPr>
                <w:sz w:val="17"/>
                <w:szCs w:val="17"/>
                <w:color w:val="auto"/>
              </w:rPr>
            </w:pPr>
          </w:p>
        </w:tc>
        <w:tc>
          <w:tcPr>
            <w:tcW w:w="400" w:type="dxa"/>
            <w:vAlign w:val="bottom"/>
            <w:shd w:val="clear" w:color="auto" w:fill="424E6A"/>
          </w:tcPr>
          <w:p>
            <w:pPr>
              <w:spacing w:after="0"/>
              <w:rPr>
                <w:sz w:val="17"/>
                <w:szCs w:val="17"/>
                <w:color w:val="auto"/>
              </w:rPr>
            </w:pPr>
          </w:p>
        </w:tc>
        <w:tc>
          <w:tcPr>
            <w:tcW w:w="20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10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All Other</w:t>
            </w:r>
          </w:p>
        </w:tc>
        <w:tc>
          <w:tcPr>
            <w:tcW w:w="12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300" w:type="dxa"/>
            <w:vAlign w:val="bottom"/>
            <w:shd w:val="clear" w:color="auto" w:fill="424E6A"/>
          </w:tcPr>
          <w:p>
            <w:pPr>
              <w:spacing w:after="0"/>
              <w:rPr>
                <w:sz w:val="17"/>
                <w:szCs w:val="17"/>
                <w:color w:val="auto"/>
              </w:rPr>
            </w:pPr>
          </w:p>
        </w:tc>
        <w:tc>
          <w:tcPr>
            <w:tcW w:w="740" w:type="dxa"/>
            <w:vAlign w:val="bottom"/>
            <w:shd w:val="clear" w:color="auto" w:fill="424E6A"/>
          </w:tcPr>
          <w:p>
            <w:pPr>
              <w:spacing w:after="0"/>
              <w:rPr>
                <w:sz w:val="17"/>
                <w:szCs w:val="17"/>
                <w:color w:val="auto"/>
              </w:rPr>
            </w:pPr>
          </w:p>
        </w:tc>
        <w:tc>
          <w:tcPr>
            <w:tcW w:w="100" w:type="dxa"/>
            <w:vAlign w:val="bottom"/>
            <w:tcBorders>
              <w:right w:val="single" w:sz="8" w:color="424E6A"/>
            </w:tcBorders>
            <w:shd w:val="clear" w:color="auto" w:fill="424E6A"/>
          </w:tcPr>
          <w:p>
            <w:pPr>
              <w:spacing w:after="0"/>
              <w:rPr>
                <w:sz w:val="17"/>
                <w:szCs w:val="17"/>
                <w:color w:val="auto"/>
              </w:rPr>
            </w:pPr>
          </w:p>
        </w:tc>
      </w:tr>
      <w:tr>
        <w:trPr>
          <w:trHeight w:val="198"/>
        </w:trPr>
        <w:tc>
          <w:tcPr>
            <w:tcW w:w="1060" w:type="dxa"/>
            <w:vAlign w:val="bottom"/>
            <w:tcBorders>
              <w:lef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140" w:type="dxa"/>
            <w:vAlign w:val="bottom"/>
            <w:shd w:val="clear" w:color="auto" w:fill="424E6A"/>
          </w:tcPr>
          <w:p>
            <w:pPr>
              <w:spacing w:after="0"/>
              <w:rPr>
                <w:sz w:val="17"/>
                <w:szCs w:val="17"/>
                <w:color w:val="auto"/>
              </w:rPr>
            </w:pPr>
          </w:p>
        </w:tc>
        <w:tc>
          <w:tcPr>
            <w:tcW w:w="540" w:type="dxa"/>
            <w:vAlign w:val="bottom"/>
            <w:shd w:val="clear" w:color="auto" w:fill="424E6A"/>
          </w:tcPr>
          <w:p>
            <w:pPr>
              <w:spacing w:after="0"/>
              <w:rPr>
                <w:sz w:val="17"/>
                <w:szCs w:val="17"/>
                <w:color w:val="auto"/>
              </w:rPr>
            </w:pPr>
          </w:p>
        </w:tc>
        <w:tc>
          <w:tcPr>
            <w:tcW w:w="220" w:type="dxa"/>
            <w:vAlign w:val="bottom"/>
            <w:tcBorders>
              <w:right w:val="single" w:sz="8" w:color="424E6A"/>
            </w:tcBorders>
            <w:shd w:val="clear" w:color="auto" w:fill="424E6A"/>
          </w:tcPr>
          <w:p>
            <w:pPr>
              <w:spacing w:after="0"/>
              <w:rPr>
                <w:sz w:val="17"/>
                <w:szCs w:val="17"/>
                <w:color w:val="auto"/>
              </w:rPr>
            </w:pPr>
          </w:p>
        </w:tc>
        <w:tc>
          <w:tcPr>
            <w:tcW w:w="80" w:type="dxa"/>
            <w:vAlign w:val="bottom"/>
            <w:tcBorders>
              <w:left w:val="single" w:sz="8" w:color="424E6A"/>
            </w:tcBorders>
            <w:shd w:val="clear" w:color="auto" w:fill="424E6A"/>
          </w:tcPr>
          <w:p>
            <w:pPr>
              <w:spacing w:after="0"/>
              <w:rPr>
                <w:sz w:val="17"/>
                <w:szCs w:val="17"/>
                <w:color w:val="auto"/>
              </w:rPr>
            </w:pPr>
          </w:p>
        </w:tc>
        <w:tc>
          <w:tcPr>
            <w:tcW w:w="2680" w:type="dxa"/>
            <w:vAlign w:val="bottom"/>
            <w:gridSpan w:val="10"/>
            <w:shd w:val="clear" w:color="auto" w:fill="424E6A"/>
          </w:tcPr>
          <w:p>
            <w:pPr>
              <w:ind w:left="120"/>
              <w:spacing w:after="0"/>
              <w:rPr>
                <w:sz w:val="20"/>
                <w:szCs w:val="20"/>
                <w:color w:val="auto"/>
              </w:rPr>
            </w:pPr>
            <w:r>
              <w:rPr>
                <w:rFonts w:ascii="Arial" w:cs="Arial" w:eastAsia="Arial" w:hAnsi="Arial"/>
                <w:sz w:val="14"/>
                <w:szCs w:val="14"/>
                <w:b w:val="1"/>
                <w:bCs w:val="1"/>
                <w:color w:val="FFFFFF"/>
              </w:rPr>
              <w:t>Estimated Future Payouts Under</w:t>
            </w:r>
          </w:p>
        </w:tc>
        <w:tc>
          <w:tcPr>
            <w:tcW w:w="2280" w:type="dxa"/>
            <w:vAlign w:val="bottom"/>
            <w:gridSpan w:val="7"/>
            <w:shd w:val="clear" w:color="auto" w:fill="424E6A"/>
          </w:tcPr>
          <w:p>
            <w:pPr>
              <w:jc w:val="right"/>
              <w:spacing w:after="0"/>
              <w:rPr>
                <w:sz w:val="20"/>
                <w:szCs w:val="20"/>
                <w:color w:val="auto"/>
              </w:rPr>
            </w:pPr>
            <w:r>
              <w:rPr>
                <w:rFonts w:ascii="Arial" w:cs="Arial" w:eastAsia="Arial" w:hAnsi="Arial"/>
                <w:sz w:val="14"/>
                <w:szCs w:val="14"/>
                <w:b w:val="1"/>
                <w:bCs w:val="1"/>
                <w:color w:val="FFFFFF"/>
              </w:rPr>
              <w:t>Estimated Future Payouts Under</w:t>
            </w:r>
          </w:p>
        </w:tc>
        <w:tc>
          <w:tcPr>
            <w:tcW w:w="20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10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Stock Awards:</w:t>
            </w:r>
          </w:p>
        </w:tc>
        <w:tc>
          <w:tcPr>
            <w:tcW w:w="12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10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Grant Date</w:t>
            </w:r>
          </w:p>
        </w:tc>
        <w:tc>
          <w:tcPr>
            <w:tcW w:w="100" w:type="dxa"/>
            <w:vAlign w:val="bottom"/>
            <w:tcBorders>
              <w:right w:val="single" w:sz="8" w:color="424E6A"/>
            </w:tcBorders>
            <w:shd w:val="clear" w:color="auto" w:fill="424E6A"/>
          </w:tcPr>
          <w:p>
            <w:pPr>
              <w:spacing w:after="0"/>
              <w:rPr>
                <w:sz w:val="17"/>
                <w:szCs w:val="17"/>
                <w:color w:val="auto"/>
              </w:rPr>
            </w:pPr>
          </w:p>
        </w:tc>
      </w:tr>
      <w:tr>
        <w:trPr>
          <w:trHeight w:val="221"/>
        </w:trPr>
        <w:tc>
          <w:tcPr>
            <w:tcW w:w="1060" w:type="dxa"/>
            <w:vAlign w:val="bottom"/>
            <w:tcBorders>
              <w:left w:val="single" w:sz="8" w:color="424E6A"/>
              <w:bottom w:val="single" w:sz="8" w:color="424E6A"/>
            </w:tcBorders>
            <w:shd w:val="clear" w:color="auto" w:fill="424E6A"/>
          </w:tcPr>
          <w:p>
            <w:pPr>
              <w:spacing w:after="0"/>
              <w:rPr>
                <w:sz w:val="18"/>
                <w:szCs w:val="18"/>
                <w:color w:val="auto"/>
              </w:rPr>
            </w:pPr>
          </w:p>
        </w:tc>
        <w:tc>
          <w:tcPr>
            <w:tcW w:w="100" w:type="dxa"/>
            <w:vAlign w:val="bottom"/>
            <w:tcBorders>
              <w:bottom w:val="single" w:sz="8" w:color="424E6A"/>
            </w:tcBorders>
            <w:shd w:val="clear" w:color="auto" w:fill="424E6A"/>
          </w:tcPr>
          <w:p>
            <w:pPr>
              <w:spacing w:after="0"/>
              <w:rPr>
                <w:sz w:val="18"/>
                <w:szCs w:val="18"/>
                <w:color w:val="auto"/>
              </w:rPr>
            </w:pPr>
          </w:p>
        </w:tc>
        <w:tc>
          <w:tcPr>
            <w:tcW w:w="140" w:type="dxa"/>
            <w:vAlign w:val="bottom"/>
            <w:tcBorders>
              <w:bottom w:val="single" w:sz="8" w:color="424E6A"/>
            </w:tcBorders>
            <w:shd w:val="clear" w:color="auto" w:fill="424E6A"/>
          </w:tcPr>
          <w:p>
            <w:pPr>
              <w:spacing w:after="0"/>
              <w:rPr>
                <w:sz w:val="18"/>
                <w:szCs w:val="18"/>
                <w:color w:val="auto"/>
              </w:rPr>
            </w:pPr>
          </w:p>
        </w:tc>
        <w:tc>
          <w:tcPr>
            <w:tcW w:w="540" w:type="dxa"/>
            <w:vAlign w:val="bottom"/>
            <w:tcBorders>
              <w:bottom w:val="single" w:sz="8" w:color="424E6A"/>
            </w:tcBorders>
            <w:shd w:val="clear" w:color="auto" w:fill="424E6A"/>
          </w:tcPr>
          <w:p>
            <w:pPr>
              <w:spacing w:after="0"/>
              <w:rPr>
                <w:sz w:val="18"/>
                <w:szCs w:val="18"/>
                <w:color w:val="auto"/>
              </w:rPr>
            </w:pPr>
          </w:p>
        </w:tc>
        <w:tc>
          <w:tcPr>
            <w:tcW w:w="220" w:type="dxa"/>
            <w:vAlign w:val="bottom"/>
            <w:tcBorders>
              <w:bottom w:val="single" w:sz="8" w:color="424E6A"/>
              <w:right w:val="single" w:sz="8" w:color="424E6A"/>
            </w:tcBorders>
            <w:shd w:val="clear" w:color="auto" w:fill="424E6A"/>
          </w:tcPr>
          <w:p>
            <w:pPr>
              <w:spacing w:after="0"/>
              <w:rPr>
                <w:sz w:val="18"/>
                <w:szCs w:val="18"/>
                <w:color w:val="auto"/>
              </w:rPr>
            </w:pPr>
          </w:p>
        </w:tc>
        <w:tc>
          <w:tcPr>
            <w:tcW w:w="80" w:type="dxa"/>
            <w:vAlign w:val="bottom"/>
            <w:tcBorders>
              <w:left w:val="single" w:sz="8" w:color="424E6A"/>
              <w:bottom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2680" w:type="dxa"/>
            <w:vAlign w:val="bottom"/>
            <w:tcBorders>
              <w:bottom w:val="single" w:sz="8" w:color="424E6A"/>
            </w:tcBorders>
            <w:gridSpan w:val="10"/>
            <w:shd w:val="clear" w:color="auto" w:fill="424E6A"/>
          </w:tcPr>
          <w:p>
            <w:pPr>
              <w:ind w:left="80"/>
              <w:spacing w:after="0" w:line="162" w:lineRule="exact"/>
              <w:rPr>
                <w:sz w:val="20"/>
                <w:szCs w:val="20"/>
                <w:color w:val="auto"/>
              </w:rPr>
            </w:pPr>
            <w:r>
              <w:rPr>
                <w:rFonts w:ascii="Arial" w:cs="Arial" w:eastAsia="Arial" w:hAnsi="Arial"/>
                <w:sz w:val="11"/>
                <w:szCs w:val="11"/>
                <w:b w:val="1"/>
                <w:bCs w:val="1"/>
                <w:color w:val="FFFFFF"/>
              </w:rPr>
              <w:t xml:space="preserve">Non-Equity Incentive Plan Awards  </w:t>
            </w:r>
            <w:r>
              <w:rPr>
                <w:rFonts w:ascii="Arial" w:cs="Arial" w:eastAsia="Arial" w:hAnsi="Arial"/>
                <w:sz w:val="18"/>
                <w:szCs w:val="18"/>
                <w:b w:val="1"/>
                <w:bCs w:val="1"/>
                <w:color w:val="FFFFFF"/>
                <w:vertAlign w:val="subscript"/>
              </w:rPr>
              <w:t>​ ​</w:t>
            </w:r>
          </w:p>
        </w:tc>
        <w:tc>
          <w:tcPr>
            <w:tcW w:w="2280" w:type="dxa"/>
            <w:vAlign w:val="bottom"/>
            <w:tcBorders>
              <w:bottom w:val="single" w:sz="8" w:color="424E6A"/>
            </w:tcBorders>
            <w:gridSpan w:val="7"/>
            <w:shd w:val="clear" w:color="auto" w:fill="424E6A"/>
          </w:tcPr>
          <w:p>
            <w:pPr>
              <w:ind w:left="140"/>
              <w:spacing w:after="0" w:line="162" w:lineRule="exact"/>
              <w:rPr>
                <w:sz w:val="20"/>
                <w:szCs w:val="20"/>
                <w:color w:val="auto"/>
              </w:rPr>
            </w:pPr>
            <w:r>
              <w:rPr>
                <w:rFonts w:ascii="Arial" w:cs="Arial" w:eastAsia="Arial" w:hAnsi="Arial"/>
                <w:sz w:val="14"/>
                <w:szCs w:val="14"/>
                <w:b w:val="1"/>
                <w:bCs w:val="1"/>
                <w:color w:val="FFFFFF"/>
              </w:rPr>
              <w:t>Equity Incentive Plan Awards</w:t>
            </w:r>
            <w:r>
              <w:rPr>
                <w:rFonts w:ascii="Arial" w:cs="Arial" w:eastAsia="Arial" w:hAnsi="Arial"/>
                <w:sz w:val="17"/>
                <w:szCs w:val="17"/>
                <w:b w:val="1"/>
                <w:bCs w:val="1"/>
                <w:color w:val="FFFFFF"/>
                <w:vertAlign w:val="superscript"/>
              </w:rPr>
              <w:t>(1)</w:t>
            </w:r>
          </w:p>
        </w:tc>
        <w:tc>
          <w:tcPr>
            <w:tcW w:w="200" w:type="dxa"/>
            <w:vAlign w:val="bottom"/>
            <w:tcBorders>
              <w:bottom w:val="single" w:sz="8" w:color="424E6A"/>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424E6A"/>
          </w:tcPr>
          <w:p>
            <w:pPr>
              <w:spacing w:after="0"/>
              <w:rPr>
                <w:sz w:val="18"/>
                <w:szCs w:val="18"/>
                <w:color w:val="auto"/>
              </w:rPr>
            </w:pPr>
          </w:p>
        </w:tc>
        <w:tc>
          <w:tcPr>
            <w:tcW w:w="1020" w:type="dxa"/>
            <w:vAlign w:val="bottom"/>
            <w:tcBorders>
              <w:bottom w:val="single" w:sz="8" w:color="424E6A"/>
            </w:tcBorders>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w:t>
            </w:r>
          </w:p>
        </w:tc>
        <w:tc>
          <w:tcPr>
            <w:tcW w:w="120" w:type="dxa"/>
            <w:vAlign w:val="bottom"/>
            <w:tcBorders>
              <w:bottom w:val="single" w:sz="8" w:color="424E6A"/>
              <w:right w:val="single" w:sz="8" w:color="424E6A"/>
            </w:tcBorders>
            <w:shd w:val="clear" w:color="auto" w:fill="424E6A"/>
          </w:tcPr>
          <w:p>
            <w:pPr>
              <w:spacing w:after="0"/>
              <w:rPr>
                <w:sz w:val="18"/>
                <w:szCs w:val="18"/>
                <w:color w:val="auto"/>
              </w:rPr>
            </w:pPr>
          </w:p>
        </w:tc>
        <w:tc>
          <w:tcPr>
            <w:tcW w:w="80" w:type="dxa"/>
            <w:vAlign w:val="bottom"/>
            <w:tcBorders>
              <w:bottom w:val="single" w:sz="8" w:color="424E6A"/>
            </w:tcBorders>
            <w:shd w:val="clear" w:color="auto" w:fill="424E6A"/>
          </w:tcPr>
          <w:p>
            <w:pPr>
              <w:spacing w:after="0"/>
              <w:rPr>
                <w:sz w:val="18"/>
                <w:szCs w:val="18"/>
                <w:color w:val="auto"/>
              </w:rPr>
            </w:pPr>
          </w:p>
        </w:tc>
        <w:tc>
          <w:tcPr>
            <w:tcW w:w="1040" w:type="dxa"/>
            <w:vAlign w:val="bottom"/>
            <w:tcBorders>
              <w:bottom w:val="single" w:sz="8" w:color="424E6A"/>
            </w:tcBorders>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Fair Value</w:t>
            </w:r>
          </w:p>
        </w:tc>
        <w:tc>
          <w:tcPr>
            <w:tcW w:w="100" w:type="dxa"/>
            <w:vAlign w:val="bottom"/>
            <w:tcBorders>
              <w:bottom w:val="single" w:sz="8" w:color="424E6A"/>
              <w:right w:val="single" w:sz="8" w:color="424E6A"/>
            </w:tcBorders>
            <w:shd w:val="clear" w:color="auto" w:fill="424E6A"/>
          </w:tcPr>
          <w:p>
            <w:pPr>
              <w:spacing w:after="0"/>
              <w:rPr>
                <w:sz w:val="18"/>
                <w:szCs w:val="18"/>
                <w:color w:val="auto"/>
              </w:rPr>
            </w:pPr>
          </w:p>
        </w:tc>
      </w:tr>
      <w:tr>
        <w:trPr>
          <w:trHeight w:val="52"/>
        </w:trPr>
        <w:tc>
          <w:tcPr>
            <w:tcW w:w="1060" w:type="dxa"/>
            <w:vAlign w:val="bottom"/>
            <w:tcBorders>
              <w:top w:val="single" w:sz="8" w:color="424E6A"/>
              <w:left w:val="single" w:sz="8" w:color="424E6A"/>
            </w:tcBorders>
            <w:shd w:val="clear" w:color="auto" w:fill="424E6A"/>
          </w:tcPr>
          <w:p>
            <w:pPr>
              <w:spacing w:after="0"/>
              <w:rPr>
                <w:sz w:val="4"/>
                <w:szCs w:val="4"/>
                <w:color w:val="auto"/>
              </w:rPr>
            </w:pPr>
          </w:p>
        </w:tc>
        <w:tc>
          <w:tcPr>
            <w:tcW w:w="100" w:type="dxa"/>
            <w:vAlign w:val="bottom"/>
            <w:tcBorders>
              <w:top w:val="single" w:sz="8" w:color="424E6A"/>
            </w:tcBorders>
            <w:shd w:val="clear" w:color="auto" w:fill="424E6A"/>
          </w:tcPr>
          <w:p>
            <w:pPr>
              <w:spacing w:after="0"/>
              <w:rPr>
                <w:sz w:val="4"/>
                <w:szCs w:val="4"/>
                <w:color w:val="auto"/>
              </w:rPr>
            </w:pPr>
          </w:p>
        </w:tc>
        <w:tc>
          <w:tcPr>
            <w:tcW w:w="140" w:type="dxa"/>
            <w:vAlign w:val="bottom"/>
            <w:tcBorders>
              <w:top w:val="single" w:sz="8" w:color="424E6A"/>
            </w:tcBorders>
            <w:shd w:val="clear" w:color="auto" w:fill="424E6A"/>
          </w:tcPr>
          <w:p>
            <w:pPr>
              <w:spacing w:after="0"/>
              <w:rPr>
                <w:sz w:val="4"/>
                <w:szCs w:val="4"/>
                <w:color w:val="auto"/>
              </w:rPr>
            </w:pPr>
          </w:p>
        </w:tc>
        <w:tc>
          <w:tcPr>
            <w:tcW w:w="540" w:type="dxa"/>
            <w:vAlign w:val="bottom"/>
            <w:tcBorders>
              <w:top w:val="single" w:sz="8" w:color="424E6A"/>
            </w:tcBorders>
            <w:shd w:val="clear" w:color="auto" w:fill="424E6A"/>
          </w:tcPr>
          <w:p>
            <w:pPr>
              <w:spacing w:after="0"/>
              <w:rPr>
                <w:sz w:val="4"/>
                <w:szCs w:val="4"/>
                <w:color w:val="auto"/>
              </w:rPr>
            </w:pPr>
          </w:p>
        </w:tc>
        <w:tc>
          <w:tcPr>
            <w:tcW w:w="220" w:type="dxa"/>
            <w:vAlign w:val="bottom"/>
            <w:tcBorders>
              <w:top w:val="single" w:sz="8" w:color="424E6A"/>
              <w:right w:val="single" w:sz="8" w:color="424E6A"/>
            </w:tcBorders>
            <w:shd w:val="clear" w:color="auto" w:fill="424E6A"/>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80" w:type="dxa"/>
            <w:vAlign w:val="bottom"/>
            <w:tcBorders>
              <w:top w:val="single" w:sz="8" w:color="424E6A"/>
            </w:tcBorders>
            <w:shd w:val="clear" w:color="auto" w:fill="424E6A"/>
          </w:tcPr>
          <w:p>
            <w:pPr>
              <w:spacing w:after="0"/>
              <w:rPr>
                <w:sz w:val="4"/>
                <w:szCs w:val="4"/>
                <w:color w:val="auto"/>
              </w:rPr>
            </w:pPr>
          </w:p>
        </w:tc>
        <w:tc>
          <w:tcPr>
            <w:tcW w:w="1020" w:type="dxa"/>
            <w:vAlign w:val="bottom"/>
            <w:tcBorders>
              <w:top w:val="single" w:sz="8" w:color="424E6A"/>
            </w:tcBorders>
            <w:gridSpan w:val="2"/>
            <w:shd w:val="clear" w:color="auto" w:fill="424E6A"/>
          </w:tcPr>
          <w:p>
            <w:pPr>
              <w:jc w:val="center"/>
              <w:spacing w:after="0" w:line="52" w:lineRule="exact"/>
              <w:rPr>
                <w:sz w:val="20"/>
                <w:szCs w:val="20"/>
                <w:color w:val="auto"/>
              </w:rPr>
            </w:pPr>
            <w:r>
              <w:rPr>
                <w:rFonts w:ascii="Arial" w:cs="Arial" w:eastAsia="Arial" w:hAnsi="Arial"/>
                <w:sz w:val="6"/>
                <w:szCs w:val="6"/>
                <w:b w:val="1"/>
                <w:bCs w:val="1"/>
                <w:color w:val="FFFFFF"/>
              </w:rPr>
              <w:t>Shares Of</w:t>
            </w:r>
          </w:p>
        </w:tc>
        <w:tc>
          <w:tcPr>
            <w:tcW w:w="120" w:type="dxa"/>
            <w:vAlign w:val="bottom"/>
            <w:tcBorders>
              <w:top w:val="single" w:sz="8" w:color="424E6A"/>
              <w:right w:val="single" w:sz="8" w:color="424E6A"/>
            </w:tcBorders>
            <w:shd w:val="clear" w:color="auto" w:fill="424E6A"/>
          </w:tcPr>
          <w:p>
            <w:pPr>
              <w:spacing w:after="0"/>
              <w:rPr>
                <w:sz w:val="4"/>
                <w:szCs w:val="4"/>
                <w:color w:val="auto"/>
              </w:rPr>
            </w:pPr>
          </w:p>
        </w:tc>
        <w:tc>
          <w:tcPr>
            <w:tcW w:w="80" w:type="dxa"/>
            <w:vAlign w:val="bottom"/>
            <w:tcBorders>
              <w:top w:val="single" w:sz="8" w:color="424E6A"/>
            </w:tcBorders>
            <w:shd w:val="clear" w:color="auto" w:fill="424E6A"/>
          </w:tcPr>
          <w:p>
            <w:pPr>
              <w:spacing w:after="0"/>
              <w:rPr>
                <w:sz w:val="4"/>
                <w:szCs w:val="4"/>
                <w:color w:val="auto"/>
              </w:rPr>
            </w:pPr>
          </w:p>
        </w:tc>
        <w:tc>
          <w:tcPr>
            <w:tcW w:w="1040" w:type="dxa"/>
            <w:vAlign w:val="bottom"/>
            <w:tcBorders>
              <w:top w:val="single" w:sz="8" w:color="424E6A"/>
            </w:tcBorders>
            <w:gridSpan w:val="2"/>
            <w:shd w:val="clear" w:color="auto" w:fill="424E6A"/>
          </w:tcPr>
          <w:p>
            <w:pPr>
              <w:jc w:val="center"/>
              <w:spacing w:after="0" w:line="52" w:lineRule="exact"/>
              <w:rPr>
                <w:sz w:val="20"/>
                <w:szCs w:val="20"/>
                <w:color w:val="auto"/>
              </w:rPr>
            </w:pPr>
            <w:r>
              <w:rPr>
                <w:rFonts w:ascii="Arial" w:cs="Arial" w:eastAsia="Arial" w:hAnsi="Arial"/>
                <w:sz w:val="6"/>
                <w:szCs w:val="6"/>
                <w:b w:val="1"/>
                <w:bCs w:val="1"/>
                <w:color w:val="FFFFFF"/>
              </w:rPr>
              <w:t>Of Stock and</w:t>
            </w:r>
          </w:p>
        </w:tc>
        <w:tc>
          <w:tcPr>
            <w:tcW w:w="100" w:type="dxa"/>
            <w:vAlign w:val="bottom"/>
            <w:tcBorders>
              <w:top w:val="single" w:sz="8" w:color="424E6A"/>
              <w:right w:val="single" w:sz="8" w:color="424E6A"/>
            </w:tcBorders>
            <w:shd w:val="clear" w:color="auto" w:fill="424E6A"/>
          </w:tcPr>
          <w:p>
            <w:pPr>
              <w:spacing w:after="0"/>
              <w:rPr>
                <w:sz w:val="4"/>
                <w:szCs w:val="4"/>
                <w:color w:val="auto"/>
              </w:rPr>
            </w:pPr>
          </w:p>
        </w:tc>
      </w:tr>
      <w:tr>
        <w:trPr>
          <w:trHeight w:val="162"/>
        </w:trPr>
        <w:tc>
          <w:tcPr>
            <w:tcW w:w="1060" w:type="dxa"/>
            <w:vAlign w:val="bottom"/>
            <w:tcBorders>
              <w:lef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54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FFFFFF"/>
              </w:rPr>
              <w:t>Threshold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FFFFFF"/>
              </w:rPr>
              <w:t>Target</w:t>
            </w:r>
          </w:p>
        </w:tc>
        <w:tc>
          <w:tcPr>
            <w:tcW w:w="980" w:type="dxa"/>
            <w:vAlign w:val="bottom"/>
            <w:gridSpan w:val="4"/>
          </w:tcPr>
          <w:p>
            <w:pPr>
              <w:ind w:left="100"/>
              <w:spacing w:after="0"/>
              <w:rPr>
                <w:sz w:val="20"/>
                <w:szCs w:val="20"/>
                <w:color w:val="auto"/>
              </w:rPr>
            </w:pPr>
            <w:r>
              <w:rPr>
                <w:rFonts w:ascii="Arial" w:cs="Arial" w:eastAsia="Arial" w:hAnsi="Arial"/>
                <w:sz w:val="14"/>
                <w:szCs w:val="14"/>
                <w:b w:val="1"/>
                <w:bCs w:val="1"/>
                <w:color w:val="FFFFFF"/>
              </w:rPr>
              <w:t>Maximum</w:t>
            </w:r>
          </w:p>
        </w:tc>
        <w:tc>
          <w:tcPr>
            <w:tcW w:w="700" w:type="dxa"/>
            <w:vAlign w:val="bottom"/>
          </w:tcPr>
          <w:p>
            <w:pPr>
              <w:spacing w:after="0"/>
              <w:rPr>
                <w:sz w:val="20"/>
                <w:szCs w:val="20"/>
                <w:color w:val="auto"/>
              </w:rPr>
            </w:pPr>
            <w:r>
              <w:rPr>
                <w:rFonts w:ascii="Arial" w:cs="Arial" w:eastAsia="Arial" w:hAnsi="Arial"/>
                <w:sz w:val="14"/>
                <w:szCs w:val="14"/>
                <w:b w:val="1"/>
                <w:bCs w:val="1"/>
                <w:color w:val="FFFFFF"/>
              </w:rPr>
              <w:t>Threshold</w:t>
            </w:r>
          </w:p>
        </w:tc>
        <w:tc>
          <w:tcPr>
            <w:tcW w:w="140" w:type="dxa"/>
            <w:vAlign w:val="bottom"/>
          </w:tcPr>
          <w:p>
            <w:pPr>
              <w:spacing w:after="0"/>
              <w:rPr>
                <w:sz w:val="14"/>
                <w:szCs w:val="14"/>
                <w:color w:val="auto"/>
              </w:rPr>
            </w:pPr>
          </w:p>
        </w:tc>
        <w:tc>
          <w:tcPr>
            <w:tcW w:w="74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FFFFFF"/>
              </w:rPr>
              <w:t>Target</w:t>
            </w:r>
          </w:p>
        </w:tc>
        <w:tc>
          <w:tcPr>
            <w:tcW w:w="100" w:type="dxa"/>
            <w:vAlign w:val="bottom"/>
          </w:tcPr>
          <w:p>
            <w:pPr>
              <w:spacing w:after="0"/>
              <w:rPr>
                <w:sz w:val="14"/>
                <w:szCs w:val="14"/>
                <w:color w:val="auto"/>
              </w:rPr>
            </w:pPr>
          </w:p>
        </w:tc>
        <w:tc>
          <w:tcPr>
            <w:tcW w:w="8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FFFFFF"/>
                <w:w w:val="99"/>
              </w:rPr>
              <w:t>Maximum</w:t>
            </w:r>
          </w:p>
        </w:tc>
        <w:tc>
          <w:tcPr>
            <w:tcW w:w="80" w:type="dxa"/>
            <w:vAlign w:val="bottom"/>
            <w:shd w:val="clear" w:color="auto" w:fill="424E6A"/>
          </w:tcPr>
          <w:p>
            <w:pPr>
              <w:spacing w:after="0"/>
              <w:rPr>
                <w:sz w:val="14"/>
                <w:szCs w:val="14"/>
                <w:color w:val="auto"/>
              </w:rPr>
            </w:pPr>
          </w:p>
        </w:tc>
        <w:tc>
          <w:tcPr>
            <w:tcW w:w="10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Stock or Units</w:t>
            </w:r>
          </w:p>
        </w:tc>
        <w:tc>
          <w:tcPr>
            <w:tcW w:w="1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Option Awards</w:t>
            </w:r>
          </w:p>
        </w:tc>
        <w:tc>
          <w:tcPr>
            <w:tcW w:w="100" w:type="dxa"/>
            <w:vAlign w:val="bottom"/>
            <w:tcBorders>
              <w:right w:val="single" w:sz="8" w:color="424E6A"/>
            </w:tcBorders>
            <w:shd w:val="clear" w:color="auto" w:fill="424E6A"/>
          </w:tcPr>
          <w:p>
            <w:pPr>
              <w:spacing w:after="0"/>
              <w:rPr>
                <w:sz w:val="14"/>
                <w:szCs w:val="14"/>
                <w:color w:val="auto"/>
              </w:rPr>
            </w:pPr>
          </w:p>
        </w:tc>
      </w:tr>
      <w:tr>
        <w:trPr>
          <w:trHeight w:val="198"/>
        </w:trPr>
        <w:tc>
          <w:tcPr>
            <w:tcW w:w="1060" w:type="dxa"/>
            <w:vAlign w:val="bottom"/>
            <w:tcBorders>
              <w:left w:val="single" w:sz="8" w:color="424E6A"/>
            </w:tcBorders>
            <w:shd w:val="clear" w:color="auto" w:fill="424E6A"/>
          </w:tcPr>
          <w:p>
            <w:pPr>
              <w:ind w:left="2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w:t>
            </w:r>
          </w:p>
        </w:tc>
        <w:tc>
          <w:tcPr>
            <w:tcW w:w="1000" w:type="dxa"/>
            <w:vAlign w:val="bottom"/>
            <w:tcBorders>
              <w:right w:val="single" w:sz="8" w:color="424E6A"/>
            </w:tcBorders>
            <w:gridSpan w:val="4"/>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Grant Date </w:t>
            </w:r>
            <w:r>
              <w:rPr>
                <w:rFonts w:ascii="Arial" w:cs="Arial" w:eastAsia="Arial" w:hAnsi="Arial"/>
                <w:sz w:val="22"/>
                <w:szCs w:val="22"/>
                <w:b w:val="1"/>
                <w:bCs w:val="1"/>
                <w:color w:val="FFFFFF"/>
                <w:vertAlign w:val="subscript"/>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Pr>
          <w:p>
            <w:pPr>
              <w:ind w:left="280"/>
              <w:spacing w:after="0"/>
              <w:rPr>
                <w:sz w:val="20"/>
                <w:szCs w:val="20"/>
                <w:color w:val="auto"/>
              </w:rPr>
            </w:pPr>
            <w:r>
              <w:rPr>
                <w:rFonts w:ascii="Arial" w:cs="Arial" w:eastAsia="Arial" w:hAnsi="Arial"/>
                <w:sz w:val="14"/>
                <w:szCs w:val="14"/>
                <w:b w:val="1"/>
                <w:bCs w:val="1"/>
                <w:color w:val="FFFFFF"/>
              </w:rPr>
              <w:t>($)</w:t>
            </w: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FFFFFF"/>
              </w:rPr>
              <w:t>​ ​</w:t>
            </w:r>
          </w:p>
        </w:tc>
        <w:tc>
          <w:tcPr>
            <w:tcW w:w="700" w:type="dxa"/>
            <w:vAlign w:val="bottom"/>
          </w:tcPr>
          <w:p>
            <w:pPr>
              <w:ind w:left="280"/>
              <w:spacing w:after="0"/>
              <w:rPr>
                <w:sz w:val="20"/>
                <w:szCs w:val="20"/>
                <w:color w:val="auto"/>
              </w:rPr>
            </w:pPr>
            <w:r>
              <w:rPr>
                <w:rFonts w:ascii="Arial" w:cs="Arial" w:eastAsia="Arial" w:hAnsi="Arial"/>
                <w:sz w:val="14"/>
                <w:szCs w:val="14"/>
                <w:b w:val="1"/>
                <w:bCs w:val="1"/>
                <w:color w:val="FFFFFF"/>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480" w:type="dxa"/>
            <w:vAlign w:val="bottom"/>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Pr>
          <w:p>
            <w:pPr>
              <w:spacing w:after="0"/>
              <w:rPr>
                <w:sz w:val="17"/>
                <w:szCs w:val="17"/>
                <w:color w:val="auto"/>
              </w:rPr>
            </w:pPr>
          </w:p>
        </w:tc>
        <w:tc>
          <w:tcPr>
            <w:tcW w:w="400" w:type="dxa"/>
            <w:vAlign w:val="bottom"/>
          </w:tcPr>
          <w:p>
            <w:pPr>
              <w:jc w:val="right"/>
              <w:ind w:right="88"/>
              <w:spacing w:after="0"/>
              <w:rPr>
                <w:sz w:val="20"/>
                <w:szCs w:val="20"/>
                <w:color w:val="auto"/>
              </w:rPr>
            </w:pPr>
            <w:r>
              <w:rPr>
                <w:rFonts w:ascii="Arial" w:cs="Arial" w:eastAsia="Arial" w:hAnsi="Arial"/>
                <w:sz w:val="14"/>
                <w:szCs w:val="14"/>
                <w:b w:val="1"/>
                <w:bCs w:val="1"/>
                <w:color w:val="FFFFFF"/>
              </w:rPr>
              <w: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shd w:val="clear" w:color="auto" w:fill="424E6A"/>
          </w:tcPr>
          <w:p>
            <w:pPr>
              <w:spacing w:after="0"/>
              <w:rPr>
                <w:sz w:val="17"/>
                <w:szCs w:val="17"/>
                <w:color w:val="auto"/>
              </w:rPr>
            </w:pPr>
          </w:p>
        </w:tc>
        <w:tc>
          <w:tcPr>
            <w:tcW w:w="680" w:type="dxa"/>
            <w:vAlign w:val="bottom"/>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8"/>
                <w:szCs w:val="8"/>
                <w:b w:val="1"/>
                <w:bCs w:val="1"/>
                <w:color w:val="FFFFFF"/>
              </w:rPr>
              <w:t>(2)</w:t>
            </w:r>
          </w:p>
        </w:tc>
        <w:tc>
          <w:tcPr>
            <w:tcW w:w="20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300" w:type="dxa"/>
            <w:vAlign w:val="bottom"/>
            <w:shd w:val="clear" w:color="auto" w:fill="424E6A"/>
          </w:tcPr>
          <w:p>
            <w:pPr>
              <w:spacing w:after="0"/>
              <w:rPr>
                <w:sz w:val="17"/>
                <w:szCs w:val="17"/>
                <w:color w:val="auto"/>
              </w:rPr>
            </w:pPr>
          </w:p>
        </w:tc>
        <w:tc>
          <w:tcPr>
            <w:tcW w:w="740" w:type="dxa"/>
            <w:vAlign w:val="bottom"/>
            <w:shd w:val="clear" w:color="auto" w:fill="424E6A"/>
          </w:tcPr>
          <w:p>
            <w:pPr>
              <w:ind w:left="8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8"/>
                <w:szCs w:val="8"/>
                <w:b w:val="1"/>
                <w:bCs w:val="1"/>
                <w:color w:val="FFFFFF"/>
              </w:rPr>
              <w:t>(3)</w:t>
            </w:r>
          </w:p>
        </w:tc>
        <w:tc>
          <w:tcPr>
            <w:tcW w:w="10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r>
      <w:tr>
        <w:trPr>
          <w:trHeight w:val="20"/>
        </w:trPr>
        <w:tc>
          <w:tcPr>
            <w:tcW w:w="1060" w:type="dxa"/>
            <w:vAlign w:val="bottom"/>
            <w:tcBorders>
              <w:left w:val="single" w:sz="8" w:color="424E6A"/>
            </w:tcBorders>
            <w:shd w:val="clear" w:color="auto" w:fill="424E6A"/>
          </w:tcPr>
          <w:p>
            <w:pPr>
              <w:spacing w:after="0" w:line="20" w:lineRule="exact"/>
              <w:rPr>
                <w:sz w:val="1"/>
                <w:szCs w:val="1"/>
                <w:color w:val="auto"/>
              </w:rPr>
            </w:pPr>
          </w:p>
        </w:tc>
        <w:tc>
          <w:tcPr>
            <w:tcW w:w="100" w:type="dxa"/>
            <w:vAlign w:val="bottom"/>
            <w:shd w:val="clear" w:color="auto" w:fill="424E6A"/>
          </w:tcPr>
          <w:p>
            <w:pPr>
              <w:spacing w:after="0" w:line="20" w:lineRule="exact"/>
              <w:rPr>
                <w:sz w:val="1"/>
                <w:szCs w:val="1"/>
                <w:color w:val="auto"/>
              </w:rPr>
            </w:pPr>
          </w:p>
        </w:tc>
        <w:tc>
          <w:tcPr>
            <w:tcW w:w="140" w:type="dxa"/>
            <w:vAlign w:val="bottom"/>
            <w:shd w:val="clear" w:color="auto" w:fill="424E6A"/>
          </w:tcPr>
          <w:p>
            <w:pPr>
              <w:spacing w:after="0" w:line="20" w:lineRule="exact"/>
              <w:rPr>
                <w:sz w:val="1"/>
                <w:szCs w:val="1"/>
                <w:color w:val="auto"/>
              </w:rPr>
            </w:pPr>
          </w:p>
        </w:tc>
        <w:tc>
          <w:tcPr>
            <w:tcW w:w="540" w:type="dxa"/>
            <w:vAlign w:val="bottom"/>
            <w:shd w:val="clear" w:color="auto" w:fill="424E6A"/>
          </w:tcPr>
          <w:p>
            <w:pPr>
              <w:spacing w:after="0" w:line="20" w:lineRule="exact"/>
              <w:rPr>
                <w:sz w:val="1"/>
                <w:szCs w:val="1"/>
                <w:color w:val="auto"/>
              </w:rPr>
            </w:pPr>
          </w:p>
        </w:tc>
        <w:tc>
          <w:tcPr>
            <w:tcW w:w="220" w:type="dxa"/>
            <w:vAlign w:val="bottom"/>
            <w:tcBorders>
              <w:right w:val="single" w:sz="8" w:color="424E6A"/>
            </w:tcBorders>
            <w:shd w:val="clear" w:color="auto" w:fill="424E6A"/>
          </w:tcPr>
          <w:p>
            <w:pPr>
              <w:spacing w:after="0" w:line="20" w:lineRule="exact"/>
              <w:rPr>
                <w:sz w:val="1"/>
                <w:szCs w:val="1"/>
                <w:color w:val="auto"/>
              </w:rPr>
            </w:pPr>
          </w:p>
        </w:tc>
        <w:tc>
          <w:tcPr>
            <w:tcW w:w="80" w:type="dxa"/>
            <w:vAlign w:val="bottom"/>
            <w:tcBorders>
              <w:left w:val="single" w:sz="8" w:color="424E6A"/>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424E6A"/>
            </w:tcBorders>
            <w:shd w:val="clear" w:color="auto" w:fill="424E6A"/>
          </w:tcPr>
          <w:p>
            <w:pPr>
              <w:spacing w:after="0" w:line="20" w:lineRule="exact"/>
              <w:rPr>
                <w:sz w:val="1"/>
                <w:szCs w:val="1"/>
                <w:color w:val="auto"/>
              </w:rPr>
            </w:pPr>
          </w:p>
        </w:tc>
        <w:tc>
          <w:tcPr>
            <w:tcW w:w="860" w:type="dxa"/>
            <w:vAlign w:val="bottom"/>
            <w:tcBorders>
              <w:right w:val="single" w:sz="8" w:color="424E6A"/>
            </w:tcBorders>
            <w:gridSpan w:val="3"/>
            <w:shd w:val="clear" w:color="auto" w:fill="424E6A"/>
          </w:tcPr>
          <w:p>
            <w:pPr>
              <w:spacing w:after="0" w:line="20" w:lineRule="exact"/>
              <w:rPr>
                <w:sz w:val="1"/>
                <w:szCs w:val="1"/>
                <w:color w:val="auto"/>
              </w:rPr>
            </w:pPr>
          </w:p>
        </w:tc>
        <w:tc>
          <w:tcPr>
            <w:tcW w:w="900" w:type="dxa"/>
            <w:vAlign w:val="bottom"/>
            <w:tcBorders>
              <w:right w:val="single" w:sz="8" w:color="424E6A"/>
            </w:tcBorders>
            <w:gridSpan w:val="3"/>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700" w:type="dxa"/>
            <w:vAlign w:val="bottom"/>
            <w:shd w:val="clear" w:color="auto" w:fill="424E6A"/>
          </w:tcPr>
          <w:p>
            <w:pPr>
              <w:spacing w:after="0" w:line="20" w:lineRule="exact"/>
              <w:rPr>
                <w:sz w:val="1"/>
                <w:szCs w:val="1"/>
                <w:color w:val="auto"/>
              </w:rPr>
            </w:pPr>
          </w:p>
        </w:tc>
        <w:tc>
          <w:tcPr>
            <w:tcW w:w="140" w:type="dxa"/>
            <w:vAlign w:val="bottom"/>
            <w:tcBorders>
              <w:right w:val="single" w:sz="8" w:color="424E6A"/>
            </w:tcBorders>
            <w:shd w:val="clear" w:color="auto" w:fill="424E6A"/>
          </w:tcPr>
          <w:p>
            <w:pPr>
              <w:spacing w:after="0" w:line="20" w:lineRule="exact"/>
              <w:rPr>
                <w:sz w:val="1"/>
                <w:szCs w:val="1"/>
                <w:color w:val="auto"/>
              </w:rPr>
            </w:pPr>
          </w:p>
        </w:tc>
        <w:tc>
          <w:tcPr>
            <w:tcW w:w="480" w:type="dxa"/>
            <w:vAlign w:val="bottom"/>
            <w:shd w:val="clear" w:color="auto" w:fill="424E6A"/>
          </w:tcPr>
          <w:p>
            <w:pPr>
              <w:spacing w:after="0" w:line="20" w:lineRule="exact"/>
              <w:rPr>
                <w:sz w:val="1"/>
                <w:szCs w:val="1"/>
                <w:color w:val="auto"/>
              </w:rPr>
            </w:pPr>
          </w:p>
        </w:tc>
        <w:tc>
          <w:tcPr>
            <w:tcW w:w="260" w:type="dxa"/>
            <w:vAlign w:val="bottom"/>
            <w:tcBorders>
              <w:right w:val="single" w:sz="8" w:color="424E6A"/>
            </w:tcBorders>
            <w:shd w:val="clear" w:color="auto" w:fill="424E6A"/>
          </w:tcPr>
          <w:p>
            <w:pPr>
              <w:spacing w:after="0" w:line="20" w:lineRule="exact"/>
              <w:rPr>
                <w:sz w:val="1"/>
                <w:szCs w:val="1"/>
                <w:color w:val="auto"/>
              </w:rPr>
            </w:pPr>
          </w:p>
        </w:tc>
        <w:tc>
          <w:tcPr>
            <w:tcW w:w="100" w:type="dxa"/>
            <w:vAlign w:val="bottom"/>
            <w:shd w:val="clear" w:color="auto" w:fill="424E6A"/>
          </w:tcPr>
          <w:p>
            <w:pPr>
              <w:spacing w:after="0" w:line="20" w:lineRule="exact"/>
              <w:rPr>
                <w:sz w:val="1"/>
                <w:szCs w:val="1"/>
                <w:color w:val="auto"/>
              </w:rPr>
            </w:pPr>
          </w:p>
        </w:tc>
        <w:tc>
          <w:tcPr>
            <w:tcW w:w="200" w:type="dxa"/>
            <w:vAlign w:val="bottom"/>
            <w:shd w:val="clear" w:color="auto" w:fill="424E6A"/>
          </w:tcPr>
          <w:p>
            <w:pPr>
              <w:spacing w:after="0" w:line="20" w:lineRule="exact"/>
              <w:rPr>
                <w:sz w:val="1"/>
                <w:szCs w:val="1"/>
                <w:color w:val="auto"/>
              </w:rPr>
            </w:pPr>
          </w:p>
        </w:tc>
        <w:tc>
          <w:tcPr>
            <w:tcW w:w="400" w:type="dxa"/>
            <w:vAlign w:val="bottom"/>
            <w:shd w:val="clear" w:color="auto" w:fill="424E6A"/>
          </w:tcPr>
          <w:p>
            <w:pPr>
              <w:spacing w:after="0" w:line="20" w:lineRule="exact"/>
              <w:rPr>
                <w:sz w:val="1"/>
                <w:szCs w:val="1"/>
                <w:color w:val="auto"/>
              </w:rPr>
            </w:pPr>
          </w:p>
        </w:tc>
        <w:tc>
          <w:tcPr>
            <w:tcW w:w="200" w:type="dxa"/>
            <w:vAlign w:val="bottom"/>
            <w:tcBorders>
              <w:right w:val="single" w:sz="8" w:color="424E6A"/>
            </w:tcBorders>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340" w:type="dxa"/>
            <w:vAlign w:val="bottom"/>
            <w:shd w:val="clear" w:color="auto" w:fill="424E6A"/>
          </w:tcPr>
          <w:p>
            <w:pPr>
              <w:spacing w:after="0" w:line="20" w:lineRule="exact"/>
              <w:rPr>
                <w:sz w:val="1"/>
                <w:szCs w:val="1"/>
                <w:color w:val="auto"/>
              </w:rPr>
            </w:pPr>
          </w:p>
        </w:tc>
        <w:tc>
          <w:tcPr>
            <w:tcW w:w="680" w:type="dxa"/>
            <w:vAlign w:val="bottom"/>
            <w:shd w:val="clear" w:color="auto" w:fill="424E6A"/>
          </w:tcPr>
          <w:p>
            <w:pPr>
              <w:spacing w:after="0" w:line="20" w:lineRule="exact"/>
              <w:rPr>
                <w:sz w:val="1"/>
                <w:szCs w:val="1"/>
                <w:color w:val="auto"/>
              </w:rPr>
            </w:pPr>
          </w:p>
        </w:tc>
        <w:tc>
          <w:tcPr>
            <w:tcW w:w="120" w:type="dxa"/>
            <w:vAlign w:val="bottom"/>
            <w:tcBorders>
              <w:right w:val="single" w:sz="8" w:color="424E6A"/>
            </w:tcBorders>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300" w:type="dxa"/>
            <w:vAlign w:val="bottom"/>
            <w:shd w:val="clear" w:color="auto" w:fill="424E6A"/>
          </w:tcPr>
          <w:p>
            <w:pPr>
              <w:spacing w:after="0" w:line="20" w:lineRule="exact"/>
              <w:rPr>
                <w:sz w:val="1"/>
                <w:szCs w:val="1"/>
                <w:color w:val="auto"/>
              </w:rPr>
            </w:pPr>
          </w:p>
        </w:tc>
        <w:tc>
          <w:tcPr>
            <w:tcW w:w="740" w:type="dxa"/>
            <w:vAlign w:val="bottom"/>
            <w:shd w:val="clear" w:color="auto" w:fill="424E6A"/>
          </w:tcPr>
          <w:p>
            <w:pPr>
              <w:spacing w:after="0" w:line="20" w:lineRule="exact"/>
              <w:rPr>
                <w:sz w:val="1"/>
                <w:szCs w:val="1"/>
                <w:color w:val="auto"/>
              </w:rPr>
            </w:pPr>
          </w:p>
        </w:tc>
        <w:tc>
          <w:tcPr>
            <w:tcW w:w="100" w:type="dxa"/>
            <w:vAlign w:val="bottom"/>
            <w:tcBorders>
              <w:right w:val="single" w:sz="8" w:color="424E6A"/>
            </w:tcBorders>
            <w:shd w:val="clear" w:color="auto" w:fill="424E6A"/>
          </w:tcPr>
          <w:p>
            <w:pPr>
              <w:spacing w:after="0" w:line="20" w:lineRule="exact"/>
              <w:rPr>
                <w:sz w:val="1"/>
                <w:szCs w:val="1"/>
                <w:color w:val="auto"/>
              </w:rPr>
            </w:pP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Willie Chiang</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​2/24/22</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424E6A"/>
              <w:right w:val="single" w:sz="8" w:color="424E6A"/>
            </w:tcBorders>
            <w:gridSpan w:val="3"/>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​2,000,000</w:t>
            </w:r>
            <w:r>
              <w:rPr>
                <w:rFonts w:ascii="Arial" w:cs="Arial" w:eastAsia="Arial" w:hAnsi="Arial"/>
                <w:sz w:val="25"/>
                <w:szCs w:val="25"/>
                <w:color w:val="auto"/>
                <w:vertAlign w:val="subscript"/>
              </w:rPr>
              <w:t>​​</w:t>
            </w:r>
          </w:p>
        </w:tc>
        <w:tc>
          <w:tcPr>
            <w:tcW w:w="90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4,000,000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80" w:type="dxa"/>
            <w:vAlign w:val="bottom"/>
            <w:tcBorders>
              <w:bottom w:val="single" w:sz="8" w:color="424E6A"/>
            </w:tcBorders>
          </w:tcPr>
          <w:p>
            <w:pPr>
              <w:ind w:lef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​8/18/22</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​220,000</w:t>
            </w:r>
            <w:r>
              <w:rPr>
                <w:rFonts w:ascii="Arial" w:cs="Arial" w:eastAsia="Arial" w:hAnsi="Arial"/>
                <w:sz w:val="25"/>
                <w:szCs w:val="25"/>
                <w:color w:val="auto"/>
                <w:vertAlign w:val="subscript"/>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​440,000</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​220,000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3,927,000</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r>
        <w:trPr>
          <w:trHeight w:val="277"/>
        </w:trPr>
        <w:tc>
          <w:tcPr>
            <w:tcW w:w="1060" w:type="dxa"/>
            <w:vAlign w:val="bottom"/>
            <w:tcBorders>
              <w:left w:val="single" w:sz="8" w:color="424E6A"/>
              <w:bottom w:val="single" w:sz="8" w:color="424E6A"/>
            </w:tcBorders>
          </w:tcPr>
          <w:p>
            <w:pPr>
              <w:ind w:left="2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540" w:type="dxa"/>
            <w:vAlign w:val="bottom"/>
            <w:tcBorders>
              <w:bottom w:val="single" w:sz="8" w:color="424E6A"/>
            </w:tcBorders>
            <w:shd w:val="clear" w:color="auto" w:fill="D9DCE1"/>
          </w:tcPr>
          <w:p>
            <w:pPr>
              <w:jc w:val="right"/>
              <w:ind w:right="372"/>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6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4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424E6A"/>
            </w:tcBorders>
            <w:shd w:val="clear" w:color="auto" w:fill="D9DCE1"/>
          </w:tcPr>
          <w:p>
            <w:pPr>
              <w:ind w:left="8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80" w:type="dxa"/>
            <w:vAlign w:val="bottom"/>
            <w:tcBorders>
              <w:bottom w:val="single" w:sz="8" w:color="424E6A"/>
            </w:tcBorders>
            <w:shd w:val="clear" w:color="auto" w:fill="D9DCE1"/>
          </w:tcPr>
          <w:p>
            <w:pPr>
              <w:ind w:left="4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424E6A"/>
            </w:tcBorders>
            <w:shd w:val="clear" w:color="auto" w:fill="D9DCE1"/>
          </w:tcPr>
          <w:p>
            <w:pPr>
              <w:ind w:left="5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Harry Pefanis</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​2/24/22</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424E6A"/>
              <w:right w:val="single" w:sz="8" w:color="424E6A"/>
            </w:tcBorders>
            <w:gridSpan w:val="3"/>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​1,200,000</w:t>
            </w:r>
            <w:r>
              <w:rPr>
                <w:rFonts w:ascii="Arial" w:cs="Arial" w:eastAsia="Arial" w:hAnsi="Arial"/>
                <w:sz w:val="25"/>
                <w:szCs w:val="25"/>
                <w:color w:val="auto"/>
                <w:vertAlign w:val="subscript"/>
              </w:rPr>
              <w:t>​​</w:t>
            </w:r>
          </w:p>
        </w:tc>
        <w:tc>
          <w:tcPr>
            <w:tcW w:w="90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2,400,000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80" w:type="dxa"/>
            <w:vAlign w:val="bottom"/>
            <w:tcBorders>
              <w:bottom w:val="single" w:sz="8" w:color="424E6A"/>
            </w:tcBorders>
          </w:tcPr>
          <w:p>
            <w:pPr>
              <w:ind w:lef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r>
        <w:trPr>
          <w:trHeight w:val="277"/>
        </w:trPr>
        <w:tc>
          <w:tcPr>
            <w:tcW w:w="1060" w:type="dxa"/>
            <w:vAlign w:val="bottom"/>
            <w:tcBorders>
              <w:left w:val="single" w:sz="8" w:color="424E6A"/>
              <w:bottom w:val="single" w:sz="8" w:color="424E6A"/>
            </w:tcBorders>
          </w:tcPr>
          <w:p>
            <w:pPr>
              <w:ind w:left="2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540" w:type="dxa"/>
            <w:vAlign w:val="bottom"/>
            <w:tcBorders>
              <w:bottom w:val="single" w:sz="8" w:color="424E6A"/>
            </w:tcBorders>
            <w:shd w:val="clear" w:color="auto" w:fill="D9DCE1"/>
          </w:tcPr>
          <w:p>
            <w:pPr>
              <w:jc w:val="right"/>
              <w:ind w:right="372"/>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6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4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424E6A"/>
            </w:tcBorders>
            <w:shd w:val="clear" w:color="auto" w:fill="D9DCE1"/>
          </w:tcPr>
          <w:p>
            <w:pPr>
              <w:ind w:left="8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80" w:type="dxa"/>
            <w:vAlign w:val="bottom"/>
            <w:tcBorders>
              <w:bottom w:val="single" w:sz="8" w:color="424E6A"/>
            </w:tcBorders>
            <w:shd w:val="clear" w:color="auto" w:fill="D9DCE1"/>
          </w:tcPr>
          <w:p>
            <w:pPr>
              <w:ind w:left="4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424E6A"/>
            </w:tcBorders>
            <w:shd w:val="clear" w:color="auto" w:fill="D9DCE1"/>
          </w:tcPr>
          <w:p>
            <w:pPr>
              <w:ind w:left="5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Al Swanson</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​2/24/22</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825,000</w:t>
            </w:r>
            <w:r>
              <w:rPr>
                <w:rFonts w:ascii="Arial" w:cs="Arial" w:eastAsia="Arial" w:hAnsi="Arial"/>
                <w:sz w:val="25"/>
                <w:szCs w:val="25"/>
                <w:color w:val="auto"/>
                <w:vertAlign w:val="subscript"/>
              </w:rPr>
              <w:t>​​</w:t>
            </w:r>
          </w:p>
        </w:tc>
        <w:tc>
          <w:tcPr>
            <w:tcW w:w="90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1,650,000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80" w:type="dxa"/>
            <w:vAlign w:val="bottom"/>
            <w:tcBorders>
              <w:bottom w:val="single" w:sz="8" w:color="424E6A"/>
            </w:tcBorders>
          </w:tcPr>
          <w:p>
            <w:pPr>
              <w:ind w:lef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​8/18/22</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69,300</w:t>
            </w:r>
            <w:r>
              <w:rPr>
                <w:rFonts w:ascii="Arial" w:cs="Arial" w:eastAsia="Arial" w:hAnsi="Arial"/>
                <w:sz w:val="25"/>
                <w:szCs w:val="25"/>
                <w:color w:val="auto"/>
                <w:vertAlign w:val="subscript"/>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​138,600</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69,300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1,237,005</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r>
        <w:trPr>
          <w:trHeight w:val="277"/>
        </w:trPr>
        <w:tc>
          <w:tcPr>
            <w:tcW w:w="1060" w:type="dxa"/>
            <w:vAlign w:val="bottom"/>
            <w:tcBorders>
              <w:left w:val="single" w:sz="8" w:color="424E6A"/>
              <w:bottom w:val="single" w:sz="8" w:color="424E6A"/>
            </w:tcBorders>
          </w:tcPr>
          <w:p>
            <w:pPr>
              <w:ind w:left="2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540" w:type="dxa"/>
            <w:vAlign w:val="bottom"/>
            <w:tcBorders>
              <w:bottom w:val="single" w:sz="8" w:color="424E6A"/>
            </w:tcBorders>
            <w:shd w:val="clear" w:color="auto" w:fill="D9DCE1"/>
          </w:tcPr>
          <w:p>
            <w:pPr>
              <w:jc w:val="right"/>
              <w:ind w:right="372"/>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6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4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424E6A"/>
            </w:tcBorders>
            <w:shd w:val="clear" w:color="auto" w:fill="D9DCE1"/>
          </w:tcPr>
          <w:p>
            <w:pPr>
              <w:ind w:left="8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80" w:type="dxa"/>
            <w:vAlign w:val="bottom"/>
            <w:tcBorders>
              <w:bottom w:val="single" w:sz="8" w:color="424E6A"/>
            </w:tcBorders>
            <w:shd w:val="clear" w:color="auto" w:fill="D9DCE1"/>
          </w:tcPr>
          <w:p>
            <w:pPr>
              <w:ind w:left="4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424E6A"/>
            </w:tcBorders>
            <w:shd w:val="clear" w:color="auto" w:fill="D9DCE1"/>
          </w:tcPr>
          <w:p>
            <w:pPr>
              <w:ind w:left="5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Richard McGee</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​2/24/22</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825,000</w:t>
            </w:r>
            <w:r>
              <w:rPr>
                <w:rFonts w:ascii="Arial" w:cs="Arial" w:eastAsia="Arial" w:hAnsi="Arial"/>
                <w:sz w:val="25"/>
                <w:szCs w:val="25"/>
                <w:color w:val="auto"/>
                <w:vertAlign w:val="subscript"/>
              </w:rPr>
              <w:t>​​</w:t>
            </w:r>
          </w:p>
        </w:tc>
        <w:tc>
          <w:tcPr>
            <w:tcW w:w="90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1,650,000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80" w:type="dxa"/>
            <w:vAlign w:val="bottom"/>
            <w:tcBorders>
              <w:bottom w:val="single" w:sz="8" w:color="424E6A"/>
            </w:tcBorders>
          </w:tcPr>
          <w:p>
            <w:pPr>
              <w:ind w:lef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​8/18/22</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69,300</w:t>
            </w:r>
            <w:r>
              <w:rPr>
                <w:rFonts w:ascii="Arial" w:cs="Arial" w:eastAsia="Arial" w:hAnsi="Arial"/>
                <w:sz w:val="25"/>
                <w:szCs w:val="25"/>
                <w:color w:val="auto"/>
                <w:vertAlign w:val="subscript"/>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​138,600</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69,300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1,237,005</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r>
        <w:trPr>
          <w:trHeight w:val="277"/>
        </w:trPr>
        <w:tc>
          <w:tcPr>
            <w:tcW w:w="1060" w:type="dxa"/>
            <w:vAlign w:val="bottom"/>
            <w:tcBorders>
              <w:left w:val="single" w:sz="8" w:color="424E6A"/>
              <w:bottom w:val="single" w:sz="8" w:color="424E6A"/>
            </w:tcBorders>
          </w:tcPr>
          <w:p>
            <w:pPr>
              <w:ind w:left="2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540" w:type="dxa"/>
            <w:vAlign w:val="bottom"/>
            <w:tcBorders>
              <w:bottom w:val="single" w:sz="8" w:color="424E6A"/>
            </w:tcBorders>
            <w:shd w:val="clear" w:color="auto" w:fill="D9DCE1"/>
          </w:tcPr>
          <w:p>
            <w:pPr>
              <w:jc w:val="right"/>
              <w:ind w:right="372"/>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6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4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424E6A"/>
            </w:tcBorders>
            <w:shd w:val="clear" w:color="auto" w:fill="D9DCE1"/>
          </w:tcPr>
          <w:p>
            <w:pPr>
              <w:ind w:left="8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80" w:type="dxa"/>
            <w:vAlign w:val="bottom"/>
            <w:tcBorders>
              <w:bottom w:val="single" w:sz="8" w:color="424E6A"/>
            </w:tcBorders>
            <w:shd w:val="clear" w:color="auto" w:fill="D9DCE1"/>
          </w:tcPr>
          <w:p>
            <w:pPr>
              <w:ind w:left="4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424E6A"/>
            </w:tcBorders>
            <w:shd w:val="clear" w:color="auto" w:fill="D9DCE1"/>
          </w:tcPr>
          <w:p>
            <w:pPr>
              <w:ind w:left="5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Chris Chandler</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​2/24/22</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900,000</w:t>
            </w:r>
            <w:r>
              <w:rPr>
                <w:rFonts w:ascii="Arial" w:cs="Arial" w:eastAsia="Arial" w:hAnsi="Arial"/>
                <w:sz w:val="25"/>
                <w:szCs w:val="25"/>
                <w:color w:val="auto"/>
                <w:vertAlign w:val="subscript"/>
              </w:rPr>
              <w:t>​​</w:t>
            </w:r>
          </w:p>
        </w:tc>
        <w:tc>
          <w:tcPr>
            <w:tcW w:w="90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1,800,000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680" w:type="dxa"/>
            <w:vAlign w:val="bottom"/>
            <w:tcBorders>
              <w:bottom w:val="single" w:sz="8" w:color="424E6A"/>
            </w:tcBorders>
          </w:tcPr>
          <w:p>
            <w:pPr>
              <w:ind w:lef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​2/24/22</w:t>
            </w:r>
            <w:r>
              <w:rPr>
                <w:rFonts w:ascii="Arial" w:cs="Arial" w:eastAsia="Arial" w:hAnsi="Arial"/>
                <w:sz w:val="16"/>
                <w:szCs w:val="16"/>
                <w:color w:val="auto"/>
                <w:vertAlign w:val="superscript"/>
              </w:rPr>
              <w:t>(4)</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80" w:type="dxa"/>
            <w:vAlign w:val="bottom"/>
            <w:tcBorders>
              <w:bottom w:val="single" w:sz="8" w:color="424E6A"/>
            </w:tcBorders>
          </w:tcPr>
          <w:p>
            <w:pPr>
              <w:ind w:lef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2,486,671</w:t>
            </w:r>
            <w:r>
              <w:rPr>
                <w:rFonts w:ascii="Arial" w:cs="Arial" w:eastAsia="Arial" w:hAnsi="Arial"/>
                <w:sz w:val="16"/>
                <w:szCs w:val="16"/>
                <w:color w:val="auto"/>
                <w:vertAlign w:val="superscript"/>
              </w:rPr>
              <w:t>(5)</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​8/18/22</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89,350</w:t>
            </w:r>
            <w:r>
              <w:rPr>
                <w:rFonts w:ascii="Arial" w:cs="Arial" w:eastAsia="Arial" w:hAnsi="Arial"/>
                <w:sz w:val="25"/>
                <w:szCs w:val="25"/>
                <w:color w:val="auto"/>
                <w:vertAlign w:val="subscript"/>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​178,700</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89,350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1,594,898</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r>
        <w:trPr>
          <w:trHeight w:val="277"/>
        </w:trPr>
        <w:tc>
          <w:tcPr>
            <w:tcW w:w="1060" w:type="dxa"/>
            <w:vAlign w:val="bottom"/>
            <w:tcBorders>
              <w:left w:val="single" w:sz="8" w:color="424E6A"/>
              <w:bottom w:val="single" w:sz="8" w:color="424E6A"/>
            </w:tcBorders>
          </w:tcPr>
          <w:p>
            <w:pPr>
              <w:ind w:left="2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540" w:type="dxa"/>
            <w:vAlign w:val="bottom"/>
            <w:tcBorders>
              <w:bottom w:val="single" w:sz="8" w:color="424E6A"/>
            </w:tcBorders>
            <w:shd w:val="clear" w:color="auto" w:fill="D9DCE1"/>
          </w:tcPr>
          <w:p>
            <w:pPr>
              <w:jc w:val="right"/>
              <w:ind w:right="372"/>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w:t>
            </w: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6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4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424E6A"/>
            </w:tcBorders>
            <w:shd w:val="clear" w:color="auto" w:fill="D9DCE1"/>
          </w:tcPr>
          <w:p>
            <w:pPr>
              <w:ind w:left="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w:t>
            </w:r>
          </w:p>
        </w:tc>
        <w:tc>
          <w:tcPr>
            <w:tcW w:w="400" w:type="dxa"/>
            <w:vAlign w:val="bottom"/>
            <w:tcBorders>
              <w:bottom w:val="single" w:sz="8" w:color="424E6A"/>
            </w:tcBorders>
            <w:shd w:val="clear" w:color="auto" w:fill="D9DCE1"/>
          </w:tcPr>
          <w:p>
            <w:pPr>
              <w:spacing w:after="0"/>
              <w:rPr>
                <w:sz w:val="24"/>
                <w:szCs w:val="24"/>
                <w:color w:val="auto"/>
              </w:rPr>
            </w:pP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w:t>
            </w:r>
          </w:p>
        </w:tc>
        <w:tc>
          <w:tcPr>
            <w:tcW w:w="680" w:type="dxa"/>
            <w:vAlign w:val="bottom"/>
            <w:tcBorders>
              <w:bottom w:val="single" w:sz="8" w:color="424E6A"/>
            </w:tcBorders>
            <w:shd w:val="clear" w:color="auto" w:fill="D9DCE1"/>
          </w:tcPr>
          <w:p>
            <w:pPr>
              <w:ind w:left="44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424E6A"/>
            </w:tcBorders>
            <w:shd w:val="clear" w:color="auto" w:fill="D9DCE1"/>
          </w:tcPr>
          <w:p>
            <w:pPr>
              <w:ind w:left="5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Jeremy Goebel</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​2/24/22</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900,000</w:t>
            </w:r>
            <w:r>
              <w:rPr>
                <w:rFonts w:ascii="Arial" w:cs="Arial" w:eastAsia="Arial" w:hAnsi="Arial"/>
                <w:sz w:val="25"/>
                <w:szCs w:val="25"/>
                <w:color w:val="auto"/>
                <w:vertAlign w:val="subscript"/>
              </w:rPr>
              <w:t>​​</w:t>
            </w:r>
          </w:p>
        </w:tc>
        <w:tc>
          <w:tcPr>
            <w:tcW w:w="90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1,800,000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80" w:type="dxa"/>
            <w:vAlign w:val="bottom"/>
            <w:tcBorders>
              <w:bottom w:val="single" w:sz="8" w:color="424E6A"/>
            </w:tcBorders>
          </w:tcPr>
          <w:p>
            <w:pPr>
              <w:ind w:lef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​2/24/22</w:t>
            </w:r>
            <w:r>
              <w:rPr>
                <w:rFonts w:ascii="Arial" w:cs="Arial" w:eastAsia="Arial" w:hAnsi="Arial"/>
                <w:sz w:val="16"/>
                <w:szCs w:val="16"/>
                <w:color w:val="auto"/>
                <w:vertAlign w:val="superscript"/>
              </w:rPr>
              <w:t>(4)</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680" w:type="dxa"/>
            <w:vAlign w:val="bottom"/>
            <w:tcBorders>
              <w:bottom w:val="single" w:sz="8" w:color="424E6A"/>
            </w:tcBorders>
          </w:tcPr>
          <w:p>
            <w:pPr>
              <w:ind w:lef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2,486,671</w:t>
            </w:r>
            <w:r>
              <w:rPr>
                <w:rFonts w:ascii="Arial" w:cs="Arial" w:eastAsia="Arial" w:hAnsi="Arial"/>
                <w:sz w:val="16"/>
                <w:szCs w:val="16"/>
                <w:color w:val="auto"/>
                <w:vertAlign w:val="superscript"/>
              </w:rPr>
              <w:t>(5)</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​8/18/22</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89,350</w:t>
            </w:r>
            <w:r>
              <w:rPr>
                <w:rFonts w:ascii="Arial" w:cs="Arial" w:eastAsia="Arial" w:hAnsi="Arial"/>
                <w:sz w:val="25"/>
                <w:szCs w:val="25"/>
                <w:color w:val="auto"/>
                <w:vertAlign w:val="subscript"/>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​178,700</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89,350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1,594,898</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-3230880</wp:posOffset>
            </wp:positionV>
            <wp:extent cx="4629150" cy="32315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629150" cy="3231515"/>
                    </a:xfrm>
                    <a:prstGeom prst="rect">
                      <a:avLst/>
                    </a:prstGeom>
                    <a:noFill/>
                  </pic:spPr>
                </pic:pic>
              </a:graphicData>
            </a:graphic>
          </wp:anchor>
        </w:drawing>
      </w:r>
    </w:p>
    <w:p>
      <w:pPr>
        <w:spacing w:after="0" w:line="177" w:lineRule="exact"/>
        <w:rPr>
          <w:sz w:val="20"/>
          <w:szCs w:val="20"/>
          <w:color w:val="auto"/>
        </w:rPr>
      </w:pPr>
    </w:p>
    <w:p>
      <w:pPr>
        <w:ind w:left="1620" w:right="820" w:hanging="360"/>
        <w:spacing w:after="0" w:line="242"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Represents the performance-vested portion of phantom units granted in August 2022. These phantom units will potentially vest on the August 2025 distribution date at a scaled payout range of between 0% and 200% based on: (i) with respect to 50% of the performance-vested award, PAA’s TSR over the three-year period ending June 30, 2025 compared to the TSR of the TSR Comparator Peer Group described on page 35 (payout may be reduced if absolute TSR is negative); and (ii) with respect to the other 50% of the performance-vested award, PAA achieving cumulative DCF per CUE of $7.05 over the three-year period ending June 30, 2025 (payout may be decreased by 25 basis points if PAA’s leverage ratio as of June 30, 2025 is greater than 3.5x). DERs associated with the performance-vested portion will accrue during the three-year performance period and be paid in cash in a lump sum on the August 2025 distribution date with respect to the number of such phantom units, if any, that vest on such date.</w:t>
      </w:r>
    </w:p>
    <w:p>
      <w:pPr>
        <w:spacing w:after="0" w:line="43" w:lineRule="exact"/>
        <w:rPr>
          <w:rFonts w:ascii="Arial" w:cs="Arial" w:eastAsia="Arial" w:hAnsi="Arial"/>
          <w:sz w:val="27"/>
          <w:szCs w:val="27"/>
          <w:color w:val="auto"/>
          <w:vertAlign w:val="superscript"/>
        </w:rPr>
      </w:pPr>
    </w:p>
    <w:p>
      <w:pPr>
        <w:ind w:left="1620" w:right="780" w:hanging="360"/>
        <w:spacing w:after="0" w:line="232"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Represents the time-vested portion of phantom units granted in August 2022. These phantom units will vest on the August 2025 distribution date. DERs associated with the time-vested portion will accrue for the first year and such accrued amount will be paid in cash in a lump sum on the August 2023 distribution date; beginning in November 2023, DERs on such time-vested portion will be paid quarterly until the associated phantom units vest.</w:t>
      </w:r>
    </w:p>
    <w:p>
      <w:pPr>
        <w:spacing w:after="0" w:line="60" w:lineRule="exact"/>
        <w:rPr>
          <w:rFonts w:ascii="Arial" w:cs="Arial" w:eastAsia="Arial" w:hAnsi="Arial"/>
          <w:sz w:val="27"/>
          <w:szCs w:val="27"/>
          <w:color w:val="auto"/>
          <w:vertAlign w:val="superscript"/>
        </w:rPr>
      </w:pPr>
    </w:p>
    <w:p>
      <w:pPr>
        <w:ind w:left="1620" w:right="760" w:hanging="360"/>
        <w:spacing w:after="0" w:line="237"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Represents the aggregate grant date fair values of phantom units granted in August 2022 based on the probable outcome of underlying performance conditions pursuant to FASB ASC Topic 718. For phantom unit grants awarded in August 2022, 75% were deemed probable of vesting on the grant date. The maximum fair value of phantom unit grants awarded in August 2022, assuming that the highest level of performance conditions will be met, was $7,854,000 for Mr. Chiang, $2,474,010 for each of Messrs. Swanson and McGee, and $3,189,795 for each of Messrs. Chandler and Goebel.</w:t>
      </w:r>
    </w:p>
    <w:p>
      <w:pPr>
        <w:sectPr>
          <w:pgSz w:w="11900" w:h="16838" w:orient="portrait"/>
          <w:cols w:equalWidth="0" w:num="1">
            <w:col w:w="10220"/>
          </w:cols>
          <w:pgMar w:left="580" w:top="97" w:right="1099" w:bottom="1440" w:gutter="0" w:footer="0" w:header="0"/>
        </w:sectPr>
      </w:pPr>
    </w:p>
    <w:p>
      <w:pPr>
        <w:spacing w:after="0" w:line="37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759" w:hanging="360"/>
        <w:spacing w:after="0" w:line="228" w:lineRule="auto"/>
        <w:tabs>
          <w:tab w:leader="none" w:pos="16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Represents the date of amendment of previously granted phantom unit awards as discussed in footnote 2 to the Summary Compensation Table above, in footnote 4 to the Outstanding Equity Awards at Fiscal Year-End Table below, and under the heading “Adjustment of Certain Pre-Pandemic Long-Term Incentive Awards” on page 43.</w:t>
      </w:r>
    </w:p>
    <w:p>
      <w:pPr>
        <w:spacing w:after="0" w:line="73" w:lineRule="exact"/>
        <w:rPr>
          <w:rFonts w:ascii="Arial" w:cs="Arial" w:eastAsia="Arial" w:hAnsi="Arial"/>
          <w:sz w:val="27"/>
          <w:szCs w:val="27"/>
          <w:color w:val="auto"/>
          <w:vertAlign w:val="superscript"/>
        </w:rPr>
      </w:pPr>
    </w:p>
    <w:p>
      <w:pPr>
        <w:ind w:left="1620" w:right="519" w:hanging="360"/>
        <w:spacing w:after="0" w:line="222" w:lineRule="auto"/>
        <w:tabs>
          <w:tab w:leader="none" w:pos="16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Represents the incremental value, calculated pursuant to FASB ASC Topic 718, resulting from the amendment in February 2022 of 250,000 performance-based phantom unit awards originally granted to each of Messrs. Chandler and Goebel in November 2019.</w:t>
      </w:r>
    </w:p>
    <w:p>
      <w:pPr>
        <w:spacing w:after="0" w:line="2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12" w:lineRule="exact"/>
        <w:rPr>
          <w:sz w:val="20"/>
          <w:szCs w:val="20"/>
          <w:color w:val="auto"/>
        </w:rPr>
      </w:pPr>
    </w:p>
    <w:p>
      <w:pPr>
        <w:ind w:left="1260" w:right="599" w:firstLine="360"/>
        <w:spacing w:after="0" w:line="284" w:lineRule="auto"/>
        <w:rPr>
          <w:sz w:val="20"/>
          <w:szCs w:val="20"/>
          <w:color w:val="auto"/>
        </w:rPr>
      </w:pPr>
      <w:r>
        <w:rPr>
          <w:rFonts w:ascii="Arial" w:cs="Arial" w:eastAsia="Arial" w:hAnsi="Arial"/>
          <w:sz w:val="18"/>
          <w:szCs w:val="18"/>
          <w:color w:val="auto"/>
        </w:rPr>
        <w:t>A narrative description of all material factors necessary to an understanding of the information included in the above Summary Compensation Table is included in “— Compensation Discussion and Analysis” and in the footnotes to such table.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Contracts</w:t>
      </w:r>
    </w:p>
    <w:p>
      <w:pPr>
        <w:spacing w:after="0" w:line="212" w:lineRule="exact"/>
        <w:rPr>
          <w:sz w:val="20"/>
          <w:szCs w:val="20"/>
          <w:color w:val="auto"/>
        </w:rPr>
      </w:pPr>
    </w:p>
    <w:p>
      <w:pPr>
        <w:ind w:left="1260" w:right="619" w:firstLine="360"/>
        <w:spacing w:after="0" w:line="267" w:lineRule="auto"/>
        <w:rPr>
          <w:sz w:val="20"/>
          <w:szCs w:val="20"/>
          <w:color w:val="auto"/>
        </w:rPr>
      </w:pPr>
      <w:r>
        <w:rPr>
          <w:rFonts w:ascii="Arial" w:cs="Arial" w:eastAsia="Arial" w:hAnsi="Arial"/>
          <w:sz w:val="18"/>
          <w:szCs w:val="18"/>
          <w:color w:val="auto"/>
        </w:rPr>
        <w:t>Mr. Chiang’s previous employment agreement was amended and restated in connection with his promotion to CEO in October 2018. Pursuant to the amended and restated agreement, which may be terminated by the Company or by Mr. Chiang at any time, Mr. Chiang’s compensation, which is described throughout this Executive Compensation section, is subject to adjustment by the Compensation Committee and full Board.</w:t>
      </w:r>
    </w:p>
    <w:p>
      <w:pPr>
        <w:spacing w:after="0" w:line="172" w:lineRule="exact"/>
        <w:rPr>
          <w:sz w:val="20"/>
          <w:szCs w:val="20"/>
          <w:color w:val="auto"/>
        </w:rPr>
      </w:pPr>
    </w:p>
    <w:p>
      <w:pPr>
        <w:ind w:left="1260" w:right="419" w:firstLine="360"/>
        <w:spacing w:after="0" w:line="264" w:lineRule="auto"/>
        <w:rPr>
          <w:sz w:val="20"/>
          <w:szCs w:val="20"/>
          <w:color w:val="auto"/>
        </w:rPr>
      </w:pPr>
      <w:r>
        <w:rPr>
          <w:rFonts w:ascii="Arial" w:cs="Arial" w:eastAsia="Arial" w:hAnsi="Arial"/>
          <w:sz w:val="18"/>
          <w:szCs w:val="18"/>
          <w:color w:val="auto"/>
        </w:rPr>
        <w:t>The initial three-year term of Mr. Pefanis’ current employment agreement commenced on June 30, 2001, and is automatically extended for one year on June 30 of each year (such that the term is reset to three years) unless Mr. Pefanis receives notice from the Chairman of the Board that the Board has elected not to extend the agreement. Pursuant to Mr. Pefanis’ agreement, Mr. Pefanis’ compensation, which is described throughout this Executive Compensation section, is subject to adjustment by the Compensation Committee and full Board. See “— Potential Payments upon Termination or Change-In-Control” for a discussion of the provisions in Mr. Pefanis’ employment agreement related to termination, change of control and related payment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sets forth certain information regarding outstanding equity awards as in effect at</w:t>
      </w:r>
    </w:p>
    <w:p>
      <w:pPr>
        <w:spacing w:after="0" w:line="3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2022 with respect to our Named Executive Officers:</w:t>
      </w:r>
    </w:p>
    <w:p>
      <w:pPr>
        <w:spacing w:after="0" w:line="185" w:lineRule="exact"/>
        <w:rPr>
          <w:sz w:val="20"/>
          <w:szCs w:val="20"/>
          <w:color w:val="auto"/>
        </w:rPr>
      </w:pPr>
    </w:p>
    <w:tbl>
      <w:tblPr>
        <w:tblLayout w:type="fixed"/>
        <w:tblInd w:w="1270" w:type="dxa"/>
        <w:tblCellMar>
          <w:top w:w="0" w:type="dxa"/>
          <w:left w:w="0" w:type="dxa"/>
          <w:bottom w:w="0" w:type="dxa"/>
          <w:right w:w="0" w:type="dxa"/>
        </w:tblCellMar>
      </w:tblPr>
      <w:tr>
        <w:trPr>
          <w:trHeight w:val="242"/>
        </w:trPr>
        <w:tc>
          <w:tcPr>
            <w:tcW w:w="2160" w:type="dxa"/>
            <w:vAlign w:val="bottom"/>
            <w:tcBorders>
              <w:left w:val="single" w:sz="8" w:color="424E6A"/>
              <w:bottom w:val="single" w:sz="8" w:color="424E6A"/>
            </w:tcBorders>
            <w:shd w:val="clear" w:color="auto" w:fill="424E6A"/>
          </w:tcPr>
          <w:p>
            <w:pPr>
              <w:spacing w:after="0"/>
              <w:rPr>
                <w:sz w:val="21"/>
                <w:szCs w:val="21"/>
                <w:color w:val="auto"/>
              </w:rPr>
            </w:pPr>
          </w:p>
        </w:tc>
        <w:tc>
          <w:tcPr>
            <w:tcW w:w="960" w:type="dxa"/>
            <w:vAlign w:val="bottom"/>
            <w:tcBorders>
              <w:bottom w:val="single" w:sz="8" w:color="424E6A"/>
              <w:right w:val="single" w:sz="8" w:color="424E6A"/>
            </w:tcBorders>
            <w:shd w:val="clear" w:color="auto" w:fill="424E6A"/>
          </w:tcPr>
          <w:p>
            <w:pPr>
              <w:spacing w:after="0"/>
              <w:rPr>
                <w:sz w:val="21"/>
                <w:szCs w:val="21"/>
                <w:color w:val="auto"/>
              </w:rPr>
            </w:pPr>
          </w:p>
        </w:tc>
        <w:tc>
          <w:tcPr>
            <w:tcW w:w="140" w:type="dxa"/>
            <w:vAlign w:val="bottom"/>
            <w:tcBorders>
              <w:bottom w:val="single" w:sz="8" w:color="auto"/>
            </w:tcBorders>
            <w:shd w:val="clear" w:color="auto" w:fill="424E6A"/>
          </w:tcPr>
          <w:p>
            <w:pPr>
              <w:spacing w:after="0"/>
              <w:rPr>
                <w:sz w:val="21"/>
                <w:szCs w:val="21"/>
                <w:color w:val="auto"/>
              </w:rPr>
            </w:pPr>
          </w:p>
        </w:tc>
        <w:tc>
          <w:tcPr>
            <w:tcW w:w="260" w:type="dxa"/>
            <w:vAlign w:val="bottom"/>
            <w:tcBorders>
              <w:bottom w:val="single" w:sz="8" w:color="auto"/>
            </w:tcBorders>
            <w:shd w:val="clear" w:color="auto" w:fill="424E6A"/>
          </w:tcPr>
          <w:p>
            <w:pPr>
              <w:spacing w:after="0"/>
              <w:rPr>
                <w:sz w:val="21"/>
                <w:szCs w:val="21"/>
                <w:color w:val="auto"/>
              </w:rPr>
            </w:pPr>
          </w:p>
        </w:tc>
        <w:tc>
          <w:tcPr>
            <w:tcW w:w="740" w:type="dxa"/>
            <w:vAlign w:val="bottom"/>
            <w:tcBorders>
              <w:bottom w:val="single" w:sz="8" w:color="auto"/>
            </w:tcBorders>
            <w:shd w:val="clear" w:color="auto" w:fill="424E6A"/>
          </w:tcPr>
          <w:p>
            <w:pPr>
              <w:spacing w:after="0"/>
              <w:rPr>
                <w:sz w:val="21"/>
                <w:szCs w:val="21"/>
                <w:color w:val="auto"/>
              </w:rPr>
            </w:pPr>
          </w:p>
        </w:tc>
        <w:tc>
          <w:tcPr>
            <w:tcW w:w="180" w:type="dxa"/>
            <w:vAlign w:val="bottom"/>
            <w:tcBorders>
              <w:bottom w:val="single" w:sz="8" w:color="auto"/>
              <w:right w:val="single" w:sz="8" w:color="424E6A"/>
            </w:tcBorders>
            <w:shd w:val="clear" w:color="auto" w:fill="424E6A"/>
          </w:tcPr>
          <w:p>
            <w:pPr>
              <w:spacing w:after="0"/>
              <w:rPr>
                <w:sz w:val="21"/>
                <w:szCs w:val="21"/>
                <w:color w:val="auto"/>
              </w:rPr>
            </w:pPr>
          </w:p>
        </w:tc>
        <w:tc>
          <w:tcPr>
            <w:tcW w:w="220" w:type="dxa"/>
            <w:vAlign w:val="bottom"/>
            <w:tcBorders>
              <w:bottom w:val="single" w:sz="8" w:color="auto"/>
            </w:tcBorders>
            <w:shd w:val="clear" w:color="auto" w:fill="424E6A"/>
          </w:tcPr>
          <w:p>
            <w:pPr>
              <w:spacing w:after="0"/>
              <w:rPr>
                <w:sz w:val="21"/>
                <w:szCs w:val="21"/>
                <w:color w:val="auto"/>
              </w:rPr>
            </w:pPr>
          </w:p>
        </w:tc>
        <w:tc>
          <w:tcPr>
            <w:tcW w:w="2060" w:type="dxa"/>
            <w:vAlign w:val="bottom"/>
            <w:tcBorders>
              <w:bottom w:val="single" w:sz="8" w:color="auto"/>
            </w:tcBorders>
            <w:gridSpan w:val="5"/>
            <w:shd w:val="clear" w:color="auto" w:fill="424E6A"/>
          </w:tcPr>
          <w:p>
            <w:pPr>
              <w:jc w:val="right"/>
              <w:ind w:right="522"/>
              <w:spacing w:after="0"/>
              <w:rPr>
                <w:sz w:val="20"/>
                <w:szCs w:val="20"/>
                <w:color w:val="auto"/>
              </w:rPr>
            </w:pPr>
            <w:r>
              <w:rPr>
                <w:rFonts w:ascii="Arial" w:cs="Arial" w:eastAsia="Arial" w:hAnsi="Arial"/>
                <w:sz w:val="14"/>
                <w:szCs w:val="14"/>
                <w:b w:val="1"/>
                <w:bCs w:val="1"/>
                <w:color w:val="FFFFFF"/>
              </w:rPr>
              <w:t>Unit Awards</w:t>
            </w:r>
          </w:p>
        </w:tc>
        <w:tc>
          <w:tcPr>
            <w:tcW w:w="180" w:type="dxa"/>
            <w:vAlign w:val="bottom"/>
            <w:tcBorders>
              <w:bottom w:val="single" w:sz="8" w:color="auto"/>
              <w:right w:val="single" w:sz="8" w:color="424E6A"/>
            </w:tcBorders>
            <w:shd w:val="clear" w:color="auto" w:fill="424E6A"/>
          </w:tcPr>
          <w:p>
            <w:pPr>
              <w:spacing w:after="0"/>
              <w:rPr>
                <w:sz w:val="21"/>
                <w:szCs w:val="21"/>
                <w:color w:val="auto"/>
              </w:rPr>
            </w:pPr>
          </w:p>
        </w:tc>
        <w:tc>
          <w:tcPr>
            <w:tcW w:w="160" w:type="dxa"/>
            <w:vAlign w:val="bottom"/>
            <w:tcBorders>
              <w:bottom w:val="single" w:sz="8" w:color="auto"/>
            </w:tcBorders>
            <w:shd w:val="clear" w:color="auto" w:fill="424E6A"/>
          </w:tcPr>
          <w:p>
            <w:pPr>
              <w:spacing w:after="0"/>
              <w:rPr>
                <w:sz w:val="21"/>
                <w:szCs w:val="21"/>
                <w:color w:val="auto"/>
              </w:rPr>
            </w:pPr>
          </w:p>
        </w:tc>
        <w:tc>
          <w:tcPr>
            <w:tcW w:w="180" w:type="dxa"/>
            <w:vAlign w:val="bottom"/>
            <w:tcBorders>
              <w:bottom w:val="single" w:sz="8" w:color="auto"/>
            </w:tcBorders>
            <w:shd w:val="clear" w:color="auto" w:fill="424E6A"/>
          </w:tcPr>
          <w:p>
            <w:pPr>
              <w:spacing w:after="0"/>
              <w:rPr>
                <w:sz w:val="21"/>
                <w:szCs w:val="21"/>
                <w:color w:val="auto"/>
              </w:rPr>
            </w:pPr>
          </w:p>
        </w:tc>
        <w:tc>
          <w:tcPr>
            <w:tcW w:w="880" w:type="dxa"/>
            <w:vAlign w:val="bottom"/>
            <w:tcBorders>
              <w:bottom w:val="single" w:sz="8" w:color="auto"/>
            </w:tcBorders>
            <w:shd w:val="clear" w:color="auto" w:fill="424E6A"/>
          </w:tcPr>
          <w:p>
            <w:pPr>
              <w:spacing w:after="0"/>
              <w:rPr>
                <w:sz w:val="21"/>
                <w:szCs w:val="21"/>
                <w:color w:val="auto"/>
              </w:rPr>
            </w:pPr>
          </w:p>
        </w:tc>
        <w:tc>
          <w:tcPr>
            <w:tcW w:w="100" w:type="dxa"/>
            <w:vAlign w:val="bottom"/>
            <w:tcBorders>
              <w:bottom w:val="single" w:sz="8" w:color="auto"/>
              <w:right w:val="single" w:sz="8" w:color="424E6A"/>
            </w:tcBorders>
            <w:shd w:val="clear" w:color="auto" w:fill="424E6A"/>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160" w:type="dxa"/>
            <w:vAlign w:val="bottom"/>
            <w:tcBorders>
              <w:left w:val="single" w:sz="8" w:color="424E6A"/>
            </w:tcBorders>
            <w:shd w:val="clear" w:color="auto" w:fill="424E6A"/>
          </w:tcPr>
          <w:p>
            <w:pPr>
              <w:spacing w:after="0"/>
              <w:rPr>
                <w:sz w:val="13"/>
                <w:szCs w:val="13"/>
                <w:color w:val="auto"/>
              </w:rPr>
            </w:pPr>
          </w:p>
        </w:tc>
        <w:tc>
          <w:tcPr>
            <w:tcW w:w="960" w:type="dxa"/>
            <w:vAlign w:val="bottom"/>
            <w:tcBorders>
              <w:right w:val="single" w:sz="8" w:color="424E6A"/>
            </w:tcBorders>
            <w:shd w:val="clear" w:color="auto" w:fill="424E6A"/>
          </w:tcPr>
          <w:p>
            <w:pPr>
              <w:spacing w:after="0"/>
              <w:rPr>
                <w:sz w:val="13"/>
                <w:szCs w:val="13"/>
                <w:color w:val="auto"/>
              </w:rPr>
            </w:pPr>
          </w:p>
        </w:tc>
        <w:tc>
          <w:tcPr>
            <w:tcW w:w="140" w:type="dxa"/>
            <w:vAlign w:val="bottom"/>
            <w:shd w:val="clear" w:color="auto" w:fill="424E6A"/>
          </w:tcPr>
          <w:p>
            <w:pPr>
              <w:spacing w:after="0"/>
              <w:rPr>
                <w:sz w:val="13"/>
                <w:szCs w:val="13"/>
                <w:color w:val="auto"/>
              </w:rPr>
            </w:pPr>
          </w:p>
        </w:tc>
        <w:tc>
          <w:tcPr>
            <w:tcW w:w="260" w:type="dxa"/>
            <w:vAlign w:val="bottom"/>
            <w:shd w:val="clear" w:color="auto" w:fill="424E6A"/>
          </w:tcPr>
          <w:p>
            <w:pPr>
              <w:spacing w:after="0"/>
              <w:rPr>
                <w:sz w:val="13"/>
                <w:szCs w:val="13"/>
                <w:color w:val="auto"/>
              </w:rPr>
            </w:pPr>
          </w:p>
        </w:tc>
        <w:tc>
          <w:tcPr>
            <w:tcW w:w="740" w:type="dxa"/>
            <w:vAlign w:val="bottom"/>
            <w:shd w:val="clear" w:color="auto" w:fill="424E6A"/>
          </w:tcPr>
          <w:p>
            <w:pPr>
              <w:spacing w:after="0"/>
              <w:rPr>
                <w:sz w:val="13"/>
                <w:szCs w:val="13"/>
                <w:color w:val="auto"/>
              </w:rPr>
            </w:pPr>
          </w:p>
        </w:tc>
        <w:tc>
          <w:tcPr>
            <w:tcW w:w="180" w:type="dxa"/>
            <w:vAlign w:val="bottom"/>
            <w:tcBorders>
              <w:right w:val="single" w:sz="8" w:color="424E6A"/>
            </w:tcBorders>
            <w:shd w:val="clear" w:color="auto" w:fill="424E6A"/>
          </w:tcPr>
          <w:p>
            <w:pPr>
              <w:spacing w:after="0"/>
              <w:rPr>
                <w:sz w:val="13"/>
                <w:szCs w:val="13"/>
                <w:color w:val="auto"/>
              </w:rPr>
            </w:pPr>
          </w:p>
        </w:tc>
        <w:tc>
          <w:tcPr>
            <w:tcW w:w="220" w:type="dxa"/>
            <w:vAlign w:val="bottom"/>
            <w:shd w:val="clear" w:color="auto" w:fill="424E6A"/>
          </w:tcPr>
          <w:p>
            <w:pPr>
              <w:spacing w:after="0"/>
              <w:rPr>
                <w:sz w:val="13"/>
                <w:szCs w:val="13"/>
                <w:color w:val="auto"/>
              </w:rPr>
            </w:pPr>
          </w:p>
        </w:tc>
        <w:tc>
          <w:tcPr>
            <w:tcW w:w="760" w:type="dxa"/>
            <w:vAlign w:val="bottom"/>
            <w:shd w:val="clear" w:color="auto" w:fill="424E6A"/>
          </w:tcPr>
          <w:p>
            <w:pPr>
              <w:spacing w:after="0"/>
              <w:rPr>
                <w:sz w:val="13"/>
                <w:szCs w:val="13"/>
                <w:color w:val="auto"/>
              </w:rPr>
            </w:pPr>
          </w:p>
        </w:tc>
        <w:tc>
          <w:tcPr>
            <w:tcW w:w="180" w:type="dxa"/>
            <w:vAlign w:val="bottom"/>
            <w:tcBorders>
              <w:right w:val="single" w:sz="8" w:color="424E6A"/>
            </w:tcBorders>
            <w:shd w:val="clear" w:color="auto" w:fill="424E6A"/>
          </w:tcPr>
          <w:p>
            <w:pPr>
              <w:spacing w:after="0"/>
              <w:rPr>
                <w:sz w:val="13"/>
                <w:szCs w:val="13"/>
                <w:color w:val="auto"/>
              </w:rPr>
            </w:pPr>
          </w:p>
        </w:tc>
        <w:tc>
          <w:tcPr>
            <w:tcW w:w="140" w:type="dxa"/>
            <w:vAlign w:val="bottom"/>
            <w:shd w:val="clear" w:color="auto" w:fill="424E6A"/>
          </w:tcPr>
          <w:p>
            <w:pPr>
              <w:spacing w:after="0"/>
              <w:rPr>
                <w:sz w:val="13"/>
                <w:szCs w:val="13"/>
                <w:color w:val="auto"/>
              </w:rPr>
            </w:pPr>
          </w:p>
        </w:tc>
        <w:tc>
          <w:tcPr>
            <w:tcW w:w="200" w:type="dxa"/>
            <w:vAlign w:val="bottom"/>
            <w:shd w:val="clear" w:color="auto" w:fill="424E6A"/>
          </w:tcPr>
          <w:p>
            <w:pPr>
              <w:spacing w:after="0"/>
              <w:rPr>
                <w:sz w:val="13"/>
                <w:szCs w:val="13"/>
                <w:color w:val="auto"/>
              </w:rPr>
            </w:pPr>
          </w:p>
        </w:tc>
        <w:tc>
          <w:tcPr>
            <w:tcW w:w="780" w:type="dxa"/>
            <w:vAlign w:val="bottom"/>
            <w:shd w:val="clear" w:color="auto" w:fill="424E6A"/>
          </w:tcPr>
          <w:p>
            <w:pPr>
              <w:spacing w:after="0"/>
              <w:rPr>
                <w:sz w:val="13"/>
                <w:szCs w:val="13"/>
                <w:color w:val="auto"/>
              </w:rPr>
            </w:pPr>
          </w:p>
        </w:tc>
        <w:tc>
          <w:tcPr>
            <w:tcW w:w="180" w:type="dxa"/>
            <w:vAlign w:val="bottom"/>
            <w:tcBorders>
              <w:right w:val="single" w:sz="8" w:color="424E6A"/>
            </w:tcBorders>
            <w:shd w:val="clear" w:color="auto" w:fill="424E6A"/>
          </w:tcPr>
          <w:p>
            <w:pPr>
              <w:spacing w:after="0"/>
              <w:rPr>
                <w:sz w:val="13"/>
                <w:szCs w:val="13"/>
                <w:color w:val="auto"/>
              </w:rPr>
            </w:pPr>
          </w:p>
        </w:tc>
        <w:tc>
          <w:tcPr>
            <w:tcW w:w="160" w:type="dxa"/>
            <w:vAlign w:val="bottom"/>
            <w:shd w:val="clear" w:color="auto" w:fill="424E6A"/>
          </w:tcPr>
          <w:p>
            <w:pPr>
              <w:spacing w:after="0"/>
              <w:rPr>
                <w:sz w:val="13"/>
                <w:szCs w:val="13"/>
                <w:color w:val="auto"/>
              </w:rPr>
            </w:pPr>
          </w:p>
        </w:tc>
        <w:tc>
          <w:tcPr>
            <w:tcW w:w="180" w:type="dxa"/>
            <w:vAlign w:val="bottom"/>
            <w:shd w:val="clear" w:color="auto" w:fill="424E6A"/>
          </w:tcPr>
          <w:p>
            <w:pPr>
              <w:spacing w:after="0"/>
              <w:rPr>
                <w:sz w:val="13"/>
                <w:szCs w:val="13"/>
                <w:color w:val="auto"/>
              </w:rPr>
            </w:pPr>
          </w:p>
        </w:tc>
        <w:tc>
          <w:tcPr>
            <w:tcW w:w="880" w:type="dxa"/>
            <w:vAlign w:val="bottom"/>
            <w:shd w:val="clear" w:color="auto" w:fill="424E6A"/>
          </w:tcPr>
          <w:p>
            <w:pPr>
              <w:jc w:val="center"/>
              <w:ind w:right="154"/>
              <w:spacing w:after="0"/>
              <w:rPr>
                <w:sz w:val="20"/>
                <w:szCs w:val="20"/>
                <w:color w:val="auto"/>
              </w:rPr>
            </w:pPr>
            <w:r>
              <w:rPr>
                <w:rFonts w:ascii="Arial" w:cs="Arial" w:eastAsia="Arial" w:hAnsi="Arial"/>
                <w:sz w:val="14"/>
                <w:szCs w:val="14"/>
                <w:b w:val="1"/>
                <w:bCs w:val="1"/>
                <w:color w:val="FFFFFF"/>
              </w:rPr>
              <w:t>Equity</w:t>
            </w:r>
          </w:p>
        </w:tc>
        <w:tc>
          <w:tcPr>
            <w:tcW w:w="100" w:type="dxa"/>
            <w:vAlign w:val="bottom"/>
            <w:tcBorders>
              <w:right w:val="single" w:sz="8" w:color="424E6A"/>
            </w:tcBorders>
            <w:shd w:val="clear" w:color="auto" w:fill="424E6A"/>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780" w:type="dxa"/>
            <w:vAlign w:val="bottom"/>
            <w:shd w:val="clear" w:color="auto" w:fill="424E6A"/>
          </w:tcPr>
          <w:p>
            <w:pPr>
              <w:jc w:val="center"/>
              <w:ind w:right="162"/>
              <w:spacing w:after="0"/>
              <w:rPr>
                <w:sz w:val="20"/>
                <w:szCs w:val="20"/>
                <w:color w:val="auto"/>
              </w:rPr>
            </w:pPr>
            <w:r>
              <w:rPr>
                <w:rFonts w:ascii="Arial" w:cs="Arial" w:eastAsia="Arial" w:hAnsi="Arial"/>
                <w:sz w:val="14"/>
                <w:szCs w:val="14"/>
                <w:b w:val="1"/>
                <w:bCs w:val="1"/>
                <w:color w:val="FFFFFF"/>
                <w:w w:val="98"/>
              </w:rPr>
              <w:t>Equity</w:t>
            </w: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34"/>
              <w:spacing w:after="0"/>
              <w:rPr>
                <w:sz w:val="20"/>
                <w:szCs w:val="20"/>
                <w:color w:val="auto"/>
              </w:rPr>
            </w:pPr>
            <w:r>
              <w:rPr>
                <w:rFonts w:ascii="Arial" w:cs="Arial" w:eastAsia="Arial" w:hAnsi="Arial"/>
                <w:sz w:val="14"/>
                <w:szCs w:val="14"/>
                <w:b w:val="1"/>
                <w:bCs w:val="1"/>
                <w:color w:val="FFFFFF"/>
              </w:rPr>
              <w:t>Incentive</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Incentive</w:t>
            </w: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Plan Awards:</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Plan Awards:</w:t>
            </w: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54"/>
              <w:spacing w:after="0"/>
              <w:rPr>
                <w:sz w:val="20"/>
                <w:szCs w:val="20"/>
                <w:color w:val="auto"/>
              </w:rPr>
            </w:pPr>
            <w:r>
              <w:rPr>
                <w:rFonts w:ascii="Arial" w:cs="Arial" w:eastAsia="Arial" w:hAnsi="Arial"/>
                <w:sz w:val="14"/>
                <w:szCs w:val="14"/>
                <w:b w:val="1"/>
                <w:bCs w:val="1"/>
                <w:color w:val="FFFFFF"/>
              </w:rPr>
              <w:t>Market or</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5"/>
              <w:spacing w:after="0"/>
              <w:rPr>
                <w:sz w:val="20"/>
                <w:szCs w:val="20"/>
                <w:color w:val="auto"/>
              </w:rPr>
            </w:pPr>
            <w:r>
              <w:rPr>
                <w:rFonts w:ascii="Arial" w:cs="Arial" w:eastAsia="Arial" w:hAnsi="Arial"/>
                <w:sz w:val="14"/>
                <w:szCs w:val="14"/>
                <w:b w:val="1"/>
                <w:bCs w:val="1"/>
                <w:color w:val="FFFFFF"/>
              </w:rPr>
              <w:t>Market</w:t>
            </w: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Payout Value</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4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5"/>
              <w:spacing w:after="0"/>
              <w:rPr>
                <w:sz w:val="20"/>
                <w:szCs w:val="20"/>
                <w:color w:val="auto"/>
              </w:rPr>
            </w:pPr>
            <w:r>
              <w:rPr>
                <w:rFonts w:ascii="Arial" w:cs="Arial" w:eastAsia="Arial" w:hAnsi="Arial"/>
                <w:sz w:val="14"/>
                <w:szCs w:val="14"/>
                <w:b w:val="1"/>
                <w:bCs w:val="1"/>
                <w:color w:val="FFFFFF"/>
                <w:w w:val="99"/>
              </w:rPr>
              <w:t>Value of</w:t>
            </w: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Unearned</w:t>
            </w: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of Unearned</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w:t>
            </w: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5"/>
              <w:spacing w:after="0"/>
              <w:rPr>
                <w:sz w:val="20"/>
                <w:szCs w:val="20"/>
                <w:color w:val="auto"/>
              </w:rPr>
            </w:pPr>
            <w:r>
              <w:rPr>
                <w:rFonts w:ascii="Arial" w:cs="Arial" w:eastAsia="Arial" w:hAnsi="Arial"/>
                <w:sz w:val="14"/>
                <w:szCs w:val="14"/>
                <w:b w:val="1"/>
                <w:bCs w:val="1"/>
                <w:color w:val="FFFFFF"/>
              </w:rPr>
              <w:t>Shares or</w:t>
            </w: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780" w:type="dxa"/>
            <w:vAlign w:val="bottom"/>
            <w:shd w:val="clear" w:color="auto" w:fill="424E6A"/>
          </w:tcPr>
          <w:p>
            <w:pPr>
              <w:jc w:val="center"/>
              <w:ind w:right="162"/>
              <w:spacing w:after="0"/>
              <w:rPr>
                <w:sz w:val="20"/>
                <w:szCs w:val="20"/>
                <w:color w:val="auto"/>
              </w:rPr>
            </w:pPr>
            <w:r>
              <w:rPr>
                <w:rFonts w:ascii="Arial" w:cs="Arial" w:eastAsia="Arial" w:hAnsi="Arial"/>
                <w:sz w:val="14"/>
                <w:szCs w:val="14"/>
                <w:b w:val="1"/>
                <w:bCs w:val="1"/>
                <w:color w:val="FFFFFF"/>
                <w:w w:val="98"/>
              </w:rPr>
              <w:t>Shares,</w:t>
            </w: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54"/>
              <w:spacing w:after="0"/>
              <w:rPr>
                <w:sz w:val="20"/>
                <w:szCs w:val="20"/>
                <w:color w:val="auto"/>
              </w:rPr>
            </w:pPr>
            <w:r>
              <w:rPr>
                <w:rFonts w:ascii="Arial" w:cs="Arial" w:eastAsia="Arial" w:hAnsi="Arial"/>
                <w:sz w:val="14"/>
                <w:szCs w:val="14"/>
                <w:b w:val="1"/>
                <w:bCs w:val="1"/>
                <w:color w:val="FFFFFF"/>
              </w:rPr>
              <w:t>Shares, \</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Shares or</w:t>
            </w: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5"/>
              <w:spacing w:after="0"/>
              <w:rPr>
                <w:sz w:val="20"/>
                <w:szCs w:val="20"/>
                <w:color w:val="auto"/>
              </w:rPr>
            </w:pPr>
            <w:r>
              <w:rPr>
                <w:rFonts w:ascii="Arial" w:cs="Arial" w:eastAsia="Arial" w:hAnsi="Arial"/>
                <w:sz w:val="14"/>
                <w:szCs w:val="14"/>
                <w:b w:val="1"/>
                <w:bCs w:val="1"/>
                <w:color w:val="FFFFFF"/>
              </w:rPr>
              <w:t>Units of</w:t>
            </w: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Units or</w:t>
            </w: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34"/>
              <w:spacing w:after="0"/>
              <w:rPr>
                <w:sz w:val="20"/>
                <w:szCs w:val="20"/>
                <w:color w:val="auto"/>
              </w:rPr>
            </w:pPr>
            <w:r>
              <w:rPr>
                <w:rFonts w:ascii="Arial" w:cs="Arial" w:eastAsia="Arial" w:hAnsi="Arial"/>
                <w:sz w:val="14"/>
                <w:szCs w:val="14"/>
                <w:b w:val="1"/>
                <w:bCs w:val="1"/>
                <w:color w:val="FFFFFF"/>
              </w:rPr>
              <w:t>Units or \</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Units of Stock</w:t>
            </w:r>
          </w:p>
        </w:tc>
        <w:tc>
          <w:tcPr>
            <w:tcW w:w="180" w:type="dxa"/>
            <w:vAlign w:val="bottom"/>
            <w:tcBorders>
              <w:right w:val="single" w:sz="8" w:color="424E6A"/>
            </w:tcBorders>
            <w:shd w:val="clear" w:color="auto" w:fill="424E6A"/>
          </w:tcPr>
          <w:p>
            <w:pPr>
              <w:spacing w:after="0"/>
              <w:rPr>
                <w:sz w:val="14"/>
                <w:szCs w:val="14"/>
                <w:color w:val="auto"/>
              </w:rPr>
            </w:pPr>
          </w:p>
        </w:tc>
        <w:tc>
          <w:tcPr>
            <w:tcW w:w="980" w:type="dxa"/>
            <w:vAlign w:val="bottom"/>
            <w:gridSpan w:val="2"/>
            <w:shd w:val="clear" w:color="auto" w:fill="424E6A"/>
          </w:tcPr>
          <w:p>
            <w:pPr>
              <w:jc w:val="center"/>
              <w:ind w:left="44"/>
              <w:spacing w:after="0"/>
              <w:rPr>
                <w:sz w:val="20"/>
                <w:szCs w:val="20"/>
                <w:color w:val="auto"/>
              </w:rPr>
            </w:pPr>
            <w:r>
              <w:rPr>
                <w:rFonts w:ascii="Arial" w:cs="Arial" w:eastAsia="Arial" w:hAnsi="Arial"/>
                <w:sz w:val="14"/>
                <w:szCs w:val="14"/>
                <w:b w:val="1"/>
                <w:bCs w:val="1"/>
                <w:color w:val="FFFFFF"/>
              </w:rPr>
              <w:t>Stock That</w:t>
            </w: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Other Rights</w:t>
            </w: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Other Rights</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That Have</w:t>
            </w: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5"/>
              <w:spacing w:after="0"/>
              <w:rPr>
                <w:sz w:val="20"/>
                <w:szCs w:val="20"/>
                <w:color w:val="auto"/>
              </w:rPr>
            </w:pPr>
            <w:r>
              <w:rPr>
                <w:rFonts w:ascii="Arial" w:cs="Arial" w:eastAsia="Arial" w:hAnsi="Arial"/>
                <w:sz w:val="14"/>
                <w:szCs w:val="14"/>
                <w:b w:val="1"/>
                <w:bCs w:val="1"/>
                <w:color w:val="FFFFFF"/>
              </w:rPr>
              <w:t>Have Not</w:t>
            </w: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9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That Have</w:t>
            </w: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That Have</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160" w:type="dxa"/>
            <w:vAlign w:val="bottom"/>
            <w:tcBorders>
              <w:lef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​Name</w:t>
            </w:r>
          </w:p>
        </w:tc>
        <w:tc>
          <w:tcPr>
            <w:tcW w:w="960" w:type="dxa"/>
            <w:vAlign w:val="bottom"/>
            <w:tcBorders>
              <w:right w:val="single" w:sz="8" w:color="424E6A"/>
            </w:tcBorders>
            <w:shd w:val="clear" w:color="auto" w:fill="424E6A"/>
          </w:tcPr>
          <w:p>
            <w:pPr>
              <w:ind w:left="880"/>
              <w:spacing w:after="0"/>
              <w:rPr>
                <w:sz w:val="20"/>
                <w:szCs w:val="20"/>
                <w:color w:val="auto"/>
              </w:rPr>
            </w:pPr>
            <w:r>
              <w:rPr>
                <w:rFonts w:ascii="Arial" w:cs="Arial" w:eastAsia="Arial" w:hAnsi="Arial"/>
                <w:sz w:val="14"/>
                <w:szCs w:val="14"/>
                <w:b w:val="1"/>
                <w:bCs w:val="1"/>
                <w:color w:val="FFFFFF"/>
              </w:rPr>
              <w:t>​</w:t>
            </w:r>
          </w:p>
        </w:tc>
        <w:tc>
          <w:tcPr>
            <w:tcW w:w="1140" w:type="dxa"/>
            <w:vAlign w:val="bottom"/>
            <w:gridSpan w:val="3"/>
            <w:shd w:val="clear" w:color="auto" w:fill="424E6A"/>
          </w:tcPr>
          <w:p>
            <w:pPr>
              <w:ind w:left="80"/>
              <w:spacing w:after="0"/>
              <w:rPr>
                <w:sz w:val="20"/>
                <w:szCs w:val="20"/>
                <w:color w:val="auto"/>
              </w:rPr>
            </w:pPr>
            <w:r>
              <w:rPr>
                <w:rFonts w:ascii="Arial" w:cs="Arial" w:eastAsia="Arial" w:hAnsi="Arial"/>
                <w:sz w:val="14"/>
                <w:szCs w:val="14"/>
                <w:b w:val="1"/>
                <w:bCs w:val="1"/>
                <w:color w:val="FFFFFF"/>
              </w:rPr>
              <w:t>​ Not Vested (#)</w:t>
            </w:r>
          </w:p>
        </w:tc>
        <w:tc>
          <w:tcPr>
            <w:tcW w:w="180" w:type="dxa"/>
            <w:vAlign w:val="bottom"/>
            <w:tcBorders>
              <w:right w:val="single" w:sz="8" w:color="424E6A"/>
            </w:tcBorders>
            <w:shd w:val="clear" w:color="auto" w:fill="424E6A"/>
          </w:tcPr>
          <w:p>
            <w:pPr>
              <w:ind w:left="100"/>
              <w:spacing w:after="0"/>
              <w:rPr>
                <w:sz w:val="20"/>
                <w:szCs w:val="20"/>
                <w:color w:val="auto"/>
              </w:rPr>
            </w:pPr>
            <w:r>
              <w:rPr>
                <w:rFonts w:ascii="Arial" w:cs="Arial" w:eastAsia="Arial" w:hAnsi="Arial"/>
                <w:sz w:val="14"/>
                <w:szCs w:val="14"/>
                <w:b w:val="1"/>
                <w:bCs w:val="1"/>
                <w:color w:val="FFFFFF"/>
              </w:rPr>
              <w:t>​</w:t>
            </w:r>
          </w:p>
        </w:tc>
        <w:tc>
          <w:tcPr>
            <w:tcW w:w="980" w:type="dxa"/>
            <w:vAlign w:val="bottom"/>
            <w:gridSpan w:val="2"/>
            <w:shd w:val="clear" w:color="auto" w:fill="424E6A"/>
          </w:tcPr>
          <w:p>
            <w:pPr>
              <w:ind w:left="80"/>
              <w:spacing w:after="0" w:line="185" w:lineRule="exact"/>
              <w:rPr>
                <w:sz w:val="20"/>
                <w:szCs w:val="20"/>
                <w:color w:val="auto"/>
              </w:rPr>
            </w:pPr>
            <w:r>
              <w:rPr>
                <w:rFonts w:ascii="Arial" w:cs="Arial" w:eastAsia="Arial" w:hAnsi="Arial"/>
                <w:sz w:val="14"/>
                <w:szCs w:val="14"/>
                <w:b w:val="1"/>
                <w:bCs w:val="1"/>
                <w:color w:val="FFFFFF"/>
              </w:rPr>
              <w:t>​ Vested ($)</w:t>
            </w:r>
            <w:r>
              <w:rPr>
                <w:rFonts w:ascii="Arial" w:cs="Arial" w:eastAsia="Arial" w:hAnsi="Arial"/>
                <w:sz w:val="17"/>
                <w:szCs w:val="17"/>
                <w:b w:val="1"/>
                <w:bCs w:val="1"/>
                <w:color w:val="FFFFFF"/>
                <w:vertAlign w:val="superscript"/>
              </w:rPr>
              <w:t>(1)</w:t>
            </w:r>
          </w:p>
        </w:tc>
        <w:tc>
          <w:tcPr>
            <w:tcW w:w="180" w:type="dxa"/>
            <w:vAlign w:val="bottom"/>
            <w:tcBorders>
              <w:right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w:t>
            </w:r>
          </w:p>
        </w:tc>
        <w:tc>
          <w:tcPr>
            <w:tcW w:w="1120" w:type="dxa"/>
            <w:vAlign w:val="bottom"/>
            <w:gridSpan w:val="3"/>
            <w:shd w:val="clear" w:color="auto" w:fill="424E6A"/>
          </w:tcPr>
          <w:p>
            <w:pPr>
              <w:ind w:left="60"/>
              <w:spacing w:after="0"/>
              <w:rPr>
                <w:sz w:val="20"/>
                <w:szCs w:val="20"/>
                <w:color w:val="auto"/>
              </w:rPr>
            </w:pPr>
            <w:r>
              <w:rPr>
                <w:rFonts w:ascii="Arial" w:cs="Arial" w:eastAsia="Arial" w:hAnsi="Arial"/>
                <w:sz w:val="14"/>
                <w:szCs w:val="14"/>
                <w:b w:val="1"/>
                <w:bCs w:val="1"/>
                <w:color w:val="FFFFFF"/>
              </w:rPr>
              <w:t>​ Not Vested (#)</w:t>
            </w:r>
          </w:p>
        </w:tc>
        <w:tc>
          <w:tcPr>
            <w:tcW w:w="180" w:type="dxa"/>
            <w:vAlign w:val="bottom"/>
            <w:tcBorders>
              <w:right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w:t>
            </w:r>
          </w:p>
        </w:tc>
        <w:tc>
          <w:tcPr>
            <w:tcW w:w="1220" w:type="dxa"/>
            <w:vAlign w:val="bottom"/>
            <w:gridSpan w:val="3"/>
            <w:shd w:val="clear" w:color="auto" w:fill="424E6A"/>
          </w:tcPr>
          <w:p>
            <w:pPr>
              <w:ind w:left="60"/>
              <w:spacing w:after="0" w:line="185" w:lineRule="exact"/>
              <w:rPr>
                <w:sz w:val="20"/>
                <w:szCs w:val="20"/>
                <w:color w:val="auto"/>
              </w:rPr>
            </w:pPr>
            <w:r>
              <w:rPr>
                <w:rFonts w:ascii="Arial" w:cs="Arial" w:eastAsia="Arial" w:hAnsi="Arial"/>
                <w:sz w:val="14"/>
                <w:szCs w:val="14"/>
                <w:b w:val="1"/>
                <w:bCs w:val="1"/>
                <w:color w:val="FFFFFF"/>
              </w:rPr>
              <w:t>​ Not Vested ($)</w:t>
            </w:r>
            <w:r>
              <w:rPr>
                <w:rFonts w:ascii="Arial" w:cs="Arial" w:eastAsia="Arial" w:hAnsi="Arial"/>
                <w:sz w:val="17"/>
                <w:szCs w:val="17"/>
                <w:b w:val="1"/>
                <w:bCs w:val="1"/>
                <w:color w:val="FFFFFF"/>
                <w:vertAlign w:val="superscript"/>
              </w:rPr>
              <w:t>(1)</w:t>
            </w:r>
          </w:p>
        </w:tc>
        <w:tc>
          <w:tcPr>
            <w:tcW w:w="100" w:type="dxa"/>
            <w:vAlign w:val="bottom"/>
            <w:tcBorders>
              <w:right w:val="single" w:sz="8" w:color="424E6A"/>
            </w:tcBorders>
            <w:shd w:val="clear" w:color="auto" w:fill="424E6A"/>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160" w:type="dxa"/>
            <w:vAlign w:val="bottom"/>
            <w:tcBorders>
              <w:left w:val="single" w:sz="8" w:color="424E6A"/>
            </w:tcBorders>
          </w:tcPr>
          <w:p>
            <w:pPr>
              <w:ind w:left="60"/>
              <w:spacing w:after="0" w:line="176" w:lineRule="exact"/>
              <w:rPr>
                <w:sz w:val="20"/>
                <w:szCs w:val="20"/>
                <w:color w:val="auto"/>
              </w:rPr>
            </w:pPr>
            <w:r>
              <w:rPr>
                <w:rFonts w:ascii="Arial" w:cs="Arial" w:eastAsia="Arial" w:hAnsi="Arial"/>
                <w:sz w:val="18"/>
                <w:szCs w:val="18"/>
                <w:color w:val="auto"/>
              </w:rPr>
              <w:t>Willie Chiang</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line="176"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220" w:type="dxa"/>
            <w:vAlign w:val="bottom"/>
            <w:vMerge w:val="restart"/>
          </w:tcPr>
          <w:p>
            <w:pPr>
              <w:ind w:left="8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500,000</w:t>
            </w:r>
            <w:r>
              <w:rPr>
                <w:rFonts w:ascii="Arial" w:cs="Arial" w:eastAsia="Arial" w:hAnsi="Arial"/>
                <w:sz w:val="20"/>
                <w:szCs w:val="20"/>
                <w:color w:val="auto"/>
                <w:vertAlign w:val="superscript"/>
              </w:rPr>
              <w:t>(2)</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
              <w:spacing w:after="0" w:line="176" w:lineRule="exact"/>
              <w:rPr>
                <w:sz w:val="20"/>
                <w:szCs w:val="20"/>
                <w:color w:val="auto"/>
              </w:rPr>
            </w:pPr>
            <w:r>
              <w:rPr>
                <w:rFonts w:ascii="Arial" w:cs="Arial" w:eastAsia="Arial" w:hAnsi="Arial"/>
                <w:sz w:val="18"/>
                <w:szCs w:val="18"/>
                <w:color w:val="auto"/>
              </w:rPr>
              <w:t>5,880,000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tcPr>
          <w:p>
            <w:pPr>
              <w:ind w:left="40"/>
              <w:spacing w:after="0" w:line="54" w:lineRule="exact"/>
              <w:rPr>
                <w:sz w:val="20"/>
                <w:szCs w:val="20"/>
                <w:color w:val="auto"/>
              </w:rPr>
            </w:pPr>
            <w:r>
              <w:rPr>
                <w:rFonts w:ascii="Arial" w:cs="Arial" w:eastAsia="Arial" w:hAnsi="Arial"/>
                <w:sz w:val="6"/>
                <w:szCs w:val="6"/>
                <w:color w:val="auto"/>
              </w:rPr>
              <w:t>​</w:t>
            </w: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vMerge w:val="continue"/>
          </w:tcPr>
          <w:p>
            <w:pPr>
              <w:spacing w:after="0"/>
              <w:rPr>
                <w:sz w:val="4"/>
                <w:szCs w:val="4"/>
                <w:color w:val="auto"/>
              </w:rPr>
            </w:pPr>
          </w:p>
        </w:tc>
        <w:tc>
          <w:tcPr>
            <w:tcW w:w="74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vMerge w:val="continue"/>
          </w:tcPr>
          <w:p>
            <w:pPr>
              <w:spacing w:after="0"/>
              <w:rPr>
                <w:sz w:val="4"/>
                <w:szCs w:val="4"/>
                <w:color w:val="auto"/>
              </w:rPr>
            </w:pP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tcPr>
          <w:p>
            <w:pPr>
              <w:ind w:left="160"/>
              <w:spacing w:after="0" w:line="54" w:lineRule="exact"/>
              <w:rPr>
                <w:sz w:val="20"/>
                <w:szCs w:val="20"/>
                <w:color w:val="auto"/>
              </w:rPr>
            </w:pPr>
            <w:r>
              <w:rPr>
                <w:rFonts w:ascii="Arial" w:cs="Arial" w:eastAsia="Arial" w:hAnsi="Arial"/>
                <w:sz w:val="6"/>
                <w:szCs w:val="6"/>
                <w:color w:val="auto"/>
              </w:rPr>
              <w:t>​</w:t>
            </w:r>
          </w:p>
        </w:tc>
        <w:tc>
          <w:tcPr>
            <w:tcW w:w="78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tcPr>
          <w:p>
            <w:pPr>
              <w:ind w:left="120"/>
              <w:spacing w:after="0" w:line="54" w:lineRule="exact"/>
              <w:rPr>
                <w:sz w:val="20"/>
                <w:szCs w:val="20"/>
                <w:color w:val="auto"/>
              </w:rPr>
            </w:pPr>
            <w:r>
              <w:rPr>
                <w:rFonts w:ascii="Arial" w:cs="Arial" w:eastAsia="Arial" w:hAnsi="Arial"/>
                <w:sz w:val="6"/>
                <w:szCs w:val="6"/>
                <w:color w:val="auto"/>
              </w:rPr>
              <w:t>​</w:t>
            </w: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right"/>
              <w:ind w:right="7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23" w:lineRule="exact"/>
              <w:rPr>
                <w:sz w:val="20"/>
                <w:szCs w:val="20"/>
                <w:color w:val="auto"/>
              </w:rPr>
            </w:pPr>
            <w:r>
              <w:rPr>
                <w:rFonts w:ascii="Arial" w:cs="Arial" w:eastAsia="Arial" w:hAnsi="Arial"/>
                <w:sz w:val="18"/>
                <w:szCs w:val="18"/>
                <w:color w:val="auto"/>
              </w:rPr>
              <w:t>​ 62,870</w:t>
            </w:r>
            <w:r>
              <w:rPr>
                <w:rFonts w:ascii="Arial" w:cs="Arial" w:eastAsia="Arial" w:hAnsi="Arial"/>
                <w:sz w:val="23"/>
                <w:szCs w:val="23"/>
                <w:color w:val="auto"/>
                <w:vertAlign w:val="superscript"/>
              </w:rPr>
              <w:t>(3)</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739,351</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16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187,970</w:t>
            </w:r>
            <w:r>
              <w:rPr>
                <w:rFonts w:ascii="Arial" w:cs="Arial" w:eastAsia="Arial" w:hAnsi="Arial"/>
                <w:sz w:val="19"/>
                <w:szCs w:val="19"/>
                <w:color w:val="auto"/>
                <w:vertAlign w:val="superscript"/>
              </w:rPr>
              <w:t>(6)</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2,210,527</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187,970</w:t>
            </w:r>
            <w:r>
              <w:rPr>
                <w:rFonts w:ascii="Arial" w:cs="Arial" w:eastAsia="Arial" w:hAnsi="Arial"/>
                <w:sz w:val="19"/>
                <w:szCs w:val="19"/>
                <w:color w:val="auto"/>
                <w:vertAlign w:val="superscript"/>
              </w:rPr>
              <w:t>(7)</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
              <w:spacing w:after="0" w:line="169" w:lineRule="exact"/>
              <w:rPr>
                <w:sz w:val="20"/>
                <w:szCs w:val="20"/>
                <w:color w:val="auto"/>
              </w:rPr>
            </w:pPr>
            <w:r>
              <w:rPr>
                <w:rFonts w:ascii="Arial" w:cs="Arial" w:eastAsia="Arial" w:hAnsi="Arial"/>
                <w:sz w:val="18"/>
                <w:szCs w:val="18"/>
                <w:color w:val="auto"/>
              </w:rPr>
              <w:t>2,210,527</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vMerge w:val="continue"/>
          </w:tcPr>
          <w:p>
            <w:pPr>
              <w:spacing w:after="0"/>
              <w:rPr>
                <w:sz w:val="4"/>
                <w:szCs w:val="4"/>
                <w:color w:val="auto"/>
              </w:rPr>
            </w:pP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tcPr>
          <w:p>
            <w:pPr>
              <w:ind w:left="180"/>
              <w:spacing w:after="0" w:line="54" w:lineRule="exact"/>
              <w:rPr>
                <w:sz w:val="20"/>
                <w:szCs w:val="20"/>
                <w:color w:val="auto"/>
              </w:rPr>
            </w:pPr>
            <w:r>
              <w:rPr>
                <w:rFonts w:ascii="Arial" w:cs="Arial" w:eastAsia="Arial" w:hAnsi="Arial"/>
                <w:sz w:val="6"/>
                <w:szCs w:val="6"/>
                <w:color w:val="auto"/>
              </w:rPr>
              <w:t>​</w:t>
            </w:r>
          </w:p>
        </w:tc>
        <w:tc>
          <w:tcPr>
            <w:tcW w:w="74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tcPr>
          <w:p>
            <w:pPr>
              <w:ind w:left="80"/>
              <w:spacing w:after="0" w:line="54" w:lineRule="exact"/>
              <w:rPr>
                <w:sz w:val="20"/>
                <w:szCs w:val="20"/>
                <w:color w:val="auto"/>
              </w:rPr>
            </w:pPr>
            <w:r>
              <w:rPr>
                <w:rFonts w:ascii="Arial" w:cs="Arial" w:eastAsia="Arial" w:hAnsi="Arial"/>
                <w:sz w:val="6"/>
                <w:szCs w:val="6"/>
                <w:color w:val="auto"/>
              </w:rPr>
              <w:t>​ ​</w:t>
            </w: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tcPr>
          <w:p>
            <w:pPr>
              <w:ind w:left="160"/>
              <w:spacing w:after="0" w:line="54" w:lineRule="exact"/>
              <w:rPr>
                <w:sz w:val="20"/>
                <w:szCs w:val="20"/>
                <w:color w:val="auto"/>
              </w:rPr>
            </w:pPr>
            <w:r>
              <w:rPr>
                <w:rFonts w:ascii="Arial" w:cs="Arial" w:eastAsia="Arial" w:hAnsi="Arial"/>
                <w:sz w:val="6"/>
                <w:szCs w:val="6"/>
                <w:color w:val="auto"/>
              </w:rPr>
              <w:t>​</w:t>
            </w:r>
          </w:p>
        </w:tc>
        <w:tc>
          <w:tcPr>
            <w:tcW w:w="78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tcPr>
          <w:p>
            <w:pPr>
              <w:ind w:left="120"/>
              <w:spacing w:after="0" w:line="54" w:lineRule="exact"/>
              <w:rPr>
                <w:sz w:val="20"/>
                <w:szCs w:val="20"/>
                <w:color w:val="auto"/>
              </w:rPr>
            </w:pPr>
            <w:r>
              <w:rPr>
                <w:rFonts w:ascii="Arial" w:cs="Arial" w:eastAsia="Arial" w:hAnsi="Arial"/>
                <w:sz w:val="6"/>
                <w:szCs w:val="6"/>
                <w:color w:val="auto"/>
              </w:rPr>
              <w:t>​</w:t>
            </w: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16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150,300</w:t>
            </w:r>
            <w:r>
              <w:rPr>
                <w:rFonts w:ascii="Arial" w:cs="Arial" w:eastAsia="Arial" w:hAnsi="Arial"/>
                <w:sz w:val="19"/>
                <w:szCs w:val="19"/>
                <w:color w:val="auto"/>
                <w:vertAlign w:val="superscript"/>
              </w:rPr>
              <w:t>(8)</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1,767,528</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150,300</w:t>
            </w:r>
            <w:r>
              <w:rPr>
                <w:rFonts w:ascii="Arial" w:cs="Arial" w:eastAsia="Arial" w:hAnsi="Arial"/>
                <w:sz w:val="19"/>
                <w:szCs w:val="19"/>
                <w:color w:val="auto"/>
                <w:vertAlign w:val="superscript"/>
              </w:rPr>
              <w:t>(9)</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
              <w:spacing w:after="0" w:line="169" w:lineRule="exact"/>
              <w:rPr>
                <w:sz w:val="20"/>
                <w:szCs w:val="20"/>
                <w:color w:val="auto"/>
              </w:rPr>
            </w:pPr>
            <w:r>
              <w:rPr>
                <w:rFonts w:ascii="Arial" w:cs="Arial" w:eastAsia="Arial" w:hAnsi="Arial"/>
                <w:sz w:val="18"/>
                <w:szCs w:val="18"/>
                <w:color w:val="auto"/>
              </w:rPr>
              <w:t>1,767,528</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vMerge w:val="continue"/>
          </w:tcPr>
          <w:p>
            <w:pPr>
              <w:spacing w:after="0"/>
              <w:rPr>
                <w:sz w:val="4"/>
                <w:szCs w:val="4"/>
                <w:color w:val="auto"/>
              </w:rPr>
            </w:pP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tcPr>
          <w:p>
            <w:pPr>
              <w:ind w:left="180"/>
              <w:spacing w:after="0" w:line="54" w:lineRule="exact"/>
              <w:rPr>
                <w:sz w:val="20"/>
                <w:szCs w:val="20"/>
                <w:color w:val="auto"/>
              </w:rPr>
            </w:pPr>
            <w:r>
              <w:rPr>
                <w:rFonts w:ascii="Arial" w:cs="Arial" w:eastAsia="Arial" w:hAnsi="Arial"/>
                <w:sz w:val="6"/>
                <w:szCs w:val="6"/>
                <w:color w:val="auto"/>
              </w:rPr>
              <w:t>​</w:t>
            </w:r>
          </w:p>
        </w:tc>
        <w:tc>
          <w:tcPr>
            <w:tcW w:w="74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tcPr>
          <w:p>
            <w:pPr>
              <w:ind w:left="80"/>
              <w:spacing w:after="0" w:line="54" w:lineRule="exact"/>
              <w:rPr>
                <w:sz w:val="20"/>
                <w:szCs w:val="20"/>
                <w:color w:val="auto"/>
              </w:rPr>
            </w:pPr>
            <w:r>
              <w:rPr>
                <w:rFonts w:ascii="Arial" w:cs="Arial" w:eastAsia="Arial" w:hAnsi="Arial"/>
                <w:sz w:val="6"/>
                <w:szCs w:val="6"/>
                <w:color w:val="auto"/>
              </w:rPr>
              <w:t>​ ​</w:t>
            </w: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tcPr>
          <w:p>
            <w:pPr>
              <w:ind w:left="160"/>
              <w:spacing w:after="0" w:line="54" w:lineRule="exact"/>
              <w:rPr>
                <w:sz w:val="20"/>
                <w:szCs w:val="20"/>
                <w:color w:val="auto"/>
              </w:rPr>
            </w:pPr>
            <w:r>
              <w:rPr>
                <w:rFonts w:ascii="Arial" w:cs="Arial" w:eastAsia="Arial" w:hAnsi="Arial"/>
                <w:sz w:val="6"/>
                <w:szCs w:val="6"/>
                <w:color w:val="auto"/>
              </w:rPr>
              <w:t>​</w:t>
            </w:r>
          </w:p>
        </w:tc>
        <w:tc>
          <w:tcPr>
            <w:tcW w:w="78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tcPr>
          <w:p>
            <w:pPr>
              <w:ind w:left="120"/>
              <w:spacing w:after="0" w:line="54" w:lineRule="exact"/>
              <w:rPr>
                <w:sz w:val="20"/>
                <w:szCs w:val="20"/>
                <w:color w:val="auto"/>
              </w:rPr>
            </w:pPr>
            <w:r>
              <w:rPr>
                <w:rFonts w:ascii="Arial" w:cs="Arial" w:eastAsia="Arial" w:hAnsi="Arial"/>
                <w:sz w:val="6"/>
                <w:szCs w:val="6"/>
                <w:color w:val="auto"/>
              </w:rPr>
              <w:t>​</w:t>
            </w: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16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424E6A"/>
            </w:tcBorders>
            <w:gridSpan w:val="3"/>
          </w:tcPr>
          <w:p>
            <w:pPr>
              <w:jc w:val="right"/>
              <w:ind w:right="40"/>
              <w:spacing w:after="0" w:line="169" w:lineRule="exact"/>
              <w:rPr>
                <w:sz w:val="20"/>
                <w:szCs w:val="20"/>
                <w:color w:val="auto"/>
              </w:rPr>
            </w:pPr>
            <w:r>
              <w:rPr>
                <w:rFonts w:ascii="Arial" w:cs="Arial" w:eastAsia="Arial" w:hAnsi="Arial"/>
                <w:sz w:val="15"/>
                <w:szCs w:val="15"/>
                <w:color w:val="auto"/>
              </w:rPr>
              <w:t>220,000</w:t>
            </w:r>
            <w:r>
              <w:rPr>
                <w:rFonts w:ascii="Arial" w:cs="Arial" w:eastAsia="Arial" w:hAnsi="Arial"/>
                <w:sz w:val="19"/>
                <w:szCs w:val="19"/>
                <w:color w:val="auto"/>
                <w:vertAlign w:val="superscript"/>
              </w:rPr>
              <w:t>(10)</w:t>
            </w:r>
          </w:p>
        </w:tc>
        <w:tc>
          <w:tcPr>
            <w:tcW w:w="9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2,587,200</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424E6A"/>
            </w:tcBorders>
            <w:gridSpan w:val="3"/>
          </w:tcPr>
          <w:p>
            <w:pPr>
              <w:jc w:val="right"/>
              <w:ind w:right="60"/>
              <w:spacing w:after="0" w:line="169" w:lineRule="exact"/>
              <w:rPr>
                <w:sz w:val="20"/>
                <w:szCs w:val="20"/>
                <w:color w:val="auto"/>
              </w:rPr>
            </w:pPr>
            <w:r>
              <w:rPr>
                <w:rFonts w:ascii="Arial" w:cs="Arial" w:eastAsia="Arial" w:hAnsi="Arial"/>
                <w:sz w:val="15"/>
                <w:szCs w:val="15"/>
                <w:color w:val="auto"/>
              </w:rPr>
              <w:t>220,000</w:t>
            </w:r>
            <w:r>
              <w:rPr>
                <w:rFonts w:ascii="Arial" w:cs="Arial" w:eastAsia="Arial" w:hAnsi="Arial"/>
                <w:sz w:val="19"/>
                <w:szCs w:val="19"/>
                <w:color w:val="auto"/>
                <w:vertAlign w:val="superscript"/>
              </w:rPr>
              <w:t>(11)</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
              <w:spacing w:after="0" w:line="169" w:lineRule="exact"/>
              <w:rPr>
                <w:sz w:val="20"/>
                <w:szCs w:val="20"/>
                <w:color w:val="auto"/>
              </w:rPr>
            </w:pPr>
            <w:r>
              <w:rPr>
                <w:rFonts w:ascii="Arial" w:cs="Arial" w:eastAsia="Arial" w:hAnsi="Arial"/>
                <w:sz w:val="18"/>
                <w:szCs w:val="18"/>
                <w:color w:val="auto"/>
              </w:rPr>
              <w:t>2,587,200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vMerge w:val="continue"/>
          </w:tcPr>
          <w:p>
            <w:pPr>
              <w:spacing w:after="0"/>
              <w:rPr>
                <w:sz w:val="4"/>
                <w:szCs w:val="4"/>
                <w:color w:val="auto"/>
              </w:rPr>
            </w:pP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tcPr>
          <w:p>
            <w:pPr>
              <w:ind w:left="180"/>
              <w:spacing w:after="0" w:line="54" w:lineRule="exact"/>
              <w:rPr>
                <w:sz w:val="20"/>
                <w:szCs w:val="20"/>
                <w:color w:val="auto"/>
              </w:rPr>
            </w:pPr>
            <w:r>
              <w:rPr>
                <w:rFonts w:ascii="Arial" w:cs="Arial" w:eastAsia="Arial" w:hAnsi="Arial"/>
                <w:sz w:val="6"/>
                <w:szCs w:val="6"/>
                <w:color w:val="auto"/>
              </w:rPr>
              <w:t>​</w:t>
            </w:r>
          </w:p>
        </w:tc>
        <w:tc>
          <w:tcPr>
            <w:tcW w:w="74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tcPr>
          <w:p>
            <w:pPr>
              <w:ind w:left="20"/>
              <w:spacing w:after="0" w:line="54" w:lineRule="exact"/>
              <w:rPr>
                <w:sz w:val="20"/>
                <w:szCs w:val="20"/>
                <w:color w:val="auto"/>
              </w:rPr>
            </w:pPr>
            <w:r>
              <w:rPr>
                <w:rFonts w:ascii="Arial" w:cs="Arial" w:eastAsia="Arial" w:hAnsi="Arial"/>
                <w:sz w:val="6"/>
                <w:szCs w:val="6"/>
                <w:color w:val="auto"/>
              </w:rPr>
              <w:t>​ ​</w:t>
            </w:r>
          </w:p>
        </w:tc>
        <w:tc>
          <w:tcPr>
            <w:tcW w:w="220" w:type="dxa"/>
            <w:vAlign w:val="bottom"/>
            <w:tcBorders>
              <w:bottom w:val="single" w:sz="8" w:color="424E6A"/>
            </w:tcBorders>
          </w:tcPr>
          <w:p>
            <w:pPr>
              <w:ind w:left="80"/>
              <w:spacing w:after="0" w:line="54" w:lineRule="exact"/>
              <w:rPr>
                <w:sz w:val="20"/>
                <w:szCs w:val="20"/>
                <w:color w:val="auto"/>
              </w:rPr>
            </w:pPr>
            <w:r>
              <w:rPr>
                <w:rFonts w:ascii="Arial" w:cs="Arial" w:eastAsia="Arial" w:hAnsi="Arial"/>
                <w:sz w:val="6"/>
                <w:szCs w:val="6"/>
                <w:color w:val="auto"/>
              </w:rPr>
              <w:t>​ ​</w:t>
            </w: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tcPr>
          <w:p>
            <w:pPr>
              <w:ind w:left="160"/>
              <w:spacing w:after="0" w:line="54" w:lineRule="exact"/>
              <w:rPr>
                <w:sz w:val="20"/>
                <w:szCs w:val="20"/>
                <w:color w:val="auto"/>
              </w:rPr>
            </w:pPr>
            <w:r>
              <w:rPr>
                <w:rFonts w:ascii="Arial" w:cs="Arial" w:eastAsia="Arial" w:hAnsi="Arial"/>
                <w:sz w:val="6"/>
                <w:szCs w:val="6"/>
                <w:color w:val="auto"/>
              </w:rPr>
              <w:t>​</w:t>
            </w:r>
          </w:p>
        </w:tc>
        <w:tc>
          <w:tcPr>
            <w:tcW w:w="78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tcPr>
          <w:p>
            <w:pPr>
              <w:spacing w:after="0" w:line="54" w:lineRule="exact"/>
              <w:rPr>
                <w:sz w:val="20"/>
                <w:szCs w:val="20"/>
                <w:color w:val="auto"/>
              </w:rPr>
            </w:pPr>
            <w:r>
              <w:rPr>
                <w:rFonts w:ascii="Arial" w:cs="Arial" w:eastAsia="Arial" w:hAnsi="Arial"/>
                <w:sz w:val="6"/>
                <w:szCs w:val="6"/>
                <w:color w:val="auto"/>
              </w:rPr>
              <w:t>​ ​</w:t>
            </w: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tcPr>
          <w:p>
            <w:pPr>
              <w:ind w:left="120"/>
              <w:spacing w:after="0" w:line="54" w:lineRule="exact"/>
              <w:rPr>
                <w:sz w:val="20"/>
                <w:szCs w:val="20"/>
                <w:color w:val="auto"/>
              </w:rPr>
            </w:pPr>
            <w:r>
              <w:rPr>
                <w:rFonts w:ascii="Arial" w:cs="Arial" w:eastAsia="Arial" w:hAnsi="Arial"/>
                <w:sz w:val="6"/>
                <w:szCs w:val="6"/>
                <w:color w:val="auto"/>
              </w:rPr>
              <w:t>​</w:t>
            </w: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216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960" w:type="dxa"/>
            <w:vAlign w:val="bottom"/>
            <w:tcBorders>
              <w:bottom w:val="single" w:sz="8" w:color="D9DCE1"/>
              <w:right w:val="single" w:sz="8" w:color="424E6A"/>
            </w:tcBorders>
            <w:shd w:val="clear" w:color="auto" w:fill="D9DCE1"/>
          </w:tcPr>
          <w:p>
            <w:pPr>
              <w:ind w:left="8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22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4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2160" w:type="dxa"/>
            <w:vAlign w:val="bottom"/>
            <w:tcBorders>
              <w:top w:val="single" w:sz="8" w:color="424E6A"/>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​Harry Pefanis</w:t>
            </w:r>
          </w:p>
        </w:tc>
        <w:tc>
          <w:tcPr>
            <w:tcW w:w="960" w:type="dxa"/>
            <w:vAlign w:val="bottom"/>
            <w:tcBorders>
              <w:top w:val="single" w:sz="8" w:color="424E6A"/>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24E6A"/>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24E6A"/>
              <w:bottom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424E6A"/>
              <w:bottom w:val="single" w:sz="8" w:color="424E6A"/>
            </w:tcBorders>
          </w:tcPr>
          <w:p>
            <w:pPr>
              <w:jc w:val="right"/>
              <w:ind w:right="74"/>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top w:val="single" w:sz="8" w:color="424E6A"/>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24E6A"/>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424E6A"/>
              <w:bottom w:val="single" w:sz="8" w:color="424E6A"/>
            </w:tcBorders>
          </w:tcPr>
          <w:p>
            <w:pPr>
              <w:jc w:val="right"/>
              <w:ind w:right="82"/>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424E6A"/>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424E6A"/>
              <w:bottom w:val="single" w:sz="8" w:color="424E6A"/>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216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960" w:type="dxa"/>
            <w:vAlign w:val="bottom"/>
            <w:tcBorders>
              <w:bottom w:val="single" w:sz="8" w:color="D9DCE1"/>
              <w:right w:val="single" w:sz="8" w:color="424E6A"/>
            </w:tcBorders>
            <w:shd w:val="clear" w:color="auto" w:fill="D9DCE1"/>
          </w:tcPr>
          <w:p>
            <w:pPr>
              <w:ind w:left="8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22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4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9"/>
        </w:trPr>
        <w:tc>
          <w:tcPr>
            <w:tcW w:w="2160" w:type="dxa"/>
            <w:vAlign w:val="bottom"/>
            <w:tcBorders>
              <w:top w:val="single" w:sz="8" w:color="424E6A"/>
              <w:left w:val="single" w:sz="8" w:color="424E6A"/>
            </w:tcBorders>
          </w:tcPr>
          <w:p>
            <w:pPr>
              <w:ind w:left="60"/>
              <w:spacing w:after="0" w:line="169" w:lineRule="exact"/>
              <w:rPr>
                <w:sz w:val="20"/>
                <w:szCs w:val="20"/>
                <w:color w:val="auto"/>
              </w:rPr>
            </w:pPr>
            <w:r>
              <w:rPr>
                <w:rFonts w:ascii="Arial" w:cs="Arial" w:eastAsia="Arial" w:hAnsi="Arial"/>
                <w:sz w:val="18"/>
                <w:szCs w:val="18"/>
                <w:color w:val="auto"/>
              </w:rPr>
              <w:t>Al Swanson</w:t>
            </w:r>
          </w:p>
        </w:tc>
        <w:tc>
          <w:tcPr>
            <w:tcW w:w="960" w:type="dxa"/>
            <w:vAlign w:val="bottom"/>
            <w:tcBorders>
              <w:top w:val="single" w:sz="8" w:color="424E6A"/>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24E6A"/>
            </w:tcBorders>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424E6A"/>
            </w:tcBorders>
          </w:tcPr>
          <w:p>
            <w:pPr>
              <w:jc w:val="right"/>
              <w:ind w:right="74"/>
              <w:spacing w:after="0" w:line="169"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424E6A"/>
            </w:tcBorders>
          </w:tcPr>
          <w:p>
            <w:pPr>
              <w:jc w:val="right"/>
              <w:spacing w:after="0" w:line="169"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24E6A"/>
            </w:tcBorders>
            <w:vMerge w:val="restart"/>
          </w:tcPr>
          <w:p>
            <w:pPr>
              <w:ind w:left="1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424E6A"/>
            </w:tcBorders>
          </w:tcPr>
          <w:p>
            <w:pPr>
              <w:jc w:val="right"/>
              <w:spacing w:after="0" w:line="169" w:lineRule="exact"/>
              <w:rPr>
                <w:sz w:val="20"/>
                <w:szCs w:val="20"/>
                <w:color w:val="auto"/>
              </w:rPr>
            </w:pPr>
            <w:r>
              <w:rPr>
                <w:rFonts w:ascii="Arial" w:cs="Arial" w:eastAsia="Arial" w:hAnsi="Arial"/>
                <w:sz w:val="15"/>
                <w:szCs w:val="15"/>
                <w:color w:val="auto"/>
              </w:rPr>
              <w:t>25,150</w:t>
            </w:r>
            <w:r>
              <w:rPr>
                <w:rFonts w:ascii="Arial" w:cs="Arial" w:eastAsia="Arial" w:hAnsi="Arial"/>
                <w:sz w:val="19"/>
                <w:szCs w:val="19"/>
                <w:color w:val="auto"/>
                <w:vertAlign w:val="superscript"/>
              </w:rPr>
              <w:t>(3)</w:t>
            </w:r>
          </w:p>
        </w:tc>
        <w:tc>
          <w:tcPr>
            <w:tcW w:w="1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424E6A"/>
            </w:tcBorders>
            <w:vMerge w:val="restart"/>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424E6A"/>
            </w:tcBorders>
          </w:tcPr>
          <w:p>
            <w:pPr>
              <w:jc w:val="right"/>
              <w:ind w:right="34"/>
              <w:spacing w:after="0" w:line="169" w:lineRule="exact"/>
              <w:rPr>
                <w:sz w:val="20"/>
                <w:szCs w:val="20"/>
                <w:color w:val="auto"/>
              </w:rPr>
            </w:pPr>
            <w:r>
              <w:rPr>
                <w:rFonts w:ascii="Arial" w:cs="Arial" w:eastAsia="Arial" w:hAnsi="Arial"/>
                <w:sz w:val="18"/>
                <w:szCs w:val="18"/>
                <w:color w:val="auto"/>
              </w:rPr>
              <w:t>295,764</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tcPr>
          <w:p>
            <w:pPr>
              <w:ind w:left="40"/>
              <w:spacing w:after="0" w:line="54" w:lineRule="exact"/>
              <w:rPr>
                <w:sz w:val="20"/>
                <w:szCs w:val="20"/>
                <w:color w:val="auto"/>
              </w:rPr>
            </w:pPr>
            <w:r>
              <w:rPr>
                <w:rFonts w:ascii="Arial" w:cs="Arial" w:eastAsia="Arial" w:hAnsi="Arial"/>
                <w:sz w:val="6"/>
                <w:szCs w:val="6"/>
                <w:color w:val="auto"/>
              </w:rPr>
              <w:t>​</w:t>
            </w: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vMerge w:val="continue"/>
          </w:tcPr>
          <w:p>
            <w:pPr>
              <w:spacing w:after="0"/>
              <w:rPr>
                <w:sz w:val="4"/>
                <w:szCs w:val="4"/>
                <w:color w:val="auto"/>
              </w:rPr>
            </w:pPr>
          </w:p>
        </w:tc>
        <w:tc>
          <w:tcPr>
            <w:tcW w:w="74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vMerge w:val="continue"/>
          </w:tcPr>
          <w:p>
            <w:pPr>
              <w:spacing w:after="0"/>
              <w:rPr>
                <w:sz w:val="4"/>
                <w:szCs w:val="4"/>
                <w:color w:val="auto"/>
              </w:rPr>
            </w:pP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vMerge w:val="continue"/>
          </w:tcPr>
          <w:p>
            <w:pPr>
              <w:spacing w:after="0"/>
              <w:rPr>
                <w:sz w:val="4"/>
                <w:szCs w:val="4"/>
                <w:color w:val="auto"/>
              </w:rPr>
            </w:pPr>
          </w:p>
        </w:tc>
        <w:tc>
          <w:tcPr>
            <w:tcW w:w="78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vMerge w:val="continue"/>
          </w:tcPr>
          <w:p>
            <w:pPr>
              <w:spacing w:after="0"/>
              <w:rPr>
                <w:sz w:val="4"/>
                <w:szCs w:val="4"/>
                <w:color w:val="auto"/>
              </w:rPr>
            </w:pP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18"/>
                <w:szCs w:val="18"/>
                <w:color w:val="auto"/>
              </w:rPr>
              <w:t>​ 75,190</w:t>
            </w:r>
            <w:r>
              <w:rPr>
                <w:rFonts w:ascii="Arial" w:cs="Arial" w:eastAsia="Arial" w:hAnsi="Arial"/>
                <w:sz w:val="23"/>
                <w:szCs w:val="23"/>
                <w:color w:val="auto"/>
                <w:vertAlign w:val="superscript"/>
              </w:rPr>
              <w:t>(6)</w:t>
            </w:r>
          </w:p>
        </w:tc>
        <w:tc>
          <w:tcPr>
            <w:tcW w:w="1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884,234</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23" w:lineRule="exact"/>
              <w:rPr>
                <w:sz w:val="20"/>
                <w:szCs w:val="20"/>
                <w:color w:val="auto"/>
              </w:rPr>
            </w:pPr>
            <w:r>
              <w:rPr>
                <w:rFonts w:ascii="Arial" w:cs="Arial" w:eastAsia="Arial" w:hAnsi="Arial"/>
                <w:sz w:val="18"/>
                <w:szCs w:val="18"/>
                <w:color w:val="auto"/>
              </w:rPr>
              <w:t>​ 75,190</w:t>
            </w:r>
            <w:r>
              <w:rPr>
                <w:rFonts w:ascii="Arial" w:cs="Arial" w:eastAsia="Arial" w:hAnsi="Arial"/>
                <w:sz w:val="23"/>
                <w:szCs w:val="23"/>
                <w:color w:val="auto"/>
                <w:vertAlign w:val="superscript"/>
              </w:rPr>
              <w:t>(7)</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884,234</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18"/>
                <w:szCs w:val="18"/>
                <w:color w:val="auto"/>
              </w:rPr>
              <w:t>​ 60,100</w:t>
            </w:r>
            <w:r>
              <w:rPr>
                <w:rFonts w:ascii="Arial" w:cs="Arial" w:eastAsia="Arial" w:hAnsi="Arial"/>
                <w:sz w:val="23"/>
                <w:szCs w:val="23"/>
                <w:color w:val="auto"/>
                <w:vertAlign w:val="superscript"/>
              </w:rPr>
              <w:t>(8)</w:t>
            </w:r>
          </w:p>
        </w:tc>
        <w:tc>
          <w:tcPr>
            <w:tcW w:w="1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706,776</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23" w:lineRule="exact"/>
              <w:rPr>
                <w:sz w:val="20"/>
                <w:szCs w:val="20"/>
                <w:color w:val="auto"/>
              </w:rPr>
            </w:pPr>
            <w:r>
              <w:rPr>
                <w:rFonts w:ascii="Arial" w:cs="Arial" w:eastAsia="Arial" w:hAnsi="Arial"/>
                <w:sz w:val="18"/>
                <w:szCs w:val="18"/>
                <w:color w:val="auto"/>
              </w:rPr>
              <w:t>​ 60,100</w:t>
            </w:r>
            <w:r>
              <w:rPr>
                <w:rFonts w:ascii="Arial" w:cs="Arial" w:eastAsia="Arial" w:hAnsi="Arial"/>
                <w:sz w:val="23"/>
                <w:szCs w:val="23"/>
                <w:color w:val="auto"/>
                <w:vertAlign w:val="superscript"/>
              </w:rPr>
              <w:t>(9)</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706,776</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424E6A"/>
              <w:right w:val="single" w:sz="8" w:color="424E6A"/>
            </w:tcBorders>
            <w:gridSpan w:val="3"/>
          </w:tcPr>
          <w:p>
            <w:pPr>
              <w:ind w:left="180"/>
              <w:spacing w:after="0" w:line="223" w:lineRule="exact"/>
              <w:rPr>
                <w:sz w:val="20"/>
                <w:szCs w:val="20"/>
                <w:color w:val="auto"/>
              </w:rPr>
            </w:pPr>
            <w:r>
              <w:rPr>
                <w:rFonts w:ascii="Arial" w:cs="Arial" w:eastAsia="Arial" w:hAnsi="Arial"/>
                <w:sz w:val="18"/>
                <w:szCs w:val="18"/>
                <w:color w:val="auto"/>
              </w:rPr>
              <w:t>​ 69,300</w:t>
            </w:r>
            <w:r>
              <w:rPr>
                <w:rFonts w:ascii="Arial" w:cs="Arial" w:eastAsia="Arial" w:hAnsi="Arial"/>
                <w:sz w:val="23"/>
                <w:szCs w:val="23"/>
                <w:color w:val="auto"/>
                <w:vertAlign w:val="superscript"/>
              </w:rPr>
              <w:t>(10)</w:t>
            </w:r>
            <w:r>
              <w:rPr>
                <w:rFonts w:ascii="Arial" w:cs="Arial" w:eastAsia="Arial" w:hAnsi="Arial"/>
                <w:sz w:val="18"/>
                <w:szCs w:val="18"/>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814,968</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gridSpan w:val="3"/>
          </w:tcPr>
          <w:p>
            <w:pPr>
              <w:ind w:left="160"/>
              <w:spacing w:after="0" w:line="223" w:lineRule="exact"/>
              <w:rPr>
                <w:sz w:val="20"/>
                <w:szCs w:val="20"/>
                <w:color w:val="auto"/>
              </w:rPr>
            </w:pPr>
            <w:r>
              <w:rPr>
                <w:rFonts w:ascii="Arial" w:cs="Arial" w:eastAsia="Arial" w:hAnsi="Arial"/>
                <w:sz w:val="18"/>
                <w:szCs w:val="18"/>
                <w:color w:val="auto"/>
              </w:rPr>
              <w:t>​ 69,300</w:t>
            </w:r>
            <w:r>
              <w:rPr>
                <w:rFonts w:ascii="Arial" w:cs="Arial" w:eastAsia="Arial" w:hAnsi="Arial"/>
                <w:sz w:val="23"/>
                <w:szCs w:val="23"/>
                <w:color w:val="auto"/>
                <w:vertAlign w:val="superscript"/>
              </w:rPr>
              <w:t>(11)</w:t>
            </w:r>
            <w:r>
              <w:rPr>
                <w:rFonts w:ascii="Arial" w:cs="Arial" w:eastAsia="Arial" w:hAnsi="Arial"/>
                <w:sz w:val="18"/>
                <w:szCs w:val="18"/>
                <w:color w:val="auto"/>
              </w:rPr>
              <w:t>​ ​</w:t>
            </w:r>
          </w:p>
        </w:tc>
        <w:tc>
          <w:tcPr>
            <w:tcW w:w="1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814,968</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216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960" w:type="dxa"/>
            <w:vAlign w:val="bottom"/>
            <w:tcBorders>
              <w:bottom w:val="single" w:sz="8" w:color="D9DCE1"/>
              <w:right w:val="single" w:sz="8" w:color="424E6A"/>
            </w:tcBorders>
            <w:shd w:val="clear" w:color="auto" w:fill="D9DCE1"/>
          </w:tcPr>
          <w:p>
            <w:pPr>
              <w:ind w:left="8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22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4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9"/>
        </w:trPr>
        <w:tc>
          <w:tcPr>
            <w:tcW w:w="2160" w:type="dxa"/>
            <w:vAlign w:val="bottom"/>
            <w:tcBorders>
              <w:top w:val="single" w:sz="8" w:color="424E6A"/>
              <w:left w:val="single" w:sz="8" w:color="424E6A"/>
            </w:tcBorders>
          </w:tcPr>
          <w:p>
            <w:pPr>
              <w:ind w:left="60"/>
              <w:spacing w:after="0" w:line="169" w:lineRule="exact"/>
              <w:rPr>
                <w:sz w:val="20"/>
                <w:szCs w:val="20"/>
                <w:color w:val="auto"/>
              </w:rPr>
            </w:pPr>
            <w:r>
              <w:rPr>
                <w:rFonts w:ascii="Arial" w:cs="Arial" w:eastAsia="Arial" w:hAnsi="Arial"/>
                <w:sz w:val="18"/>
                <w:szCs w:val="18"/>
                <w:color w:val="auto"/>
              </w:rPr>
              <w:t>Richard McGee</w:t>
            </w:r>
          </w:p>
        </w:tc>
        <w:tc>
          <w:tcPr>
            <w:tcW w:w="960" w:type="dxa"/>
            <w:vAlign w:val="bottom"/>
            <w:tcBorders>
              <w:top w:val="single" w:sz="8" w:color="424E6A"/>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24E6A"/>
            </w:tcBorders>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424E6A"/>
            </w:tcBorders>
          </w:tcPr>
          <w:p>
            <w:pPr>
              <w:jc w:val="right"/>
              <w:ind w:right="74"/>
              <w:spacing w:after="0" w:line="169"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424E6A"/>
            </w:tcBorders>
          </w:tcPr>
          <w:p>
            <w:pPr>
              <w:jc w:val="right"/>
              <w:spacing w:after="0" w:line="169"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24E6A"/>
            </w:tcBorders>
            <w:vMerge w:val="restart"/>
          </w:tcPr>
          <w:p>
            <w:pPr>
              <w:ind w:left="1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424E6A"/>
            </w:tcBorders>
          </w:tcPr>
          <w:p>
            <w:pPr>
              <w:jc w:val="right"/>
              <w:spacing w:after="0" w:line="169" w:lineRule="exact"/>
              <w:rPr>
                <w:sz w:val="20"/>
                <w:szCs w:val="20"/>
                <w:color w:val="auto"/>
              </w:rPr>
            </w:pPr>
            <w:r>
              <w:rPr>
                <w:rFonts w:ascii="Arial" w:cs="Arial" w:eastAsia="Arial" w:hAnsi="Arial"/>
                <w:sz w:val="15"/>
                <w:szCs w:val="15"/>
                <w:color w:val="auto"/>
              </w:rPr>
              <w:t>25,150</w:t>
            </w:r>
            <w:r>
              <w:rPr>
                <w:rFonts w:ascii="Arial" w:cs="Arial" w:eastAsia="Arial" w:hAnsi="Arial"/>
                <w:sz w:val="19"/>
                <w:szCs w:val="19"/>
                <w:color w:val="auto"/>
                <w:vertAlign w:val="superscript"/>
              </w:rPr>
              <w:t>(3)</w:t>
            </w:r>
          </w:p>
        </w:tc>
        <w:tc>
          <w:tcPr>
            <w:tcW w:w="1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424E6A"/>
            </w:tcBorders>
            <w:vMerge w:val="restart"/>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424E6A"/>
            </w:tcBorders>
          </w:tcPr>
          <w:p>
            <w:pPr>
              <w:jc w:val="right"/>
              <w:ind w:right="34"/>
              <w:spacing w:after="0" w:line="169" w:lineRule="exact"/>
              <w:rPr>
                <w:sz w:val="20"/>
                <w:szCs w:val="20"/>
                <w:color w:val="auto"/>
              </w:rPr>
            </w:pPr>
            <w:r>
              <w:rPr>
                <w:rFonts w:ascii="Arial" w:cs="Arial" w:eastAsia="Arial" w:hAnsi="Arial"/>
                <w:sz w:val="18"/>
                <w:szCs w:val="18"/>
                <w:color w:val="auto"/>
              </w:rPr>
              <w:t>295,764</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tcPr>
          <w:p>
            <w:pPr>
              <w:ind w:left="40"/>
              <w:spacing w:after="0" w:line="54" w:lineRule="exact"/>
              <w:rPr>
                <w:sz w:val="20"/>
                <w:szCs w:val="20"/>
                <w:color w:val="auto"/>
              </w:rPr>
            </w:pPr>
            <w:r>
              <w:rPr>
                <w:rFonts w:ascii="Arial" w:cs="Arial" w:eastAsia="Arial" w:hAnsi="Arial"/>
                <w:sz w:val="6"/>
                <w:szCs w:val="6"/>
                <w:color w:val="auto"/>
              </w:rPr>
              <w:t>​</w:t>
            </w: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vMerge w:val="continue"/>
          </w:tcPr>
          <w:p>
            <w:pPr>
              <w:spacing w:after="0"/>
              <w:rPr>
                <w:sz w:val="4"/>
                <w:szCs w:val="4"/>
                <w:color w:val="auto"/>
              </w:rPr>
            </w:pPr>
          </w:p>
        </w:tc>
        <w:tc>
          <w:tcPr>
            <w:tcW w:w="74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vMerge w:val="continue"/>
          </w:tcPr>
          <w:p>
            <w:pPr>
              <w:spacing w:after="0"/>
              <w:rPr>
                <w:sz w:val="4"/>
                <w:szCs w:val="4"/>
                <w:color w:val="auto"/>
              </w:rPr>
            </w:pP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vMerge w:val="continue"/>
          </w:tcPr>
          <w:p>
            <w:pPr>
              <w:spacing w:after="0"/>
              <w:rPr>
                <w:sz w:val="4"/>
                <w:szCs w:val="4"/>
                <w:color w:val="auto"/>
              </w:rPr>
            </w:pPr>
          </w:p>
        </w:tc>
        <w:tc>
          <w:tcPr>
            <w:tcW w:w="78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vMerge w:val="continue"/>
          </w:tcPr>
          <w:p>
            <w:pPr>
              <w:spacing w:after="0"/>
              <w:rPr>
                <w:sz w:val="4"/>
                <w:szCs w:val="4"/>
                <w:color w:val="auto"/>
              </w:rPr>
            </w:pP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18"/>
                <w:szCs w:val="18"/>
                <w:color w:val="auto"/>
              </w:rPr>
              <w:t>​ 75,190</w:t>
            </w:r>
            <w:r>
              <w:rPr>
                <w:rFonts w:ascii="Arial" w:cs="Arial" w:eastAsia="Arial" w:hAnsi="Arial"/>
                <w:sz w:val="23"/>
                <w:szCs w:val="23"/>
                <w:color w:val="auto"/>
                <w:vertAlign w:val="superscript"/>
              </w:rPr>
              <w:t>(6)</w:t>
            </w:r>
          </w:p>
        </w:tc>
        <w:tc>
          <w:tcPr>
            <w:tcW w:w="1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884,234</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23" w:lineRule="exact"/>
              <w:rPr>
                <w:sz w:val="20"/>
                <w:szCs w:val="20"/>
                <w:color w:val="auto"/>
              </w:rPr>
            </w:pPr>
            <w:r>
              <w:rPr>
                <w:rFonts w:ascii="Arial" w:cs="Arial" w:eastAsia="Arial" w:hAnsi="Arial"/>
                <w:sz w:val="18"/>
                <w:szCs w:val="18"/>
                <w:color w:val="auto"/>
              </w:rPr>
              <w:t>​ 75,190</w:t>
            </w:r>
            <w:r>
              <w:rPr>
                <w:rFonts w:ascii="Arial" w:cs="Arial" w:eastAsia="Arial" w:hAnsi="Arial"/>
                <w:sz w:val="23"/>
                <w:szCs w:val="23"/>
                <w:color w:val="auto"/>
                <w:vertAlign w:val="superscript"/>
              </w:rPr>
              <w:t>(7)</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884,234</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18"/>
                <w:szCs w:val="18"/>
                <w:color w:val="auto"/>
              </w:rPr>
              <w:t>​ 60,100</w:t>
            </w:r>
            <w:r>
              <w:rPr>
                <w:rFonts w:ascii="Arial" w:cs="Arial" w:eastAsia="Arial" w:hAnsi="Arial"/>
                <w:sz w:val="23"/>
                <w:szCs w:val="23"/>
                <w:color w:val="auto"/>
                <w:vertAlign w:val="superscript"/>
              </w:rPr>
              <w:t>(8)</w:t>
            </w:r>
          </w:p>
        </w:tc>
        <w:tc>
          <w:tcPr>
            <w:tcW w:w="1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706,776</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23" w:lineRule="exact"/>
              <w:rPr>
                <w:sz w:val="20"/>
                <w:szCs w:val="20"/>
                <w:color w:val="auto"/>
              </w:rPr>
            </w:pPr>
            <w:r>
              <w:rPr>
                <w:rFonts w:ascii="Arial" w:cs="Arial" w:eastAsia="Arial" w:hAnsi="Arial"/>
                <w:sz w:val="18"/>
                <w:szCs w:val="18"/>
                <w:color w:val="auto"/>
              </w:rPr>
              <w:t>​ 60,100</w:t>
            </w:r>
            <w:r>
              <w:rPr>
                <w:rFonts w:ascii="Arial" w:cs="Arial" w:eastAsia="Arial" w:hAnsi="Arial"/>
                <w:sz w:val="23"/>
                <w:szCs w:val="23"/>
                <w:color w:val="auto"/>
                <w:vertAlign w:val="superscript"/>
              </w:rPr>
              <w:t>(9)</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706,776</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424E6A"/>
              <w:right w:val="single" w:sz="8" w:color="424E6A"/>
            </w:tcBorders>
            <w:gridSpan w:val="3"/>
          </w:tcPr>
          <w:p>
            <w:pPr>
              <w:ind w:left="180"/>
              <w:spacing w:after="0" w:line="223" w:lineRule="exact"/>
              <w:rPr>
                <w:sz w:val="20"/>
                <w:szCs w:val="20"/>
                <w:color w:val="auto"/>
              </w:rPr>
            </w:pPr>
            <w:r>
              <w:rPr>
                <w:rFonts w:ascii="Arial" w:cs="Arial" w:eastAsia="Arial" w:hAnsi="Arial"/>
                <w:sz w:val="18"/>
                <w:szCs w:val="18"/>
                <w:color w:val="auto"/>
              </w:rPr>
              <w:t>​ 69,300</w:t>
            </w:r>
            <w:r>
              <w:rPr>
                <w:rFonts w:ascii="Arial" w:cs="Arial" w:eastAsia="Arial" w:hAnsi="Arial"/>
                <w:sz w:val="23"/>
                <w:szCs w:val="23"/>
                <w:color w:val="auto"/>
                <w:vertAlign w:val="superscript"/>
              </w:rPr>
              <w:t>(10)</w:t>
            </w:r>
            <w:r>
              <w:rPr>
                <w:rFonts w:ascii="Arial" w:cs="Arial" w:eastAsia="Arial" w:hAnsi="Arial"/>
                <w:sz w:val="18"/>
                <w:szCs w:val="18"/>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814,968</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right w:val="single" w:sz="8" w:color="424E6A"/>
            </w:tcBorders>
            <w:gridSpan w:val="3"/>
          </w:tcPr>
          <w:p>
            <w:pPr>
              <w:ind w:left="160"/>
              <w:spacing w:after="0" w:line="223" w:lineRule="exact"/>
              <w:rPr>
                <w:sz w:val="20"/>
                <w:szCs w:val="20"/>
                <w:color w:val="auto"/>
              </w:rPr>
            </w:pPr>
            <w:r>
              <w:rPr>
                <w:rFonts w:ascii="Arial" w:cs="Arial" w:eastAsia="Arial" w:hAnsi="Arial"/>
                <w:sz w:val="18"/>
                <w:szCs w:val="18"/>
                <w:color w:val="auto"/>
              </w:rPr>
              <w:t>​ 69,300</w:t>
            </w:r>
            <w:r>
              <w:rPr>
                <w:rFonts w:ascii="Arial" w:cs="Arial" w:eastAsia="Arial" w:hAnsi="Arial"/>
                <w:sz w:val="23"/>
                <w:szCs w:val="23"/>
                <w:color w:val="auto"/>
                <w:vertAlign w:val="superscript"/>
              </w:rPr>
              <w:t>(11)</w:t>
            </w:r>
            <w:r>
              <w:rPr>
                <w:rFonts w:ascii="Arial" w:cs="Arial" w:eastAsia="Arial" w:hAnsi="Arial"/>
                <w:sz w:val="18"/>
                <w:szCs w:val="18"/>
                <w:color w:val="auto"/>
              </w:rPr>
              <w:t>​ ​</w:t>
            </w:r>
          </w:p>
        </w:tc>
        <w:tc>
          <w:tcPr>
            <w:tcW w:w="1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814,968</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216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960" w:type="dxa"/>
            <w:vAlign w:val="bottom"/>
            <w:tcBorders>
              <w:bottom w:val="single" w:sz="8" w:color="D9DCE1"/>
              <w:right w:val="single" w:sz="8" w:color="424E6A"/>
            </w:tcBorders>
            <w:shd w:val="clear" w:color="auto" w:fill="D9DCE1"/>
          </w:tcPr>
          <w:p>
            <w:pPr>
              <w:ind w:left="8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22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4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9"/>
        </w:trPr>
        <w:tc>
          <w:tcPr>
            <w:tcW w:w="2160" w:type="dxa"/>
            <w:vAlign w:val="bottom"/>
            <w:tcBorders>
              <w:top w:val="single" w:sz="8" w:color="424E6A"/>
              <w:left w:val="single" w:sz="8" w:color="424E6A"/>
            </w:tcBorders>
          </w:tcPr>
          <w:p>
            <w:pPr>
              <w:ind w:left="60"/>
              <w:spacing w:after="0" w:line="169" w:lineRule="exact"/>
              <w:rPr>
                <w:sz w:val="20"/>
                <w:szCs w:val="20"/>
                <w:color w:val="auto"/>
              </w:rPr>
            </w:pPr>
            <w:r>
              <w:rPr>
                <w:rFonts w:ascii="Arial" w:cs="Arial" w:eastAsia="Arial" w:hAnsi="Arial"/>
                <w:sz w:val="18"/>
                <w:szCs w:val="18"/>
                <w:color w:val="auto"/>
              </w:rPr>
              <w:t>Chris Chandler</w:t>
            </w:r>
          </w:p>
        </w:tc>
        <w:tc>
          <w:tcPr>
            <w:tcW w:w="960" w:type="dxa"/>
            <w:vAlign w:val="bottom"/>
            <w:tcBorders>
              <w:top w:val="single" w:sz="8" w:color="424E6A"/>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24E6A"/>
            </w:tcBorders>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424E6A"/>
            </w:tcBorders>
          </w:tcPr>
          <w:p>
            <w:pPr>
              <w:jc w:val="right"/>
              <w:ind w:right="74"/>
              <w:spacing w:after="0" w:line="169"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424E6A"/>
            </w:tcBorders>
          </w:tcPr>
          <w:p>
            <w:pPr>
              <w:jc w:val="right"/>
              <w:spacing w:after="0" w:line="169"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24E6A"/>
            </w:tcBorders>
            <w:vMerge w:val="restart"/>
          </w:tcPr>
          <w:p>
            <w:pPr>
              <w:ind w:left="1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424E6A"/>
            </w:tcBorders>
          </w:tcPr>
          <w:p>
            <w:pPr>
              <w:jc w:val="right"/>
              <w:spacing w:after="0" w:line="169" w:lineRule="exact"/>
              <w:rPr>
                <w:sz w:val="20"/>
                <w:szCs w:val="20"/>
                <w:color w:val="auto"/>
              </w:rPr>
            </w:pPr>
            <w:r>
              <w:rPr>
                <w:rFonts w:ascii="Arial" w:cs="Arial" w:eastAsia="Arial" w:hAnsi="Arial"/>
                <w:sz w:val="15"/>
                <w:szCs w:val="15"/>
                <w:color w:val="auto"/>
              </w:rPr>
              <w:t>25,150</w:t>
            </w:r>
            <w:r>
              <w:rPr>
                <w:rFonts w:ascii="Arial" w:cs="Arial" w:eastAsia="Arial" w:hAnsi="Arial"/>
                <w:sz w:val="19"/>
                <w:szCs w:val="19"/>
                <w:color w:val="auto"/>
                <w:vertAlign w:val="superscript"/>
              </w:rPr>
              <w:t>(3)</w:t>
            </w:r>
          </w:p>
        </w:tc>
        <w:tc>
          <w:tcPr>
            <w:tcW w:w="1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424E6A"/>
            </w:tcBorders>
            <w:vMerge w:val="restart"/>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424E6A"/>
            </w:tcBorders>
          </w:tcPr>
          <w:p>
            <w:pPr>
              <w:jc w:val="right"/>
              <w:ind w:right="34"/>
              <w:spacing w:after="0" w:line="169" w:lineRule="exact"/>
              <w:rPr>
                <w:sz w:val="20"/>
                <w:szCs w:val="20"/>
                <w:color w:val="auto"/>
              </w:rPr>
            </w:pPr>
            <w:r>
              <w:rPr>
                <w:rFonts w:ascii="Arial" w:cs="Arial" w:eastAsia="Arial" w:hAnsi="Arial"/>
                <w:sz w:val="18"/>
                <w:szCs w:val="18"/>
                <w:color w:val="auto"/>
              </w:rPr>
              <w:t>295,764</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tcPr>
          <w:p>
            <w:pPr>
              <w:ind w:left="40"/>
              <w:spacing w:after="0" w:line="54" w:lineRule="exact"/>
              <w:rPr>
                <w:sz w:val="20"/>
                <w:szCs w:val="20"/>
                <w:color w:val="auto"/>
              </w:rPr>
            </w:pPr>
            <w:r>
              <w:rPr>
                <w:rFonts w:ascii="Arial" w:cs="Arial" w:eastAsia="Arial" w:hAnsi="Arial"/>
                <w:sz w:val="6"/>
                <w:szCs w:val="6"/>
                <w:color w:val="auto"/>
              </w:rPr>
              <w:t>​</w:t>
            </w: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vMerge w:val="continue"/>
          </w:tcPr>
          <w:p>
            <w:pPr>
              <w:spacing w:after="0"/>
              <w:rPr>
                <w:sz w:val="4"/>
                <w:szCs w:val="4"/>
                <w:color w:val="auto"/>
              </w:rPr>
            </w:pPr>
          </w:p>
        </w:tc>
        <w:tc>
          <w:tcPr>
            <w:tcW w:w="74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vMerge w:val="continue"/>
          </w:tcPr>
          <w:p>
            <w:pPr>
              <w:spacing w:after="0"/>
              <w:rPr>
                <w:sz w:val="4"/>
                <w:szCs w:val="4"/>
                <w:color w:val="auto"/>
              </w:rPr>
            </w:pP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vMerge w:val="continue"/>
          </w:tcPr>
          <w:p>
            <w:pPr>
              <w:spacing w:after="0"/>
              <w:rPr>
                <w:sz w:val="4"/>
                <w:szCs w:val="4"/>
                <w:color w:val="auto"/>
              </w:rPr>
            </w:pPr>
          </w:p>
        </w:tc>
        <w:tc>
          <w:tcPr>
            <w:tcW w:w="78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vMerge w:val="continue"/>
          </w:tcPr>
          <w:p>
            <w:pPr>
              <w:spacing w:after="0"/>
              <w:rPr>
                <w:sz w:val="4"/>
                <w:szCs w:val="4"/>
                <w:color w:val="auto"/>
              </w:rPr>
            </w:pP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16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250,000</w:t>
            </w:r>
            <w:r>
              <w:rPr>
                <w:rFonts w:ascii="Arial" w:cs="Arial" w:eastAsia="Arial" w:hAnsi="Arial"/>
                <w:sz w:val="19"/>
                <w:szCs w:val="19"/>
                <w:color w:val="auto"/>
                <w:vertAlign w:val="superscript"/>
              </w:rPr>
              <w:t>(4)</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2,940,000</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250,000</w:t>
            </w:r>
            <w:r>
              <w:rPr>
                <w:rFonts w:ascii="Arial" w:cs="Arial" w:eastAsia="Arial" w:hAnsi="Arial"/>
                <w:sz w:val="19"/>
                <w:szCs w:val="19"/>
                <w:color w:val="auto"/>
                <w:vertAlign w:val="superscript"/>
              </w:rPr>
              <w:t>(4)</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
              <w:spacing w:after="0" w:line="169" w:lineRule="exact"/>
              <w:rPr>
                <w:sz w:val="20"/>
                <w:szCs w:val="20"/>
                <w:color w:val="auto"/>
              </w:rPr>
            </w:pPr>
            <w:r>
              <w:rPr>
                <w:rFonts w:ascii="Arial" w:cs="Arial" w:eastAsia="Arial" w:hAnsi="Arial"/>
                <w:sz w:val="18"/>
                <w:szCs w:val="18"/>
                <w:color w:val="auto"/>
              </w:rPr>
              <w:t>2,940,000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vMerge w:val="continue"/>
          </w:tcPr>
          <w:p>
            <w:pPr>
              <w:spacing w:after="0"/>
              <w:rPr>
                <w:sz w:val="4"/>
                <w:szCs w:val="4"/>
                <w:color w:val="auto"/>
              </w:rPr>
            </w:pP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tcPr>
          <w:p>
            <w:pPr>
              <w:ind w:left="180"/>
              <w:spacing w:after="0" w:line="54" w:lineRule="exact"/>
              <w:rPr>
                <w:sz w:val="20"/>
                <w:szCs w:val="20"/>
                <w:color w:val="auto"/>
              </w:rPr>
            </w:pPr>
            <w:r>
              <w:rPr>
                <w:rFonts w:ascii="Arial" w:cs="Arial" w:eastAsia="Arial" w:hAnsi="Arial"/>
                <w:sz w:val="6"/>
                <w:szCs w:val="6"/>
                <w:color w:val="auto"/>
              </w:rPr>
              <w:t>​</w:t>
            </w:r>
          </w:p>
        </w:tc>
        <w:tc>
          <w:tcPr>
            <w:tcW w:w="74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tcPr>
          <w:p>
            <w:pPr>
              <w:ind w:left="80"/>
              <w:spacing w:after="0" w:line="54" w:lineRule="exact"/>
              <w:rPr>
                <w:sz w:val="20"/>
                <w:szCs w:val="20"/>
                <w:color w:val="auto"/>
              </w:rPr>
            </w:pPr>
            <w:r>
              <w:rPr>
                <w:rFonts w:ascii="Arial" w:cs="Arial" w:eastAsia="Arial" w:hAnsi="Arial"/>
                <w:sz w:val="6"/>
                <w:szCs w:val="6"/>
                <w:color w:val="auto"/>
              </w:rPr>
              <w:t>​ ​</w:t>
            </w: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tcPr>
          <w:p>
            <w:pPr>
              <w:ind w:left="160"/>
              <w:spacing w:after="0" w:line="54" w:lineRule="exact"/>
              <w:rPr>
                <w:sz w:val="20"/>
                <w:szCs w:val="20"/>
                <w:color w:val="auto"/>
              </w:rPr>
            </w:pPr>
            <w:r>
              <w:rPr>
                <w:rFonts w:ascii="Arial" w:cs="Arial" w:eastAsia="Arial" w:hAnsi="Arial"/>
                <w:sz w:val="6"/>
                <w:szCs w:val="6"/>
                <w:color w:val="auto"/>
              </w:rPr>
              <w:t>​</w:t>
            </w:r>
          </w:p>
        </w:tc>
        <w:tc>
          <w:tcPr>
            <w:tcW w:w="78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tcPr>
          <w:p>
            <w:pPr>
              <w:ind w:left="120"/>
              <w:spacing w:after="0" w:line="54" w:lineRule="exact"/>
              <w:rPr>
                <w:sz w:val="20"/>
                <w:szCs w:val="20"/>
                <w:color w:val="auto"/>
              </w:rPr>
            </w:pPr>
            <w:r>
              <w:rPr>
                <w:rFonts w:ascii="Arial" w:cs="Arial" w:eastAsia="Arial" w:hAnsi="Arial"/>
                <w:sz w:val="6"/>
                <w:szCs w:val="6"/>
                <w:color w:val="auto"/>
              </w:rPr>
              <w:t>​</w:t>
            </w: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18"/>
                <w:szCs w:val="18"/>
                <w:color w:val="auto"/>
              </w:rPr>
              <w:t>​ 75,190</w:t>
            </w:r>
            <w:r>
              <w:rPr>
                <w:rFonts w:ascii="Arial" w:cs="Arial" w:eastAsia="Arial" w:hAnsi="Arial"/>
                <w:sz w:val="23"/>
                <w:szCs w:val="23"/>
                <w:color w:val="auto"/>
                <w:vertAlign w:val="superscript"/>
              </w:rPr>
              <w:t>(6)</w:t>
            </w:r>
          </w:p>
        </w:tc>
        <w:tc>
          <w:tcPr>
            <w:tcW w:w="1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884,234</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23" w:lineRule="exact"/>
              <w:rPr>
                <w:sz w:val="20"/>
                <w:szCs w:val="20"/>
                <w:color w:val="auto"/>
              </w:rPr>
            </w:pPr>
            <w:r>
              <w:rPr>
                <w:rFonts w:ascii="Arial" w:cs="Arial" w:eastAsia="Arial" w:hAnsi="Arial"/>
                <w:sz w:val="18"/>
                <w:szCs w:val="18"/>
                <w:color w:val="auto"/>
              </w:rPr>
              <w:t>​ 75,190</w:t>
            </w:r>
            <w:r>
              <w:rPr>
                <w:rFonts w:ascii="Arial" w:cs="Arial" w:eastAsia="Arial" w:hAnsi="Arial"/>
                <w:sz w:val="23"/>
                <w:szCs w:val="23"/>
                <w:color w:val="auto"/>
                <w:vertAlign w:val="superscript"/>
              </w:rPr>
              <w:t>(7)</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884,234</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18"/>
                <w:szCs w:val="18"/>
                <w:color w:val="auto"/>
              </w:rPr>
              <w:t>​ 60,100</w:t>
            </w:r>
            <w:r>
              <w:rPr>
                <w:rFonts w:ascii="Arial" w:cs="Arial" w:eastAsia="Arial" w:hAnsi="Arial"/>
                <w:sz w:val="23"/>
                <w:szCs w:val="23"/>
                <w:color w:val="auto"/>
                <w:vertAlign w:val="superscript"/>
              </w:rPr>
              <w:t>(8)</w:t>
            </w:r>
          </w:p>
        </w:tc>
        <w:tc>
          <w:tcPr>
            <w:tcW w:w="1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706,776</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23" w:lineRule="exact"/>
              <w:rPr>
                <w:sz w:val="20"/>
                <w:szCs w:val="20"/>
                <w:color w:val="auto"/>
              </w:rPr>
            </w:pPr>
            <w:r>
              <w:rPr>
                <w:rFonts w:ascii="Arial" w:cs="Arial" w:eastAsia="Arial" w:hAnsi="Arial"/>
                <w:sz w:val="18"/>
                <w:szCs w:val="18"/>
                <w:color w:val="auto"/>
              </w:rPr>
              <w:t>​ 60,100</w:t>
            </w:r>
            <w:r>
              <w:rPr>
                <w:rFonts w:ascii="Arial" w:cs="Arial" w:eastAsia="Arial" w:hAnsi="Arial"/>
                <w:sz w:val="23"/>
                <w:szCs w:val="23"/>
                <w:color w:val="auto"/>
                <w:vertAlign w:val="superscript"/>
              </w:rPr>
              <w:t>(9)</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706,776</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16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424E6A"/>
            </w:tcBorders>
            <w:gridSpan w:val="2"/>
          </w:tcPr>
          <w:p>
            <w:pPr>
              <w:jc w:val="right"/>
              <w:ind w:right="40"/>
              <w:spacing w:after="0" w:line="169" w:lineRule="exact"/>
              <w:rPr>
                <w:sz w:val="20"/>
                <w:szCs w:val="20"/>
                <w:color w:val="auto"/>
              </w:rPr>
            </w:pPr>
            <w:r>
              <w:rPr>
                <w:rFonts w:ascii="Arial" w:cs="Arial" w:eastAsia="Arial" w:hAnsi="Arial"/>
                <w:sz w:val="15"/>
                <w:szCs w:val="15"/>
                <w:color w:val="auto"/>
              </w:rPr>
              <w:t>89,350</w:t>
            </w:r>
            <w:r>
              <w:rPr>
                <w:rFonts w:ascii="Arial" w:cs="Arial" w:eastAsia="Arial" w:hAnsi="Arial"/>
                <w:sz w:val="19"/>
                <w:szCs w:val="19"/>
                <w:color w:val="auto"/>
                <w:vertAlign w:val="superscript"/>
              </w:rPr>
              <w:t>(10)</w:t>
            </w:r>
          </w:p>
        </w:tc>
        <w:tc>
          <w:tcPr>
            <w:tcW w:w="9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1,050,756</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424E6A"/>
            </w:tcBorders>
            <w:gridSpan w:val="2"/>
          </w:tcPr>
          <w:p>
            <w:pPr>
              <w:jc w:val="right"/>
              <w:ind w:right="60"/>
              <w:spacing w:after="0" w:line="169" w:lineRule="exact"/>
              <w:rPr>
                <w:sz w:val="20"/>
                <w:szCs w:val="20"/>
                <w:color w:val="auto"/>
              </w:rPr>
            </w:pPr>
            <w:r>
              <w:rPr>
                <w:rFonts w:ascii="Arial" w:cs="Arial" w:eastAsia="Arial" w:hAnsi="Arial"/>
                <w:sz w:val="15"/>
                <w:szCs w:val="15"/>
                <w:color w:val="auto"/>
              </w:rPr>
              <w:t>89,350</w:t>
            </w:r>
            <w:r>
              <w:rPr>
                <w:rFonts w:ascii="Arial" w:cs="Arial" w:eastAsia="Arial" w:hAnsi="Arial"/>
                <w:sz w:val="19"/>
                <w:szCs w:val="19"/>
                <w:color w:val="auto"/>
                <w:vertAlign w:val="superscript"/>
              </w:rPr>
              <w:t>(11)</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
              <w:spacing w:after="0" w:line="169" w:lineRule="exact"/>
              <w:rPr>
                <w:sz w:val="20"/>
                <w:szCs w:val="20"/>
                <w:color w:val="auto"/>
              </w:rPr>
            </w:pPr>
            <w:r>
              <w:rPr>
                <w:rFonts w:ascii="Arial" w:cs="Arial" w:eastAsia="Arial" w:hAnsi="Arial"/>
                <w:sz w:val="18"/>
                <w:szCs w:val="18"/>
                <w:color w:val="auto"/>
              </w:rPr>
              <w:t>1,050,756</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vMerge w:val="continue"/>
          </w:tcPr>
          <w:p>
            <w:pPr>
              <w:spacing w:after="0"/>
              <w:rPr>
                <w:sz w:val="4"/>
                <w:szCs w:val="4"/>
                <w:color w:val="auto"/>
              </w:rPr>
            </w:pP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vMerge w:val="continue"/>
          </w:tcPr>
          <w:p>
            <w:pPr>
              <w:spacing w:after="0"/>
              <w:rPr>
                <w:sz w:val="4"/>
                <w:szCs w:val="4"/>
                <w:color w:val="auto"/>
              </w:rPr>
            </w:pPr>
          </w:p>
        </w:tc>
        <w:tc>
          <w:tcPr>
            <w:tcW w:w="74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tcPr>
          <w:p>
            <w:pPr>
              <w:ind w:left="20"/>
              <w:spacing w:after="0" w:line="54" w:lineRule="exact"/>
              <w:rPr>
                <w:sz w:val="20"/>
                <w:szCs w:val="20"/>
                <w:color w:val="auto"/>
              </w:rPr>
            </w:pPr>
            <w:r>
              <w:rPr>
                <w:rFonts w:ascii="Arial" w:cs="Arial" w:eastAsia="Arial" w:hAnsi="Arial"/>
                <w:sz w:val="6"/>
                <w:szCs w:val="6"/>
                <w:color w:val="auto"/>
              </w:rPr>
              <w:t>​ ​</w:t>
            </w:r>
          </w:p>
        </w:tc>
        <w:tc>
          <w:tcPr>
            <w:tcW w:w="220" w:type="dxa"/>
            <w:vAlign w:val="bottom"/>
            <w:tcBorders>
              <w:bottom w:val="single" w:sz="8" w:color="424E6A"/>
            </w:tcBorders>
          </w:tcPr>
          <w:p>
            <w:pPr>
              <w:ind w:left="80"/>
              <w:spacing w:after="0" w:line="54" w:lineRule="exact"/>
              <w:rPr>
                <w:sz w:val="20"/>
                <w:szCs w:val="20"/>
                <w:color w:val="auto"/>
              </w:rPr>
            </w:pPr>
            <w:r>
              <w:rPr>
                <w:rFonts w:ascii="Arial" w:cs="Arial" w:eastAsia="Arial" w:hAnsi="Arial"/>
                <w:sz w:val="6"/>
                <w:szCs w:val="6"/>
                <w:color w:val="auto"/>
              </w:rPr>
              <w:t>​ ​</w:t>
            </w: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vMerge w:val="continue"/>
          </w:tcPr>
          <w:p>
            <w:pPr>
              <w:spacing w:after="0"/>
              <w:rPr>
                <w:sz w:val="4"/>
                <w:szCs w:val="4"/>
                <w:color w:val="auto"/>
              </w:rPr>
            </w:pPr>
          </w:p>
        </w:tc>
        <w:tc>
          <w:tcPr>
            <w:tcW w:w="78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tcPr>
          <w:p>
            <w:pPr>
              <w:spacing w:after="0" w:line="54" w:lineRule="exact"/>
              <w:rPr>
                <w:sz w:val="20"/>
                <w:szCs w:val="20"/>
                <w:color w:val="auto"/>
              </w:rPr>
            </w:pPr>
            <w:r>
              <w:rPr>
                <w:rFonts w:ascii="Arial" w:cs="Arial" w:eastAsia="Arial" w:hAnsi="Arial"/>
                <w:sz w:val="6"/>
                <w:szCs w:val="6"/>
                <w:color w:val="auto"/>
              </w:rPr>
              <w:t>​ ​</w:t>
            </w: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tcPr>
          <w:p>
            <w:pPr>
              <w:ind w:left="120"/>
              <w:spacing w:after="0" w:line="54" w:lineRule="exact"/>
              <w:rPr>
                <w:sz w:val="20"/>
                <w:szCs w:val="20"/>
                <w:color w:val="auto"/>
              </w:rPr>
            </w:pPr>
            <w:r>
              <w:rPr>
                <w:rFonts w:ascii="Arial" w:cs="Arial" w:eastAsia="Arial" w:hAnsi="Arial"/>
                <w:sz w:val="6"/>
                <w:szCs w:val="6"/>
                <w:color w:val="auto"/>
              </w:rPr>
              <w:t>​</w:t>
            </w: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216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960" w:type="dxa"/>
            <w:vAlign w:val="bottom"/>
            <w:tcBorders>
              <w:bottom w:val="single" w:sz="8" w:color="D9DCE1"/>
              <w:right w:val="single" w:sz="8" w:color="424E6A"/>
            </w:tcBorders>
            <w:shd w:val="clear" w:color="auto" w:fill="D9DCE1"/>
          </w:tcPr>
          <w:p>
            <w:pPr>
              <w:ind w:left="8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22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4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9"/>
        </w:trPr>
        <w:tc>
          <w:tcPr>
            <w:tcW w:w="2160" w:type="dxa"/>
            <w:vAlign w:val="bottom"/>
            <w:tcBorders>
              <w:top w:val="single" w:sz="8" w:color="424E6A"/>
              <w:left w:val="single" w:sz="8" w:color="424E6A"/>
            </w:tcBorders>
          </w:tcPr>
          <w:p>
            <w:pPr>
              <w:ind w:left="60"/>
              <w:spacing w:after="0" w:line="169" w:lineRule="exact"/>
              <w:rPr>
                <w:sz w:val="20"/>
                <w:szCs w:val="20"/>
                <w:color w:val="auto"/>
              </w:rPr>
            </w:pPr>
            <w:r>
              <w:rPr>
                <w:rFonts w:ascii="Arial" w:cs="Arial" w:eastAsia="Arial" w:hAnsi="Arial"/>
                <w:sz w:val="18"/>
                <w:szCs w:val="18"/>
                <w:color w:val="auto"/>
              </w:rPr>
              <w:t>Jeremy Goebel</w:t>
            </w:r>
          </w:p>
        </w:tc>
        <w:tc>
          <w:tcPr>
            <w:tcW w:w="960" w:type="dxa"/>
            <w:vAlign w:val="bottom"/>
            <w:tcBorders>
              <w:top w:val="single" w:sz="8" w:color="424E6A"/>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24E6A"/>
            </w:tcBorders>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424E6A"/>
            </w:tcBorders>
          </w:tcPr>
          <w:p>
            <w:pPr>
              <w:jc w:val="right"/>
              <w:spacing w:after="0" w:line="169" w:lineRule="exact"/>
              <w:rPr>
                <w:sz w:val="20"/>
                <w:szCs w:val="20"/>
                <w:color w:val="auto"/>
              </w:rPr>
            </w:pPr>
            <w:r>
              <w:rPr>
                <w:rFonts w:ascii="Arial" w:cs="Arial" w:eastAsia="Arial" w:hAnsi="Arial"/>
                <w:sz w:val="15"/>
                <w:szCs w:val="15"/>
                <w:color w:val="auto"/>
              </w:rPr>
              <w:t>30,000</w:t>
            </w:r>
            <w:r>
              <w:rPr>
                <w:rFonts w:ascii="Arial" w:cs="Arial" w:eastAsia="Arial" w:hAnsi="Arial"/>
                <w:sz w:val="19"/>
                <w:szCs w:val="19"/>
                <w:color w:val="auto"/>
                <w:vertAlign w:val="superscript"/>
              </w:rPr>
              <w:t>(5)</w:t>
            </w:r>
          </w:p>
        </w:tc>
        <w:tc>
          <w:tcPr>
            <w:tcW w:w="18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424E6A"/>
            </w:tcBorders>
          </w:tcPr>
          <w:p>
            <w:pPr>
              <w:jc w:val="right"/>
              <w:spacing w:after="0" w:line="169" w:lineRule="exact"/>
              <w:rPr>
                <w:sz w:val="20"/>
                <w:szCs w:val="20"/>
                <w:color w:val="auto"/>
              </w:rPr>
            </w:pPr>
            <w:r>
              <w:rPr>
                <w:rFonts w:ascii="Arial" w:cs="Arial" w:eastAsia="Arial" w:hAnsi="Arial"/>
                <w:sz w:val="18"/>
                <w:szCs w:val="18"/>
                <w:color w:val="auto"/>
              </w:rPr>
              <w:t>352,800</w:t>
            </w:r>
          </w:p>
        </w:tc>
        <w:tc>
          <w:tcPr>
            <w:tcW w:w="1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24E6A"/>
            </w:tcBorders>
            <w:vMerge w:val="restart"/>
          </w:tcPr>
          <w:p>
            <w:pPr>
              <w:ind w:left="1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424E6A"/>
            </w:tcBorders>
          </w:tcPr>
          <w:p>
            <w:pPr>
              <w:jc w:val="right"/>
              <w:ind w:right="82"/>
              <w:spacing w:after="0" w:line="169"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424E6A"/>
            </w:tcBorders>
            <w:vMerge w:val="restart"/>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424E6A"/>
            </w:tcBorders>
          </w:tcPr>
          <w:p>
            <w:pPr>
              <w:jc w:val="right"/>
              <w:ind w:right="34"/>
              <w:spacing w:after="0" w:line="169"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tcPr>
          <w:p>
            <w:pPr>
              <w:ind w:left="40"/>
              <w:spacing w:after="0" w:line="54" w:lineRule="exact"/>
              <w:rPr>
                <w:sz w:val="20"/>
                <w:szCs w:val="20"/>
                <w:color w:val="auto"/>
              </w:rPr>
            </w:pPr>
            <w:r>
              <w:rPr>
                <w:rFonts w:ascii="Arial" w:cs="Arial" w:eastAsia="Arial" w:hAnsi="Arial"/>
                <w:sz w:val="6"/>
                <w:szCs w:val="6"/>
                <w:color w:val="auto"/>
              </w:rPr>
              <w:t>​</w:t>
            </w: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vMerge w:val="continue"/>
          </w:tcPr>
          <w:p>
            <w:pPr>
              <w:spacing w:after="0"/>
              <w:rPr>
                <w:sz w:val="4"/>
                <w:szCs w:val="4"/>
                <w:color w:val="auto"/>
              </w:rPr>
            </w:pPr>
          </w:p>
        </w:tc>
        <w:tc>
          <w:tcPr>
            <w:tcW w:w="74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vMerge w:val="continue"/>
          </w:tcPr>
          <w:p>
            <w:pPr>
              <w:spacing w:after="0"/>
              <w:rPr>
                <w:sz w:val="4"/>
                <w:szCs w:val="4"/>
                <w:color w:val="auto"/>
              </w:rPr>
            </w:pP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vMerge w:val="continue"/>
          </w:tcPr>
          <w:p>
            <w:pPr>
              <w:spacing w:after="0"/>
              <w:rPr>
                <w:sz w:val="4"/>
                <w:szCs w:val="4"/>
                <w:color w:val="auto"/>
              </w:rPr>
            </w:pPr>
          </w:p>
        </w:tc>
        <w:tc>
          <w:tcPr>
            <w:tcW w:w="78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vMerge w:val="continue"/>
          </w:tcPr>
          <w:p>
            <w:pPr>
              <w:spacing w:after="0"/>
              <w:rPr>
                <w:sz w:val="4"/>
                <w:szCs w:val="4"/>
                <w:color w:val="auto"/>
              </w:rPr>
            </w:pP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424E6A"/>
            </w:tcBorders>
          </w:tcPr>
          <w:p>
            <w:pPr>
              <w:jc w:val="right"/>
              <w:ind w:right="7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23" w:lineRule="exact"/>
              <w:rPr>
                <w:sz w:val="20"/>
                <w:szCs w:val="20"/>
                <w:color w:val="auto"/>
              </w:rPr>
            </w:pPr>
            <w:r>
              <w:rPr>
                <w:rFonts w:ascii="Arial" w:cs="Arial" w:eastAsia="Arial" w:hAnsi="Arial"/>
                <w:sz w:val="18"/>
                <w:szCs w:val="18"/>
                <w:color w:val="auto"/>
              </w:rPr>
              <w:t>​ 25,150</w:t>
            </w:r>
            <w:r>
              <w:rPr>
                <w:rFonts w:ascii="Arial" w:cs="Arial" w:eastAsia="Arial" w:hAnsi="Arial"/>
                <w:sz w:val="23"/>
                <w:szCs w:val="23"/>
                <w:color w:val="auto"/>
                <w:vertAlign w:val="superscript"/>
              </w:rPr>
              <w:t>(3)</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295,764</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16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250,000</w:t>
            </w:r>
            <w:r>
              <w:rPr>
                <w:rFonts w:ascii="Arial" w:cs="Arial" w:eastAsia="Arial" w:hAnsi="Arial"/>
                <w:sz w:val="19"/>
                <w:szCs w:val="19"/>
                <w:color w:val="auto"/>
                <w:vertAlign w:val="superscript"/>
              </w:rPr>
              <w:t>(4)</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2,940,000</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250,000</w:t>
            </w:r>
            <w:r>
              <w:rPr>
                <w:rFonts w:ascii="Arial" w:cs="Arial" w:eastAsia="Arial" w:hAnsi="Arial"/>
                <w:sz w:val="19"/>
                <w:szCs w:val="19"/>
                <w:color w:val="auto"/>
                <w:vertAlign w:val="superscript"/>
              </w:rPr>
              <w:t>(4)</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
              <w:spacing w:after="0" w:line="169" w:lineRule="exact"/>
              <w:rPr>
                <w:sz w:val="20"/>
                <w:szCs w:val="20"/>
                <w:color w:val="auto"/>
              </w:rPr>
            </w:pPr>
            <w:r>
              <w:rPr>
                <w:rFonts w:ascii="Arial" w:cs="Arial" w:eastAsia="Arial" w:hAnsi="Arial"/>
                <w:sz w:val="18"/>
                <w:szCs w:val="18"/>
                <w:color w:val="auto"/>
              </w:rPr>
              <w:t>2,940,000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vMerge w:val="continue"/>
          </w:tcPr>
          <w:p>
            <w:pPr>
              <w:spacing w:after="0"/>
              <w:rPr>
                <w:sz w:val="4"/>
                <w:szCs w:val="4"/>
                <w:color w:val="auto"/>
              </w:rPr>
            </w:pP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tcPr>
          <w:p>
            <w:pPr>
              <w:ind w:left="180"/>
              <w:spacing w:after="0" w:line="54" w:lineRule="exact"/>
              <w:rPr>
                <w:sz w:val="20"/>
                <w:szCs w:val="20"/>
                <w:color w:val="auto"/>
              </w:rPr>
            </w:pPr>
            <w:r>
              <w:rPr>
                <w:rFonts w:ascii="Arial" w:cs="Arial" w:eastAsia="Arial" w:hAnsi="Arial"/>
                <w:sz w:val="6"/>
                <w:szCs w:val="6"/>
                <w:color w:val="auto"/>
              </w:rPr>
              <w:t>​</w:t>
            </w:r>
          </w:p>
        </w:tc>
        <w:tc>
          <w:tcPr>
            <w:tcW w:w="74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tcPr>
          <w:p>
            <w:pPr>
              <w:ind w:left="80"/>
              <w:spacing w:after="0" w:line="54" w:lineRule="exact"/>
              <w:rPr>
                <w:sz w:val="20"/>
                <w:szCs w:val="20"/>
                <w:color w:val="auto"/>
              </w:rPr>
            </w:pPr>
            <w:r>
              <w:rPr>
                <w:rFonts w:ascii="Arial" w:cs="Arial" w:eastAsia="Arial" w:hAnsi="Arial"/>
                <w:sz w:val="6"/>
                <w:szCs w:val="6"/>
                <w:color w:val="auto"/>
              </w:rPr>
              <w:t>​ ​</w:t>
            </w: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tcPr>
          <w:p>
            <w:pPr>
              <w:ind w:left="160"/>
              <w:spacing w:after="0" w:line="54" w:lineRule="exact"/>
              <w:rPr>
                <w:sz w:val="20"/>
                <w:szCs w:val="20"/>
                <w:color w:val="auto"/>
              </w:rPr>
            </w:pPr>
            <w:r>
              <w:rPr>
                <w:rFonts w:ascii="Arial" w:cs="Arial" w:eastAsia="Arial" w:hAnsi="Arial"/>
                <w:sz w:val="6"/>
                <w:szCs w:val="6"/>
                <w:color w:val="auto"/>
              </w:rPr>
              <w:t>​</w:t>
            </w:r>
          </w:p>
        </w:tc>
        <w:tc>
          <w:tcPr>
            <w:tcW w:w="78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tcPr>
          <w:p>
            <w:pPr>
              <w:ind w:left="120"/>
              <w:spacing w:after="0" w:line="54" w:lineRule="exact"/>
              <w:rPr>
                <w:sz w:val="20"/>
                <w:szCs w:val="20"/>
                <w:color w:val="auto"/>
              </w:rPr>
            </w:pPr>
            <w:r>
              <w:rPr>
                <w:rFonts w:ascii="Arial" w:cs="Arial" w:eastAsia="Arial" w:hAnsi="Arial"/>
                <w:sz w:val="6"/>
                <w:szCs w:val="6"/>
                <w:color w:val="auto"/>
              </w:rPr>
              <w:t>​</w:t>
            </w: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18"/>
                <w:szCs w:val="18"/>
                <w:color w:val="auto"/>
              </w:rPr>
              <w:t>​ 75,190</w:t>
            </w:r>
            <w:r>
              <w:rPr>
                <w:rFonts w:ascii="Arial" w:cs="Arial" w:eastAsia="Arial" w:hAnsi="Arial"/>
                <w:sz w:val="23"/>
                <w:szCs w:val="23"/>
                <w:color w:val="auto"/>
                <w:vertAlign w:val="superscript"/>
              </w:rPr>
              <w:t>(6)</w:t>
            </w:r>
          </w:p>
        </w:tc>
        <w:tc>
          <w:tcPr>
            <w:tcW w:w="1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884,234</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23" w:lineRule="exact"/>
              <w:rPr>
                <w:sz w:val="20"/>
                <w:szCs w:val="20"/>
                <w:color w:val="auto"/>
              </w:rPr>
            </w:pPr>
            <w:r>
              <w:rPr>
                <w:rFonts w:ascii="Arial" w:cs="Arial" w:eastAsia="Arial" w:hAnsi="Arial"/>
                <w:sz w:val="18"/>
                <w:szCs w:val="18"/>
                <w:color w:val="auto"/>
              </w:rPr>
              <w:t>​ 75,190</w:t>
            </w:r>
            <w:r>
              <w:rPr>
                <w:rFonts w:ascii="Arial" w:cs="Arial" w:eastAsia="Arial" w:hAnsi="Arial"/>
                <w:sz w:val="23"/>
                <w:szCs w:val="23"/>
                <w:color w:val="auto"/>
                <w:vertAlign w:val="superscript"/>
              </w:rPr>
              <w:t>(7)</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884,234</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18"/>
                <w:szCs w:val="18"/>
                <w:color w:val="auto"/>
              </w:rPr>
              <w:t>​ 60,100</w:t>
            </w:r>
            <w:r>
              <w:rPr>
                <w:rFonts w:ascii="Arial" w:cs="Arial" w:eastAsia="Arial" w:hAnsi="Arial"/>
                <w:sz w:val="23"/>
                <w:szCs w:val="23"/>
                <w:color w:val="auto"/>
                <w:vertAlign w:val="superscript"/>
              </w:rPr>
              <w:t>(8)</w:t>
            </w:r>
          </w:p>
        </w:tc>
        <w:tc>
          <w:tcPr>
            <w:tcW w:w="1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706,776</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2"/>
          </w:tcPr>
          <w:p>
            <w:pPr>
              <w:ind w:left="160"/>
              <w:spacing w:after="0" w:line="223" w:lineRule="exact"/>
              <w:rPr>
                <w:sz w:val="20"/>
                <w:szCs w:val="20"/>
                <w:color w:val="auto"/>
              </w:rPr>
            </w:pPr>
            <w:r>
              <w:rPr>
                <w:rFonts w:ascii="Arial" w:cs="Arial" w:eastAsia="Arial" w:hAnsi="Arial"/>
                <w:sz w:val="18"/>
                <w:szCs w:val="18"/>
                <w:color w:val="auto"/>
              </w:rPr>
              <w:t>​ 60,100</w:t>
            </w:r>
            <w:r>
              <w:rPr>
                <w:rFonts w:ascii="Arial" w:cs="Arial" w:eastAsia="Arial" w:hAnsi="Arial"/>
                <w:sz w:val="23"/>
                <w:szCs w:val="23"/>
                <w:color w:val="auto"/>
                <w:vertAlign w:val="superscript"/>
              </w:rPr>
              <w:t>(9)</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4"/>
              <w:spacing w:after="0"/>
              <w:rPr>
                <w:sz w:val="20"/>
                <w:szCs w:val="20"/>
                <w:color w:val="auto"/>
              </w:rPr>
            </w:pPr>
            <w:r>
              <w:rPr>
                <w:rFonts w:ascii="Arial" w:cs="Arial" w:eastAsia="Arial" w:hAnsi="Arial"/>
                <w:sz w:val="18"/>
                <w:szCs w:val="18"/>
                <w:color w:val="auto"/>
              </w:rPr>
              <w:t>706,776</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16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424E6A"/>
            </w:tcBorders>
            <w:gridSpan w:val="2"/>
          </w:tcPr>
          <w:p>
            <w:pPr>
              <w:jc w:val="right"/>
              <w:ind w:right="40"/>
              <w:spacing w:after="0" w:line="169" w:lineRule="exact"/>
              <w:rPr>
                <w:sz w:val="20"/>
                <w:szCs w:val="20"/>
                <w:color w:val="auto"/>
              </w:rPr>
            </w:pPr>
            <w:r>
              <w:rPr>
                <w:rFonts w:ascii="Arial" w:cs="Arial" w:eastAsia="Arial" w:hAnsi="Arial"/>
                <w:sz w:val="15"/>
                <w:szCs w:val="15"/>
                <w:color w:val="auto"/>
              </w:rPr>
              <w:t>89,350</w:t>
            </w:r>
            <w:r>
              <w:rPr>
                <w:rFonts w:ascii="Arial" w:cs="Arial" w:eastAsia="Arial" w:hAnsi="Arial"/>
                <w:sz w:val="19"/>
                <w:szCs w:val="19"/>
                <w:color w:val="auto"/>
                <w:vertAlign w:val="superscript"/>
              </w:rPr>
              <w:t>(10)</w:t>
            </w:r>
          </w:p>
        </w:tc>
        <w:tc>
          <w:tcPr>
            <w:tcW w:w="9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1,050,756</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424E6A"/>
            </w:tcBorders>
            <w:gridSpan w:val="2"/>
          </w:tcPr>
          <w:p>
            <w:pPr>
              <w:jc w:val="right"/>
              <w:ind w:right="60"/>
              <w:spacing w:after="0" w:line="169" w:lineRule="exact"/>
              <w:rPr>
                <w:sz w:val="20"/>
                <w:szCs w:val="20"/>
                <w:color w:val="auto"/>
              </w:rPr>
            </w:pPr>
            <w:r>
              <w:rPr>
                <w:rFonts w:ascii="Arial" w:cs="Arial" w:eastAsia="Arial" w:hAnsi="Arial"/>
                <w:sz w:val="15"/>
                <w:szCs w:val="15"/>
                <w:color w:val="auto"/>
              </w:rPr>
              <w:t>89,350</w:t>
            </w:r>
            <w:r>
              <w:rPr>
                <w:rFonts w:ascii="Arial" w:cs="Arial" w:eastAsia="Arial" w:hAnsi="Arial"/>
                <w:sz w:val="19"/>
                <w:szCs w:val="19"/>
                <w:color w:val="auto"/>
                <w:vertAlign w:val="superscript"/>
              </w:rPr>
              <w:t>(11)</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
              <w:spacing w:after="0" w:line="169" w:lineRule="exact"/>
              <w:rPr>
                <w:sz w:val="20"/>
                <w:szCs w:val="20"/>
                <w:color w:val="auto"/>
              </w:rPr>
            </w:pPr>
            <w:r>
              <w:rPr>
                <w:rFonts w:ascii="Arial" w:cs="Arial" w:eastAsia="Arial" w:hAnsi="Arial"/>
                <w:sz w:val="18"/>
                <w:szCs w:val="18"/>
                <w:color w:val="auto"/>
              </w:rPr>
              <w:t>1,050,756</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vMerge w:val="continue"/>
          </w:tcPr>
          <w:p>
            <w:pPr>
              <w:spacing w:after="0"/>
              <w:rPr>
                <w:sz w:val="4"/>
                <w:szCs w:val="4"/>
                <w:color w:val="auto"/>
              </w:rPr>
            </w:pP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vMerge w:val="continue"/>
          </w:tcPr>
          <w:p>
            <w:pPr>
              <w:spacing w:after="0"/>
              <w:rPr>
                <w:sz w:val="4"/>
                <w:szCs w:val="4"/>
                <w:color w:val="auto"/>
              </w:rPr>
            </w:pPr>
          </w:p>
        </w:tc>
        <w:tc>
          <w:tcPr>
            <w:tcW w:w="74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tcPr>
          <w:p>
            <w:pPr>
              <w:ind w:left="20"/>
              <w:spacing w:after="0" w:line="54" w:lineRule="exact"/>
              <w:rPr>
                <w:sz w:val="20"/>
                <w:szCs w:val="20"/>
                <w:color w:val="auto"/>
              </w:rPr>
            </w:pPr>
            <w:r>
              <w:rPr>
                <w:rFonts w:ascii="Arial" w:cs="Arial" w:eastAsia="Arial" w:hAnsi="Arial"/>
                <w:sz w:val="6"/>
                <w:szCs w:val="6"/>
                <w:color w:val="auto"/>
              </w:rPr>
              <w:t>​ ​</w:t>
            </w:r>
          </w:p>
        </w:tc>
        <w:tc>
          <w:tcPr>
            <w:tcW w:w="220" w:type="dxa"/>
            <w:vAlign w:val="bottom"/>
            <w:tcBorders>
              <w:bottom w:val="single" w:sz="8" w:color="424E6A"/>
            </w:tcBorders>
          </w:tcPr>
          <w:p>
            <w:pPr>
              <w:ind w:left="80"/>
              <w:spacing w:after="0" w:line="54" w:lineRule="exact"/>
              <w:rPr>
                <w:sz w:val="20"/>
                <w:szCs w:val="20"/>
                <w:color w:val="auto"/>
              </w:rPr>
            </w:pPr>
            <w:r>
              <w:rPr>
                <w:rFonts w:ascii="Arial" w:cs="Arial" w:eastAsia="Arial" w:hAnsi="Arial"/>
                <w:sz w:val="6"/>
                <w:szCs w:val="6"/>
                <w:color w:val="auto"/>
              </w:rPr>
              <w:t>​ ​</w:t>
            </w: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vMerge w:val="continue"/>
          </w:tcPr>
          <w:p>
            <w:pPr>
              <w:spacing w:after="0"/>
              <w:rPr>
                <w:sz w:val="4"/>
                <w:szCs w:val="4"/>
                <w:color w:val="auto"/>
              </w:rPr>
            </w:pPr>
          </w:p>
        </w:tc>
        <w:tc>
          <w:tcPr>
            <w:tcW w:w="78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tcPr>
          <w:p>
            <w:pPr>
              <w:spacing w:after="0" w:line="54" w:lineRule="exact"/>
              <w:rPr>
                <w:sz w:val="20"/>
                <w:szCs w:val="20"/>
                <w:color w:val="auto"/>
              </w:rPr>
            </w:pPr>
            <w:r>
              <w:rPr>
                <w:rFonts w:ascii="Arial" w:cs="Arial" w:eastAsia="Arial" w:hAnsi="Arial"/>
                <w:sz w:val="6"/>
                <w:szCs w:val="6"/>
                <w:color w:val="auto"/>
              </w:rPr>
              <w:t>​ ​</w:t>
            </w: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tcPr>
          <w:p>
            <w:pPr>
              <w:ind w:left="120"/>
              <w:spacing w:after="0" w:line="54" w:lineRule="exact"/>
              <w:rPr>
                <w:sz w:val="20"/>
                <w:szCs w:val="20"/>
                <w:color w:val="auto"/>
              </w:rPr>
            </w:pPr>
            <w:r>
              <w:rPr>
                <w:rFonts w:ascii="Arial" w:cs="Arial" w:eastAsia="Arial" w:hAnsi="Arial"/>
                <w:sz w:val="6"/>
                <w:szCs w:val="6"/>
                <w:color w:val="auto"/>
              </w:rPr>
              <w:t>​</w:t>
            </w: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-5965825</wp:posOffset>
            </wp:positionV>
            <wp:extent cx="26035" cy="11658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035" cy="1165860"/>
                    </a:xfrm>
                    <a:prstGeom prst="rect">
                      <a:avLst/>
                    </a:prstGeom>
                    <a:noFill/>
                  </pic:spPr>
                </pic:pic>
              </a:graphicData>
            </a:graphic>
          </wp:anchor>
        </w:drawing>
      </w:r>
    </w:p>
    <w:p>
      <w:pPr>
        <w:spacing w:after="0" w:line="42" w:lineRule="exact"/>
        <w:rPr>
          <w:sz w:val="20"/>
          <w:szCs w:val="20"/>
          <w:color w:val="auto"/>
        </w:rPr>
      </w:pPr>
    </w:p>
    <w:p>
      <w:pPr>
        <w:ind w:left="1620" w:right="579" w:hanging="360"/>
        <w:spacing w:after="0" w:line="228" w:lineRule="auto"/>
        <w:tabs>
          <w:tab w:leader="none" w:pos="16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Market value of phantom units reported in these columns is calculated by multiplying the closing market price ($11.76) of PAA’s common units at December 30, 2022 (the last trading day of the fiscal year) by the number of units. No discount is applied for remaining performance threshold or service period requirements.</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19" w:hanging="360"/>
        <w:spacing w:after="0" w:line="245" w:lineRule="auto"/>
        <w:tabs>
          <w:tab w:leader="none" w:pos="162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Represents phantom units granted to Mr. Chiang in August 2018. These phantom units, which were granted in connection with Mr. Chiang’s promotion to CEO, will vest as follows: (i) 25% will vest upon the later of October 1, 2023 and the first distribution date on which PAA will have generated DCF per common unit of at least $3.00 on a trailing four quarter basis, and (ii) 75% will vest upon the later of October 1, 2023 and the first distribution date on which PAA will have generated DCF per common unit of at least $3.50 on a trailing four quarter basis, in both cases with the initial performance-related measurement period beginning on or after January 1, 2021. Upon vesting, the phantom units are payable on a one-for-one basis in PAA common units. Any phantom units or DERs that have not vested by October 1, 2025 will expire at that time. The phantom units have associated DERs that have vested or will vest as follows: (i) one-third vested on the May 2019 distribution date as a result of PAA generating DCF per common unit of at least $2.50 on a trailing four quarter basis, (ii) one-third will vest on the first distribution date on which PAA generates DCF per common unit of at least $2.60 on a trailing four quarter basis, and (iii) one-third will vest on the first distribution date on which PAA generates DCF per common unit of at least $2.80 on a trailing four quarter basis; provided that in the case of the performance thresholds described in clauses (ii) and (iii) immediately preceding, the applicable trailing four quarter period must begin on or after January 1, 2020.</w:t>
      </w:r>
    </w:p>
    <w:p>
      <w:pPr>
        <w:spacing w:after="0" w:line="55" w:lineRule="exact"/>
        <w:rPr>
          <w:rFonts w:ascii="Arial" w:cs="Arial" w:eastAsia="Arial" w:hAnsi="Arial"/>
          <w:sz w:val="27"/>
          <w:szCs w:val="27"/>
          <w:color w:val="auto"/>
          <w:vertAlign w:val="superscript"/>
        </w:rPr>
      </w:pPr>
    </w:p>
    <w:p>
      <w:pPr>
        <w:ind w:left="1620" w:right="439" w:hanging="360"/>
        <w:spacing w:after="0" w:line="238" w:lineRule="auto"/>
        <w:tabs>
          <w:tab w:leader="none" w:pos="162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2019 that will vest on the first distribution date following PAA’s achievement of DCF per common unit of at least $2.65 on a trailing four quarter basis. The applicable trailing four quarter period for determining whether the requisite DCF per common unit has been achieved for vesting of such phantom units may not begin until after December 31, 2020. The associated DERs will vest on the first distribution date following January 1, 2021 on which PAA achieves DCF per common unit of at least $2.50 on a trailing four quarter basis. Any phantom units and associated DERs that have not vested by the August 2024 distribution date will expire at that time.</w:t>
      </w:r>
    </w:p>
    <w:p>
      <w:pPr>
        <w:spacing w:after="0" w:line="50" w:lineRule="exact"/>
        <w:rPr>
          <w:rFonts w:ascii="Arial" w:cs="Arial" w:eastAsia="Arial" w:hAnsi="Arial"/>
          <w:sz w:val="27"/>
          <w:szCs w:val="27"/>
          <w:color w:val="auto"/>
          <w:vertAlign w:val="superscript"/>
        </w:rPr>
      </w:pPr>
    </w:p>
    <w:p>
      <w:pPr>
        <w:ind w:left="1620" w:right="419" w:hanging="360"/>
        <w:spacing w:after="0" w:line="259" w:lineRule="auto"/>
        <w:tabs>
          <w:tab w:leader="none" w:pos="1620" w:val="left"/>
        </w:tabs>
        <w:numPr>
          <w:ilvl w:val="0"/>
          <w:numId w:val="63"/>
        </w:numPr>
        <w:rPr>
          <w:rFonts w:ascii="Arial" w:cs="Arial" w:eastAsia="Arial" w:hAnsi="Arial"/>
          <w:sz w:val="26"/>
          <w:szCs w:val="26"/>
          <w:color w:val="auto"/>
          <w:vertAlign w:val="superscript"/>
        </w:rPr>
      </w:pPr>
      <w:r>
        <w:rPr>
          <w:rFonts w:ascii="Arial" w:cs="Arial" w:eastAsia="Arial" w:hAnsi="Arial"/>
          <w:sz w:val="17"/>
          <w:szCs w:val="17"/>
          <w:color w:val="auto"/>
        </w:rPr>
        <w:t>Represents the applicable portion of one-time special retention phantom unit awards granted in November 2019. The original terms of these phantom units provided that they would vest (i) 50% on the August 2026 distribution date, (ii) 25% on the later of the August 2026 distribution date and the first distribution date following PAA’s achievement of DCF per common unit and CUE of at least $2.80 on a trailing four quarter basis, and (iii) 25% on the later of the August 2026 distribution date and the first distribution date following PAA’s achievement of DCF per common unit and CUE of at least $3.15 on a trailing four quarter basis. Vesting of a portion of the associated DERs was also tied to PAA’s achievement of specified DCF per common unit and CUE levels. The vesting terms with respect to the performance-based portion of these phantom units (50% of the amount awarded) were amended in February 2022. As amended, the November 2019 phantom unit awards will vest as follows: (i) 50% will vest on the August 2026 distribution date (this is unchanged from the original terms), and (ii) up to 50% will potentially vest at a scaled payout range of between 0% and 100% based on the TSR ranking of PAA relative to a designated comparator group as measured over a four and one-half year period beginning on January 1, 2022 and ending on June 30, 2026. The unvested DERs associated with the November 2019 phantom unit awards that were originally tied to achievement of DCF/CUE targets were also amended such that they began accruing on January 1, 2022 and will be paid in cash in a lump sum on the August 2026 distribution date with respect to the number of phantom units, if any, that vest on such date.</w:t>
      </w:r>
    </w:p>
    <w:p>
      <w:pPr>
        <w:spacing w:after="0" w:line="46" w:lineRule="exact"/>
        <w:rPr>
          <w:rFonts w:ascii="Arial" w:cs="Arial" w:eastAsia="Arial" w:hAnsi="Arial"/>
          <w:sz w:val="26"/>
          <w:szCs w:val="26"/>
          <w:color w:val="auto"/>
          <w:vertAlign w:val="superscript"/>
        </w:rPr>
      </w:pPr>
    </w:p>
    <w:p>
      <w:pPr>
        <w:ind w:left="1620" w:right="959" w:hanging="360"/>
        <w:spacing w:after="0" w:line="210" w:lineRule="auto"/>
        <w:tabs>
          <w:tab w:leader="none" w:pos="162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Represents the unvested portion of phantom units granted to Mr. Goebel in December 2017. These phantom units vested on January 1, 2023.</w:t>
      </w:r>
    </w:p>
    <w:p>
      <w:pPr>
        <w:spacing w:after="0" w:line="46" w:lineRule="exact"/>
        <w:rPr>
          <w:rFonts w:ascii="Arial" w:cs="Arial" w:eastAsia="Arial" w:hAnsi="Arial"/>
          <w:sz w:val="27"/>
          <w:szCs w:val="27"/>
          <w:color w:val="auto"/>
          <w:vertAlign w:val="superscript"/>
        </w:rPr>
      </w:pPr>
    </w:p>
    <w:p>
      <w:pPr>
        <w:ind w:left="1620" w:right="779" w:hanging="360"/>
        <w:spacing w:after="0" w:line="222" w:lineRule="auto"/>
        <w:tabs>
          <w:tab w:leader="none" w:pos="162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2020 that will vest on the August 2023 distribution date. The associated DERs are paid quarterly in cash on each distribution payment date.</w:t>
      </w:r>
    </w:p>
    <w:p>
      <w:pPr>
        <w:ind w:left="1620" w:hanging="360"/>
        <w:spacing w:after="0" w:line="225" w:lineRule="auto"/>
        <w:tabs>
          <w:tab w:leader="none" w:pos="162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2020 that will potentially vest on the</w:t>
      </w:r>
    </w:p>
    <w:p>
      <w:pPr>
        <w:spacing w:after="0" w:line="1" w:lineRule="exact"/>
        <w:rPr>
          <w:rFonts w:ascii="Arial" w:cs="Arial" w:eastAsia="Arial" w:hAnsi="Arial"/>
          <w:sz w:val="27"/>
          <w:szCs w:val="27"/>
          <w:color w:val="auto"/>
          <w:vertAlign w:val="superscript"/>
        </w:rPr>
      </w:pPr>
    </w:p>
    <w:p>
      <w:pPr>
        <w:ind w:left="1620" w:right="439"/>
        <w:spacing w:after="0" w:line="254" w:lineRule="auto"/>
        <w:rPr>
          <w:rFonts w:ascii="Arial" w:cs="Arial" w:eastAsia="Arial" w:hAnsi="Arial"/>
          <w:sz w:val="27"/>
          <w:szCs w:val="27"/>
          <w:color w:val="auto"/>
          <w:vertAlign w:val="superscript"/>
        </w:rPr>
      </w:pPr>
      <w:r>
        <w:rPr>
          <w:rFonts w:ascii="Arial" w:cs="Arial" w:eastAsia="Arial" w:hAnsi="Arial"/>
          <w:sz w:val="18"/>
          <w:szCs w:val="18"/>
          <w:color w:val="auto"/>
        </w:rPr>
        <w:t>August 2023 distribution date at a scaled payout range of between 0% and 200% based on: (i) with respect to 25% of the August 2020 award, PAA’s TSR over the three-year period ending June 30, 2023 compared to the TSR of the TSR Comparator Peer Group (payout may be reduced if absolute TSR is negative); and (ii) with respect to the other 25% of the August 2020 award, PAA achieving cumulative DCF per CUE of $6.00 over the three-year period ending June 30, 2023</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39"/>
        <w:spacing w:after="0" w:line="270" w:lineRule="auto"/>
        <w:rPr>
          <w:sz w:val="20"/>
          <w:szCs w:val="20"/>
          <w:color w:val="auto"/>
        </w:rPr>
      </w:pPr>
      <w:r>
        <w:rPr>
          <w:rFonts w:ascii="Arial" w:cs="Arial" w:eastAsia="Arial" w:hAnsi="Arial"/>
          <w:sz w:val="18"/>
          <w:szCs w:val="18"/>
          <w:color w:val="auto"/>
        </w:rPr>
        <w:t>(payout may be decreased or increased by 50 gross percentage points (but not above 200%) based on PAA’s leverage ratio as of June 30, 2023 compared to the target leverage ratio set forth in PAA’s multi-year plan as of August 2020). DERs will accrue during the three-year vesting period and be paid in cash in a lump sum on the August 2023 distribution date with respect to the number of phantom units, if any, that vest on such date. Any phantom units and associated DERs that have not vested by the August 2023 distribution date will expire at that time.</w:t>
      </w:r>
    </w:p>
    <w:p>
      <w:pPr>
        <w:spacing w:after="0" w:line="47" w:lineRule="exact"/>
        <w:rPr>
          <w:sz w:val="20"/>
          <w:szCs w:val="20"/>
          <w:color w:val="auto"/>
        </w:rPr>
      </w:pPr>
    </w:p>
    <w:p>
      <w:pPr>
        <w:ind w:left="1620" w:right="499" w:hanging="360"/>
        <w:spacing w:after="0" w:line="228" w:lineRule="auto"/>
        <w:tabs>
          <w:tab w:leader="none" w:pos="1620"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2021 that will vest on the August 2024 distribution date. The associated DERs accrued for the first year and such accrued amount was paid in cash in a lump sum on the August 2022 distribution date; beginning in November 2022, the associated DERs began being paid quarterly in cash on each distribution payment date.</w:t>
      </w:r>
    </w:p>
    <w:p>
      <w:pPr>
        <w:spacing w:after="0" w:line="2" w:lineRule="exact"/>
        <w:rPr>
          <w:rFonts w:ascii="Arial" w:cs="Arial" w:eastAsia="Arial" w:hAnsi="Arial"/>
          <w:sz w:val="27"/>
          <w:szCs w:val="27"/>
          <w:color w:val="auto"/>
          <w:vertAlign w:val="superscript"/>
        </w:rPr>
      </w:pPr>
    </w:p>
    <w:p>
      <w:pPr>
        <w:ind w:left="1620" w:hanging="360"/>
        <w:spacing w:after="0" w:line="236" w:lineRule="auto"/>
        <w:tabs>
          <w:tab w:leader="none" w:pos="1620"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2021 that will potentially vest on the</w:t>
      </w:r>
    </w:p>
    <w:p>
      <w:pPr>
        <w:ind w:left="1620" w:right="439"/>
        <w:spacing w:after="0" w:line="252" w:lineRule="auto"/>
        <w:rPr>
          <w:rFonts w:ascii="Arial" w:cs="Arial" w:eastAsia="Arial" w:hAnsi="Arial"/>
          <w:sz w:val="27"/>
          <w:szCs w:val="27"/>
          <w:color w:val="auto"/>
          <w:vertAlign w:val="superscript"/>
        </w:rPr>
      </w:pPr>
      <w:r>
        <w:rPr>
          <w:rFonts w:ascii="Arial" w:cs="Arial" w:eastAsia="Arial" w:hAnsi="Arial"/>
          <w:sz w:val="18"/>
          <w:szCs w:val="18"/>
          <w:color w:val="auto"/>
        </w:rPr>
        <w:t>August 2024 distribution date at a scaled payout range of between 0% and 200% based on: (i) with respect to 25% of the August 2021 award, PAA’s TSR over the three-year period ending June 30, 2024 compared to the TSR of the TSR Comparator Peer Group (payout may be reduced if absolute TSR is negative); and (ii) with respect to the other 25% of the August 2021 award, PAA achieving cumulative DCF per CUE of $6.00 over the three-year period ending June 30, 2024 (payout may be decreased or increased by 50 gross percentage points (but not above 200%) based on PAA’s leverage ratio as of June 30, 2024 compared to the target leverage ratio set forth in PAA’s multi-year plan as of August 2021). DERs will accrue during the three-year performance period and be paid in cash in a lump sum on the August 2024 distribution date with respect to the number of phantom units, if any, that vest on such date. Any phantom units and associated DERs that have not vested by the August 2024 distribution date will expire at that time.</w:t>
      </w:r>
    </w:p>
    <w:p>
      <w:pPr>
        <w:spacing w:after="0" w:line="61" w:lineRule="exact"/>
        <w:rPr>
          <w:rFonts w:ascii="Arial" w:cs="Arial" w:eastAsia="Arial" w:hAnsi="Arial"/>
          <w:sz w:val="27"/>
          <w:szCs w:val="27"/>
          <w:color w:val="auto"/>
          <w:vertAlign w:val="superscript"/>
        </w:rPr>
      </w:pPr>
    </w:p>
    <w:p>
      <w:pPr>
        <w:ind w:left="1620" w:right="539" w:hanging="360"/>
        <w:spacing w:after="0" w:line="228" w:lineRule="auto"/>
        <w:tabs>
          <w:tab w:leader="none" w:pos="1620"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2022 that will vest on the August 2025 distribution date. The associated DERs will accrue for the first year and such accrued amount will be paid in cash in a lump sum on the August 2023 distribution date; beginning in November 2023, the associated DERs will be paid quarterly in cash on each distribution payment date.</w:t>
      </w:r>
    </w:p>
    <w:p>
      <w:pPr>
        <w:spacing w:after="0" w:line="2" w:lineRule="exact"/>
        <w:rPr>
          <w:rFonts w:ascii="Arial" w:cs="Arial" w:eastAsia="Arial" w:hAnsi="Arial"/>
          <w:sz w:val="27"/>
          <w:szCs w:val="27"/>
          <w:color w:val="auto"/>
          <w:vertAlign w:val="superscript"/>
        </w:rPr>
      </w:pPr>
    </w:p>
    <w:p>
      <w:pPr>
        <w:ind w:left="1620" w:hanging="360"/>
        <w:spacing w:after="0" w:line="236" w:lineRule="auto"/>
        <w:tabs>
          <w:tab w:leader="none" w:pos="1620"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2022 that will potentially vest on the</w:t>
      </w:r>
    </w:p>
    <w:p>
      <w:pPr>
        <w:ind w:left="1620" w:right="439"/>
        <w:spacing w:after="0" w:line="252" w:lineRule="auto"/>
        <w:rPr>
          <w:rFonts w:ascii="Arial" w:cs="Arial" w:eastAsia="Arial" w:hAnsi="Arial"/>
          <w:sz w:val="27"/>
          <w:szCs w:val="27"/>
          <w:color w:val="auto"/>
          <w:vertAlign w:val="superscript"/>
        </w:rPr>
      </w:pPr>
      <w:r>
        <w:rPr>
          <w:rFonts w:ascii="Arial" w:cs="Arial" w:eastAsia="Arial" w:hAnsi="Arial"/>
          <w:sz w:val="18"/>
          <w:szCs w:val="18"/>
          <w:color w:val="auto"/>
        </w:rPr>
        <w:t>August 2025 distribution date at a scaled payout range of between 0% and 200% based on: (i) with respect to 25% of the August 2022 award, PAA’s TSR over the three-year period ending June 30, 2025 compared to the TSR of the TSR Comparator Peer Group (payout may be reduced if absolute TSR is negative); and (ii) with respect to the other 25% of the August 2022 award, PAA achieving cumulative DCF per CUE of $7.05 over the three-year period ending June 30, 2025 (payout may be decreased by 25 basis points if PAA’s leverage ratio as of June 30, 2025 is greater than 3.5x). DERs will accrue during the three-year performance period and be paid in cash in a lump sum on the August 2025 distribution date with respect to the number of phantom units, if any, that vest on such date. Any phantom units and associated DERs that have not vested by the August 2025 distribution date will expire at that time.</w:t>
      </w:r>
    </w:p>
    <w:p>
      <w:pPr>
        <w:spacing w:after="0" w:line="2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Exercises and Units Vested</w:t>
      </w:r>
    </w:p>
    <w:p>
      <w:pPr>
        <w:spacing w:after="0" w:line="212" w:lineRule="exact"/>
        <w:rPr>
          <w:sz w:val="20"/>
          <w:szCs w:val="20"/>
          <w:color w:val="auto"/>
        </w:rPr>
      </w:pPr>
    </w:p>
    <w:p>
      <w:pPr>
        <w:ind w:left="1260" w:right="539" w:firstLine="360"/>
        <w:spacing w:after="0" w:line="273" w:lineRule="auto"/>
        <w:rPr>
          <w:sz w:val="20"/>
          <w:szCs w:val="20"/>
          <w:color w:val="auto"/>
        </w:rPr>
      </w:pPr>
      <w:r>
        <w:rPr>
          <w:rFonts w:ascii="Arial" w:cs="Arial" w:eastAsia="Arial" w:hAnsi="Arial"/>
          <w:sz w:val="18"/>
          <w:szCs w:val="18"/>
          <w:color w:val="auto"/>
        </w:rPr>
        <w:t>We have never issued options under our long-term incentive plan; all of the grants awarded under our long-term incentive plan have been phantom unit grants. The following table sets forth certain information regarding the vesting of phantom units during the fiscal year ended December 31, 2022 with respect to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270" w:type="dxa"/>
        <w:tblCellMar>
          <w:top w:w="0" w:type="dxa"/>
          <w:left w:w="0" w:type="dxa"/>
          <w:bottom w:w="0" w:type="dxa"/>
          <w:right w:w="0" w:type="dxa"/>
        </w:tblCellMar>
      </w:tblPr>
      <w:tr>
        <w:trPr>
          <w:trHeight w:val="250"/>
        </w:trPr>
        <w:tc>
          <w:tcPr>
            <w:tcW w:w="3440" w:type="dxa"/>
            <w:vAlign w:val="bottom"/>
            <w:tcBorders>
              <w:left w:val="single" w:sz="8" w:color="424E6A"/>
              <w:bottom w:val="single" w:sz="8" w:color="424E6A"/>
            </w:tcBorders>
            <w:shd w:val="clear" w:color="auto" w:fill="424E6A"/>
          </w:tcPr>
          <w:p>
            <w:pPr>
              <w:spacing w:after="0"/>
              <w:rPr>
                <w:sz w:val="21"/>
                <w:szCs w:val="21"/>
                <w:color w:val="auto"/>
              </w:rPr>
            </w:pPr>
          </w:p>
        </w:tc>
        <w:tc>
          <w:tcPr>
            <w:tcW w:w="2200" w:type="dxa"/>
            <w:vAlign w:val="bottom"/>
            <w:tcBorders>
              <w:bottom w:val="single" w:sz="8" w:color="424E6A"/>
              <w:right w:val="single" w:sz="8" w:color="424E6A"/>
            </w:tcBorders>
            <w:shd w:val="clear" w:color="auto" w:fill="424E6A"/>
          </w:tcPr>
          <w:p>
            <w:pPr>
              <w:spacing w:after="0"/>
              <w:rPr>
                <w:sz w:val="21"/>
                <w:szCs w:val="21"/>
                <w:color w:val="auto"/>
              </w:rPr>
            </w:pPr>
          </w:p>
        </w:tc>
        <w:tc>
          <w:tcPr>
            <w:tcW w:w="100" w:type="dxa"/>
            <w:vAlign w:val="bottom"/>
            <w:tcBorders>
              <w:bottom w:val="single" w:sz="8" w:color="auto"/>
            </w:tcBorders>
            <w:shd w:val="clear" w:color="auto" w:fill="424E6A"/>
          </w:tcPr>
          <w:p>
            <w:pPr>
              <w:spacing w:after="0"/>
              <w:rPr>
                <w:sz w:val="21"/>
                <w:szCs w:val="21"/>
                <w:color w:val="auto"/>
              </w:rPr>
            </w:pPr>
          </w:p>
        </w:tc>
        <w:tc>
          <w:tcPr>
            <w:tcW w:w="500" w:type="dxa"/>
            <w:vAlign w:val="bottom"/>
            <w:tcBorders>
              <w:bottom w:val="single" w:sz="8" w:color="auto"/>
            </w:tcBorders>
            <w:shd w:val="clear" w:color="auto" w:fill="424E6A"/>
          </w:tcPr>
          <w:p>
            <w:pPr>
              <w:spacing w:after="0"/>
              <w:rPr>
                <w:sz w:val="21"/>
                <w:szCs w:val="21"/>
                <w:color w:val="auto"/>
              </w:rPr>
            </w:pPr>
          </w:p>
        </w:tc>
        <w:tc>
          <w:tcPr>
            <w:tcW w:w="1200" w:type="dxa"/>
            <w:vAlign w:val="bottom"/>
            <w:tcBorders>
              <w:bottom w:val="single" w:sz="8" w:color="auto"/>
            </w:tcBorders>
            <w:gridSpan w:val="4"/>
            <w:shd w:val="clear" w:color="auto" w:fill="424E6A"/>
          </w:tcPr>
          <w:p>
            <w:pPr>
              <w:ind w:left="280"/>
              <w:spacing w:after="0"/>
              <w:rPr>
                <w:sz w:val="20"/>
                <w:szCs w:val="20"/>
                <w:color w:val="auto"/>
              </w:rPr>
            </w:pPr>
            <w:r>
              <w:rPr>
                <w:rFonts w:ascii="Arial" w:cs="Arial" w:eastAsia="Arial" w:hAnsi="Arial"/>
                <w:sz w:val="14"/>
                <w:szCs w:val="14"/>
                <w:b w:val="1"/>
                <w:bCs w:val="1"/>
                <w:color w:val="FFFFFF"/>
              </w:rPr>
              <w:t>Unit Awards</w:t>
            </w:r>
          </w:p>
        </w:tc>
        <w:tc>
          <w:tcPr>
            <w:tcW w:w="680" w:type="dxa"/>
            <w:vAlign w:val="bottom"/>
            <w:tcBorders>
              <w:bottom w:val="single" w:sz="8" w:color="auto"/>
            </w:tcBorders>
            <w:shd w:val="clear" w:color="auto" w:fill="424E6A"/>
          </w:tcPr>
          <w:p>
            <w:pPr>
              <w:spacing w:after="0"/>
              <w:rPr>
                <w:sz w:val="21"/>
                <w:szCs w:val="21"/>
                <w:color w:val="auto"/>
              </w:rPr>
            </w:pPr>
          </w:p>
        </w:tc>
        <w:tc>
          <w:tcPr>
            <w:tcW w:w="100" w:type="dxa"/>
            <w:vAlign w:val="bottom"/>
            <w:tcBorders>
              <w:bottom w:val="single" w:sz="8" w:color="auto"/>
              <w:right w:val="single" w:sz="8" w:color="424E6A"/>
            </w:tcBorders>
            <w:shd w:val="clear" w:color="auto" w:fill="424E6A"/>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440" w:type="dxa"/>
            <w:vAlign w:val="bottom"/>
            <w:tcBorders>
              <w:left w:val="single" w:sz="8" w:color="424E6A"/>
            </w:tcBorders>
            <w:shd w:val="clear" w:color="auto" w:fill="424E6A"/>
          </w:tcPr>
          <w:p>
            <w:pPr>
              <w:spacing w:after="0"/>
              <w:rPr>
                <w:sz w:val="15"/>
                <w:szCs w:val="15"/>
                <w:color w:val="auto"/>
              </w:rPr>
            </w:pPr>
          </w:p>
        </w:tc>
        <w:tc>
          <w:tcPr>
            <w:tcW w:w="2200" w:type="dxa"/>
            <w:vAlign w:val="bottom"/>
            <w:tcBorders>
              <w:right w:val="single" w:sz="8" w:color="424E6A"/>
            </w:tcBorders>
            <w:shd w:val="clear" w:color="auto" w:fill="424E6A"/>
          </w:tcPr>
          <w:p>
            <w:pPr>
              <w:spacing w:after="0"/>
              <w:rPr>
                <w:sz w:val="15"/>
                <w:szCs w:val="15"/>
                <w:color w:val="auto"/>
              </w:rPr>
            </w:pPr>
          </w:p>
        </w:tc>
        <w:tc>
          <w:tcPr>
            <w:tcW w:w="100" w:type="dxa"/>
            <w:vAlign w:val="bottom"/>
            <w:shd w:val="clear" w:color="auto" w:fill="424E6A"/>
          </w:tcPr>
          <w:p>
            <w:pPr>
              <w:spacing w:after="0"/>
              <w:rPr>
                <w:sz w:val="15"/>
                <w:szCs w:val="15"/>
                <w:color w:val="auto"/>
              </w:rPr>
            </w:pPr>
          </w:p>
        </w:tc>
        <w:tc>
          <w:tcPr>
            <w:tcW w:w="11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 Units</w:t>
            </w:r>
          </w:p>
        </w:tc>
        <w:tc>
          <w:tcPr>
            <w:tcW w:w="140" w:type="dxa"/>
            <w:vAlign w:val="bottom"/>
            <w:tcBorders>
              <w:right w:val="single" w:sz="8" w:color="424E6A"/>
            </w:tcBorders>
            <w:shd w:val="clear" w:color="auto" w:fill="424E6A"/>
          </w:tcPr>
          <w:p>
            <w:pPr>
              <w:spacing w:after="0"/>
              <w:rPr>
                <w:sz w:val="15"/>
                <w:szCs w:val="15"/>
                <w:color w:val="auto"/>
              </w:rPr>
            </w:pPr>
          </w:p>
        </w:tc>
        <w:tc>
          <w:tcPr>
            <w:tcW w:w="80" w:type="dxa"/>
            <w:vAlign w:val="bottom"/>
            <w:shd w:val="clear" w:color="auto" w:fill="424E6A"/>
          </w:tcPr>
          <w:p>
            <w:pPr>
              <w:spacing w:after="0"/>
              <w:rPr>
                <w:sz w:val="15"/>
                <w:szCs w:val="15"/>
                <w:color w:val="auto"/>
              </w:rPr>
            </w:pPr>
          </w:p>
        </w:tc>
        <w:tc>
          <w:tcPr>
            <w:tcW w:w="10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Value Realized</w:t>
            </w:r>
          </w:p>
        </w:tc>
        <w:tc>
          <w:tcPr>
            <w:tcW w:w="100" w:type="dxa"/>
            <w:vAlign w:val="bottom"/>
            <w:tcBorders>
              <w:right w:val="single" w:sz="8" w:color="424E6A"/>
            </w:tcBorders>
            <w:shd w:val="clear" w:color="auto" w:fill="424E6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40" w:type="dxa"/>
            <w:vAlign w:val="bottom"/>
            <w:tcBorders>
              <w:left w:val="single" w:sz="8" w:color="424E6A"/>
            </w:tcBorders>
            <w:shd w:val="clear" w:color="auto" w:fill="424E6A"/>
          </w:tcPr>
          <w:p>
            <w:pPr>
              <w:spacing w:after="0"/>
              <w:rPr>
                <w:sz w:val="14"/>
                <w:szCs w:val="14"/>
                <w:color w:val="auto"/>
              </w:rPr>
            </w:pPr>
          </w:p>
        </w:tc>
        <w:tc>
          <w:tcPr>
            <w:tcW w:w="22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1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Acquired on</w:t>
            </w:r>
          </w:p>
        </w:tc>
        <w:tc>
          <w:tcPr>
            <w:tcW w:w="14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340" w:type="dxa"/>
            <w:vAlign w:val="bottom"/>
            <w:shd w:val="clear" w:color="auto" w:fill="424E6A"/>
          </w:tcPr>
          <w:p>
            <w:pPr>
              <w:spacing w:after="0"/>
              <w:rPr>
                <w:sz w:val="14"/>
                <w:szCs w:val="14"/>
                <w:color w:val="auto"/>
              </w:rPr>
            </w:pPr>
          </w:p>
        </w:tc>
        <w:tc>
          <w:tcPr>
            <w:tcW w:w="680" w:type="dxa"/>
            <w:vAlign w:val="bottom"/>
            <w:shd w:val="clear" w:color="auto" w:fill="424E6A"/>
          </w:tcPr>
          <w:p>
            <w:pPr>
              <w:jc w:val="center"/>
              <w:ind w:right="279"/>
              <w:spacing w:after="0"/>
              <w:rPr>
                <w:sz w:val="20"/>
                <w:szCs w:val="20"/>
                <w:color w:val="auto"/>
              </w:rPr>
            </w:pPr>
            <w:r>
              <w:rPr>
                <w:rFonts w:ascii="Arial" w:cs="Arial" w:eastAsia="Arial" w:hAnsi="Arial"/>
                <w:sz w:val="14"/>
                <w:szCs w:val="14"/>
                <w:b w:val="1"/>
                <w:bCs w:val="1"/>
                <w:color w:val="FFFFFF"/>
                <w:w w:val="93"/>
              </w:rPr>
              <w:t>on</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40" w:type="dxa"/>
            <w:vAlign w:val="bottom"/>
            <w:tcBorders>
              <w:left w:val="single" w:sz="8" w:color="424E6A"/>
            </w:tcBorders>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w:t>
            </w:r>
          </w:p>
        </w:tc>
        <w:tc>
          <w:tcPr>
            <w:tcW w:w="2300" w:type="dxa"/>
            <w:vAlign w:val="bottom"/>
            <w:gridSpan w:val="2"/>
            <w:shd w:val="clear" w:color="auto" w:fill="424E6A"/>
          </w:tcPr>
          <w:p>
            <w:pPr>
              <w:ind w:left="2140"/>
              <w:spacing w:after="0"/>
              <w:rPr>
                <w:sz w:val="20"/>
                <w:szCs w:val="20"/>
                <w:color w:val="auto"/>
              </w:rPr>
            </w:pPr>
            <w:r>
              <w:rPr>
                <w:rFonts w:ascii="Arial" w:cs="Arial" w:eastAsia="Arial" w:hAnsi="Arial"/>
                <w:sz w:val="14"/>
                <w:szCs w:val="14"/>
                <w:b w:val="1"/>
                <w:bCs w:val="1"/>
                <w:color w:val="FFFFFF"/>
              </w:rPr>
              <w:t>​ ​</w:t>
            </w:r>
          </w:p>
        </w:tc>
        <w:tc>
          <w:tcPr>
            <w:tcW w:w="11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Vesting (#)</w:t>
            </w:r>
            <w:r>
              <w:rPr>
                <w:rFonts w:ascii="Arial" w:cs="Arial" w:eastAsia="Arial" w:hAnsi="Arial"/>
                <w:sz w:val="17"/>
                <w:szCs w:val="17"/>
                <w:b w:val="1"/>
                <w:bCs w:val="1"/>
                <w:color w:val="FFFFFF"/>
                <w:w w:val="98"/>
                <w:vertAlign w:val="superscript"/>
              </w:rPr>
              <w:t>(1)</w:t>
            </w:r>
          </w:p>
        </w:tc>
        <w:tc>
          <w:tcPr>
            <w:tcW w:w="22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0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Vesting ($)</w:t>
            </w:r>
          </w:p>
        </w:tc>
        <w:tc>
          <w:tcPr>
            <w:tcW w:w="100" w:type="dxa"/>
            <w:vAlign w:val="bottom"/>
            <w:tcBorders>
              <w:right w:val="single" w:sz="8" w:color="424E6A"/>
            </w:tcBorders>
            <w:shd w:val="clear" w:color="auto" w:fill="424E6A"/>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40" w:type="dxa"/>
            <w:vAlign w:val="bottom"/>
            <w:tcBorders>
              <w:left w:val="single" w:sz="8" w:color="424E6A"/>
            </w:tcBorders>
          </w:tcPr>
          <w:p>
            <w:pPr>
              <w:ind w:left="60"/>
              <w:spacing w:after="0" w:line="189" w:lineRule="exact"/>
              <w:rPr>
                <w:sz w:val="20"/>
                <w:szCs w:val="20"/>
                <w:color w:val="auto"/>
              </w:rPr>
            </w:pPr>
            <w:r>
              <w:rPr>
                <w:rFonts w:ascii="Arial" w:cs="Arial" w:eastAsia="Arial" w:hAnsi="Arial"/>
                <w:sz w:val="18"/>
                <w:szCs w:val="18"/>
                <w:color w:val="auto"/>
              </w:rPr>
              <w:t>Willie Chiang</w:t>
            </w:r>
          </w:p>
        </w:tc>
        <w:tc>
          <w:tcPr>
            <w:tcW w:w="2200" w:type="dxa"/>
            <w:vAlign w:val="bottom"/>
            <w:tcBorders>
              <w:right w:val="single" w:sz="8" w:color="424E6A"/>
            </w:tcBorders>
            <w:vMerge w:val="restart"/>
          </w:tcPr>
          <w:p>
            <w:pPr>
              <w:ind w:left="21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300"/>
              <w:spacing w:after="0" w:line="189" w:lineRule="exact"/>
              <w:rPr>
                <w:sz w:val="20"/>
                <w:szCs w:val="20"/>
                <w:color w:val="auto"/>
              </w:rPr>
            </w:pPr>
            <w:r>
              <w:rPr>
                <w:rFonts w:ascii="Arial" w:cs="Arial" w:eastAsia="Arial" w:hAnsi="Arial"/>
                <w:sz w:val="18"/>
                <w:szCs w:val="18"/>
                <w:color w:val="auto"/>
              </w:rPr>
              <w:t>62,870</w:t>
            </w:r>
          </w:p>
        </w:tc>
        <w:tc>
          <w:tcPr>
            <w:tcW w:w="1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726,777</w:t>
            </w:r>
            <w:r>
              <w:rPr>
                <w:rFonts w:ascii="Arial" w:cs="Arial" w:eastAsia="Arial" w:hAnsi="Arial"/>
                <w:sz w:val="21"/>
                <w:szCs w:val="21"/>
                <w:color w:val="auto"/>
                <w:vertAlign w:val="superscript"/>
              </w:rPr>
              <w:t>(2)</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3440" w:type="dxa"/>
            <w:vAlign w:val="bottom"/>
            <w:tcBorders>
              <w:left w:val="single" w:sz="8" w:color="424E6A"/>
              <w:bottom w:val="single" w:sz="8" w:color="424E6A"/>
            </w:tcBorders>
          </w:tcPr>
          <w:p>
            <w:pPr>
              <w:ind w:left="40"/>
              <w:spacing w:after="0" w:line="68" w:lineRule="exact"/>
              <w:rPr>
                <w:sz w:val="20"/>
                <w:szCs w:val="20"/>
                <w:color w:val="auto"/>
              </w:rPr>
            </w:pPr>
            <w:r>
              <w:rPr>
                <w:rFonts w:ascii="Arial" w:cs="Arial" w:eastAsia="Arial" w:hAnsi="Arial"/>
                <w:sz w:val="7"/>
                <w:szCs w:val="7"/>
                <w:color w:val="auto"/>
              </w:rPr>
              <w:t>​</w:t>
            </w:r>
          </w:p>
        </w:tc>
        <w:tc>
          <w:tcPr>
            <w:tcW w:w="2200" w:type="dxa"/>
            <w:vAlign w:val="bottom"/>
            <w:tcBorders>
              <w:bottom w:val="single" w:sz="8" w:color="424E6A"/>
              <w:right w:val="single" w:sz="8" w:color="424E6A"/>
            </w:tcBorders>
            <w:vMerge w:val="continue"/>
          </w:tcPr>
          <w:p>
            <w:pPr>
              <w:spacing w:after="0"/>
              <w:rPr>
                <w:sz w:val="5"/>
                <w:szCs w:val="5"/>
                <w:color w:val="auto"/>
              </w:rPr>
            </w:pPr>
          </w:p>
        </w:tc>
        <w:tc>
          <w:tcPr>
            <w:tcW w:w="100" w:type="dxa"/>
            <w:vAlign w:val="bottom"/>
            <w:tcBorders>
              <w:bottom w:val="single" w:sz="8" w:color="424E6A"/>
            </w:tcBorders>
            <w:vMerge w:val="continue"/>
          </w:tcPr>
          <w:p>
            <w:pPr>
              <w:spacing w:after="0"/>
              <w:rPr>
                <w:sz w:val="5"/>
                <w:szCs w:val="5"/>
                <w:color w:val="auto"/>
              </w:rPr>
            </w:pPr>
          </w:p>
        </w:tc>
        <w:tc>
          <w:tcPr>
            <w:tcW w:w="500" w:type="dxa"/>
            <w:vAlign w:val="bottom"/>
            <w:tcBorders>
              <w:bottom w:val="single" w:sz="8" w:color="424E6A"/>
            </w:tcBorders>
          </w:tcPr>
          <w:p>
            <w:pPr>
              <w:ind w:left="300"/>
              <w:spacing w:after="0" w:line="68" w:lineRule="exact"/>
              <w:rPr>
                <w:sz w:val="20"/>
                <w:szCs w:val="20"/>
                <w:color w:val="auto"/>
              </w:rPr>
            </w:pPr>
            <w:r>
              <w:rPr>
                <w:rFonts w:ascii="Arial" w:cs="Arial" w:eastAsia="Arial" w:hAnsi="Arial"/>
                <w:sz w:val="7"/>
                <w:szCs w:val="7"/>
                <w:color w:val="auto"/>
              </w:rPr>
              <w:t>​</w:t>
            </w:r>
          </w:p>
        </w:tc>
        <w:tc>
          <w:tcPr>
            <w:tcW w:w="64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34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6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344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200" w:type="dxa"/>
            <w:vAlign w:val="bottom"/>
            <w:tcBorders>
              <w:bottom w:val="single" w:sz="8" w:color="D9DCE1"/>
              <w:right w:val="single" w:sz="8" w:color="424E6A"/>
            </w:tcBorders>
            <w:shd w:val="clear" w:color="auto" w:fill="D9DCE1"/>
          </w:tcPr>
          <w:p>
            <w:pPr>
              <w:ind w:left="214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500" w:type="dxa"/>
            <w:vAlign w:val="bottom"/>
            <w:tcBorders>
              <w:bottom w:val="single" w:sz="8" w:color="D9DCE1"/>
            </w:tcBorders>
            <w:shd w:val="clear" w:color="auto" w:fill="D9DCE1"/>
          </w:tcPr>
          <w:p>
            <w:pPr>
              <w:ind w:left="300"/>
              <w:spacing w:after="0"/>
              <w:rPr>
                <w:sz w:val="20"/>
                <w:szCs w:val="20"/>
                <w:color w:val="auto"/>
              </w:rPr>
            </w:pPr>
            <w:r>
              <w:rPr>
                <w:rFonts w:ascii="Arial" w:cs="Arial" w:eastAsia="Arial" w:hAnsi="Arial"/>
                <w:sz w:val="14"/>
                <w:szCs w:val="14"/>
                <w:b w:val="1"/>
                <w:bCs w:val="1"/>
                <w:color w:val="FFFFFF"/>
              </w:rPr>
              <w:t>​</w:t>
            </w:r>
          </w:p>
        </w:tc>
        <w:tc>
          <w:tcPr>
            <w:tcW w:w="640" w:type="dxa"/>
            <w:vAlign w:val="bottom"/>
            <w:tcBorders>
              <w:bottom w:val="single" w:sz="8" w:color="D9DCE1"/>
            </w:tcBorders>
            <w:shd w:val="clear" w:color="auto" w:fill="D9DCE1"/>
          </w:tcPr>
          <w:p>
            <w:pPr>
              <w:spacing w:after="0"/>
              <w:rPr>
                <w:sz w:val="24"/>
                <w:szCs w:val="24"/>
                <w:color w:val="auto"/>
              </w:rPr>
            </w:pPr>
          </w:p>
        </w:tc>
        <w:tc>
          <w:tcPr>
            <w:tcW w:w="1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50"/>
        </w:trPr>
        <w:tc>
          <w:tcPr>
            <w:tcW w:w="3440" w:type="dxa"/>
            <w:vAlign w:val="bottom"/>
            <w:tcBorders>
              <w:top w:val="single" w:sz="8" w:color="424E6A"/>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Harry Pefanis</w:t>
            </w:r>
          </w:p>
        </w:tc>
        <w:tc>
          <w:tcPr>
            <w:tcW w:w="2200" w:type="dxa"/>
            <w:vAlign w:val="bottom"/>
            <w:tcBorders>
              <w:top w:val="single" w:sz="8" w:color="424E6A"/>
              <w:bottom w:val="single" w:sz="8" w:color="424E6A"/>
              <w:right w:val="single" w:sz="8" w:color="424E6A"/>
            </w:tcBorders>
          </w:tcPr>
          <w:p>
            <w:pPr>
              <w:ind w:left="2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424E6A"/>
              <w:bottom w:val="single" w:sz="8" w:color="424E6A"/>
            </w:tcBorders>
          </w:tcPr>
          <w:p>
            <w:pPr>
              <w:ind w:left="30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424E6A"/>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424E6A"/>
              <w:bottom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424E6A"/>
              <w:bottom w:val="single" w:sz="8" w:color="424E6A"/>
            </w:tcBorders>
          </w:tcPr>
          <w:p>
            <w:pPr>
              <w:jc w:val="right"/>
              <w:ind w:right="7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9"/>
        </w:trPr>
        <w:tc>
          <w:tcPr>
            <w:tcW w:w="344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200" w:type="dxa"/>
            <w:vAlign w:val="bottom"/>
            <w:tcBorders>
              <w:bottom w:val="single" w:sz="8" w:color="D9DCE1"/>
              <w:right w:val="single" w:sz="8" w:color="424E6A"/>
            </w:tcBorders>
            <w:shd w:val="clear" w:color="auto" w:fill="D9DCE1"/>
          </w:tcPr>
          <w:p>
            <w:pPr>
              <w:ind w:left="214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500" w:type="dxa"/>
            <w:vAlign w:val="bottom"/>
            <w:tcBorders>
              <w:bottom w:val="single" w:sz="8" w:color="D9DCE1"/>
            </w:tcBorders>
            <w:shd w:val="clear" w:color="auto" w:fill="D9DCE1"/>
          </w:tcPr>
          <w:p>
            <w:pPr>
              <w:ind w:left="300"/>
              <w:spacing w:after="0"/>
              <w:rPr>
                <w:sz w:val="20"/>
                <w:szCs w:val="20"/>
                <w:color w:val="auto"/>
              </w:rPr>
            </w:pPr>
            <w:r>
              <w:rPr>
                <w:rFonts w:ascii="Arial" w:cs="Arial" w:eastAsia="Arial" w:hAnsi="Arial"/>
                <w:sz w:val="14"/>
                <w:szCs w:val="14"/>
                <w:b w:val="1"/>
                <w:bCs w:val="1"/>
                <w:color w:val="FFFFFF"/>
              </w:rPr>
              <w:t>​</w:t>
            </w:r>
          </w:p>
        </w:tc>
        <w:tc>
          <w:tcPr>
            <w:tcW w:w="640" w:type="dxa"/>
            <w:vAlign w:val="bottom"/>
            <w:tcBorders>
              <w:bottom w:val="single" w:sz="8" w:color="D9DCE1"/>
            </w:tcBorders>
            <w:shd w:val="clear" w:color="auto" w:fill="D9DCE1"/>
          </w:tcPr>
          <w:p>
            <w:pPr>
              <w:spacing w:after="0"/>
              <w:rPr>
                <w:sz w:val="24"/>
                <w:szCs w:val="24"/>
                <w:color w:val="auto"/>
              </w:rPr>
            </w:pPr>
          </w:p>
        </w:tc>
        <w:tc>
          <w:tcPr>
            <w:tcW w:w="1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344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Al Swanson</w:t>
            </w:r>
          </w:p>
        </w:tc>
        <w:tc>
          <w:tcPr>
            <w:tcW w:w="2200" w:type="dxa"/>
            <w:vAlign w:val="bottom"/>
            <w:tcBorders>
              <w:top w:val="single" w:sz="8" w:color="424E6A"/>
              <w:right w:val="single" w:sz="8" w:color="424E6A"/>
            </w:tcBorders>
            <w:vMerge w:val="restart"/>
          </w:tcPr>
          <w:p>
            <w:pPr>
              <w:ind w:left="2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424E6A"/>
            </w:tcBorders>
            <w:gridSpan w:val="2"/>
          </w:tcPr>
          <w:p>
            <w:pPr>
              <w:ind w:left="300"/>
              <w:spacing w:after="0" w:line="182" w:lineRule="exact"/>
              <w:rPr>
                <w:sz w:val="20"/>
                <w:szCs w:val="20"/>
                <w:color w:val="auto"/>
              </w:rPr>
            </w:pPr>
            <w:r>
              <w:rPr>
                <w:rFonts w:ascii="Arial" w:cs="Arial" w:eastAsia="Arial" w:hAnsi="Arial"/>
                <w:sz w:val="18"/>
                <w:szCs w:val="18"/>
                <w:color w:val="auto"/>
              </w:rPr>
              <w:t>25,150</w:t>
            </w:r>
          </w:p>
        </w:tc>
        <w:tc>
          <w:tcPr>
            <w:tcW w:w="14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tcBorders>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290,734</w:t>
            </w:r>
            <w:r>
              <w:rPr>
                <w:rFonts w:ascii="Arial" w:cs="Arial" w:eastAsia="Arial" w:hAnsi="Arial"/>
                <w:sz w:val="21"/>
                <w:szCs w:val="21"/>
                <w:color w:val="auto"/>
                <w:vertAlign w:val="superscript"/>
              </w:rPr>
              <w:t>(2)</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3440" w:type="dxa"/>
            <w:vAlign w:val="bottom"/>
            <w:tcBorders>
              <w:left w:val="single" w:sz="8" w:color="424E6A"/>
              <w:bottom w:val="single" w:sz="8" w:color="424E6A"/>
            </w:tcBorders>
          </w:tcPr>
          <w:p>
            <w:pPr>
              <w:ind w:left="40"/>
              <w:spacing w:after="0" w:line="68" w:lineRule="exact"/>
              <w:rPr>
                <w:sz w:val="20"/>
                <w:szCs w:val="20"/>
                <w:color w:val="auto"/>
              </w:rPr>
            </w:pPr>
            <w:r>
              <w:rPr>
                <w:rFonts w:ascii="Arial" w:cs="Arial" w:eastAsia="Arial" w:hAnsi="Arial"/>
                <w:sz w:val="7"/>
                <w:szCs w:val="7"/>
                <w:color w:val="auto"/>
              </w:rPr>
              <w:t>​</w:t>
            </w:r>
          </w:p>
        </w:tc>
        <w:tc>
          <w:tcPr>
            <w:tcW w:w="2200" w:type="dxa"/>
            <w:vAlign w:val="bottom"/>
            <w:tcBorders>
              <w:bottom w:val="single" w:sz="8" w:color="424E6A"/>
              <w:right w:val="single" w:sz="8" w:color="424E6A"/>
            </w:tcBorders>
            <w:vMerge w:val="continue"/>
          </w:tcPr>
          <w:p>
            <w:pPr>
              <w:spacing w:after="0"/>
              <w:rPr>
                <w:sz w:val="5"/>
                <w:szCs w:val="5"/>
                <w:color w:val="auto"/>
              </w:rPr>
            </w:pPr>
          </w:p>
        </w:tc>
        <w:tc>
          <w:tcPr>
            <w:tcW w:w="100" w:type="dxa"/>
            <w:vAlign w:val="bottom"/>
            <w:tcBorders>
              <w:bottom w:val="single" w:sz="8" w:color="424E6A"/>
            </w:tcBorders>
            <w:vMerge w:val="continue"/>
          </w:tcPr>
          <w:p>
            <w:pPr>
              <w:spacing w:after="0"/>
              <w:rPr>
                <w:sz w:val="5"/>
                <w:szCs w:val="5"/>
                <w:color w:val="auto"/>
              </w:rPr>
            </w:pPr>
          </w:p>
        </w:tc>
        <w:tc>
          <w:tcPr>
            <w:tcW w:w="500" w:type="dxa"/>
            <w:vAlign w:val="bottom"/>
            <w:tcBorders>
              <w:bottom w:val="single" w:sz="8" w:color="424E6A"/>
            </w:tcBorders>
          </w:tcPr>
          <w:p>
            <w:pPr>
              <w:ind w:left="300"/>
              <w:spacing w:after="0" w:line="68" w:lineRule="exact"/>
              <w:rPr>
                <w:sz w:val="20"/>
                <w:szCs w:val="20"/>
                <w:color w:val="auto"/>
              </w:rPr>
            </w:pPr>
            <w:r>
              <w:rPr>
                <w:rFonts w:ascii="Arial" w:cs="Arial" w:eastAsia="Arial" w:hAnsi="Arial"/>
                <w:sz w:val="7"/>
                <w:szCs w:val="7"/>
                <w:color w:val="auto"/>
              </w:rPr>
              <w:t>​</w:t>
            </w:r>
          </w:p>
        </w:tc>
        <w:tc>
          <w:tcPr>
            <w:tcW w:w="64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34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6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344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200" w:type="dxa"/>
            <w:vAlign w:val="bottom"/>
            <w:tcBorders>
              <w:bottom w:val="single" w:sz="8" w:color="D9DCE1"/>
              <w:right w:val="single" w:sz="8" w:color="424E6A"/>
            </w:tcBorders>
            <w:shd w:val="clear" w:color="auto" w:fill="D9DCE1"/>
          </w:tcPr>
          <w:p>
            <w:pPr>
              <w:ind w:left="214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500" w:type="dxa"/>
            <w:vAlign w:val="bottom"/>
            <w:tcBorders>
              <w:bottom w:val="single" w:sz="8" w:color="D9DCE1"/>
            </w:tcBorders>
            <w:shd w:val="clear" w:color="auto" w:fill="D9DCE1"/>
          </w:tcPr>
          <w:p>
            <w:pPr>
              <w:ind w:left="300"/>
              <w:spacing w:after="0"/>
              <w:rPr>
                <w:sz w:val="20"/>
                <w:szCs w:val="20"/>
                <w:color w:val="auto"/>
              </w:rPr>
            </w:pPr>
            <w:r>
              <w:rPr>
                <w:rFonts w:ascii="Arial" w:cs="Arial" w:eastAsia="Arial" w:hAnsi="Arial"/>
                <w:sz w:val="14"/>
                <w:szCs w:val="14"/>
                <w:b w:val="1"/>
                <w:bCs w:val="1"/>
                <w:color w:val="FFFFFF"/>
              </w:rPr>
              <w:t>​</w:t>
            </w:r>
          </w:p>
        </w:tc>
        <w:tc>
          <w:tcPr>
            <w:tcW w:w="640" w:type="dxa"/>
            <w:vAlign w:val="bottom"/>
            <w:tcBorders>
              <w:bottom w:val="single" w:sz="8" w:color="D9DCE1"/>
            </w:tcBorders>
            <w:shd w:val="clear" w:color="auto" w:fill="D9DCE1"/>
          </w:tcPr>
          <w:p>
            <w:pPr>
              <w:spacing w:after="0"/>
              <w:rPr>
                <w:sz w:val="24"/>
                <w:szCs w:val="24"/>
                <w:color w:val="auto"/>
              </w:rPr>
            </w:pPr>
          </w:p>
        </w:tc>
        <w:tc>
          <w:tcPr>
            <w:tcW w:w="1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344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Richard McGee</w:t>
            </w:r>
          </w:p>
        </w:tc>
        <w:tc>
          <w:tcPr>
            <w:tcW w:w="2200" w:type="dxa"/>
            <w:vAlign w:val="bottom"/>
            <w:tcBorders>
              <w:top w:val="single" w:sz="8" w:color="424E6A"/>
              <w:right w:val="single" w:sz="8" w:color="424E6A"/>
            </w:tcBorders>
            <w:vMerge w:val="restart"/>
          </w:tcPr>
          <w:p>
            <w:pPr>
              <w:ind w:left="2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424E6A"/>
            </w:tcBorders>
            <w:gridSpan w:val="2"/>
          </w:tcPr>
          <w:p>
            <w:pPr>
              <w:ind w:left="300"/>
              <w:spacing w:after="0" w:line="182" w:lineRule="exact"/>
              <w:rPr>
                <w:sz w:val="20"/>
                <w:szCs w:val="20"/>
                <w:color w:val="auto"/>
              </w:rPr>
            </w:pPr>
            <w:r>
              <w:rPr>
                <w:rFonts w:ascii="Arial" w:cs="Arial" w:eastAsia="Arial" w:hAnsi="Arial"/>
                <w:sz w:val="18"/>
                <w:szCs w:val="18"/>
                <w:color w:val="auto"/>
              </w:rPr>
              <w:t>25,150</w:t>
            </w:r>
          </w:p>
        </w:tc>
        <w:tc>
          <w:tcPr>
            <w:tcW w:w="14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tcBorders>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290,734</w:t>
            </w:r>
            <w:r>
              <w:rPr>
                <w:rFonts w:ascii="Arial" w:cs="Arial" w:eastAsia="Arial" w:hAnsi="Arial"/>
                <w:sz w:val="21"/>
                <w:szCs w:val="21"/>
                <w:color w:val="auto"/>
                <w:vertAlign w:val="superscript"/>
              </w:rPr>
              <w:t>(2)</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440" w:type="dxa"/>
            <w:vAlign w:val="bottom"/>
            <w:tcBorders>
              <w:left w:val="single" w:sz="8" w:color="424E6A"/>
              <w:bottom w:val="single" w:sz="8" w:color="424E6A"/>
            </w:tcBorders>
          </w:tcPr>
          <w:p>
            <w:pPr>
              <w:ind w:left="40"/>
              <w:spacing w:after="0" w:line="68" w:lineRule="exact"/>
              <w:rPr>
                <w:sz w:val="20"/>
                <w:szCs w:val="20"/>
                <w:color w:val="auto"/>
              </w:rPr>
            </w:pPr>
            <w:r>
              <w:rPr>
                <w:rFonts w:ascii="Arial" w:cs="Arial" w:eastAsia="Arial" w:hAnsi="Arial"/>
                <w:sz w:val="7"/>
                <w:szCs w:val="7"/>
                <w:color w:val="auto"/>
              </w:rPr>
              <w:t>​</w:t>
            </w:r>
          </w:p>
        </w:tc>
        <w:tc>
          <w:tcPr>
            <w:tcW w:w="2200" w:type="dxa"/>
            <w:vAlign w:val="bottom"/>
            <w:tcBorders>
              <w:bottom w:val="single" w:sz="8" w:color="424E6A"/>
              <w:right w:val="single" w:sz="8" w:color="424E6A"/>
            </w:tcBorders>
            <w:vMerge w:val="continue"/>
          </w:tcPr>
          <w:p>
            <w:pPr>
              <w:spacing w:after="0"/>
              <w:rPr>
                <w:sz w:val="5"/>
                <w:szCs w:val="5"/>
                <w:color w:val="auto"/>
              </w:rPr>
            </w:pPr>
          </w:p>
        </w:tc>
        <w:tc>
          <w:tcPr>
            <w:tcW w:w="100" w:type="dxa"/>
            <w:vAlign w:val="bottom"/>
            <w:tcBorders>
              <w:bottom w:val="single" w:sz="8" w:color="424E6A"/>
            </w:tcBorders>
            <w:vMerge w:val="continue"/>
          </w:tcPr>
          <w:p>
            <w:pPr>
              <w:spacing w:after="0"/>
              <w:rPr>
                <w:sz w:val="5"/>
                <w:szCs w:val="5"/>
                <w:color w:val="auto"/>
              </w:rPr>
            </w:pPr>
          </w:p>
        </w:tc>
        <w:tc>
          <w:tcPr>
            <w:tcW w:w="500" w:type="dxa"/>
            <w:vAlign w:val="bottom"/>
            <w:tcBorders>
              <w:bottom w:val="single" w:sz="8" w:color="424E6A"/>
            </w:tcBorders>
          </w:tcPr>
          <w:p>
            <w:pPr>
              <w:ind w:left="300"/>
              <w:spacing w:after="0" w:line="68" w:lineRule="exact"/>
              <w:rPr>
                <w:sz w:val="20"/>
                <w:szCs w:val="20"/>
                <w:color w:val="auto"/>
              </w:rPr>
            </w:pPr>
            <w:r>
              <w:rPr>
                <w:rFonts w:ascii="Arial" w:cs="Arial" w:eastAsia="Arial" w:hAnsi="Arial"/>
                <w:sz w:val="7"/>
                <w:szCs w:val="7"/>
                <w:color w:val="auto"/>
              </w:rPr>
              <w:t>​</w:t>
            </w:r>
          </w:p>
        </w:tc>
        <w:tc>
          <w:tcPr>
            <w:tcW w:w="64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34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6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344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200" w:type="dxa"/>
            <w:vAlign w:val="bottom"/>
            <w:tcBorders>
              <w:bottom w:val="single" w:sz="8" w:color="D9DCE1"/>
              <w:right w:val="single" w:sz="8" w:color="424E6A"/>
            </w:tcBorders>
            <w:shd w:val="clear" w:color="auto" w:fill="D9DCE1"/>
          </w:tcPr>
          <w:p>
            <w:pPr>
              <w:ind w:left="214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500" w:type="dxa"/>
            <w:vAlign w:val="bottom"/>
            <w:tcBorders>
              <w:bottom w:val="single" w:sz="8" w:color="D9DCE1"/>
            </w:tcBorders>
            <w:shd w:val="clear" w:color="auto" w:fill="D9DCE1"/>
          </w:tcPr>
          <w:p>
            <w:pPr>
              <w:ind w:left="300"/>
              <w:spacing w:after="0"/>
              <w:rPr>
                <w:sz w:val="20"/>
                <w:szCs w:val="20"/>
                <w:color w:val="auto"/>
              </w:rPr>
            </w:pPr>
            <w:r>
              <w:rPr>
                <w:rFonts w:ascii="Arial" w:cs="Arial" w:eastAsia="Arial" w:hAnsi="Arial"/>
                <w:sz w:val="14"/>
                <w:szCs w:val="14"/>
                <w:b w:val="1"/>
                <w:bCs w:val="1"/>
                <w:color w:val="FFFFFF"/>
              </w:rPr>
              <w:t>​</w:t>
            </w:r>
          </w:p>
        </w:tc>
        <w:tc>
          <w:tcPr>
            <w:tcW w:w="640" w:type="dxa"/>
            <w:vAlign w:val="bottom"/>
            <w:tcBorders>
              <w:bottom w:val="single" w:sz="8" w:color="D9DCE1"/>
            </w:tcBorders>
            <w:shd w:val="clear" w:color="auto" w:fill="D9DCE1"/>
          </w:tcPr>
          <w:p>
            <w:pPr>
              <w:spacing w:after="0"/>
              <w:rPr>
                <w:sz w:val="24"/>
                <w:szCs w:val="24"/>
                <w:color w:val="auto"/>
              </w:rPr>
            </w:pPr>
          </w:p>
        </w:tc>
        <w:tc>
          <w:tcPr>
            <w:tcW w:w="1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344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Chris Chandler</w:t>
            </w:r>
          </w:p>
        </w:tc>
        <w:tc>
          <w:tcPr>
            <w:tcW w:w="2200" w:type="dxa"/>
            <w:vAlign w:val="bottom"/>
            <w:tcBorders>
              <w:top w:val="single" w:sz="8" w:color="424E6A"/>
              <w:right w:val="single" w:sz="8" w:color="424E6A"/>
            </w:tcBorders>
            <w:vMerge w:val="restart"/>
          </w:tcPr>
          <w:p>
            <w:pPr>
              <w:ind w:left="2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424E6A"/>
            </w:tcBorders>
            <w:gridSpan w:val="2"/>
          </w:tcPr>
          <w:p>
            <w:pPr>
              <w:ind w:left="300"/>
              <w:spacing w:after="0" w:line="182" w:lineRule="exact"/>
              <w:rPr>
                <w:sz w:val="20"/>
                <w:szCs w:val="20"/>
                <w:color w:val="auto"/>
              </w:rPr>
            </w:pPr>
            <w:r>
              <w:rPr>
                <w:rFonts w:ascii="Arial" w:cs="Arial" w:eastAsia="Arial" w:hAnsi="Arial"/>
                <w:sz w:val="18"/>
                <w:szCs w:val="18"/>
                <w:color w:val="auto"/>
              </w:rPr>
              <w:t>25,150</w:t>
            </w:r>
          </w:p>
        </w:tc>
        <w:tc>
          <w:tcPr>
            <w:tcW w:w="14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tcBorders>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290,734</w:t>
            </w:r>
            <w:r>
              <w:rPr>
                <w:rFonts w:ascii="Arial" w:cs="Arial" w:eastAsia="Arial" w:hAnsi="Arial"/>
                <w:sz w:val="21"/>
                <w:szCs w:val="21"/>
                <w:color w:val="auto"/>
                <w:vertAlign w:val="superscript"/>
              </w:rPr>
              <w:t>(2)</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440" w:type="dxa"/>
            <w:vAlign w:val="bottom"/>
            <w:tcBorders>
              <w:left w:val="single" w:sz="8" w:color="424E6A"/>
              <w:bottom w:val="single" w:sz="8" w:color="424E6A"/>
            </w:tcBorders>
          </w:tcPr>
          <w:p>
            <w:pPr>
              <w:ind w:left="40"/>
              <w:spacing w:after="0" w:line="68" w:lineRule="exact"/>
              <w:rPr>
                <w:sz w:val="20"/>
                <w:szCs w:val="20"/>
                <w:color w:val="auto"/>
              </w:rPr>
            </w:pPr>
            <w:r>
              <w:rPr>
                <w:rFonts w:ascii="Arial" w:cs="Arial" w:eastAsia="Arial" w:hAnsi="Arial"/>
                <w:sz w:val="7"/>
                <w:szCs w:val="7"/>
                <w:color w:val="auto"/>
              </w:rPr>
              <w:t>​</w:t>
            </w:r>
          </w:p>
        </w:tc>
        <w:tc>
          <w:tcPr>
            <w:tcW w:w="2200" w:type="dxa"/>
            <w:vAlign w:val="bottom"/>
            <w:tcBorders>
              <w:bottom w:val="single" w:sz="8" w:color="424E6A"/>
              <w:right w:val="single" w:sz="8" w:color="424E6A"/>
            </w:tcBorders>
            <w:vMerge w:val="continue"/>
          </w:tcPr>
          <w:p>
            <w:pPr>
              <w:spacing w:after="0"/>
              <w:rPr>
                <w:sz w:val="5"/>
                <w:szCs w:val="5"/>
                <w:color w:val="auto"/>
              </w:rPr>
            </w:pPr>
          </w:p>
        </w:tc>
        <w:tc>
          <w:tcPr>
            <w:tcW w:w="100" w:type="dxa"/>
            <w:vAlign w:val="bottom"/>
            <w:tcBorders>
              <w:bottom w:val="single" w:sz="8" w:color="424E6A"/>
            </w:tcBorders>
            <w:vMerge w:val="continue"/>
          </w:tcPr>
          <w:p>
            <w:pPr>
              <w:spacing w:after="0"/>
              <w:rPr>
                <w:sz w:val="5"/>
                <w:szCs w:val="5"/>
                <w:color w:val="auto"/>
              </w:rPr>
            </w:pPr>
          </w:p>
        </w:tc>
        <w:tc>
          <w:tcPr>
            <w:tcW w:w="500" w:type="dxa"/>
            <w:vAlign w:val="bottom"/>
            <w:tcBorders>
              <w:bottom w:val="single" w:sz="8" w:color="424E6A"/>
            </w:tcBorders>
          </w:tcPr>
          <w:p>
            <w:pPr>
              <w:ind w:left="300"/>
              <w:spacing w:after="0" w:line="68" w:lineRule="exact"/>
              <w:rPr>
                <w:sz w:val="20"/>
                <w:szCs w:val="20"/>
                <w:color w:val="auto"/>
              </w:rPr>
            </w:pPr>
            <w:r>
              <w:rPr>
                <w:rFonts w:ascii="Arial" w:cs="Arial" w:eastAsia="Arial" w:hAnsi="Arial"/>
                <w:sz w:val="7"/>
                <w:szCs w:val="7"/>
                <w:color w:val="auto"/>
              </w:rPr>
              <w:t>​</w:t>
            </w:r>
          </w:p>
        </w:tc>
        <w:tc>
          <w:tcPr>
            <w:tcW w:w="64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34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6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4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2200" w:type="dxa"/>
            <w:vAlign w:val="bottom"/>
            <w:tcBorders>
              <w:right w:val="single" w:sz="8" w:color="424E6A"/>
            </w:tcBorders>
            <w:vMerge w:val="restart"/>
          </w:tcPr>
          <w:p>
            <w:pPr>
              <w:ind w:left="21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300"/>
              <w:spacing w:after="0" w:line="182" w:lineRule="exact"/>
              <w:rPr>
                <w:sz w:val="20"/>
                <w:szCs w:val="20"/>
                <w:color w:val="auto"/>
              </w:rPr>
            </w:pPr>
            <w:r>
              <w:rPr>
                <w:rFonts w:ascii="Arial" w:cs="Arial" w:eastAsia="Arial" w:hAnsi="Arial"/>
                <w:sz w:val="18"/>
                <w:szCs w:val="18"/>
                <w:color w:val="auto"/>
              </w:rPr>
              <w:t>45,000</w:t>
            </w:r>
          </w:p>
        </w:tc>
        <w:tc>
          <w:tcPr>
            <w:tcW w:w="1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459,450</w:t>
            </w:r>
            <w:r>
              <w:rPr>
                <w:rFonts w:ascii="Arial" w:cs="Arial" w:eastAsia="Arial" w:hAnsi="Arial"/>
                <w:sz w:val="21"/>
                <w:szCs w:val="21"/>
                <w:color w:val="auto"/>
                <w:vertAlign w:val="superscript"/>
              </w:rPr>
              <w:t>(3)</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440" w:type="dxa"/>
            <w:vAlign w:val="bottom"/>
            <w:tcBorders>
              <w:left w:val="single" w:sz="8" w:color="424E6A"/>
              <w:bottom w:val="single" w:sz="8" w:color="424E6A"/>
            </w:tcBorders>
            <w:vMerge w:val="continue"/>
          </w:tcPr>
          <w:p>
            <w:pPr>
              <w:spacing w:after="0"/>
              <w:rPr>
                <w:sz w:val="5"/>
                <w:szCs w:val="5"/>
                <w:color w:val="auto"/>
              </w:rPr>
            </w:pPr>
          </w:p>
        </w:tc>
        <w:tc>
          <w:tcPr>
            <w:tcW w:w="2200" w:type="dxa"/>
            <w:vAlign w:val="bottom"/>
            <w:tcBorders>
              <w:bottom w:val="single" w:sz="8" w:color="424E6A"/>
              <w:right w:val="single" w:sz="8" w:color="424E6A"/>
            </w:tcBorders>
            <w:vMerge w:val="continue"/>
          </w:tcPr>
          <w:p>
            <w:pPr>
              <w:spacing w:after="0"/>
              <w:rPr>
                <w:sz w:val="5"/>
                <w:szCs w:val="5"/>
                <w:color w:val="auto"/>
              </w:rPr>
            </w:pPr>
          </w:p>
        </w:tc>
        <w:tc>
          <w:tcPr>
            <w:tcW w:w="100" w:type="dxa"/>
            <w:vAlign w:val="bottom"/>
            <w:tcBorders>
              <w:bottom w:val="single" w:sz="8" w:color="424E6A"/>
            </w:tcBorders>
            <w:vMerge w:val="continue"/>
          </w:tcPr>
          <w:p>
            <w:pPr>
              <w:spacing w:after="0"/>
              <w:rPr>
                <w:sz w:val="5"/>
                <w:szCs w:val="5"/>
                <w:color w:val="auto"/>
              </w:rPr>
            </w:pPr>
          </w:p>
        </w:tc>
        <w:tc>
          <w:tcPr>
            <w:tcW w:w="500" w:type="dxa"/>
            <w:vAlign w:val="bottom"/>
            <w:tcBorders>
              <w:bottom w:val="single" w:sz="8" w:color="424E6A"/>
            </w:tcBorders>
          </w:tcPr>
          <w:p>
            <w:pPr>
              <w:ind w:left="300"/>
              <w:spacing w:after="0" w:line="68" w:lineRule="exact"/>
              <w:rPr>
                <w:sz w:val="20"/>
                <w:szCs w:val="20"/>
                <w:color w:val="auto"/>
              </w:rPr>
            </w:pPr>
            <w:r>
              <w:rPr>
                <w:rFonts w:ascii="Arial" w:cs="Arial" w:eastAsia="Arial" w:hAnsi="Arial"/>
                <w:sz w:val="7"/>
                <w:szCs w:val="7"/>
                <w:color w:val="auto"/>
              </w:rPr>
              <w:t>​</w:t>
            </w:r>
          </w:p>
        </w:tc>
        <w:tc>
          <w:tcPr>
            <w:tcW w:w="64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34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6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344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200" w:type="dxa"/>
            <w:vAlign w:val="bottom"/>
            <w:tcBorders>
              <w:bottom w:val="single" w:sz="8" w:color="D9DCE1"/>
              <w:right w:val="single" w:sz="8" w:color="424E6A"/>
            </w:tcBorders>
            <w:shd w:val="clear" w:color="auto" w:fill="D9DCE1"/>
          </w:tcPr>
          <w:p>
            <w:pPr>
              <w:ind w:left="214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500" w:type="dxa"/>
            <w:vAlign w:val="bottom"/>
            <w:tcBorders>
              <w:bottom w:val="single" w:sz="8" w:color="D9DCE1"/>
            </w:tcBorders>
            <w:shd w:val="clear" w:color="auto" w:fill="D9DCE1"/>
          </w:tcPr>
          <w:p>
            <w:pPr>
              <w:ind w:left="300"/>
              <w:spacing w:after="0"/>
              <w:rPr>
                <w:sz w:val="20"/>
                <w:szCs w:val="20"/>
                <w:color w:val="auto"/>
              </w:rPr>
            </w:pPr>
            <w:r>
              <w:rPr>
                <w:rFonts w:ascii="Arial" w:cs="Arial" w:eastAsia="Arial" w:hAnsi="Arial"/>
                <w:sz w:val="14"/>
                <w:szCs w:val="14"/>
                <w:b w:val="1"/>
                <w:bCs w:val="1"/>
                <w:color w:val="FFFFFF"/>
              </w:rPr>
              <w:t>​</w:t>
            </w:r>
          </w:p>
        </w:tc>
        <w:tc>
          <w:tcPr>
            <w:tcW w:w="640" w:type="dxa"/>
            <w:vAlign w:val="bottom"/>
            <w:tcBorders>
              <w:bottom w:val="single" w:sz="8" w:color="D9DCE1"/>
            </w:tcBorders>
            <w:shd w:val="clear" w:color="auto" w:fill="D9DCE1"/>
          </w:tcPr>
          <w:p>
            <w:pPr>
              <w:spacing w:after="0"/>
              <w:rPr>
                <w:sz w:val="24"/>
                <w:szCs w:val="24"/>
                <w:color w:val="auto"/>
              </w:rPr>
            </w:pPr>
          </w:p>
        </w:tc>
        <w:tc>
          <w:tcPr>
            <w:tcW w:w="14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3"/>
        </w:trPr>
        <w:tc>
          <w:tcPr>
            <w:tcW w:w="3440" w:type="dxa"/>
            <w:vAlign w:val="bottom"/>
            <w:tcBorders>
              <w:top w:val="single" w:sz="8" w:color="424E6A"/>
              <w:left w:val="single" w:sz="8" w:color="424E6A"/>
            </w:tcBorders>
          </w:tcPr>
          <w:p>
            <w:pPr>
              <w:ind w:left="60"/>
              <w:spacing w:after="0" w:line="182" w:lineRule="exact"/>
              <w:rPr>
                <w:sz w:val="20"/>
                <w:szCs w:val="20"/>
                <w:color w:val="auto"/>
              </w:rPr>
            </w:pPr>
            <w:r>
              <w:rPr>
                <w:rFonts w:ascii="Arial" w:cs="Arial" w:eastAsia="Arial" w:hAnsi="Arial"/>
                <w:sz w:val="18"/>
                <w:szCs w:val="18"/>
                <w:color w:val="auto"/>
              </w:rPr>
              <w:t>Jeremy Goebel</w:t>
            </w:r>
          </w:p>
        </w:tc>
        <w:tc>
          <w:tcPr>
            <w:tcW w:w="2200" w:type="dxa"/>
            <w:vAlign w:val="bottom"/>
            <w:tcBorders>
              <w:top w:val="single" w:sz="8" w:color="424E6A"/>
              <w:right w:val="single" w:sz="8" w:color="424E6A"/>
            </w:tcBorders>
            <w:vMerge w:val="restart"/>
          </w:tcPr>
          <w:p>
            <w:pPr>
              <w:ind w:left="2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424E6A"/>
            </w:tcBorders>
            <w:gridSpan w:val="2"/>
          </w:tcPr>
          <w:p>
            <w:pPr>
              <w:ind w:left="300"/>
              <w:spacing w:after="0" w:line="182" w:lineRule="exact"/>
              <w:rPr>
                <w:sz w:val="20"/>
                <w:szCs w:val="20"/>
                <w:color w:val="auto"/>
              </w:rPr>
            </w:pPr>
            <w:r>
              <w:rPr>
                <w:rFonts w:ascii="Arial" w:cs="Arial" w:eastAsia="Arial" w:hAnsi="Arial"/>
                <w:sz w:val="18"/>
                <w:szCs w:val="18"/>
                <w:color w:val="auto"/>
              </w:rPr>
              <w:t>25,150</w:t>
            </w:r>
          </w:p>
        </w:tc>
        <w:tc>
          <w:tcPr>
            <w:tcW w:w="14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24E6A"/>
            </w:tcBorders>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424E6A"/>
            </w:tcBorders>
            <w:gridSpan w:val="2"/>
          </w:tcPr>
          <w:p>
            <w:pPr>
              <w:jc w:val="right"/>
              <w:spacing w:after="0" w:line="183" w:lineRule="exact"/>
              <w:rPr>
                <w:sz w:val="20"/>
                <w:szCs w:val="20"/>
                <w:color w:val="auto"/>
              </w:rPr>
            </w:pPr>
            <w:r>
              <w:rPr>
                <w:rFonts w:ascii="Arial" w:cs="Arial" w:eastAsia="Arial" w:hAnsi="Arial"/>
                <w:sz w:val="17"/>
                <w:szCs w:val="17"/>
                <w:color w:val="auto"/>
              </w:rPr>
              <w:t>290,734</w:t>
            </w:r>
            <w:r>
              <w:rPr>
                <w:rFonts w:ascii="Arial" w:cs="Arial" w:eastAsia="Arial" w:hAnsi="Arial"/>
                <w:sz w:val="21"/>
                <w:szCs w:val="21"/>
                <w:color w:val="auto"/>
                <w:vertAlign w:val="superscript"/>
              </w:rPr>
              <w:t>(2)</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3440" w:type="dxa"/>
            <w:vAlign w:val="bottom"/>
            <w:tcBorders>
              <w:left w:val="single" w:sz="8" w:color="424E6A"/>
              <w:bottom w:val="single" w:sz="8" w:color="424E6A"/>
            </w:tcBorders>
          </w:tcPr>
          <w:p>
            <w:pPr>
              <w:ind w:left="40"/>
              <w:spacing w:after="0" w:line="68" w:lineRule="exact"/>
              <w:rPr>
                <w:sz w:val="20"/>
                <w:szCs w:val="20"/>
                <w:color w:val="auto"/>
              </w:rPr>
            </w:pPr>
            <w:r>
              <w:rPr>
                <w:rFonts w:ascii="Arial" w:cs="Arial" w:eastAsia="Arial" w:hAnsi="Arial"/>
                <w:sz w:val="7"/>
                <w:szCs w:val="7"/>
                <w:color w:val="auto"/>
              </w:rPr>
              <w:t>​</w:t>
            </w:r>
          </w:p>
        </w:tc>
        <w:tc>
          <w:tcPr>
            <w:tcW w:w="2200" w:type="dxa"/>
            <w:vAlign w:val="bottom"/>
            <w:tcBorders>
              <w:bottom w:val="single" w:sz="8" w:color="424E6A"/>
              <w:right w:val="single" w:sz="8" w:color="424E6A"/>
            </w:tcBorders>
            <w:vMerge w:val="continue"/>
          </w:tcPr>
          <w:p>
            <w:pPr>
              <w:spacing w:after="0"/>
              <w:rPr>
                <w:sz w:val="5"/>
                <w:szCs w:val="5"/>
                <w:color w:val="auto"/>
              </w:rPr>
            </w:pPr>
          </w:p>
        </w:tc>
        <w:tc>
          <w:tcPr>
            <w:tcW w:w="100" w:type="dxa"/>
            <w:vAlign w:val="bottom"/>
            <w:tcBorders>
              <w:bottom w:val="single" w:sz="8" w:color="424E6A"/>
            </w:tcBorders>
            <w:vMerge w:val="continue"/>
          </w:tcPr>
          <w:p>
            <w:pPr>
              <w:spacing w:after="0"/>
              <w:rPr>
                <w:sz w:val="5"/>
                <w:szCs w:val="5"/>
                <w:color w:val="auto"/>
              </w:rPr>
            </w:pPr>
          </w:p>
        </w:tc>
        <w:tc>
          <w:tcPr>
            <w:tcW w:w="500" w:type="dxa"/>
            <w:vAlign w:val="bottom"/>
            <w:tcBorders>
              <w:bottom w:val="single" w:sz="8" w:color="424E6A"/>
            </w:tcBorders>
          </w:tcPr>
          <w:p>
            <w:pPr>
              <w:ind w:left="300"/>
              <w:spacing w:after="0" w:line="68" w:lineRule="exact"/>
              <w:rPr>
                <w:sz w:val="20"/>
                <w:szCs w:val="20"/>
                <w:color w:val="auto"/>
              </w:rPr>
            </w:pPr>
            <w:r>
              <w:rPr>
                <w:rFonts w:ascii="Arial" w:cs="Arial" w:eastAsia="Arial" w:hAnsi="Arial"/>
                <w:sz w:val="7"/>
                <w:szCs w:val="7"/>
                <w:color w:val="auto"/>
              </w:rPr>
              <w:t>​</w:t>
            </w:r>
          </w:p>
        </w:tc>
        <w:tc>
          <w:tcPr>
            <w:tcW w:w="64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34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6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4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2200" w:type="dxa"/>
            <w:vAlign w:val="bottom"/>
            <w:tcBorders>
              <w:right w:val="single" w:sz="8" w:color="424E6A"/>
            </w:tcBorders>
            <w:vMerge w:val="restart"/>
          </w:tcPr>
          <w:p>
            <w:pPr>
              <w:ind w:left="21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300"/>
              <w:spacing w:after="0" w:line="182" w:lineRule="exact"/>
              <w:rPr>
                <w:sz w:val="20"/>
                <w:szCs w:val="20"/>
                <w:color w:val="auto"/>
              </w:rPr>
            </w:pPr>
            <w:r>
              <w:rPr>
                <w:rFonts w:ascii="Arial" w:cs="Arial" w:eastAsia="Arial" w:hAnsi="Arial"/>
                <w:sz w:val="18"/>
                <w:szCs w:val="18"/>
                <w:color w:val="auto"/>
              </w:rPr>
              <w:t>30,000</w:t>
            </w:r>
          </w:p>
        </w:tc>
        <w:tc>
          <w:tcPr>
            <w:tcW w:w="14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280,200</w:t>
            </w:r>
            <w:r>
              <w:rPr>
                <w:rFonts w:ascii="Arial" w:cs="Arial" w:eastAsia="Arial" w:hAnsi="Arial"/>
                <w:sz w:val="21"/>
                <w:szCs w:val="21"/>
                <w:color w:val="auto"/>
                <w:vertAlign w:val="superscript"/>
              </w:rPr>
              <w:t>(4)</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3440" w:type="dxa"/>
            <w:vAlign w:val="bottom"/>
            <w:tcBorders>
              <w:left w:val="single" w:sz="8" w:color="424E6A"/>
              <w:bottom w:val="single" w:sz="8" w:color="424E6A"/>
            </w:tcBorders>
            <w:vMerge w:val="continue"/>
          </w:tcPr>
          <w:p>
            <w:pPr>
              <w:spacing w:after="0"/>
              <w:rPr>
                <w:sz w:val="5"/>
                <w:szCs w:val="5"/>
                <w:color w:val="auto"/>
              </w:rPr>
            </w:pPr>
          </w:p>
        </w:tc>
        <w:tc>
          <w:tcPr>
            <w:tcW w:w="2200" w:type="dxa"/>
            <w:vAlign w:val="bottom"/>
            <w:tcBorders>
              <w:bottom w:val="single" w:sz="8" w:color="424E6A"/>
              <w:right w:val="single" w:sz="8" w:color="424E6A"/>
            </w:tcBorders>
            <w:vMerge w:val="continue"/>
          </w:tcPr>
          <w:p>
            <w:pPr>
              <w:spacing w:after="0"/>
              <w:rPr>
                <w:sz w:val="5"/>
                <w:szCs w:val="5"/>
                <w:color w:val="auto"/>
              </w:rPr>
            </w:pPr>
          </w:p>
        </w:tc>
        <w:tc>
          <w:tcPr>
            <w:tcW w:w="100" w:type="dxa"/>
            <w:vAlign w:val="bottom"/>
            <w:tcBorders>
              <w:bottom w:val="single" w:sz="8" w:color="424E6A"/>
            </w:tcBorders>
            <w:vMerge w:val="continue"/>
          </w:tcPr>
          <w:p>
            <w:pPr>
              <w:spacing w:after="0"/>
              <w:rPr>
                <w:sz w:val="5"/>
                <w:szCs w:val="5"/>
                <w:color w:val="auto"/>
              </w:rPr>
            </w:pPr>
          </w:p>
        </w:tc>
        <w:tc>
          <w:tcPr>
            <w:tcW w:w="500" w:type="dxa"/>
            <w:vAlign w:val="bottom"/>
            <w:tcBorders>
              <w:bottom w:val="single" w:sz="8" w:color="424E6A"/>
            </w:tcBorders>
          </w:tcPr>
          <w:p>
            <w:pPr>
              <w:ind w:left="300"/>
              <w:spacing w:after="0" w:line="68" w:lineRule="exact"/>
              <w:rPr>
                <w:sz w:val="20"/>
                <w:szCs w:val="20"/>
                <w:color w:val="auto"/>
              </w:rPr>
            </w:pPr>
            <w:r>
              <w:rPr>
                <w:rFonts w:ascii="Arial" w:cs="Arial" w:eastAsia="Arial" w:hAnsi="Arial"/>
                <w:sz w:val="7"/>
                <w:szCs w:val="7"/>
                <w:color w:val="auto"/>
              </w:rPr>
              <w:t>​</w:t>
            </w:r>
          </w:p>
        </w:tc>
        <w:tc>
          <w:tcPr>
            <w:tcW w:w="64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340" w:type="dxa"/>
            <w:vAlign w:val="bottom"/>
            <w:tcBorders>
              <w:bottom w:val="single" w:sz="8" w:color="424E6A"/>
            </w:tcBorders>
          </w:tcPr>
          <w:p>
            <w:pPr>
              <w:ind w:left="180"/>
              <w:spacing w:after="0" w:line="68" w:lineRule="exact"/>
              <w:rPr>
                <w:sz w:val="20"/>
                <w:szCs w:val="20"/>
                <w:color w:val="auto"/>
              </w:rPr>
            </w:pPr>
            <w:r>
              <w:rPr>
                <w:rFonts w:ascii="Arial" w:cs="Arial" w:eastAsia="Arial" w:hAnsi="Arial"/>
                <w:sz w:val="7"/>
                <w:szCs w:val="7"/>
                <w:color w:val="auto"/>
              </w:rPr>
              <w:t>​</w:t>
            </w:r>
          </w:p>
        </w:tc>
        <w:tc>
          <w:tcPr>
            <w:tcW w:w="68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-2759710</wp:posOffset>
            </wp:positionV>
            <wp:extent cx="26035" cy="3600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035" cy="360045"/>
                    </a:xfrm>
                    <a:prstGeom prst="rect">
                      <a:avLst/>
                    </a:prstGeom>
                    <a:noFill/>
                  </pic:spPr>
                </pic:pic>
              </a:graphicData>
            </a:graphic>
          </wp:anchor>
        </w:drawing>
      </w:r>
    </w:p>
    <w:p>
      <w:pPr>
        <w:spacing w:after="0" w:line="42" w:lineRule="exact"/>
        <w:rPr>
          <w:sz w:val="20"/>
          <w:szCs w:val="20"/>
          <w:color w:val="auto"/>
        </w:rPr>
      </w:pPr>
    </w:p>
    <w:p>
      <w:pPr>
        <w:ind w:left="1620" w:right="639" w:hanging="360"/>
        <w:spacing w:after="0" w:line="210" w:lineRule="auto"/>
        <w:tabs>
          <w:tab w:leader="none" w:pos="1620" w:val="left"/>
        </w:tabs>
        <w:numPr>
          <w:ilvl w:val="0"/>
          <w:numId w:val="65"/>
        </w:numPr>
        <w:rPr>
          <w:rFonts w:ascii="Arial" w:cs="Arial" w:eastAsia="Arial" w:hAnsi="Arial"/>
          <w:sz w:val="27"/>
          <w:szCs w:val="27"/>
          <w:color w:val="auto"/>
          <w:vertAlign w:val="superscript"/>
        </w:rPr>
      </w:pPr>
      <w:r>
        <w:rPr>
          <w:rFonts w:ascii="Arial" w:cs="Arial" w:eastAsia="Arial" w:hAnsi="Arial"/>
          <w:sz w:val="18"/>
          <w:szCs w:val="18"/>
          <w:color w:val="auto"/>
        </w:rPr>
        <w:t>Represents the gross number of phantom units that vested during the year ended December 31, 2022. The actual number of units delivered was net of income tax withholding.</w:t>
      </w:r>
    </w:p>
    <w:p>
      <w:pPr>
        <w:spacing w:after="0" w:line="73" w:lineRule="exact"/>
        <w:rPr>
          <w:rFonts w:ascii="Arial" w:cs="Arial" w:eastAsia="Arial" w:hAnsi="Arial"/>
          <w:sz w:val="27"/>
          <w:szCs w:val="27"/>
          <w:color w:val="auto"/>
          <w:vertAlign w:val="superscript"/>
        </w:rPr>
      </w:pPr>
    </w:p>
    <w:p>
      <w:pPr>
        <w:ind w:left="1620" w:right="579" w:hanging="360"/>
        <w:spacing w:after="0" w:line="228" w:lineRule="auto"/>
        <w:tabs>
          <w:tab w:leader="none" w:pos="1620" w:val="left"/>
        </w:tabs>
        <w:numPr>
          <w:ilvl w:val="0"/>
          <w:numId w:val="65"/>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($11.56) of PAA’s common units on August 11, 2022 (the trading date immediately preceding the vesting date) by the number of units that vested.</w:t>
      </w:r>
    </w:p>
    <w:p>
      <w:pPr>
        <w:spacing w:after="0" w:line="73" w:lineRule="exact"/>
        <w:rPr>
          <w:rFonts w:ascii="Arial" w:cs="Arial" w:eastAsia="Arial" w:hAnsi="Arial"/>
          <w:sz w:val="27"/>
          <w:szCs w:val="27"/>
          <w:color w:val="auto"/>
          <w:vertAlign w:val="superscript"/>
        </w:rPr>
      </w:pPr>
    </w:p>
    <w:p>
      <w:pPr>
        <w:ind w:left="1620" w:right="439" w:hanging="360"/>
        <w:spacing w:after="0" w:line="228" w:lineRule="auto"/>
        <w:tabs>
          <w:tab w:leader="none" w:pos="1620" w:val="left"/>
        </w:tabs>
        <w:numPr>
          <w:ilvl w:val="0"/>
          <w:numId w:val="65"/>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($10.21) of PAA’s common units on May 12, 2022 (the trading date immediately preceding the vesting date) by the number of units that vested.</w:t>
      </w:r>
    </w:p>
    <w:p>
      <w:pPr>
        <w:spacing w:after="0" w:line="73" w:lineRule="exact"/>
        <w:rPr>
          <w:rFonts w:ascii="Arial" w:cs="Arial" w:eastAsia="Arial" w:hAnsi="Arial"/>
          <w:sz w:val="27"/>
          <w:szCs w:val="27"/>
          <w:color w:val="auto"/>
          <w:vertAlign w:val="superscript"/>
        </w:rPr>
      </w:pPr>
    </w:p>
    <w:p>
      <w:pPr>
        <w:jc w:val="both"/>
        <w:ind w:left="1620" w:right="879" w:hanging="360"/>
        <w:spacing w:after="0" w:line="228" w:lineRule="auto"/>
        <w:tabs>
          <w:tab w:leader="none" w:pos="1620" w:val="left"/>
        </w:tabs>
        <w:numPr>
          <w:ilvl w:val="0"/>
          <w:numId w:val="65"/>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($9.34) of PAA’s common units on December 31, 2021 (the trading date immediately preceding the vesting date) by the number of units that vested.</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Pension Benefits</w:t>
      </w:r>
    </w:p>
    <w:p>
      <w:pPr>
        <w:spacing w:after="0" w:line="158"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8"/>
          <w:szCs w:val="18"/>
          <w:color w:val="auto"/>
        </w:rPr>
        <w:t>GP LLC sponsors a 401(k) plan that is available to all U.S. employees. We do not maintain any pension or defined benefit programs in which any of our employees, including the Named Executive Officers, participate.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Nonqualified Deferred Compensation and Other Nonqualified Deferred Compensation Plans</w:t>
      </w:r>
    </w:p>
    <w:p>
      <w:pPr>
        <w:spacing w:after="0" w:line="144" w:lineRule="exact"/>
        <w:rPr>
          <w:sz w:val="20"/>
          <w:szCs w:val="20"/>
          <w:color w:val="auto"/>
        </w:rPr>
      </w:pPr>
    </w:p>
    <w:p>
      <w:pPr>
        <w:ind w:left="1260" w:right="459" w:firstLine="360"/>
        <w:spacing w:after="0" w:line="303" w:lineRule="auto"/>
        <w:rPr>
          <w:sz w:val="20"/>
          <w:szCs w:val="20"/>
          <w:color w:val="auto"/>
        </w:rPr>
      </w:pPr>
      <w:r>
        <w:rPr>
          <w:rFonts w:ascii="Arial" w:cs="Arial" w:eastAsia="Arial" w:hAnsi="Arial"/>
          <w:sz w:val="18"/>
          <w:szCs w:val="18"/>
          <w:color w:val="auto"/>
        </w:rPr>
        <w:t>We do not maintain any nonqualified deferred compensation plans or programs in which any of our employees, including our Named Executive Officers, participate.</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44" w:lineRule="exact"/>
        <w:rPr>
          <w:sz w:val="20"/>
          <w:szCs w:val="20"/>
          <w:color w:val="auto"/>
        </w:rPr>
      </w:pPr>
    </w:p>
    <w:p>
      <w:pPr>
        <w:ind w:left="1260" w:right="599" w:firstLine="360"/>
        <w:spacing w:after="0" w:line="335" w:lineRule="auto"/>
        <w:rPr>
          <w:sz w:val="20"/>
          <w:szCs w:val="20"/>
          <w:color w:val="auto"/>
        </w:rPr>
      </w:pPr>
      <w:r>
        <w:rPr>
          <w:rFonts w:ascii="Arial" w:cs="Arial" w:eastAsia="Arial" w:hAnsi="Arial"/>
          <w:sz w:val="17"/>
          <w:szCs w:val="17"/>
          <w:color w:val="auto"/>
        </w:rPr>
        <w:t>The following table sets forth potential amounts payable to the Named Executive Officers upon termination of employment under various circumstances, and as if terminated on December 31, 2022.</w:t>
      </w:r>
    </w:p>
    <w:p>
      <w:pPr>
        <w:spacing w:after="0" w:line="3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140" w:type="dxa"/>
            <w:vAlign w:val="bottom"/>
            <w:tcBorders>
              <w:left w:val="single" w:sz="8" w:color="424E6A"/>
            </w:tcBorders>
            <w:shd w:val="clear" w:color="auto" w:fill="424E6A"/>
          </w:tcPr>
          <w:p>
            <w:pPr>
              <w:spacing w:after="0"/>
              <w:rPr>
                <w:sz w:val="17"/>
                <w:szCs w:val="17"/>
                <w:color w:val="auto"/>
              </w:rPr>
            </w:pPr>
          </w:p>
        </w:tc>
        <w:tc>
          <w:tcPr>
            <w:tcW w:w="1920" w:type="dxa"/>
            <w:vAlign w:val="bottom"/>
            <w:tcBorders>
              <w:right w:val="single" w:sz="8" w:color="424E6A"/>
            </w:tcBorders>
            <w:shd w:val="clear" w:color="auto" w:fill="424E6A"/>
          </w:tcPr>
          <w:p>
            <w:pPr>
              <w:spacing w:after="0"/>
              <w:rPr>
                <w:sz w:val="17"/>
                <w:szCs w:val="17"/>
                <w:color w:val="auto"/>
              </w:rPr>
            </w:pPr>
          </w:p>
        </w:tc>
        <w:tc>
          <w:tcPr>
            <w:tcW w:w="160" w:type="dxa"/>
            <w:vAlign w:val="bottom"/>
            <w:shd w:val="clear" w:color="auto" w:fill="424E6A"/>
          </w:tcPr>
          <w:p>
            <w:pPr>
              <w:spacing w:after="0"/>
              <w:rPr>
                <w:sz w:val="17"/>
                <w:szCs w:val="17"/>
                <w:color w:val="auto"/>
              </w:rPr>
            </w:pPr>
          </w:p>
        </w:tc>
        <w:tc>
          <w:tcPr>
            <w:tcW w:w="140" w:type="dxa"/>
            <w:vAlign w:val="bottom"/>
            <w:shd w:val="clear" w:color="auto" w:fill="424E6A"/>
          </w:tcPr>
          <w:p>
            <w:pPr>
              <w:spacing w:after="0"/>
              <w:rPr>
                <w:sz w:val="17"/>
                <w:szCs w:val="17"/>
                <w:color w:val="auto"/>
              </w:rPr>
            </w:pPr>
          </w:p>
        </w:tc>
        <w:tc>
          <w:tcPr>
            <w:tcW w:w="780" w:type="dxa"/>
            <w:vAlign w:val="bottom"/>
            <w:shd w:val="clear" w:color="auto" w:fill="424E6A"/>
          </w:tcPr>
          <w:p>
            <w:pPr>
              <w:spacing w:after="0"/>
              <w:rPr>
                <w:sz w:val="17"/>
                <w:szCs w:val="17"/>
                <w:color w:val="auto"/>
              </w:rPr>
            </w:pPr>
          </w:p>
        </w:tc>
        <w:tc>
          <w:tcPr>
            <w:tcW w:w="140" w:type="dxa"/>
            <w:vAlign w:val="bottom"/>
            <w:shd w:val="clear" w:color="auto" w:fill="424E6A"/>
          </w:tcPr>
          <w:p>
            <w:pPr>
              <w:spacing w:after="0"/>
              <w:rPr>
                <w:sz w:val="17"/>
                <w:szCs w:val="17"/>
                <w:color w:val="auto"/>
              </w:rPr>
            </w:pPr>
          </w:p>
        </w:tc>
        <w:tc>
          <w:tcPr>
            <w:tcW w:w="120" w:type="dxa"/>
            <w:vAlign w:val="bottom"/>
            <w:tcBorders>
              <w:right w:val="single" w:sz="8" w:color="424E6A"/>
            </w:tcBorders>
            <w:shd w:val="clear" w:color="auto" w:fill="424E6A"/>
          </w:tcPr>
          <w:p>
            <w:pPr>
              <w:spacing w:after="0"/>
              <w:rPr>
                <w:sz w:val="17"/>
                <w:szCs w:val="17"/>
                <w:color w:val="auto"/>
              </w:rPr>
            </w:pPr>
          </w:p>
        </w:tc>
        <w:tc>
          <w:tcPr>
            <w:tcW w:w="180" w:type="dxa"/>
            <w:vAlign w:val="bottom"/>
            <w:shd w:val="clear" w:color="auto" w:fill="424E6A"/>
          </w:tcPr>
          <w:p>
            <w:pPr>
              <w:spacing w:after="0"/>
              <w:rPr>
                <w:sz w:val="17"/>
                <w:szCs w:val="17"/>
                <w:color w:val="auto"/>
              </w:rPr>
            </w:pPr>
          </w:p>
        </w:tc>
        <w:tc>
          <w:tcPr>
            <w:tcW w:w="120" w:type="dxa"/>
            <w:vAlign w:val="bottom"/>
            <w:shd w:val="clear" w:color="auto" w:fill="424E6A"/>
          </w:tcPr>
          <w:p>
            <w:pPr>
              <w:spacing w:after="0"/>
              <w:rPr>
                <w:sz w:val="17"/>
                <w:szCs w:val="17"/>
                <w:color w:val="auto"/>
              </w:rPr>
            </w:pPr>
          </w:p>
        </w:tc>
        <w:tc>
          <w:tcPr>
            <w:tcW w:w="780" w:type="dxa"/>
            <w:vAlign w:val="bottom"/>
            <w:shd w:val="clear" w:color="auto" w:fill="424E6A"/>
          </w:tcPr>
          <w:p>
            <w:pPr>
              <w:spacing w:after="0"/>
              <w:rPr>
                <w:sz w:val="17"/>
                <w:szCs w:val="17"/>
                <w:color w:val="auto"/>
              </w:rPr>
            </w:pPr>
          </w:p>
        </w:tc>
        <w:tc>
          <w:tcPr>
            <w:tcW w:w="140" w:type="dxa"/>
            <w:vAlign w:val="bottom"/>
            <w:shd w:val="clear" w:color="auto" w:fill="424E6A"/>
          </w:tcPr>
          <w:p>
            <w:pPr>
              <w:spacing w:after="0"/>
              <w:rPr>
                <w:sz w:val="17"/>
                <w:szCs w:val="17"/>
                <w:color w:val="auto"/>
              </w:rPr>
            </w:pPr>
          </w:p>
        </w:tc>
        <w:tc>
          <w:tcPr>
            <w:tcW w:w="140" w:type="dxa"/>
            <w:vAlign w:val="bottom"/>
            <w:tcBorders>
              <w:right w:val="single" w:sz="8" w:color="424E6A"/>
            </w:tcBorders>
            <w:shd w:val="clear" w:color="auto" w:fill="424E6A"/>
          </w:tcPr>
          <w:p>
            <w:pPr>
              <w:spacing w:after="0"/>
              <w:rPr>
                <w:sz w:val="17"/>
                <w:szCs w:val="17"/>
                <w:color w:val="auto"/>
              </w:rPr>
            </w:pPr>
          </w:p>
        </w:tc>
        <w:tc>
          <w:tcPr>
            <w:tcW w:w="180" w:type="dxa"/>
            <w:vAlign w:val="bottom"/>
            <w:shd w:val="clear" w:color="auto" w:fill="424E6A"/>
          </w:tcPr>
          <w:p>
            <w:pPr>
              <w:spacing w:after="0"/>
              <w:rPr>
                <w:sz w:val="17"/>
                <w:szCs w:val="17"/>
                <w:color w:val="auto"/>
              </w:rPr>
            </w:pPr>
          </w:p>
        </w:tc>
        <w:tc>
          <w:tcPr>
            <w:tcW w:w="760" w:type="dxa"/>
            <w:vAlign w:val="bottom"/>
            <w:shd w:val="clear" w:color="auto" w:fill="424E6A"/>
          </w:tcPr>
          <w:p>
            <w:pPr>
              <w:spacing w:after="0"/>
              <w:rPr>
                <w:sz w:val="17"/>
                <w:szCs w:val="17"/>
                <w:color w:val="auto"/>
              </w:rPr>
            </w:pPr>
          </w:p>
        </w:tc>
        <w:tc>
          <w:tcPr>
            <w:tcW w:w="160" w:type="dxa"/>
            <w:vAlign w:val="bottom"/>
            <w:tcBorders>
              <w:right w:val="single" w:sz="8" w:color="424E6A"/>
            </w:tcBorders>
            <w:shd w:val="clear" w:color="auto" w:fill="424E6A"/>
          </w:tcPr>
          <w:p>
            <w:pPr>
              <w:spacing w:after="0"/>
              <w:rPr>
                <w:sz w:val="17"/>
                <w:szCs w:val="17"/>
                <w:color w:val="auto"/>
              </w:rPr>
            </w:pPr>
          </w:p>
        </w:tc>
        <w:tc>
          <w:tcPr>
            <w:tcW w:w="140" w:type="dxa"/>
            <w:vAlign w:val="bottom"/>
            <w:shd w:val="clear" w:color="auto" w:fill="424E6A"/>
          </w:tcPr>
          <w:p>
            <w:pPr>
              <w:spacing w:after="0"/>
              <w:rPr>
                <w:sz w:val="17"/>
                <w:szCs w:val="17"/>
                <w:color w:val="auto"/>
              </w:rPr>
            </w:pPr>
          </w:p>
        </w:tc>
        <w:tc>
          <w:tcPr>
            <w:tcW w:w="120" w:type="dxa"/>
            <w:vAlign w:val="bottom"/>
            <w:shd w:val="clear" w:color="auto" w:fill="424E6A"/>
          </w:tcPr>
          <w:p>
            <w:pPr>
              <w:spacing w:after="0"/>
              <w:rPr>
                <w:sz w:val="17"/>
                <w:szCs w:val="17"/>
                <w:color w:val="auto"/>
              </w:rPr>
            </w:pPr>
          </w:p>
        </w:tc>
        <w:tc>
          <w:tcPr>
            <w:tcW w:w="680" w:type="dxa"/>
            <w:vAlign w:val="bottom"/>
            <w:shd w:val="clear" w:color="auto" w:fill="424E6A"/>
          </w:tcPr>
          <w:p>
            <w:pPr>
              <w:spacing w:after="0"/>
              <w:rPr>
                <w:sz w:val="17"/>
                <w:szCs w:val="17"/>
                <w:color w:val="auto"/>
              </w:rPr>
            </w:pPr>
          </w:p>
        </w:tc>
        <w:tc>
          <w:tcPr>
            <w:tcW w:w="220" w:type="dxa"/>
            <w:vAlign w:val="bottom"/>
            <w:tcBorders>
              <w:right w:val="single" w:sz="8" w:color="424E6A"/>
            </w:tcBorders>
            <w:shd w:val="clear" w:color="auto" w:fill="424E6A"/>
          </w:tcPr>
          <w:p>
            <w:pPr>
              <w:spacing w:after="0"/>
              <w:rPr>
                <w:sz w:val="17"/>
                <w:szCs w:val="17"/>
                <w:color w:val="auto"/>
              </w:rPr>
            </w:pPr>
          </w:p>
        </w:tc>
        <w:tc>
          <w:tcPr>
            <w:tcW w:w="120" w:type="dxa"/>
            <w:vAlign w:val="bottom"/>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7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6"/>
              </w:rPr>
              <w:t>In</w:t>
            </w:r>
          </w:p>
        </w:tc>
        <w:tc>
          <w:tcPr>
            <w:tcW w:w="220" w:type="dxa"/>
            <w:vAlign w:val="bottom"/>
            <w:tcBorders>
              <w:right w:val="single" w:sz="8" w:color="424E6A"/>
            </w:tcBorders>
            <w:shd w:val="clear" w:color="auto" w:fill="424E6A"/>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424E6A"/>
            </w:tcBorders>
            <w:shd w:val="clear" w:color="auto" w:fill="424E6A"/>
          </w:tcPr>
          <w:p>
            <w:pPr>
              <w:spacing w:after="0"/>
              <w:rPr>
                <w:sz w:val="14"/>
                <w:szCs w:val="14"/>
                <w:color w:val="auto"/>
              </w:rPr>
            </w:pPr>
          </w:p>
        </w:tc>
        <w:tc>
          <w:tcPr>
            <w:tcW w:w="192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78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78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4"/>
              <w:spacing w:after="0"/>
              <w:rPr>
                <w:sz w:val="20"/>
                <w:szCs w:val="20"/>
                <w:color w:val="auto"/>
              </w:rPr>
            </w:pPr>
            <w:r>
              <w:rPr>
                <w:rFonts w:ascii="Arial" w:cs="Arial" w:eastAsia="Arial" w:hAnsi="Arial"/>
                <w:sz w:val="14"/>
                <w:szCs w:val="14"/>
                <w:b w:val="1"/>
                <w:bCs w:val="1"/>
                <w:color w:val="FFFFFF"/>
              </w:rPr>
              <w:t>By</w:t>
            </w:r>
          </w:p>
        </w:tc>
        <w:tc>
          <w:tcPr>
            <w:tcW w:w="1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680" w:type="dxa"/>
            <w:vAlign w:val="bottom"/>
            <w:shd w:val="clear" w:color="auto" w:fill="424E6A"/>
          </w:tcPr>
          <w:p>
            <w:pPr>
              <w:jc w:val="center"/>
              <w:ind w:right="21"/>
              <w:spacing w:after="0"/>
              <w:rPr>
                <w:sz w:val="20"/>
                <w:szCs w:val="20"/>
                <w:color w:val="auto"/>
              </w:rPr>
            </w:pPr>
            <w:r>
              <w:rPr>
                <w:rFonts w:ascii="Arial" w:cs="Arial" w:eastAsia="Arial" w:hAnsi="Arial"/>
                <w:sz w:val="14"/>
                <w:szCs w:val="14"/>
                <w:b w:val="1"/>
                <w:bCs w:val="1"/>
                <w:color w:val="FFFFFF"/>
              </w:rPr>
              <w:t>By</w:t>
            </w:r>
          </w:p>
        </w:tc>
        <w:tc>
          <w:tcPr>
            <w:tcW w:w="22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860" w:type="dxa"/>
            <w:vAlign w:val="bottom"/>
            <w:gridSpan w:val="2"/>
            <w:shd w:val="clear" w:color="auto" w:fill="424E6A"/>
          </w:tcPr>
          <w:p>
            <w:pPr>
              <w:ind w:left="40"/>
              <w:spacing w:after="0"/>
              <w:rPr>
                <w:sz w:val="20"/>
                <w:szCs w:val="20"/>
                <w:color w:val="auto"/>
              </w:rPr>
            </w:pPr>
            <w:r>
              <w:rPr>
                <w:rFonts w:ascii="Arial" w:cs="Arial" w:eastAsia="Arial" w:hAnsi="Arial"/>
                <w:sz w:val="14"/>
                <w:szCs w:val="14"/>
                <w:b w:val="1"/>
                <w:bCs w:val="1"/>
                <w:color w:val="FFFFFF"/>
              </w:rPr>
              <w:t>Connection</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424E6A"/>
            </w:tcBorders>
            <w:shd w:val="clear" w:color="auto" w:fill="424E6A"/>
          </w:tcPr>
          <w:p>
            <w:pPr>
              <w:spacing w:after="0"/>
              <w:rPr>
                <w:sz w:val="14"/>
                <w:szCs w:val="14"/>
                <w:color w:val="auto"/>
              </w:rPr>
            </w:pPr>
          </w:p>
        </w:tc>
        <w:tc>
          <w:tcPr>
            <w:tcW w:w="192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780" w:type="dxa"/>
            <w:vAlign w:val="bottom"/>
            <w:shd w:val="clear" w:color="auto" w:fill="424E6A"/>
          </w:tcPr>
          <w:p>
            <w:pPr>
              <w:jc w:val="center"/>
              <w:ind w:right="24"/>
              <w:spacing w:after="0"/>
              <w:rPr>
                <w:sz w:val="20"/>
                <w:szCs w:val="20"/>
                <w:color w:val="auto"/>
              </w:rPr>
            </w:pPr>
            <w:r>
              <w:rPr>
                <w:rFonts w:ascii="Arial" w:cs="Arial" w:eastAsia="Arial" w:hAnsi="Arial"/>
                <w:sz w:val="14"/>
                <w:szCs w:val="14"/>
                <w:b w:val="1"/>
                <w:bCs w:val="1"/>
                <w:color w:val="FFFFFF"/>
              </w:rPr>
              <w:t>By</w:t>
            </w:r>
          </w:p>
        </w:tc>
        <w:tc>
          <w:tcPr>
            <w:tcW w:w="14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780" w:type="dxa"/>
            <w:vAlign w:val="bottom"/>
            <w:shd w:val="clear" w:color="auto" w:fill="424E6A"/>
          </w:tcPr>
          <w:p>
            <w:pPr>
              <w:jc w:val="center"/>
              <w:ind w:right="4"/>
              <w:spacing w:after="0"/>
              <w:rPr>
                <w:sz w:val="20"/>
                <w:szCs w:val="20"/>
                <w:color w:val="auto"/>
              </w:rPr>
            </w:pPr>
            <w:r>
              <w:rPr>
                <w:rFonts w:ascii="Arial" w:cs="Arial" w:eastAsia="Arial" w:hAnsi="Arial"/>
                <w:sz w:val="14"/>
                <w:szCs w:val="14"/>
                <w:b w:val="1"/>
                <w:bCs w:val="1"/>
                <w:color w:val="FFFFFF"/>
              </w:rPr>
              <w:t>By</w:t>
            </w:r>
          </w:p>
        </w:tc>
        <w:tc>
          <w:tcPr>
            <w:tcW w:w="14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4"/>
              <w:spacing w:after="0"/>
              <w:rPr>
                <w:sz w:val="20"/>
                <w:szCs w:val="20"/>
                <w:color w:val="auto"/>
              </w:rPr>
            </w:pPr>
            <w:r>
              <w:rPr>
                <w:rFonts w:ascii="Arial" w:cs="Arial" w:eastAsia="Arial" w:hAnsi="Arial"/>
                <w:sz w:val="14"/>
                <w:szCs w:val="14"/>
                <w:b w:val="1"/>
                <w:bCs w:val="1"/>
                <w:color w:val="FFFFFF"/>
              </w:rPr>
              <w:t>Company</w:t>
            </w:r>
          </w:p>
        </w:tc>
        <w:tc>
          <w:tcPr>
            <w:tcW w:w="1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Executive</w:t>
            </w:r>
          </w:p>
        </w:tc>
        <w:tc>
          <w:tcPr>
            <w:tcW w:w="22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7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with a</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424E6A"/>
            </w:tcBorders>
            <w:shd w:val="clear" w:color="auto" w:fill="424E6A"/>
          </w:tcPr>
          <w:p>
            <w:pPr>
              <w:spacing w:after="0"/>
              <w:rPr>
                <w:sz w:val="14"/>
                <w:szCs w:val="14"/>
                <w:color w:val="auto"/>
              </w:rPr>
            </w:pPr>
          </w:p>
        </w:tc>
        <w:tc>
          <w:tcPr>
            <w:tcW w:w="192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780" w:type="dxa"/>
            <w:vAlign w:val="bottom"/>
            <w:shd w:val="clear" w:color="auto" w:fill="424E6A"/>
          </w:tcPr>
          <w:p>
            <w:pPr>
              <w:jc w:val="center"/>
              <w:ind w:right="24"/>
              <w:spacing w:after="0"/>
              <w:rPr>
                <w:sz w:val="20"/>
                <w:szCs w:val="20"/>
                <w:color w:val="auto"/>
              </w:rPr>
            </w:pPr>
            <w:r>
              <w:rPr>
                <w:rFonts w:ascii="Arial" w:cs="Arial" w:eastAsia="Arial" w:hAnsi="Arial"/>
                <w:sz w:val="14"/>
                <w:szCs w:val="14"/>
                <w:b w:val="1"/>
                <w:bCs w:val="1"/>
                <w:color w:val="FFFFFF"/>
              </w:rPr>
              <w:t>Reason of</w:t>
            </w:r>
          </w:p>
        </w:tc>
        <w:tc>
          <w:tcPr>
            <w:tcW w:w="14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780" w:type="dxa"/>
            <w:vAlign w:val="bottom"/>
            <w:shd w:val="clear" w:color="auto" w:fill="424E6A"/>
          </w:tcPr>
          <w:p>
            <w:pPr>
              <w:jc w:val="center"/>
              <w:ind w:right="4"/>
              <w:spacing w:after="0"/>
              <w:rPr>
                <w:sz w:val="20"/>
                <w:szCs w:val="20"/>
                <w:color w:val="auto"/>
              </w:rPr>
            </w:pPr>
            <w:r>
              <w:rPr>
                <w:rFonts w:ascii="Arial" w:cs="Arial" w:eastAsia="Arial" w:hAnsi="Arial"/>
                <w:sz w:val="14"/>
                <w:szCs w:val="14"/>
                <w:b w:val="1"/>
                <w:bCs w:val="1"/>
                <w:color w:val="FFFFFF"/>
              </w:rPr>
              <w:t>Reason of</w:t>
            </w:r>
          </w:p>
        </w:tc>
        <w:tc>
          <w:tcPr>
            <w:tcW w:w="14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4"/>
              <w:spacing w:after="0"/>
              <w:rPr>
                <w:sz w:val="20"/>
                <w:szCs w:val="20"/>
                <w:color w:val="auto"/>
              </w:rPr>
            </w:pPr>
            <w:r>
              <w:rPr>
                <w:rFonts w:ascii="Arial" w:cs="Arial" w:eastAsia="Arial" w:hAnsi="Arial"/>
                <w:sz w:val="14"/>
                <w:szCs w:val="14"/>
                <w:b w:val="1"/>
                <w:bCs w:val="1"/>
                <w:color w:val="FFFFFF"/>
              </w:rPr>
              <w:t>without</w:t>
            </w:r>
          </w:p>
        </w:tc>
        <w:tc>
          <w:tcPr>
            <w:tcW w:w="1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with Good</w:t>
            </w:r>
          </w:p>
        </w:tc>
        <w:tc>
          <w:tcPr>
            <w:tcW w:w="22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780" w:type="dxa"/>
            <w:vAlign w:val="bottom"/>
            <w:shd w:val="clear" w:color="auto" w:fill="424E6A"/>
          </w:tcPr>
          <w:p>
            <w:pPr>
              <w:jc w:val="center"/>
              <w:ind w:right="5"/>
              <w:spacing w:after="0"/>
              <w:rPr>
                <w:sz w:val="20"/>
                <w:szCs w:val="20"/>
                <w:color w:val="auto"/>
              </w:rPr>
            </w:pPr>
            <w:r>
              <w:rPr>
                <w:rFonts w:ascii="Arial" w:cs="Arial" w:eastAsia="Arial" w:hAnsi="Arial"/>
                <w:sz w:val="14"/>
                <w:szCs w:val="14"/>
                <w:b w:val="1"/>
                <w:bCs w:val="1"/>
                <w:color w:val="FFFFFF"/>
              </w:rPr>
              <w:t>Change In</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424E6A"/>
            </w:tcBorders>
            <w:shd w:val="clear" w:color="auto" w:fill="424E6A"/>
          </w:tcPr>
          <w:p>
            <w:pPr>
              <w:spacing w:after="0"/>
              <w:rPr>
                <w:sz w:val="14"/>
                <w:szCs w:val="14"/>
                <w:color w:val="auto"/>
              </w:rPr>
            </w:pPr>
          </w:p>
        </w:tc>
        <w:tc>
          <w:tcPr>
            <w:tcW w:w="192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780" w:type="dxa"/>
            <w:vAlign w:val="bottom"/>
            <w:shd w:val="clear" w:color="auto" w:fill="424E6A"/>
          </w:tcPr>
          <w:p>
            <w:pPr>
              <w:jc w:val="center"/>
              <w:ind w:right="24"/>
              <w:spacing w:after="0"/>
              <w:rPr>
                <w:sz w:val="20"/>
                <w:szCs w:val="20"/>
                <w:color w:val="auto"/>
              </w:rPr>
            </w:pPr>
            <w:r>
              <w:rPr>
                <w:rFonts w:ascii="Arial" w:cs="Arial" w:eastAsia="Arial" w:hAnsi="Arial"/>
                <w:sz w:val="14"/>
                <w:szCs w:val="14"/>
                <w:b w:val="1"/>
                <w:bCs w:val="1"/>
                <w:color w:val="FFFFFF"/>
              </w:rPr>
              <w:t>Death</w:t>
            </w:r>
          </w:p>
        </w:tc>
        <w:tc>
          <w:tcPr>
            <w:tcW w:w="14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780" w:type="dxa"/>
            <w:vAlign w:val="bottom"/>
            <w:shd w:val="clear" w:color="auto" w:fill="424E6A"/>
          </w:tcPr>
          <w:p>
            <w:pPr>
              <w:jc w:val="center"/>
              <w:ind w:right="4"/>
              <w:spacing w:after="0"/>
              <w:rPr>
                <w:sz w:val="20"/>
                <w:szCs w:val="20"/>
                <w:color w:val="auto"/>
              </w:rPr>
            </w:pPr>
            <w:r>
              <w:rPr>
                <w:rFonts w:ascii="Arial" w:cs="Arial" w:eastAsia="Arial" w:hAnsi="Arial"/>
                <w:sz w:val="14"/>
                <w:szCs w:val="14"/>
                <w:b w:val="1"/>
                <w:bCs w:val="1"/>
                <w:color w:val="FFFFFF"/>
                <w:w w:val="99"/>
              </w:rPr>
              <w:t>Disability</w:t>
            </w:r>
          </w:p>
        </w:tc>
        <w:tc>
          <w:tcPr>
            <w:tcW w:w="14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4"/>
              <w:spacing w:after="0"/>
              <w:rPr>
                <w:sz w:val="20"/>
                <w:szCs w:val="20"/>
                <w:color w:val="auto"/>
              </w:rPr>
            </w:pPr>
            <w:r>
              <w:rPr>
                <w:rFonts w:ascii="Arial" w:cs="Arial" w:eastAsia="Arial" w:hAnsi="Arial"/>
                <w:sz w:val="14"/>
                <w:szCs w:val="14"/>
                <w:b w:val="1"/>
                <w:bCs w:val="1"/>
                <w:color w:val="FFFFFF"/>
              </w:rPr>
              <w:t>Cause</w:t>
            </w:r>
          </w:p>
        </w:tc>
        <w:tc>
          <w:tcPr>
            <w:tcW w:w="1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680" w:type="dxa"/>
            <w:vAlign w:val="bottom"/>
            <w:shd w:val="clear" w:color="auto" w:fill="424E6A"/>
          </w:tcPr>
          <w:p>
            <w:pPr>
              <w:jc w:val="center"/>
              <w:ind w:right="41"/>
              <w:spacing w:after="0"/>
              <w:rPr>
                <w:sz w:val="20"/>
                <w:szCs w:val="20"/>
                <w:color w:val="auto"/>
              </w:rPr>
            </w:pPr>
            <w:r>
              <w:rPr>
                <w:rFonts w:ascii="Arial" w:cs="Arial" w:eastAsia="Arial" w:hAnsi="Arial"/>
                <w:sz w:val="14"/>
                <w:szCs w:val="14"/>
                <w:b w:val="1"/>
                <w:bCs w:val="1"/>
                <w:color w:val="FFFFFF"/>
              </w:rPr>
              <w:t>Reason</w:t>
            </w:r>
          </w:p>
        </w:tc>
        <w:tc>
          <w:tcPr>
            <w:tcW w:w="22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780" w:type="dxa"/>
            <w:vAlign w:val="bottom"/>
            <w:shd w:val="clear" w:color="auto" w:fill="424E6A"/>
          </w:tcPr>
          <w:p>
            <w:pPr>
              <w:jc w:val="center"/>
              <w:ind w:right="5"/>
              <w:spacing w:after="0"/>
              <w:rPr>
                <w:sz w:val="20"/>
                <w:szCs w:val="20"/>
                <w:color w:val="auto"/>
              </w:rPr>
            </w:pPr>
            <w:r>
              <w:rPr>
                <w:rFonts w:ascii="Arial" w:cs="Arial" w:eastAsia="Arial" w:hAnsi="Arial"/>
                <w:sz w:val="14"/>
                <w:szCs w:val="14"/>
                <w:b w:val="1"/>
                <w:bCs w:val="1"/>
                <w:color w:val="FFFFFF"/>
              </w:rPr>
              <w:t>Control</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40" w:type="dxa"/>
            <w:vAlign w:val="bottom"/>
            <w:tcBorders>
              <w:lef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920" w:type="dxa"/>
            <w:vAlign w:val="bottom"/>
            <w:tcBorders>
              <w:right w:val="single" w:sz="8" w:color="424E6A"/>
            </w:tcBorders>
            <w:shd w:val="clear" w:color="auto" w:fill="424E6A"/>
          </w:tcPr>
          <w:p>
            <w:pPr>
              <w:spacing w:after="0"/>
              <w:rPr>
                <w:sz w:val="18"/>
                <w:szCs w:val="18"/>
                <w:color w:val="auto"/>
              </w:rPr>
            </w:pPr>
          </w:p>
        </w:tc>
        <w:tc>
          <w:tcPr>
            <w:tcW w:w="16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shd w:val="clear" w:color="auto" w:fill="424E6A"/>
          </w:tcPr>
          <w:p>
            <w:pPr>
              <w:spacing w:after="0"/>
              <w:rPr>
                <w:sz w:val="18"/>
                <w:szCs w:val="18"/>
                <w:color w:val="auto"/>
              </w:rPr>
            </w:pPr>
          </w:p>
        </w:tc>
        <w:tc>
          <w:tcPr>
            <w:tcW w:w="7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3"/>
              </w:rPr>
              <w:t>($)</w:t>
            </w:r>
          </w:p>
        </w:tc>
        <w:tc>
          <w:tcPr>
            <w:tcW w:w="140" w:type="dxa"/>
            <w:vAlign w:val="bottom"/>
            <w:shd w:val="clear" w:color="auto" w:fill="424E6A"/>
          </w:tcPr>
          <w:p>
            <w:pPr>
              <w:spacing w:after="0"/>
              <w:rPr>
                <w:sz w:val="18"/>
                <w:szCs w:val="18"/>
                <w:color w:val="auto"/>
              </w:rPr>
            </w:pPr>
          </w:p>
        </w:tc>
        <w:tc>
          <w:tcPr>
            <w:tcW w:w="300" w:type="dxa"/>
            <w:vAlign w:val="bottom"/>
            <w:gridSpan w:val="2"/>
            <w:shd w:val="clear" w:color="auto" w:fill="424E6A"/>
          </w:tcPr>
          <w:p>
            <w:pPr>
              <w:jc w:val="right"/>
              <w:ind w:right="19"/>
              <w:spacing w:after="0"/>
              <w:rPr>
                <w:sz w:val="20"/>
                <w:szCs w:val="20"/>
                <w:color w:val="auto"/>
              </w:rPr>
            </w:pPr>
            <w:r>
              <w:rPr>
                <w:rFonts w:ascii="Arial" w:cs="Arial" w:eastAsia="Arial" w:hAnsi="Arial"/>
                <w:sz w:val="14"/>
                <w:szCs w:val="14"/>
                <w:b w:val="1"/>
                <w:bCs w:val="1"/>
                <w:color w:val="FFFFFF"/>
              </w:rPr>
              <w:t>​ ​</w:t>
            </w:r>
          </w:p>
        </w:tc>
        <w:tc>
          <w:tcPr>
            <w:tcW w:w="120" w:type="dxa"/>
            <w:vAlign w:val="bottom"/>
            <w:shd w:val="clear" w:color="auto" w:fill="424E6A"/>
          </w:tcPr>
          <w:p>
            <w:pPr>
              <w:spacing w:after="0"/>
              <w:rPr>
                <w:sz w:val="18"/>
                <w:szCs w:val="18"/>
                <w:color w:val="auto"/>
              </w:rPr>
            </w:pPr>
          </w:p>
        </w:tc>
        <w:tc>
          <w:tcPr>
            <w:tcW w:w="7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w:t>
            </w:r>
          </w:p>
        </w:tc>
        <w:tc>
          <w:tcPr>
            <w:tcW w:w="140" w:type="dxa"/>
            <w:vAlign w:val="bottom"/>
            <w:shd w:val="clear" w:color="auto" w:fill="424E6A"/>
          </w:tcPr>
          <w:p>
            <w:pPr>
              <w:spacing w:after="0"/>
              <w:rPr>
                <w:sz w:val="18"/>
                <w:szCs w:val="18"/>
                <w:color w:val="auto"/>
              </w:rPr>
            </w:pPr>
          </w:p>
        </w:tc>
        <w:tc>
          <w:tcPr>
            <w:tcW w:w="320" w:type="dxa"/>
            <w:vAlign w:val="bottom"/>
            <w:gridSpan w:val="2"/>
            <w:shd w:val="clear" w:color="auto" w:fill="424E6A"/>
          </w:tcPr>
          <w:p>
            <w:pPr>
              <w:ind w:left="80"/>
              <w:spacing w:after="0"/>
              <w:rPr>
                <w:sz w:val="20"/>
                <w:szCs w:val="20"/>
                <w:color w:val="auto"/>
              </w:rPr>
            </w:pPr>
            <w:r>
              <w:rPr>
                <w:rFonts w:ascii="Arial" w:cs="Arial" w:eastAsia="Arial" w:hAnsi="Arial"/>
                <w:sz w:val="14"/>
                <w:szCs w:val="14"/>
                <w:b w:val="1"/>
                <w:bCs w:val="1"/>
                <w:color w:val="FFFFFF"/>
              </w:rPr>
              <w:t>​ ​</w:t>
            </w:r>
          </w:p>
        </w:tc>
        <w:tc>
          <w:tcPr>
            <w:tcW w:w="7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3"/>
              </w:rPr>
              <w:t>($)</w:t>
            </w:r>
          </w:p>
        </w:tc>
        <w:tc>
          <w:tcPr>
            <w:tcW w:w="30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20" w:type="dxa"/>
            <w:vAlign w:val="bottom"/>
            <w:shd w:val="clear" w:color="auto" w:fill="424E6A"/>
          </w:tcPr>
          <w:p>
            <w:pPr>
              <w:spacing w:after="0"/>
              <w:rPr>
                <w:sz w:val="18"/>
                <w:szCs w:val="18"/>
                <w:color w:val="auto"/>
              </w:rPr>
            </w:pPr>
          </w:p>
        </w:tc>
        <w:tc>
          <w:tcPr>
            <w:tcW w:w="6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w:t>
            </w:r>
          </w:p>
        </w:tc>
        <w:tc>
          <w:tcPr>
            <w:tcW w:w="340" w:type="dxa"/>
            <w:vAlign w:val="bottom"/>
            <w:gridSpan w:val="2"/>
            <w:shd w:val="clear" w:color="auto" w:fill="424E6A"/>
          </w:tcPr>
          <w:p>
            <w:pPr>
              <w:ind w:left="140"/>
              <w:spacing w:after="0"/>
              <w:rPr>
                <w:sz w:val="20"/>
                <w:szCs w:val="20"/>
                <w:color w:val="auto"/>
              </w:rPr>
            </w:pPr>
            <w:r>
              <w:rPr>
                <w:rFonts w:ascii="Arial" w:cs="Arial" w:eastAsia="Arial" w:hAnsi="Arial"/>
                <w:sz w:val="14"/>
                <w:szCs w:val="14"/>
                <w:b w:val="1"/>
                <w:bCs w:val="1"/>
                <w:color w:val="FFFFFF"/>
              </w:rPr>
              <w:t>​ ​</w:t>
            </w:r>
          </w:p>
        </w:tc>
        <w:tc>
          <w:tcPr>
            <w:tcW w:w="80" w:type="dxa"/>
            <w:vAlign w:val="bottom"/>
            <w:shd w:val="clear" w:color="auto" w:fill="424E6A"/>
          </w:tcPr>
          <w:p>
            <w:pPr>
              <w:spacing w:after="0"/>
              <w:rPr>
                <w:sz w:val="18"/>
                <w:szCs w:val="18"/>
                <w:color w:val="auto"/>
              </w:rPr>
            </w:pPr>
          </w:p>
        </w:tc>
        <w:tc>
          <w:tcPr>
            <w:tcW w:w="7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right w:val="single" w:sz="8" w:color="424E6A"/>
            </w:tcBorders>
            <w:shd w:val="clear" w:color="auto" w:fill="424E6A"/>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60" w:type="dxa"/>
            <w:vAlign w:val="bottom"/>
            <w:tcBorders>
              <w:left w:val="single" w:sz="8" w:color="424E6A"/>
              <w:bottom w:val="single" w:sz="8" w:color="424E6A"/>
              <w:right w:val="single" w:sz="8" w:color="424E6A"/>
            </w:tcBorders>
            <w:gridSpan w:val="2"/>
            <w:shd w:val="clear" w:color="auto" w:fill="D9DCE1"/>
          </w:tcPr>
          <w:p>
            <w:pPr>
              <w:ind w:left="40"/>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6"/>
                <w:szCs w:val="16"/>
                <w:b w:val="1"/>
                <w:bCs w:val="1"/>
                <w:color w:val="auto"/>
              </w:rPr>
              <w:t>Willie Chiang</w:t>
            </w:r>
            <w:r>
              <w:rPr>
                <w:rFonts w:ascii="Arial" w:cs="Arial" w:eastAsia="Arial" w:hAnsi="Arial"/>
                <w:sz w:val="19"/>
                <w:szCs w:val="19"/>
                <w:b w:val="1"/>
                <w:bCs w:val="1"/>
                <w:color w:val="auto"/>
                <w:vertAlign w:val="superscript"/>
              </w:rPr>
              <w:t>(7)</w:t>
            </w:r>
          </w:p>
        </w:tc>
        <w:tc>
          <w:tcPr>
            <w:tcW w:w="1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3"/>
                <w:szCs w:val="23"/>
                <w:color w:val="auto"/>
              </w:rPr>
            </w:pPr>
          </w:p>
        </w:tc>
        <w:tc>
          <w:tcPr>
            <w:tcW w:w="140" w:type="dxa"/>
            <w:vAlign w:val="bottom"/>
            <w:tcBorders>
              <w:bottom w:val="single" w:sz="8" w:color="424E6A"/>
            </w:tcBorders>
            <w:shd w:val="clear" w:color="auto" w:fill="D9DCE1"/>
          </w:tcPr>
          <w:p>
            <w:pPr>
              <w:spacing w:after="0"/>
              <w:rPr>
                <w:sz w:val="23"/>
                <w:szCs w:val="23"/>
                <w:color w:val="auto"/>
              </w:rPr>
            </w:pP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3"/>
                <w:szCs w:val="23"/>
                <w:color w:val="auto"/>
              </w:rPr>
            </w:pPr>
          </w:p>
        </w:tc>
        <w:tc>
          <w:tcPr>
            <w:tcW w:w="140" w:type="dxa"/>
            <w:vAlign w:val="bottom"/>
            <w:tcBorders>
              <w:bottom w:val="single" w:sz="8" w:color="424E6A"/>
            </w:tcBorders>
            <w:shd w:val="clear" w:color="auto" w:fill="D9DCE1"/>
          </w:tcPr>
          <w:p>
            <w:pPr>
              <w:spacing w:after="0"/>
              <w:rPr>
                <w:sz w:val="23"/>
                <w:szCs w:val="23"/>
                <w:color w:val="auto"/>
              </w:rPr>
            </w:pP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 ​</w:t>
            </w:r>
          </w:p>
        </w:tc>
        <w:tc>
          <w:tcPr>
            <w:tcW w:w="760" w:type="dxa"/>
            <w:vAlign w:val="bottom"/>
            <w:tcBorders>
              <w:bottom w:val="single" w:sz="8" w:color="424E6A"/>
            </w:tcBorders>
            <w:shd w:val="clear" w:color="auto" w:fill="D9DCE1"/>
          </w:tcPr>
          <w:p>
            <w:pPr>
              <w:spacing w:after="0"/>
              <w:rPr>
                <w:sz w:val="23"/>
                <w:szCs w:val="23"/>
                <w:color w:val="auto"/>
              </w:rPr>
            </w:pPr>
          </w:p>
        </w:tc>
        <w:tc>
          <w:tcPr>
            <w:tcW w:w="1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424E6A"/>
            </w:tcBorders>
            <w:shd w:val="clear" w:color="auto" w:fill="D9DCE1"/>
          </w:tcPr>
          <w:p>
            <w:pPr>
              <w:spacing w:after="0"/>
              <w:rPr>
                <w:sz w:val="23"/>
                <w:szCs w:val="23"/>
                <w:color w:val="auto"/>
              </w:rPr>
            </w:pP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3"/>
                <w:szCs w:val="23"/>
                <w:color w:val="auto"/>
              </w:rPr>
            </w:pPr>
          </w:p>
        </w:tc>
        <w:tc>
          <w:tcPr>
            <w:tcW w:w="220" w:type="dxa"/>
            <w:vAlign w:val="bottom"/>
            <w:tcBorders>
              <w:bottom w:val="single" w:sz="8" w:color="424E6A"/>
              <w:right w:val="single" w:sz="8" w:color="424E6A"/>
            </w:tcBorders>
            <w:shd w:val="clear" w:color="auto" w:fill="D9DCE1"/>
          </w:tcPr>
          <w:p>
            <w:pPr>
              <w:jc w:val="right"/>
              <w:ind w:right="3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9"/>
        </w:trPr>
        <w:tc>
          <w:tcPr>
            <w:tcW w:w="1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424E6A"/>
            </w:tcBorders>
          </w:tcPr>
          <w:p>
            <w:pPr>
              <w:ind w:left="80"/>
              <w:spacing w:after="0" w:line="169" w:lineRule="exact"/>
              <w:rPr>
                <w:sz w:val="20"/>
                <w:szCs w:val="20"/>
                <w:color w:val="auto"/>
              </w:rPr>
            </w:pPr>
            <w:r>
              <w:rPr>
                <w:rFonts w:ascii="Arial" w:cs="Arial" w:eastAsia="Arial" w:hAnsi="Arial"/>
                <w:sz w:val="16"/>
                <w:szCs w:val="16"/>
                <w:color w:val="auto"/>
              </w:rPr>
              <w:t>Equity Compensation</w:t>
            </w:r>
          </w:p>
        </w:tc>
        <w:tc>
          <w:tcPr>
            <w:tcW w:w="1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14,575,462</w:t>
            </w:r>
            <w:r>
              <w:rPr>
                <w:rFonts w:ascii="Arial" w:cs="Arial" w:eastAsia="Arial" w:hAnsi="Arial"/>
                <w:sz w:val="19"/>
                <w:szCs w:val="19"/>
                <w:color w:val="auto"/>
                <w:vertAlign w:val="superscript"/>
              </w:rPr>
              <w:t>(1)</w:t>
            </w:r>
          </w:p>
        </w:tc>
        <w:tc>
          <w:tcPr>
            <w:tcW w:w="120" w:type="dxa"/>
            <w:vAlign w:val="bottom"/>
            <w:tcBorders>
              <w:right w:val="single" w:sz="8" w:color="424E6A"/>
            </w:tcBorders>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14,575,462</w:t>
            </w:r>
            <w:r>
              <w:rPr>
                <w:rFonts w:ascii="Arial" w:cs="Arial" w:eastAsia="Arial" w:hAnsi="Arial"/>
                <w:sz w:val="19"/>
                <w:szCs w:val="19"/>
                <w:color w:val="auto"/>
                <w:vertAlign w:val="superscript"/>
              </w:rPr>
              <w:t>(1)</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424E6A"/>
            </w:tcBorders>
            <w:gridSpan w:val="3"/>
          </w:tcPr>
          <w:p>
            <w:pPr>
              <w:jc w:val="right"/>
              <w:spacing w:after="0" w:line="169" w:lineRule="exact"/>
              <w:rPr>
                <w:sz w:val="20"/>
                <w:szCs w:val="20"/>
                <w:color w:val="auto"/>
              </w:rPr>
            </w:pPr>
            <w:r>
              <w:rPr>
                <w:rFonts w:ascii="Arial" w:cs="Arial" w:eastAsia="Arial" w:hAnsi="Arial"/>
                <w:sz w:val="16"/>
                <w:szCs w:val="16"/>
                <w:color w:val="auto"/>
              </w:rPr>
              <w:t>11,738,115</w:t>
            </w:r>
            <w:r>
              <w:rPr>
                <w:rFonts w:ascii="Arial" w:cs="Arial" w:eastAsia="Arial" w:hAnsi="Arial"/>
                <w:sz w:val="19"/>
                <w:szCs w:val="19"/>
                <w:color w:val="auto"/>
                <w:vertAlign w:val="superscript"/>
              </w:rPr>
              <w:t>(2)</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220" w:type="dxa"/>
            <w:vAlign w:val="bottom"/>
            <w:tcBorders>
              <w:right w:val="single" w:sz="8" w:color="424E6A"/>
            </w:tcBorders>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tcBorders>
              <w:right w:val="single" w:sz="8" w:color="424E6A"/>
            </w:tcBorders>
            <w:gridSpan w:val="3"/>
          </w:tcPr>
          <w:p>
            <w:pPr>
              <w:jc w:val="right"/>
              <w:ind w:right="35"/>
              <w:spacing w:after="0" w:line="169" w:lineRule="exact"/>
              <w:rPr>
                <w:sz w:val="20"/>
                <w:szCs w:val="20"/>
                <w:color w:val="auto"/>
              </w:rPr>
            </w:pPr>
            <w:r>
              <w:rPr>
                <w:rFonts w:ascii="Arial" w:cs="Arial" w:eastAsia="Arial" w:hAnsi="Arial"/>
                <w:sz w:val="16"/>
                <w:szCs w:val="16"/>
                <w:color w:val="auto"/>
              </w:rPr>
              <w:t>19,749,862</w:t>
            </w:r>
            <w:r>
              <w:rPr>
                <w:rFonts w:ascii="Arial" w:cs="Arial" w:eastAsia="Arial" w:hAnsi="Arial"/>
                <w:sz w:val="19"/>
                <w:szCs w:val="19"/>
                <w:color w:val="auto"/>
                <w:vertAlign w:val="superscript"/>
              </w:rPr>
              <w:t>(3)</w:t>
            </w:r>
          </w:p>
        </w:tc>
        <w:tc>
          <w:tcPr>
            <w:tcW w:w="0" w:type="dxa"/>
            <w:vAlign w:val="bottom"/>
          </w:tcPr>
          <w:p>
            <w:pPr>
              <w:spacing w:after="0"/>
              <w:rPr>
                <w:sz w:val="1"/>
                <w:szCs w:val="1"/>
                <w:color w:val="auto"/>
              </w:rPr>
            </w:pPr>
          </w:p>
        </w:tc>
      </w:tr>
      <w:tr>
        <w:trPr>
          <w:trHeight w:val="68"/>
        </w:trPr>
        <w:tc>
          <w:tcPr>
            <w:tcW w:w="140" w:type="dxa"/>
            <w:vAlign w:val="bottom"/>
            <w:tcBorders>
              <w:left w:val="single" w:sz="8" w:color="424E6A"/>
              <w:bottom w:val="single" w:sz="8" w:color="424E6A"/>
            </w:tcBorders>
            <w:vMerge w:val="continue"/>
          </w:tcPr>
          <w:p>
            <w:pPr>
              <w:spacing w:after="0"/>
              <w:rPr>
                <w:sz w:val="5"/>
                <w:szCs w:val="5"/>
                <w:color w:val="auto"/>
              </w:rPr>
            </w:pPr>
          </w:p>
        </w:tc>
        <w:tc>
          <w:tcPr>
            <w:tcW w:w="1920" w:type="dxa"/>
            <w:vAlign w:val="bottom"/>
            <w:tcBorders>
              <w:bottom w:val="single" w:sz="8" w:color="424E6A"/>
              <w:right w:val="single" w:sz="8" w:color="424E6A"/>
            </w:tcBorders>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4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w:t>
            </w:r>
          </w:p>
        </w:tc>
        <w:tc>
          <w:tcPr>
            <w:tcW w:w="780" w:type="dxa"/>
            <w:vAlign w:val="bottom"/>
            <w:tcBorders>
              <w:bottom w:val="single" w:sz="8" w:color="424E6A"/>
            </w:tcBorders>
          </w:tcPr>
          <w:p>
            <w:pPr>
              <w:spacing w:after="0"/>
              <w:rPr>
                <w:sz w:val="5"/>
                <w:szCs w:val="5"/>
                <w:color w:val="auto"/>
              </w:rPr>
            </w:pPr>
          </w:p>
        </w:tc>
        <w:tc>
          <w:tcPr>
            <w:tcW w:w="14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120" w:type="dxa"/>
            <w:vAlign w:val="bottom"/>
            <w:tcBorders>
              <w:bottom w:val="single" w:sz="8" w:color="424E6A"/>
            </w:tcBorders>
          </w:tcPr>
          <w:p>
            <w:pPr>
              <w:ind w:left="80"/>
              <w:spacing w:after="0" w:line="68" w:lineRule="exact"/>
              <w:rPr>
                <w:sz w:val="20"/>
                <w:szCs w:val="20"/>
                <w:color w:val="auto"/>
              </w:rPr>
            </w:pPr>
            <w:r>
              <w:rPr>
                <w:rFonts w:ascii="Arial" w:cs="Arial" w:eastAsia="Arial" w:hAnsi="Arial"/>
                <w:sz w:val="7"/>
                <w:szCs w:val="7"/>
                <w:color w:val="auto"/>
              </w:rPr>
              <w:t>​</w:t>
            </w:r>
          </w:p>
        </w:tc>
        <w:tc>
          <w:tcPr>
            <w:tcW w:w="780" w:type="dxa"/>
            <w:vAlign w:val="bottom"/>
            <w:tcBorders>
              <w:bottom w:val="single" w:sz="8" w:color="424E6A"/>
            </w:tcBorders>
          </w:tcPr>
          <w:p>
            <w:pPr>
              <w:spacing w:after="0"/>
              <w:rPr>
                <w:sz w:val="5"/>
                <w:szCs w:val="5"/>
                <w:color w:val="auto"/>
              </w:rPr>
            </w:pPr>
          </w:p>
        </w:tc>
        <w:tc>
          <w:tcPr>
            <w:tcW w:w="14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tcPr>
          <w:p>
            <w:pPr>
              <w:ind w:left="40"/>
              <w:spacing w:after="0" w:line="68" w:lineRule="exact"/>
              <w:rPr>
                <w:sz w:val="20"/>
                <w:szCs w:val="20"/>
                <w:color w:val="auto"/>
              </w:rPr>
            </w:pPr>
            <w:r>
              <w:rPr>
                <w:rFonts w:ascii="Arial" w:cs="Arial" w:eastAsia="Arial" w:hAnsi="Arial"/>
                <w:sz w:val="7"/>
                <w:szCs w:val="7"/>
                <w:color w:val="auto"/>
              </w:rPr>
              <w:t>​ ​</w:t>
            </w:r>
          </w:p>
        </w:tc>
        <w:tc>
          <w:tcPr>
            <w:tcW w:w="760" w:type="dxa"/>
            <w:vAlign w:val="bottom"/>
            <w:tcBorders>
              <w:bottom w:val="single" w:sz="8" w:color="424E6A"/>
            </w:tcBorders>
          </w:tcPr>
          <w:p>
            <w:pPr>
              <w:spacing w:after="0"/>
              <w:rPr>
                <w:sz w:val="5"/>
                <w:szCs w:val="5"/>
                <w:color w:val="auto"/>
              </w:rPr>
            </w:pPr>
          </w:p>
        </w:tc>
        <w:tc>
          <w:tcPr>
            <w:tcW w:w="160" w:type="dxa"/>
            <w:vAlign w:val="bottom"/>
            <w:tcBorders>
              <w:bottom w:val="single" w:sz="8" w:color="424E6A"/>
              <w:right w:val="single" w:sz="8" w:color="424E6A"/>
            </w:tcBorders>
          </w:tcPr>
          <w:p>
            <w:pPr>
              <w:jc w:val="right"/>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24E6A"/>
            </w:tcBorders>
            <w:vMerge w:val="continue"/>
          </w:tcPr>
          <w:p>
            <w:pPr>
              <w:spacing w:after="0"/>
              <w:rPr>
                <w:sz w:val="5"/>
                <w:szCs w:val="5"/>
                <w:color w:val="auto"/>
              </w:rPr>
            </w:pPr>
          </w:p>
        </w:tc>
        <w:tc>
          <w:tcPr>
            <w:tcW w:w="120" w:type="dxa"/>
            <w:vAlign w:val="bottom"/>
            <w:tcBorders>
              <w:bottom w:val="single" w:sz="8" w:color="424E6A"/>
            </w:tcBorders>
            <w:vMerge w:val="continue"/>
          </w:tcPr>
          <w:p>
            <w:pPr>
              <w:spacing w:after="0"/>
              <w:rPr>
                <w:sz w:val="5"/>
                <w:szCs w:val="5"/>
                <w:color w:val="auto"/>
              </w:rPr>
            </w:pPr>
          </w:p>
        </w:tc>
        <w:tc>
          <w:tcPr>
            <w:tcW w:w="68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vMerge w:val="continue"/>
          </w:tcPr>
          <w:p>
            <w:pPr>
              <w:spacing w:after="0"/>
              <w:rPr>
                <w:sz w:val="5"/>
                <w:szCs w:val="5"/>
                <w:color w:val="auto"/>
              </w:rPr>
            </w:pPr>
          </w:p>
        </w:tc>
        <w:tc>
          <w:tcPr>
            <w:tcW w:w="200" w:type="dxa"/>
            <w:vAlign w:val="bottom"/>
            <w:tcBorders>
              <w:bottom w:val="single" w:sz="8" w:color="424E6A"/>
            </w:tcBorders>
            <w:gridSpan w:val="2"/>
          </w:tcPr>
          <w:p>
            <w:pPr>
              <w:ind w:left="40"/>
              <w:spacing w:after="0" w:line="68" w:lineRule="exact"/>
              <w:rPr>
                <w:sz w:val="20"/>
                <w:szCs w:val="20"/>
                <w:color w:val="auto"/>
              </w:rPr>
            </w:pPr>
            <w:r>
              <w:rPr>
                <w:rFonts w:ascii="Arial" w:cs="Arial" w:eastAsia="Arial" w:hAnsi="Arial"/>
                <w:sz w:val="7"/>
                <w:szCs w:val="7"/>
                <w:color w:val="auto"/>
              </w:rPr>
              <w:t>​ ​</w:t>
            </w:r>
          </w:p>
        </w:tc>
        <w:tc>
          <w:tcPr>
            <w:tcW w:w="78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jc w:val="right"/>
              <w:ind w:right="35"/>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36"/>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14,575,462</w:t>
            </w:r>
          </w:p>
        </w:tc>
        <w:tc>
          <w:tcPr>
            <w:tcW w:w="14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14,575,462</w:t>
            </w:r>
          </w:p>
        </w:tc>
        <w:tc>
          <w:tcPr>
            <w:tcW w:w="14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11,738,115 </w:t>
            </w:r>
            <w:r>
              <w:rPr>
                <w:rFonts w:ascii="Arial" w:cs="Arial" w:eastAsia="Arial" w:hAnsi="Arial"/>
                <w:sz w:val="27"/>
                <w:szCs w:val="27"/>
                <w:color w:val="auto"/>
                <w:vertAlign w:val="subscript"/>
              </w:rPr>
              <w:t>​​</w:t>
            </w:r>
          </w:p>
        </w:tc>
        <w:tc>
          <w:tcPr>
            <w:tcW w:w="14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24E6A"/>
            </w:tcBorders>
          </w:tcPr>
          <w:p>
            <w:pPr>
              <w:ind w:left="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19,749,862</w:t>
            </w:r>
          </w:p>
        </w:tc>
        <w:tc>
          <w:tcPr>
            <w:tcW w:w="220" w:type="dxa"/>
            <w:vAlign w:val="bottom"/>
            <w:tcBorders>
              <w:bottom w:val="single" w:sz="8" w:color="424E6A"/>
              <w:right w:val="single" w:sz="8" w:color="424E6A"/>
            </w:tcBorders>
          </w:tcPr>
          <w:p>
            <w:pPr>
              <w:jc w:val="right"/>
              <w:ind w:right="3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060" w:type="dxa"/>
            <w:vAlign w:val="bottom"/>
            <w:tcBorders>
              <w:left w:val="single" w:sz="8" w:color="424E6A"/>
              <w:bottom w:val="single" w:sz="8" w:color="424E6A"/>
              <w:right w:val="single" w:sz="8" w:color="424E6A"/>
            </w:tcBorders>
            <w:gridSpan w:val="2"/>
            <w:shd w:val="clear" w:color="auto" w:fill="D9DCE1"/>
          </w:tcPr>
          <w:p>
            <w:pPr>
              <w:ind w:left="4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Harry Pefanis</w:t>
            </w:r>
            <w:r>
              <w:rPr>
                <w:rFonts w:ascii="Arial" w:cs="Arial" w:eastAsia="Arial" w:hAnsi="Arial"/>
                <w:sz w:val="18"/>
                <w:szCs w:val="18"/>
                <w:b w:val="1"/>
                <w:bCs w:val="1"/>
                <w:color w:val="auto"/>
                <w:vertAlign w:val="superscript"/>
              </w:rPr>
              <w:t>(7)</w:t>
            </w:r>
          </w:p>
        </w:tc>
        <w:tc>
          <w:tcPr>
            <w:tcW w:w="1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 ​</w:t>
            </w:r>
          </w:p>
        </w:tc>
        <w:tc>
          <w:tcPr>
            <w:tcW w:w="760" w:type="dxa"/>
            <w:vAlign w:val="bottom"/>
            <w:tcBorders>
              <w:bottom w:val="single" w:sz="8" w:color="424E6A"/>
            </w:tcBorders>
            <w:shd w:val="clear" w:color="auto" w:fill="D9DCE1"/>
          </w:tcPr>
          <w:p>
            <w:pPr>
              <w:spacing w:after="0"/>
              <w:rPr>
                <w:sz w:val="22"/>
                <w:szCs w:val="22"/>
                <w:color w:val="auto"/>
              </w:rPr>
            </w:pPr>
          </w:p>
        </w:tc>
        <w:tc>
          <w:tcPr>
            <w:tcW w:w="1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424E6A"/>
            </w:tcBorders>
            <w:shd w:val="clear" w:color="auto" w:fill="D9DCE1"/>
          </w:tcPr>
          <w:p>
            <w:pPr>
              <w:spacing w:after="0"/>
              <w:rPr>
                <w:sz w:val="22"/>
                <w:szCs w:val="22"/>
                <w:color w:val="auto"/>
              </w:rPr>
            </w:pP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220" w:type="dxa"/>
            <w:vAlign w:val="bottom"/>
            <w:tcBorders>
              <w:bottom w:val="single" w:sz="8" w:color="424E6A"/>
              <w:right w:val="single" w:sz="8" w:color="424E6A"/>
            </w:tcBorders>
            <w:shd w:val="clear" w:color="auto" w:fill="D9DCE1"/>
          </w:tcPr>
          <w:p>
            <w:pPr>
              <w:jc w:val="right"/>
              <w:ind w:right="3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9"/>
        </w:trPr>
        <w:tc>
          <w:tcPr>
            <w:tcW w:w="1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424E6A"/>
            </w:tcBorders>
          </w:tcPr>
          <w:p>
            <w:pPr>
              <w:ind w:left="80"/>
              <w:spacing w:after="0" w:line="169" w:lineRule="exact"/>
              <w:rPr>
                <w:sz w:val="20"/>
                <w:szCs w:val="20"/>
                <w:color w:val="auto"/>
              </w:rPr>
            </w:pPr>
            <w:r>
              <w:rPr>
                <w:rFonts w:ascii="Arial" w:cs="Arial" w:eastAsia="Arial" w:hAnsi="Arial"/>
                <w:sz w:val="16"/>
                <w:szCs w:val="16"/>
                <w:color w:val="auto"/>
              </w:rPr>
              <w:t>Salary and Bonus</w:t>
            </w:r>
          </w:p>
        </w:tc>
        <w:tc>
          <w:tcPr>
            <w:tcW w:w="1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5,410,000</w:t>
            </w:r>
            <w:r>
              <w:rPr>
                <w:rFonts w:ascii="Arial" w:cs="Arial" w:eastAsia="Arial" w:hAnsi="Arial"/>
                <w:sz w:val="19"/>
                <w:szCs w:val="19"/>
                <w:color w:val="auto"/>
                <w:vertAlign w:val="superscript"/>
              </w:rPr>
              <w:t>(4)</w:t>
            </w:r>
          </w:p>
        </w:tc>
        <w:tc>
          <w:tcPr>
            <w:tcW w:w="120" w:type="dxa"/>
            <w:vAlign w:val="bottom"/>
            <w:tcBorders>
              <w:right w:val="single" w:sz="8" w:color="424E6A"/>
            </w:tcBorders>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5,410,000</w:t>
            </w:r>
            <w:r>
              <w:rPr>
                <w:rFonts w:ascii="Arial" w:cs="Arial" w:eastAsia="Arial" w:hAnsi="Arial"/>
                <w:sz w:val="19"/>
                <w:szCs w:val="19"/>
                <w:color w:val="auto"/>
                <w:vertAlign w:val="superscript"/>
              </w:rPr>
              <w:t>(4)</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920" w:type="dxa"/>
            <w:vAlign w:val="bottom"/>
            <w:tcBorders>
              <w:right w:val="single" w:sz="8" w:color="424E6A"/>
            </w:tcBorders>
            <w:gridSpan w:val="2"/>
          </w:tcPr>
          <w:p>
            <w:pPr>
              <w:jc w:val="right"/>
              <w:spacing w:after="0" w:line="169" w:lineRule="exact"/>
              <w:rPr>
                <w:sz w:val="20"/>
                <w:szCs w:val="20"/>
                <w:color w:val="auto"/>
              </w:rPr>
            </w:pPr>
            <w:r>
              <w:rPr>
                <w:rFonts w:ascii="Arial" w:cs="Arial" w:eastAsia="Arial" w:hAnsi="Arial"/>
                <w:sz w:val="16"/>
                <w:szCs w:val="16"/>
                <w:color w:val="auto"/>
                <w:w w:val="99"/>
              </w:rPr>
              <w:t>5,410,000</w:t>
            </w:r>
            <w:r>
              <w:rPr>
                <w:rFonts w:ascii="Arial" w:cs="Arial" w:eastAsia="Arial" w:hAnsi="Arial"/>
                <w:sz w:val="19"/>
                <w:szCs w:val="19"/>
                <w:color w:val="auto"/>
                <w:w w:val="99"/>
                <w:vertAlign w:val="superscript"/>
              </w:rPr>
              <w:t>(4)</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424E6A"/>
            </w:tcBorders>
            <w:gridSpan w:val="3"/>
          </w:tcPr>
          <w:p>
            <w:pPr>
              <w:jc w:val="right"/>
              <w:ind w:right="23"/>
              <w:spacing w:after="0" w:line="169" w:lineRule="exact"/>
              <w:rPr>
                <w:sz w:val="20"/>
                <w:szCs w:val="20"/>
                <w:color w:val="auto"/>
              </w:rPr>
            </w:pPr>
            <w:r>
              <w:rPr>
                <w:rFonts w:ascii="Arial" w:cs="Arial" w:eastAsia="Arial" w:hAnsi="Arial"/>
                <w:sz w:val="16"/>
                <w:szCs w:val="16"/>
                <w:color w:val="auto"/>
              </w:rPr>
              <w:t>5,410,000</w:t>
            </w:r>
            <w:r>
              <w:rPr>
                <w:rFonts w:ascii="Arial" w:cs="Arial" w:eastAsia="Arial" w:hAnsi="Arial"/>
                <w:sz w:val="19"/>
                <w:szCs w:val="19"/>
                <w:color w:val="auto"/>
                <w:vertAlign w:val="superscript"/>
              </w:rPr>
              <w:t>(4)</w:t>
            </w:r>
          </w:p>
        </w:tc>
        <w:tc>
          <w:tcPr>
            <w:tcW w:w="200" w:type="dxa"/>
            <w:vAlign w:val="bottom"/>
            <w:gridSpan w:val="2"/>
            <w:vMerge w:val="restart"/>
          </w:tcPr>
          <w:p>
            <w:pPr>
              <w:ind w:left="40"/>
              <w:spacing w:after="0"/>
              <w:rPr>
                <w:sz w:val="20"/>
                <w:szCs w:val="20"/>
                <w:color w:val="auto"/>
              </w:rPr>
            </w:pPr>
            <w:r>
              <w:rPr>
                <w:rFonts w:ascii="Arial" w:cs="Arial" w:eastAsia="Arial" w:hAnsi="Arial"/>
                <w:sz w:val="16"/>
                <w:szCs w:val="16"/>
                <w:color w:val="auto"/>
              </w:rPr>
              <w:t>​ ​</w:t>
            </w:r>
          </w:p>
        </w:tc>
        <w:tc>
          <w:tcPr>
            <w:tcW w:w="1000" w:type="dxa"/>
            <w:vAlign w:val="bottom"/>
            <w:tcBorders>
              <w:right w:val="single" w:sz="8" w:color="424E6A"/>
            </w:tcBorders>
            <w:gridSpan w:val="2"/>
          </w:tcPr>
          <w:p>
            <w:pPr>
              <w:jc w:val="right"/>
              <w:ind w:right="35"/>
              <w:spacing w:after="0" w:line="169" w:lineRule="exact"/>
              <w:rPr>
                <w:sz w:val="20"/>
                <w:szCs w:val="20"/>
                <w:color w:val="auto"/>
              </w:rPr>
            </w:pPr>
            <w:r>
              <w:rPr>
                <w:rFonts w:ascii="Arial" w:cs="Arial" w:eastAsia="Arial" w:hAnsi="Arial"/>
                <w:sz w:val="16"/>
                <w:szCs w:val="16"/>
                <w:color w:val="auto"/>
              </w:rPr>
              <w:t>8,115,000</w:t>
            </w:r>
            <w:r>
              <w:rPr>
                <w:rFonts w:ascii="Arial" w:cs="Arial" w:eastAsia="Arial" w:hAnsi="Arial"/>
                <w:sz w:val="19"/>
                <w:szCs w:val="19"/>
                <w:color w:val="auto"/>
                <w:vertAlign w:val="superscript"/>
              </w:rPr>
              <w:t>(5)</w:t>
            </w:r>
          </w:p>
        </w:tc>
        <w:tc>
          <w:tcPr>
            <w:tcW w:w="0" w:type="dxa"/>
            <w:vAlign w:val="bottom"/>
          </w:tcPr>
          <w:p>
            <w:pPr>
              <w:spacing w:after="0"/>
              <w:rPr>
                <w:sz w:val="1"/>
                <w:szCs w:val="1"/>
                <w:color w:val="auto"/>
              </w:rPr>
            </w:pPr>
          </w:p>
        </w:tc>
      </w:tr>
      <w:tr>
        <w:trPr>
          <w:trHeight w:val="68"/>
        </w:trPr>
        <w:tc>
          <w:tcPr>
            <w:tcW w:w="140" w:type="dxa"/>
            <w:vAlign w:val="bottom"/>
            <w:tcBorders>
              <w:left w:val="single" w:sz="8" w:color="424E6A"/>
              <w:bottom w:val="single" w:sz="8" w:color="424E6A"/>
            </w:tcBorders>
            <w:vMerge w:val="continue"/>
          </w:tcPr>
          <w:p>
            <w:pPr>
              <w:spacing w:after="0"/>
              <w:rPr>
                <w:sz w:val="5"/>
                <w:szCs w:val="5"/>
                <w:color w:val="auto"/>
              </w:rPr>
            </w:pPr>
          </w:p>
        </w:tc>
        <w:tc>
          <w:tcPr>
            <w:tcW w:w="1920" w:type="dxa"/>
            <w:vAlign w:val="bottom"/>
            <w:tcBorders>
              <w:bottom w:val="single" w:sz="8" w:color="424E6A"/>
              <w:right w:val="single" w:sz="8" w:color="424E6A"/>
            </w:tcBorders>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780" w:type="dxa"/>
            <w:vAlign w:val="bottom"/>
            <w:tcBorders>
              <w:bottom w:val="single" w:sz="8" w:color="424E6A"/>
            </w:tcBorders>
          </w:tcPr>
          <w:p>
            <w:pPr>
              <w:spacing w:after="0"/>
              <w:rPr>
                <w:sz w:val="5"/>
                <w:szCs w:val="5"/>
                <w:color w:val="auto"/>
              </w:rPr>
            </w:pPr>
          </w:p>
        </w:tc>
        <w:tc>
          <w:tcPr>
            <w:tcW w:w="14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120" w:type="dxa"/>
            <w:vAlign w:val="bottom"/>
            <w:tcBorders>
              <w:bottom w:val="single" w:sz="8" w:color="424E6A"/>
            </w:tcBorders>
            <w:vMerge w:val="continue"/>
          </w:tcPr>
          <w:p>
            <w:pPr>
              <w:spacing w:after="0"/>
              <w:rPr>
                <w:sz w:val="5"/>
                <w:szCs w:val="5"/>
                <w:color w:val="auto"/>
              </w:rPr>
            </w:pPr>
          </w:p>
        </w:tc>
        <w:tc>
          <w:tcPr>
            <w:tcW w:w="780" w:type="dxa"/>
            <w:vAlign w:val="bottom"/>
            <w:tcBorders>
              <w:bottom w:val="single" w:sz="8" w:color="424E6A"/>
            </w:tcBorders>
          </w:tcPr>
          <w:p>
            <w:pPr>
              <w:spacing w:after="0"/>
              <w:rPr>
                <w:sz w:val="5"/>
                <w:szCs w:val="5"/>
                <w:color w:val="auto"/>
              </w:rPr>
            </w:pPr>
          </w:p>
        </w:tc>
        <w:tc>
          <w:tcPr>
            <w:tcW w:w="14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160" w:type="dxa"/>
            <w:vAlign w:val="bottom"/>
            <w:tcBorders>
              <w:bottom w:val="single" w:sz="8" w:color="424E6A"/>
              <w:right w:val="single" w:sz="8" w:color="424E6A"/>
            </w:tcBorders>
          </w:tcPr>
          <w:p>
            <w:pPr>
              <w:jc w:val="right"/>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24E6A"/>
            </w:tcBorders>
            <w:vMerge w:val="continue"/>
          </w:tcPr>
          <w:p>
            <w:pPr>
              <w:spacing w:after="0"/>
              <w:rPr>
                <w:sz w:val="5"/>
                <w:szCs w:val="5"/>
                <w:color w:val="auto"/>
              </w:rPr>
            </w:pPr>
          </w:p>
        </w:tc>
        <w:tc>
          <w:tcPr>
            <w:tcW w:w="120" w:type="dxa"/>
            <w:vAlign w:val="bottom"/>
            <w:tcBorders>
              <w:bottom w:val="single" w:sz="8" w:color="424E6A"/>
            </w:tcBorders>
          </w:tcPr>
          <w:p>
            <w:pPr>
              <w:ind w:left="60"/>
              <w:spacing w:after="0" w:line="68" w:lineRule="exact"/>
              <w:rPr>
                <w:sz w:val="20"/>
                <w:szCs w:val="20"/>
                <w:color w:val="auto"/>
              </w:rPr>
            </w:pPr>
            <w:r>
              <w:rPr>
                <w:rFonts w:ascii="Arial" w:cs="Arial" w:eastAsia="Arial" w:hAnsi="Arial"/>
                <w:sz w:val="7"/>
                <w:szCs w:val="7"/>
                <w:color w:val="auto"/>
              </w:rPr>
              <w:t>​</w:t>
            </w:r>
          </w:p>
        </w:tc>
        <w:tc>
          <w:tcPr>
            <w:tcW w:w="68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jc w:val="right"/>
              <w:spacing w:after="0" w:line="68" w:lineRule="exact"/>
              <w:rPr>
                <w:sz w:val="20"/>
                <w:szCs w:val="20"/>
                <w:color w:val="auto"/>
              </w:rPr>
            </w:pPr>
            <w:r>
              <w:rPr>
                <w:rFonts w:ascii="Arial" w:cs="Arial" w:eastAsia="Arial" w:hAnsi="Arial"/>
                <w:sz w:val="7"/>
                <w:szCs w:val="7"/>
                <w:color w:val="auto"/>
              </w:rPr>
              <w:t>​​</w:t>
            </w:r>
          </w:p>
        </w:tc>
        <w:tc>
          <w:tcPr>
            <w:tcW w:w="200" w:type="dxa"/>
            <w:vAlign w:val="bottom"/>
            <w:tcBorders>
              <w:bottom w:val="single" w:sz="8" w:color="424E6A"/>
            </w:tcBorders>
            <w:gridSpan w:val="2"/>
            <w:vMerge w:val="continue"/>
          </w:tcPr>
          <w:p>
            <w:pPr>
              <w:spacing w:after="0"/>
              <w:rPr>
                <w:sz w:val="5"/>
                <w:szCs w:val="5"/>
                <w:color w:val="auto"/>
              </w:rPr>
            </w:pPr>
          </w:p>
        </w:tc>
        <w:tc>
          <w:tcPr>
            <w:tcW w:w="78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jc w:val="right"/>
              <w:ind w:right="35"/>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2"/>
        </w:trPr>
        <w:tc>
          <w:tcPr>
            <w:tcW w:w="1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424E6A"/>
            </w:tcBorders>
            <w:vMerge w:val="restart"/>
          </w:tcPr>
          <w:p>
            <w:pPr>
              <w:ind w:left="80"/>
              <w:spacing w:after="0"/>
              <w:rPr>
                <w:sz w:val="20"/>
                <w:szCs w:val="20"/>
                <w:color w:val="auto"/>
              </w:rPr>
            </w:pPr>
            <w:r>
              <w:rPr>
                <w:rFonts w:ascii="Arial" w:cs="Arial" w:eastAsia="Arial" w:hAnsi="Arial"/>
                <w:sz w:val="16"/>
                <w:szCs w:val="16"/>
                <w:color w:val="auto"/>
              </w:rPr>
              <w:t>Health Benefits</w:t>
            </w:r>
          </w:p>
        </w:tc>
        <w:tc>
          <w:tcPr>
            <w:tcW w:w="1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8"/>
                <w:szCs w:val="8"/>
                <w:color w:val="auto"/>
              </w:rPr>
            </w:pPr>
          </w:p>
        </w:tc>
        <w:tc>
          <w:tcPr>
            <w:tcW w:w="120" w:type="dxa"/>
            <w:vAlign w:val="bottom"/>
            <w:tcBorders>
              <w:right w:val="single" w:sz="8" w:color="424E6A"/>
            </w:tcBorders>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41,438</w:t>
            </w:r>
          </w:p>
        </w:tc>
        <w:tc>
          <w:tcPr>
            <w:tcW w:w="140" w:type="dxa"/>
            <w:vAlign w:val="bottom"/>
          </w:tcPr>
          <w:p>
            <w:pPr>
              <w:jc w:val="right"/>
              <w:spacing w:after="0" w:line="102" w:lineRule="exact"/>
              <w:rPr>
                <w:sz w:val="20"/>
                <w:szCs w:val="20"/>
                <w:color w:val="auto"/>
              </w:rPr>
            </w:pPr>
            <w:r>
              <w:rPr>
                <w:rFonts w:ascii="Arial" w:cs="Arial" w:eastAsia="Arial" w:hAnsi="Arial"/>
                <w:sz w:val="10"/>
                <w:szCs w:val="10"/>
                <w:color w:val="auto"/>
                <w:w w:val="81"/>
              </w:rPr>
              <w:t>(6)</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41,438</w:t>
            </w:r>
          </w:p>
        </w:tc>
        <w:tc>
          <w:tcPr>
            <w:tcW w:w="160" w:type="dxa"/>
            <w:vAlign w:val="bottom"/>
            <w:tcBorders>
              <w:right w:val="single" w:sz="8" w:color="424E6A"/>
            </w:tcBorders>
          </w:tcPr>
          <w:p>
            <w:pPr>
              <w:jc w:val="right"/>
              <w:spacing w:after="0" w:line="102" w:lineRule="exact"/>
              <w:rPr>
                <w:sz w:val="20"/>
                <w:szCs w:val="20"/>
                <w:color w:val="auto"/>
              </w:rPr>
            </w:pPr>
            <w:r>
              <w:rPr>
                <w:rFonts w:ascii="Arial" w:cs="Arial" w:eastAsia="Arial" w:hAnsi="Arial"/>
                <w:sz w:val="10"/>
                <w:szCs w:val="10"/>
                <w:color w:val="auto"/>
                <w:w w:val="81"/>
              </w:rPr>
              <w:t>(6)</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41,438</w:t>
            </w:r>
          </w:p>
        </w:tc>
        <w:tc>
          <w:tcPr>
            <w:tcW w:w="220" w:type="dxa"/>
            <w:vAlign w:val="bottom"/>
            <w:tcBorders>
              <w:right w:val="single" w:sz="8" w:color="424E6A"/>
            </w:tcBorders>
          </w:tcPr>
          <w:p>
            <w:pPr>
              <w:jc w:val="right"/>
              <w:ind w:right="23"/>
              <w:spacing w:after="0" w:line="102" w:lineRule="exact"/>
              <w:rPr>
                <w:sz w:val="20"/>
                <w:szCs w:val="20"/>
                <w:color w:val="auto"/>
              </w:rPr>
            </w:pPr>
            <w:r>
              <w:rPr>
                <w:rFonts w:ascii="Arial" w:cs="Arial" w:eastAsia="Arial" w:hAnsi="Arial"/>
                <w:sz w:val="10"/>
                <w:szCs w:val="10"/>
                <w:color w:val="auto"/>
                <w:w w:val="81"/>
              </w:rPr>
              <w:t>(6)</w:t>
            </w:r>
          </w:p>
        </w:tc>
        <w:tc>
          <w:tcPr>
            <w:tcW w:w="1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41,438</w:t>
            </w:r>
          </w:p>
        </w:tc>
        <w:tc>
          <w:tcPr>
            <w:tcW w:w="220" w:type="dxa"/>
            <w:vAlign w:val="bottom"/>
            <w:tcBorders>
              <w:right w:val="single" w:sz="8" w:color="424E6A"/>
            </w:tcBorders>
          </w:tcPr>
          <w:p>
            <w:pPr>
              <w:jc w:val="right"/>
              <w:ind w:right="35"/>
              <w:spacing w:after="0" w:line="102" w:lineRule="exact"/>
              <w:rPr>
                <w:sz w:val="20"/>
                <w:szCs w:val="20"/>
                <w:color w:val="auto"/>
              </w:rPr>
            </w:pPr>
            <w:r>
              <w:rPr>
                <w:rFonts w:ascii="Arial" w:cs="Arial" w:eastAsia="Arial" w:hAnsi="Arial"/>
                <w:sz w:val="10"/>
                <w:szCs w:val="10"/>
                <w:color w:val="auto"/>
                <w:w w:val="81"/>
              </w:rPr>
              <w:t>(6)</w:t>
            </w:r>
          </w:p>
        </w:tc>
        <w:tc>
          <w:tcPr>
            <w:tcW w:w="0" w:type="dxa"/>
            <w:vAlign w:val="bottom"/>
          </w:tcPr>
          <w:p>
            <w:pPr>
              <w:spacing w:after="0"/>
              <w:rPr>
                <w:sz w:val="1"/>
                <w:szCs w:val="1"/>
                <w:color w:val="auto"/>
              </w:rPr>
            </w:pPr>
          </w:p>
        </w:tc>
      </w:tr>
      <w:tr>
        <w:trPr>
          <w:trHeight w:val="135"/>
        </w:trPr>
        <w:tc>
          <w:tcPr>
            <w:tcW w:w="140" w:type="dxa"/>
            <w:vAlign w:val="bottom"/>
            <w:tcBorders>
              <w:left w:val="single" w:sz="8" w:color="424E6A"/>
              <w:bottom w:val="single" w:sz="8" w:color="424E6A"/>
            </w:tcBorders>
            <w:vMerge w:val="continue"/>
          </w:tcPr>
          <w:p>
            <w:pPr>
              <w:spacing w:after="0"/>
              <w:rPr>
                <w:sz w:val="11"/>
                <w:szCs w:val="11"/>
                <w:color w:val="auto"/>
              </w:rPr>
            </w:pPr>
          </w:p>
        </w:tc>
        <w:tc>
          <w:tcPr>
            <w:tcW w:w="1920" w:type="dxa"/>
            <w:vAlign w:val="bottom"/>
            <w:tcBorders>
              <w:bottom w:val="single" w:sz="8" w:color="424E6A"/>
              <w:right w:val="single" w:sz="8" w:color="424E6A"/>
            </w:tcBorders>
            <w:vMerge w:val="continue"/>
          </w:tcPr>
          <w:p>
            <w:pPr>
              <w:spacing w:after="0"/>
              <w:rPr>
                <w:sz w:val="11"/>
                <w:szCs w:val="11"/>
                <w:color w:val="auto"/>
              </w:rPr>
            </w:pPr>
          </w:p>
        </w:tc>
        <w:tc>
          <w:tcPr>
            <w:tcW w:w="160" w:type="dxa"/>
            <w:vAlign w:val="bottom"/>
            <w:tcBorders>
              <w:bottom w:val="single" w:sz="8" w:color="424E6A"/>
            </w:tcBorders>
            <w:vMerge w:val="continue"/>
          </w:tcPr>
          <w:p>
            <w:pPr>
              <w:spacing w:after="0"/>
              <w:rPr>
                <w:sz w:val="11"/>
                <w:szCs w:val="11"/>
                <w:color w:val="auto"/>
              </w:rPr>
            </w:pPr>
          </w:p>
        </w:tc>
        <w:tc>
          <w:tcPr>
            <w:tcW w:w="140" w:type="dxa"/>
            <w:vAlign w:val="bottom"/>
            <w:tcBorders>
              <w:bottom w:val="single" w:sz="8" w:color="424E6A"/>
            </w:tcBorders>
            <w:vMerge w:val="continue"/>
          </w:tcPr>
          <w:p>
            <w:pPr>
              <w:spacing w:after="0"/>
              <w:rPr>
                <w:sz w:val="11"/>
                <w:szCs w:val="11"/>
                <w:color w:val="auto"/>
              </w:rPr>
            </w:pPr>
          </w:p>
        </w:tc>
        <w:tc>
          <w:tcPr>
            <w:tcW w:w="780" w:type="dxa"/>
            <w:vAlign w:val="bottom"/>
            <w:tcBorders>
              <w:bottom w:val="single" w:sz="8" w:color="424E6A"/>
            </w:tcBorders>
            <w:vMerge w:val="continue"/>
          </w:tcPr>
          <w:p>
            <w:pPr>
              <w:spacing w:after="0"/>
              <w:rPr>
                <w:sz w:val="11"/>
                <w:szCs w:val="11"/>
                <w:color w:val="auto"/>
              </w:rPr>
            </w:pPr>
          </w:p>
        </w:tc>
        <w:tc>
          <w:tcPr>
            <w:tcW w:w="140" w:type="dxa"/>
            <w:vAlign w:val="bottom"/>
            <w:tcBorders>
              <w:bottom w:val="single" w:sz="8" w:color="424E6A"/>
            </w:tcBorders>
          </w:tcPr>
          <w:p>
            <w:pPr>
              <w:spacing w:after="0"/>
              <w:rPr>
                <w:sz w:val="11"/>
                <w:szCs w:val="11"/>
                <w:color w:val="auto"/>
              </w:rPr>
            </w:pPr>
          </w:p>
        </w:tc>
        <w:tc>
          <w:tcPr>
            <w:tcW w:w="120" w:type="dxa"/>
            <w:vAlign w:val="bottom"/>
            <w:tcBorders>
              <w:bottom w:val="single" w:sz="8" w:color="424E6A"/>
              <w:right w:val="single" w:sz="8" w:color="424E6A"/>
            </w:tcBorders>
            <w:vMerge w:val="continue"/>
          </w:tcPr>
          <w:p>
            <w:pPr>
              <w:spacing w:after="0"/>
              <w:rPr>
                <w:sz w:val="11"/>
                <w:szCs w:val="11"/>
                <w:color w:val="auto"/>
              </w:rPr>
            </w:pPr>
          </w:p>
        </w:tc>
        <w:tc>
          <w:tcPr>
            <w:tcW w:w="180" w:type="dxa"/>
            <w:vAlign w:val="bottom"/>
            <w:tcBorders>
              <w:bottom w:val="single" w:sz="8" w:color="424E6A"/>
            </w:tcBorders>
            <w:vMerge w:val="continue"/>
          </w:tcPr>
          <w:p>
            <w:pPr>
              <w:spacing w:after="0"/>
              <w:rPr>
                <w:sz w:val="11"/>
                <w:szCs w:val="11"/>
                <w:color w:val="auto"/>
              </w:rPr>
            </w:pPr>
          </w:p>
        </w:tc>
        <w:tc>
          <w:tcPr>
            <w:tcW w:w="120" w:type="dxa"/>
            <w:vAlign w:val="bottom"/>
            <w:tcBorders>
              <w:bottom w:val="single" w:sz="8" w:color="424E6A"/>
            </w:tcBorders>
            <w:vMerge w:val="continue"/>
          </w:tcPr>
          <w:p>
            <w:pPr>
              <w:spacing w:after="0"/>
              <w:rPr>
                <w:sz w:val="11"/>
                <w:szCs w:val="11"/>
                <w:color w:val="auto"/>
              </w:rPr>
            </w:pPr>
          </w:p>
        </w:tc>
        <w:tc>
          <w:tcPr>
            <w:tcW w:w="780" w:type="dxa"/>
            <w:vAlign w:val="bottom"/>
            <w:tcBorders>
              <w:bottom w:val="single" w:sz="8" w:color="424E6A"/>
            </w:tcBorders>
            <w:vMerge w:val="continue"/>
          </w:tcPr>
          <w:p>
            <w:pPr>
              <w:spacing w:after="0"/>
              <w:rPr>
                <w:sz w:val="11"/>
                <w:szCs w:val="11"/>
                <w:color w:val="auto"/>
              </w:rPr>
            </w:pPr>
          </w:p>
        </w:tc>
        <w:tc>
          <w:tcPr>
            <w:tcW w:w="140" w:type="dxa"/>
            <w:vAlign w:val="bottom"/>
            <w:tcBorders>
              <w:bottom w:val="single" w:sz="8" w:color="424E6A"/>
            </w:tcBorders>
          </w:tcPr>
          <w:p>
            <w:pPr>
              <w:spacing w:after="0"/>
              <w:rPr>
                <w:sz w:val="11"/>
                <w:szCs w:val="11"/>
                <w:color w:val="auto"/>
              </w:rPr>
            </w:pPr>
          </w:p>
        </w:tc>
        <w:tc>
          <w:tcPr>
            <w:tcW w:w="140" w:type="dxa"/>
            <w:vAlign w:val="bottom"/>
            <w:tcBorders>
              <w:bottom w:val="single" w:sz="8" w:color="424E6A"/>
              <w:right w:val="single" w:sz="8" w:color="424E6A"/>
            </w:tcBorders>
            <w:vMerge w:val="continue"/>
          </w:tcPr>
          <w:p>
            <w:pPr>
              <w:spacing w:after="0"/>
              <w:rPr>
                <w:sz w:val="11"/>
                <w:szCs w:val="11"/>
                <w:color w:val="auto"/>
              </w:rPr>
            </w:pPr>
          </w:p>
        </w:tc>
        <w:tc>
          <w:tcPr>
            <w:tcW w:w="180" w:type="dxa"/>
            <w:vAlign w:val="bottom"/>
            <w:tcBorders>
              <w:bottom w:val="single" w:sz="8" w:color="424E6A"/>
            </w:tcBorders>
            <w:vMerge w:val="continue"/>
          </w:tcPr>
          <w:p>
            <w:pPr>
              <w:spacing w:after="0"/>
              <w:rPr>
                <w:sz w:val="11"/>
                <w:szCs w:val="11"/>
                <w:color w:val="auto"/>
              </w:rPr>
            </w:pPr>
          </w:p>
        </w:tc>
        <w:tc>
          <w:tcPr>
            <w:tcW w:w="760" w:type="dxa"/>
            <w:vAlign w:val="bottom"/>
            <w:tcBorders>
              <w:bottom w:val="single" w:sz="8" w:color="424E6A"/>
            </w:tcBorders>
            <w:vMerge w:val="continue"/>
          </w:tcPr>
          <w:p>
            <w:pPr>
              <w:spacing w:after="0"/>
              <w:rPr>
                <w:sz w:val="11"/>
                <w:szCs w:val="11"/>
                <w:color w:val="auto"/>
              </w:rPr>
            </w:pPr>
          </w:p>
        </w:tc>
        <w:tc>
          <w:tcPr>
            <w:tcW w:w="160" w:type="dxa"/>
            <w:vAlign w:val="bottom"/>
            <w:tcBorders>
              <w:bottom w:val="single" w:sz="8" w:color="424E6A"/>
              <w:right w:val="single" w:sz="8" w:color="424E6A"/>
            </w:tcBorders>
          </w:tcPr>
          <w:p>
            <w:pPr>
              <w:jc w:val="right"/>
              <w:spacing w:after="0" w:line="135" w:lineRule="exact"/>
              <w:rPr>
                <w:sz w:val="20"/>
                <w:szCs w:val="20"/>
                <w:color w:val="auto"/>
              </w:rPr>
            </w:pPr>
            <w:r>
              <w:rPr>
                <w:rFonts w:ascii="Arial" w:cs="Arial" w:eastAsia="Arial" w:hAnsi="Arial"/>
                <w:sz w:val="15"/>
                <w:szCs w:val="15"/>
                <w:color w:val="auto"/>
              </w:rPr>
              <w:t>​​</w:t>
            </w:r>
          </w:p>
        </w:tc>
        <w:tc>
          <w:tcPr>
            <w:tcW w:w="140" w:type="dxa"/>
            <w:vAlign w:val="bottom"/>
            <w:tcBorders>
              <w:bottom w:val="single" w:sz="8" w:color="424E6A"/>
            </w:tcBorders>
            <w:vMerge w:val="continue"/>
          </w:tcPr>
          <w:p>
            <w:pPr>
              <w:spacing w:after="0"/>
              <w:rPr>
                <w:sz w:val="11"/>
                <w:szCs w:val="11"/>
                <w:color w:val="auto"/>
              </w:rPr>
            </w:pPr>
          </w:p>
        </w:tc>
        <w:tc>
          <w:tcPr>
            <w:tcW w:w="120" w:type="dxa"/>
            <w:vAlign w:val="bottom"/>
            <w:tcBorders>
              <w:bottom w:val="single" w:sz="8" w:color="424E6A"/>
            </w:tcBorders>
            <w:vMerge w:val="continue"/>
          </w:tcPr>
          <w:p>
            <w:pPr>
              <w:spacing w:after="0"/>
              <w:rPr>
                <w:sz w:val="11"/>
                <w:szCs w:val="11"/>
                <w:color w:val="auto"/>
              </w:rPr>
            </w:pPr>
          </w:p>
        </w:tc>
        <w:tc>
          <w:tcPr>
            <w:tcW w:w="680" w:type="dxa"/>
            <w:vAlign w:val="bottom"/>
            <w:tcBorders>
              <w:bottom w:val="single" w:sz="8" w:color="424E6A"/>
            </w:tcBorders>
            <w:vMerge w:val="continue"/>
          </w:tcPr>
          <w:p>
            <w:pPr>
              <w:spacing w:after="0"/>
              <w:rPr>
                <w:sz w:val="11"/>
                <w:szCs w:val="11"/>
                <w:color w:val="auto"/>
              </w:rPr>
            </w:pPr>
          </w:p>
        </w:tc>
        <w:tc>
          <w:tcPr>
            <w:tcW w:w="220" w:type="dxa"/>
            <w:vAlign w:val="bottom"/>
            <w:tcBorders>
              <w:bottom w:val="single" w:sz="8" w:color="424E6A"/>
              <w:right w:val="single" w:sz="8" w:color="424E6A"/>
            </w:tcBorders>
          </w:tcPr>
          <w:p>
            <w:pPr>
              <w:jc w:val="right"/>
              <w:spacing w:after="0" w:line="135" w:lineRule="exact"/>
              <w:rPr>
                <w:sz w:val="20"/>
                <w:szCs w:val="20"/>
                <w:color w:val="auto"/>
              </w:rPr>
            </w:pPr>
            <w:r>
              <w:rPr>
                <w:rFonts w:ascii="Arial" w:cs="Arial" w:eastAsia="Arial" w:hAnsi="Arial"/>
                <w:sz w:val="15"/>
                <w:szCs w:val="15"/>
                <w:color w:val="auto"/>
              </w:rPr>
              <w:t>​​</w:t>
            </w:r>
          </w:p>
        </w:tc>
        <w:tc>
          <w:tcPr>
            <w:tcW w:w="120" w:type="dxa"/>
            <w:vAlign w:val="bottom"/>
            <w:tcBorders>
              <w:bottom w:val="single" w:sz="8" w:color="424E6A"/>
            </w:tcBorders>
            <w:vMerge w:val="continue"/>
          </w:tcPr>
          <w:p>
            <w:pPr>
              <w:spacing w:after="0"/>
              <w:rPr>
                <w:sz w:val="11"/>
                <w:szCs w:val="11"/>
                <w:color w:val="auto"/>
              </w:rPr>
            </w:pPr>
          </w:p>
        </w:tc>
        <w:tc>
          <w:tcPr>
            <w:tcW w:w="80" w:type="dxa"/>
            <w:vAlign w:val="bottom"/>
            <w:tcBorders>
              <w:bottom w:val="single" w:sz="8" w:color="424E6A"/>
            </w:tcBorders>
            <w:vMerge w:val="continue"/>
          </w:tcPr>
          <w:p>
            <w:pPr>
              <w:spacing w:after="0"/>
              <w:rPr>
                <w:sz w:val="11"/>
                <w:szCs w:val="11"/>
                <w:color w:val="auto"/>
              </w:rPr>
            </w:pPr>
          </w:p>
        </w:tc>
        <w:tc>
          <w:tcPr>
            <w:tcW w:w="780" w:type="dxa"/>
            <w:vAlign w:val="bottom"/>
            <w:tcBorders>
              <w:bottom w:val="single" w:sz="8" w:color="424E6A"/>
            </w:tcBorders>
            <w:vMerge w:val="continue"/>
          </w:tcPr>
          <w:p>
            <w:pPr>
              <w:spacing w:after="0"/>
              <w:rPr>
                <w:sz w:val="11"/>
                <w:szCs w:val="11"/>
                <w:color w:val="auto"/>
              </w:rPr>
            </w:pPr>
          </w:p>
        </w:tc>
        <w:tc>
          <w:tcPr>
            <w:tcW w:w="220" w:type="dxa"/>
            <w:vAlign w:val="bottom"/>
            <w:tcBorders>
              <w:bottom w:val="single" w:sz="8" w:color="424E6A"/>
              <w:right w:val="single" w:sz="8" w:color="424E6A"/>
            </w:tcBorders>
          </w:tcPr>
          <w:p>
            <w:pPr>
              <w:jc w:val="right"/>
              <w:ind w:right="35"/>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7"/>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5,410,000</w:t>
            </w:r>
          </w:p>
        </w:tc>
        <w:tc>
          <w:tcPr>
            <w:tcW w:w="14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5,451,438</w:t>
            </w:r>
          </w:p>
        </w:tc>
        <w:tc>
          <w:tcPr>
            <w:tcW w:w="14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 5,451,438 </w:t>
            </w:r>
            <w:r>
              <w:rPr>
                <w:rFonts w:ascii="Arial" w:cs="Arial" w:eastAsia="Arial" w:hAnsi="Arial"/>
                <w:sz w:val="27"/>
                <w:szCs w:val="27"/>
                <w:color w:val="auto"/>
                <w:vertAlign w:val="subscript"/>
              </w:rPr>
              <w:t>​​</w:t>
            </w:r>
          </w:p>
        </w:tc>
        <w:tc>
          <w:tcPr>
            <w:tcW w:w="14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5,451,438</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424E6A"/>
            </w:tcBorders>
            <w:gridSpan w:val="2"/>
          </w:tcPr>
          <w:p>
            <w:pPr>
              <w:ind w:left="40"/>
              <w:spacing w:after="0"/>
              <w:rPr>
                <w:sz w:val="20"/>
                <w:szCs w:val="20"/>
                <w:color w:val="auto"/>
              </w:rPr>
            </w:pPr>
            <w:r>
              <w:rPr>
                <w:rFonts w:ascii="Arial" w:cs="Arial" w:eastAsia="Arial" w:hAnsi="Arial"/>
                <w:sz w:val="16"/>
                <w:szCs w:val="16"/>
                <w:color w:val="auto"/>
              </w:rPr>
              <w:t>​ ​</w:t>
            </w:r>
          </w:p>
        </w:tc>
        <w:tc>
          <w:tcPr>
            <w:tcW w:w="1000" w:type="dxa"/>
            <w:vAlign w:val="bottom"/>
            <w:tcBorders>
              <w:bottom w:val="single" w:sz="8" w:color="424E6A"/>
              <w:right w:val="single" w:sz="8" w:color="424E6A"/>
            </w:tcBorders>
            <w:gridSpan w:val="2"/>
          </w:tcPr>
          <w:p>
            <w:pPr>
              <w:jc w:val="right"/>
              <w:ind w:right="35"/>
              <w:spacing w:after="0" w:line="236" w:lineRule="exact"/>
              <w:rPr>
                <w:sz w:val="20"/>
                <w:szCs w:val="20"/>
                <w:color w:val="auto"/>
              </w:rPr>
            </w:pPr>
            <w:r>
              <w:rPr>
                <w:rFonts w:ascii="Arial" w:cs="Arial" w:eastAsia="Arial" w:hAnsi="Arial"/>
                <w:sz w:val="14"/>
                <w:szCs w:val="14"/>
                <w:color w:val="auto"/>
              </w:rPr>
              <w:t xml:space="preserve">8,156,438 </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63"/>
        </w:trPr>
        <w:tc>
          <w:tcPr>
            <w:tcW w:w="2060" w:type="dxa"/>
            <w:vAlign w:val="bottom"/>
            <w:tcBorders>
              <w:left w:val="single" w:sz="8" w:color="424E6A"/>
              <w:bottom w:val="single" w:sz="8" w:color="424E6A"/>
              <w:right w:val="single" w:sz="8" w:color="424E6A"/>
            </w:tcBorders>
            <w:gridSpan w:val="2"/>
            <w:shd w:val="clear" w:color="auto" w:fill="D9DCE1"/>
          </w:tcPr>
          <w:p>
            <w:pPr>
              <w:ind w:left="4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Al Swanson</w:t>
            </w:r>
            <w:r>
              <w:rPr>
                <w:rFonts w:ascii="Arial" w:cs="Arial" w:eastAsia="Arial" w:hAnsi="Arial"/>
                <w:sz w:val="18"/>
                <w:szCs w:val="18"/>
                <w:b w:val="1"/>
                <w:bCs w:val="1"/>
                <w:color w:val="auto"/>
                <w:vertAlign w:val="superscript"/>
              </w:rPr>
              <w:t>(7)</w:t>
            </w:r>
          </w:p>
        </w:tc>
        <w:tc>
          <w:tcPr>
            <w:tcW w:w="1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 ​</w:t>
            </w:r>
          </w:p>
        </w:tc>
        <w:tc>
          <w:tcPr>
            <w:tcW w:w="760" w:type="dxa"/>
            <w:vAlign w:val="bottom"/>
            <w:tcBorders>
              <w:bottom w:val="single" w:sz="8" w:color="424E6A"/>
            </w:tcBorders>
            <w:shd w:val="clear" w:color="auto" w:fill="D9DCE1"/>
          </w:tcPr>
          <w:p>
            <w:pPr>
              <w:spacing w:after="0"/>
              <w:rPr>
                <w:sz w:val="22"/>
                <w:szCs w:val="22"/>
                <w:color w:val="auto"/>
              </w:rPr>
            </w:pPr>
          </w:p>
        </w:tc>
        <w:tc>
          <w:tcPr>
            <w:tcW w:w="1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424E6A"/>
            </w:tcBorders>
            <w:shd w:val="clear" w:color="auto" w:fill="D9DCE1"/>
          </w:tcPr>
          <w:p>
            <w:pPr>
              <w:spacing w:after="0"/>
              <w:rPr>
                <w:sz w:val="22"/>
                <w:szCs w:val="22"/>
                <w:color w:val="auto"/>
              </w:rPr>
            </w:pP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220" w:type="dxa"/>
            <w:vAlign w:val="bottom"/>
            <w:tcBorders>
              <w:bottom w:val="single" w:sz="8" w:color="424E6A"/>
              <w:right w:val="single" w:sz="8" w:color="424E6A"/>
            </w:tcBorders>
            <w:shd w:val="clear" w:color="auto" w:fill="D9DCE1"/>
          </w:tcPr>
          <w:p>
            <w:pPr>
              <w:jc w:val="right"/>
              <w:ind w:right="3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02"/>
        </w:trPr>
        <w:tc>
          <w:tcPr>
            <w:tcW w:w="1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424E6A"/>
            </w:tcBorders>
            <w:vMerge w:val="restart"/>
          </w:tcPr>
          <w:p>
            <w:pPr>
              <w:ind w:left="80"/>
              <w:spacing w:after="0"/>
              <w:rPr>
                <w:sz w:val="20"/>
                <w:szCs w:val="20"/>
                <w:color w:val="auto"/>
              </w:rPr>
            </w:pPr>
            <w:r>
              <w:rPr>
                <w:rFonts w:ascii="Arial" w:cs="Arial" w:eastAsia="Arial" w:hAnsi="Arial"/>
                <w:sz w:val="16"/>
                <w:szCs w:val="16"/>
                <w:color w:val="auto"/>
              </w:rPr>
              <w:t>Equity Compensation</w:t>
            </w:r>
          </w:p>
        </w:tc>
        <w:tc>
          <w:tcPr>
            <w:tcW w:w="1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3,477,785</w:t>
            </w:r>
          </w:p>
        </w:tc>
        <w:tc>
          <w:tcPr>
            <w:tcW w:w="140" w:type="dxa"/>
            <w:vAlign w:val="bottom"/>
          </w:tcPr>
          <w:p>
            <w:pPr>
              <w:jc w:val="right"/>
              <w:spacing w:after="0" w:line="102" w:lineRule="exact"/>
              <w:rPr>
                <w:sz w:val="20"/>
                <w:szCs w:val="20"/>
                <w:color w:val="auto"/>
              </w:rPr>
            </w:pPr>
            <w:r>
              <w:rPr>
                <w:rFonts w:ascii="Arial" w:cs="Arial" w:eastAsia="Arial" w:hAnsi="Arial"/>
                <w:sz w:val="10"/>
                <w:szCs w:val="10"/>
                <w:color w:val="auto"/>
                <w:w w:val="81"/>
              </w:rPr>
              <w:t>(1)</w:t>
            </w:r>
          </w:p>
        </w:tc>
        <w:tc>
          <w:tcPr>
            <w:tcW w:w="120" w:type="dxa"/>
            <w:vAlign w:val="bottom"/>
            <w:tcBorders>
              <w:right w:val="single" w:sz="8" w:color="424E6A"/>
            </w:tcBorders>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3,477,785</w:t>
            </w:r>
          </w:p>
        </w:tc>
        <w:tc>
          <w:tcPr>
            <w:tcW w:w="140" w:type="dxa"/>
            <w:vAlign w:val="bottom"/>
          </w:tcPr>
          <w:p>
            <w:pPr>
              <w:jc w:val="right"/>
              <w:spacing w:after="0" w:line="102" w:lineRule="exact"/>
              <w:rPr>
                <w:sz w:val="20"/>
                <w:szCs w:val="20"/>
                <w:color w:val="auto"/>
              </w:rPr>
            </w:pPr>
            <w:r>
              <w:rPr>
                <w:rFonts w:ascii="Arial" w:cs="Arial" w:eastAsia="Arial" w:hAnsi="Arial"/>
                <w:sz w:val="10"/>
                <w:szCs w:val="10"/>
                <w:color w:val="auto"/>
                <w:w w:val="81"/>
              </w:rPr>
              <w:t>(1)</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ind w:left="40"/>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 2,343,086</w:t>
            </w:r>
          </w:p>
        </w:tc>
        <w:tc>
          <w:tcPr>
            <w:tcW w:w="160" w:type="dxa"/>
            <w:vAlign w:val="bottom"/>
            <w:tcBorders>
              <w:right w:val="single" w:sz="8" w:color="424E6A"/>
            </w:tcBorders>
          </w:tcPr>
          <w:p>
            <w:pPr>
              <w:jc w:val="right"/>
              <w:spacing w:after="0" w:line="102" w:lineRule="exact"/>
              <w:rPr>
                <w:sz w:val="20"/>
                <w:szCs w:val="20"/>
                <w:color w:val="auto"/>
              </w:rPr>
            </w:pPr>
            <w:r>
              <w:rPr>
                <w:rFonts w:ascii="Arial" w:cs="Arial" w:eastAsia="Arial" w:hAnsi="Arial"/>
                <w:sz w:val="10"/>
                <w:szCs w:val="10"/>
                <w:color w:val="auto"/>
                <w:w w:val="81"/>
              </w:rPr>
              <w:t>(2)</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424E6A"/>
            </w:tcBorders>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vMerge w:val="restart"/>
          </w:tcPr>
          <w:p>
            <w:pPr>
              <w:ind w:left="40"/>
              <w:spacing w:after="0"/>
              <w:rPr>
                <w:sz w:val="20"/>
                <w:szCs w:val="20"/>
                <w:color w:val="auto"/>
              </w:rPr>
            </w:pPr>
            <w:r>
              <w:rPr>
                <w:rFonts w:ascii="Arial" w:cs="Arial" w:eastAsia="Arial" w:hAnsi="Arial"/>
                <w:sz w:val="16"/>
                <w:szCs w:val="16"/>
                <w:color w:val="auto"/>
              </w:rPr>
              <w:t>​ ​</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5,107,721</w:t>
            </w:r>
          </w:p>
        </w:tc>
        <w:tc>
          <w:tcPr>
            <w:tcW w:w="220" w:type="dxa"/>
            <w:vAlign w:val="bottom"/>
            <w:tcBorders>
              <w:right w:val="single" w:sz="8" w:color="424E6A"/>
            </w:tcBorders>
          </w:tcPr>
          <w:p>
            <w:pPr>
              <w:jc w:val="right"/>
              <w:ind w:right="35"/>
              <w:spacing w:after="0" w:line="102" w:lineRule="exact"/>
              <w:rPr>
                <w:sz w:val="20"/>
                <w:szCs w:val="20"/>
                <w:color w:val="auto"/>
              </w:rPr>
            </w:pPr>
            <w:r>
              <w:rPr>
                <w:rFonts w:ascii="Arial" w:cs="Arial" w:eastAsia="Arial" w:hAnsi="Arial"/>
                <w:sz w:val="10"/>
                <w:szCs w:val="10"/>
                <w:color w:val="auto"/>
                <w:w w:val="81"/>
              </w:rPr>
              <w:t>(3)</w:t>
            </w:r>
          </w:p>
        </w:tc>
        <w:tc>
          <w:tcPr>
            <w:tcW w:w="0" w:type="dxa"/>
            <w:vAlign w:val="bottom"/>
          </w:tcPr>
          <w:p>
            <w:pPr>
              <w:spacing w:after="0"/>
              <w:rPr>
                <w:sz w:val="1"/>
                <w:szCs w:val="1"/>
                <w:color w:val="auto"/>
              </w:rPr>
            </w:pPr>
          </w:p>
        </w:tc>
      </w:tr>
      <w:tr>
        <w:trPr>
          <w:trHeight w:val="135"/>
        </w:trPr>
        <w:tc>
          <w:tcPr>
            <w:tcW w:w="140" w:type="dxa"/>
            <w:vAlign w:val="bottom"/>
            <w:tcBorders>
              <w:left w:val="single" w:sz="8" w:color="424E6A"/>
              <w:bottom w:val="single" w:sz="8" w:color="424E6A"/>
            </w:tcBorders>
            <w:vMerge w:val="continue"/>
          </w:tcPr>
          <w:p>
            <w:pPr>
              <w:spacing w:after="0"/>
              <w:rPr>
                <w:sz w:val="11"/>
                <w:szCs w:val="11"/>
                <w:color w:val="auto"/>
              </w:rPr>
            </w:pPr>
          </w:p>
        </w:tc>
        <w:tc>
          <w:tcPr>
            <w:tcW w:w="1920" w:type="dxa"/>
            <w:vAlign w:val="bottom"/>
            <w:tcBorders>
              <w:bottom w:val="single" w:sz="8" w:color="424E6A"/>
              <w:right w:val="single" w:sz="8" w:color="424E6A"/>
            </w:tcBorders>
            <w:vMerge w:val="continue"/>
          </w:tcPr>
          <w:p>
            <w:pPr>
              <w:spacing w:after="0"/>
              <w:rPr>
                <w:sz w:val="11"/>
                <w:szCs w:val="11"/>
                <w:color w:val="auto"/>
              </w:rPr>
            </w:pPr>
          </w:p>
        </w:tc>
        <w:tc>
          <w:tcPr>
            <w:tcW w:w="160" w:type="dxa"/>
            <w:vAlign w:val="bottom"/>
            <w:tcBorders>
              <w:bottom w:val="single" w:sz="8" w:color="424E6A"/>
            </w:tcBorders>
            <w:vMerge w:val="continue"/>
          </w:tcPr>
          <w:p>
            <w:pPr>
              <w:spacing w:after="0"/>
              <w:rPr>
                <w:sz w:val="11"/>
                <w:szCs w:val="11"/>
                <w:color w:val="auto"/>
              </w:rPr>
            </w:pPr>
          </w:p>
        </w:tc>
        <w:tc>
          <w:tcPr>
            <w:tcW w:w="920" w:type="dxa"/>
            <w:vAlign w:val="bottom"/>
            <w:tcBorders>
              <w:bottom w:val="single" w:sz="8" w:color="424E6A"/>
            </w:tcBorders>
            <w:gridSpan w:val="2"/>
            <w:vMerge w:val="continue"/>
          </w:tcPr>
          <w:p>
            <w:pPr>
              <w:spacing w:after="0"/>
              <w:rPr>
                <w:sz w:val="11"/>
                <w:szCs w:val="11"/>
                <w:color w:val="auto"/>
              </w:rPr>
            </w:pPr>
          </w:p>
        </w:tc>
        <w:tc>
          <w:tcPr>
            <w:tcW w:w="140" w:type="dxa"/>
            <w:vAlign w:val="bottom"/>
            <w:tcBorders>
              <w:bottom w:val="single" w:sz="8" w:color="424E6A"/>
            </w:tcBorders>
          </w:tcPr>
          <w:p>
            <w:pPr>
              <w:spacing w:after="0"/>
              <w:rPr>
                <w:sz w:val="11"/>
                <w:szCs w:val="11"/>
                <w:color w:val="auto"/>
              </w:rPr>
            </w:pPr>
          </w:p>
        </w:tc>
        <w:tc>
          <w:tcPr>
            <w:tcW w:w="120" w:type="dxa"/>
            <w:vAlign w:val="bottom"/>
            <w:tcBorders>
              <w:bottom w:val="single" w:sz="8" w:color="424E6A"/>
              <w:right w:val="single" w:sz="8" w:color="424E6A"/>
            </w:tcBorders>
            <w:vMerge w:val="continue"/>
          </w:tcPr>
          <w:p>
            <w:pPr>
              <w:spacing w:after="0"/>
              <w:rPr>
                <w:sz w:val="11"/>
                <w:szCs w:val="11"/>
                <w:color w:val="auto"/>
              </w:rPr>
            </w:pPr>
          </w:p>
        </w:tc>
        <w:tc>
          <w:tcPr>
            <w:tcW w:w="180" w:type="dxa"/>
            <w:vAlign w:val="bottom"/>
            <w:tcBorders>
              <w:bottom w:val="single" w:sz="8" w:color="424E6A"/>
            </w:tcBorders>
            <w:vMerge w:val="continue"/>
          </w:tcPr>
          <w:p>
            <w:pPr>
              <w:spacing w:after="0"/>
              <w:rPr>
                <w:sz w:val="11"/>
                <w:szCs w:val="11"/>
                <w:color w:val="auto"/>
              </w:rPr>
            </w:pPr>
          </w:p>
        </w:tc>
        <w:tc>
          <w:tcPr>
            <w:tcW w:w="900" w:type="dxa"/>
            <w:vAlign w:val="bottom"/>
            <w:tcBorders>
              <w:bottom w:val="single" w:sz="8" w:color="424E6A"/>
            </w:tcBorders>
            <w:gridSpan w:val="2"/>
            <w:vMerge w:val="continue"/>
          </w:tcPr>
          <w:p>
            <w:pPr>
              <w:spacing w:after="0"/>
              <w:rPr>
                <w:sz w:val="11"/>
                <w:szCs w:val="11"/>
                <w:color w:val="auto"/>
              </w:rPr>
            </w:pPr>
          </w:p>
        </w:tc>
        <w:tc>
          <w:tcPr>
            <w:tcW w:w="140" w:type="dxa"/>
            <w:vAlign w:val="bottom"/>
            <w:tcBorders>
              <w:bottom w:val="single" w:sz="8" w:color="424E6A"/>
            </w:tcBorders>
          </w:tcPr>
          <w:p>
            <w:pPr>
              <w:spacing w:after="0"/>
              <w:rPr>
                <w:sz w:val="11"/>
                <w:szCs w:val="11"/>
                <w:color w:val="auto"/>
              </w:rPr>
            </w:pPr>
          </w:p>
        </w:tc>
        <w:tc>
          <w:tcPr>
            <w:tcW w:w="140" w:type="dxa"/>
            <w:vAlign w:val="bottom"/>
            <w:tcBorders>
              <w:bottom w:val="single" w:sz="8" w:color="424E6A"/>
              <w:right w:val="single" w:sz="8" w:color="424E6A"/>
            </w:tcBorders>
            <w:vMerge w:val="continue"/>
          </w:tcPr>
          <w:p>
            <w:pPr>
              <w:spacing w:after="0"/>
              <w:rPr>
                <w:sz w:val="11"/>
                <w:szCs w:val="11"/>
                <w:color w:val="auto"/>
              </w:rPr>
            </w:pPr>
          </w:p>
        </w:tc>
        <w:tc>
          <w:tcPr>
            <w:tcW w:w="940" w:type="dxa"/>
            <w:vAlign w:val="bottom"/>
            <w:tcBorders>
              <w:bottom w:val="single" w:sz="8" w:color="424E6A"/>
            </w:tcBorders>
            <w:gridSpan w:val="2"/>
            <w:vMerge w:val="continue"/>
          </w:tcPr>
          <w:p>
            <w:pPr>
              <w:spacing w:after="0"/>
              <w:rPr>
                <w:sz w:val="11"/>
                <w:szCs w:val="11"/>
                <w:color w:val="auto"/>
              </w:rPr>
            </w:pPr>
          </w:p>
        </w:tc>
        <w:tc>
          <w:tcPr>
            <w:tcW w:w="160" w:type="dxa"/>
            <w:vAlign w:val="bottom"/>
            <w:tcBorders>
              <w:bottom w:val="single" w:sz="8" w:color="424E6A"/>
              <w:right w:val="single" w:sz="8" w:color="424E6A"/>
            </w:tcBorders>
          </w:tcPr>
          <w:p>
            <w:pPr>
              <w:jc w:val="right"/>
              <w:spacing w:after="0" w:line="135" w:lineRule="exact"/>
              <w:rPr>
                <w:sz w:val="20"/>
                <w:szCs w:val="20"/>
                <w:color w:val="auto"/>
              </w:rPr>
            </w:pPr>
            <w:r>
              <w:rPr>
                <w:rFonts w:ascii="Arial" w:cs="Arial" w:eastAsia="Arial" w:hAnsi="Arial"/>
                <w:sz w:val="15"/>
                <w:szCs w:val="15"/>
                <w:color w:val="auto"/>
              </w:rPr>
              <w:t>​​</w:t>
            </w:r>
          </w:p>
        </w:tc>
        <w:tc>
          <w:tcPr>
            <w:tcW w:w="140" w:type="dxa"/>
            <w:vAlign w:val="bottom"/>
            <w:tcBorders>
              <w:bottom w:val="single" w:sz="8" w:color="424E6A"/>
            </w:tcBorders>
            <w:vMerge w:val="continue"/>
          </w:tcPr>
          <w:p>
            <w:pPr>
              <w:spacing w:after="0"/>
              <w:rPr>
                <w:sz w:val="11"/>
                <w:szCs w:val="11"/>
                <w:color w:val="auto"/>
              </w:rPr>
            </w:pPr>
          </w:p>
        </w:tc>
        <w:tc>
          <w:tcPr>
            <w:tcW w:w="120" w:type="dxa"/>
            <w:vAlign w:val="bottom"/>
            <w:tcBorders>
              <w:bottom w:val="single" w:sz="8" w:color="424E6A"/>
            </w:tcBorders>
            <w:vMerge w:val="continue"/>
          </w:tcPr>
          <w:p>
            <w:pPr>
              <w:spacing w:after="0"/>
              <w:rPr>
                <w:sz w:val="11"/>
                <w:szCs w:val="11"/>
                <w:color w:val="auto"/>
              </w:rPr>
            </w:pPr>
          </w:p>
        </w:tc>
        <w:tc>
          <w:tcPr>
            <w:tcW w:w="680" w:type="dxa"/>
            <w:vAlign w:val="bottom"/>
            <w:tcBorders>
              <w:bottom w:val="single" w:sz="8" w:color="424E6A"/>
            </w:tcBorders>
            <w:vMerge w:val="continue"/>
          </w:tcPr>
          <w:p>
            <w:pPr>
              <w:spacing w:after="0"/>
              <w:rPr>
                <w:sz w:val="11"/>
                <w:szCs w:val="11"/>
                <w:color w:val="auto"/>
              </w:rPr>
            </w:pPr>
          </w:p>
        </w:tc>
        <w:tc>
          <w:tcPr>
            <w:tcW w:w="220" w:type="dxa"/>
            <w:vAlign w:val="bottom"/>
            <w:tcBorders>
              <w:bottom w:val="single" w:sz="8" w:color="424E6A"/>
              <w:right w:val="single" w:sz="8" w:color="424E6A"/>
            </w:tcBorders>
            <w:vMerge w:val="continue"/>
          </w:tcPr>
          <w:p>
            <w:pPr>
              <w:spacing w:after="0"/>
              <w:rPr>
                <w:sz w:val="11"/>
                <w:szCs w:val="11"/>
                <w:color w:val="auto"/>
              </w:rPr>
            </w:pPr>
          </w:p>
        </w:tc>
        <w:tc>
          <w:tcPr>
            <w:tcW w:w="200" w:type="dxa"/>
            <w:vAlign w:val="bottom"/>
            <w:tcBorders>
              <w:bottom w:val="single" w:sz="8" w:color="424E6A"/>
            </w:tcBorders>
            <w:gridSpan w:val="2"/>
            <w:vMerge w:val="continue"/>
          </w:tcPr>
          <w:p>
            <w:pPr>
              <w:spacing w:after="0"/>
              <w:rPr>
                <w:sz w:val="11"/>
                <w:szCs w:val="11"/>
                <w:color w:val="auto"/>
              </w:rPr>
            </w:pPr>
          </w:p>
        </w:tc>
        <w:tc>
          <w:tcPr>
            <w:tcW w:w="780" w:type="dxa"/>
            <w:vAlign w:val="bottom"/>
            <w:tcBorders>
              <w:bottom w:val="single" w:sz="8" w:color="424E6A"/>
            </w:tcBorders>
            <w:vMerge w:val="continue"/>
          </w:tcPr>
          <w:p>
            <w:pPr>
              <w:spacing w:after="0"/>
              <w:rPr>
                <w:sz w:val="11"/>
                <w:szCs w:val="11"/>
                <w:color w:val="auto"/>
              </w:rPr>
            </w:pPr>
          </w:p>
        </w:tc>
        <w:tc>
          <w:tcPr>
            <w:tcW w:w="220" w:type="dxa"/>
            <w:vAlign w:val="bottom"/>
            <w:tcBorders>
              <w:bottom w:val="single" w:sz="8" w:color="424E6A"/>
              <w:right w:val="single" w:sz="8" w:color="424E6A"/>
            </w:tcBorders>
          </w:tcPr>
          <w:p>
            <w:pPr>
              <w:jc w:val="right"/>
              <w:ind w:right="35"/>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6"/>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3,477,785</w:t>
            </w:r>
          </w:p>
        </w:tc>
        <w:tc>
          <w:tcPr>
            <w:tcW w:w="14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3,477,785</w:t>
            </w:r>
          </w:p>
        </w:tc>
        <w:tc>
          <w:tcPr>
            <w:tcW w:w="14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 2,343,086 </w:t>
            </w:r>
            <w:r>
              <w:rPr>
                <w:rFonts w:ascii="Arial" w:cs="Arial" w:eastAsia="Arial" w:hAnsi="Arial"/>
                <w:sz w:val="27"/>
                <w:szCs w:val="27"/>
                <w:color w:val="auto"/>
                <w:vertAlign w:val="subscript"/>
              </w:rPr>
              <w:t>​​</w:t>
            </w:r>
          </w:p>
        </w:tc>
        <w:tc>
          <w:tcPr>
            <w:tcW w:w="14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24E6A"/>
            </w:tcBorders>
          </w:tcPr>
          <w:p>
            <w:pPr>
              <w:ind w:left="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424E6A"/>
            </w:tcBorders>
            <w:gridSpan w:val="2"/>
          </w:tcPr>
          <w:p>
            <w:pPr>
              <w:ind w:left="40"/>
              <w:spacing w:after="0"/>
              <w:rPr>
                <w:sz w:val="20"/>
                <w:szCs w:val="20"/>
                <w:color w:val="auto"/>
              </w:rPr>
            </w:pPr>
            <w:r>
              <w:rPr>
                <w:rFonts w:ascii="Arial" w:cs="Arial" w:eastAsia="Arial" w:hAnsi="Arial"/>
                <w:sz w:val="16"/>
                <w:szCs w:val="16"/>
                <w:color w:val="auto"/>
              </w:rPr>
              <w:t>​ ​</w:t>
            </w:r>
          </w:p>
        </w:tc>
        <w:tc>
          <w:tcPr>
            <w:tcW w:w="1000" w:type="dxa"/>
            <w:vAlign w:val="bottom"/>
            <w:tcBorders>
              <w:bottom w:val="single" w:sz="8" w:color="424E6A"/>
              <w:right w:val="single" w:sz="8" w:color="424E6A"/>
            </w:tcBorders>
            <w:gridSpan w:val="2"/>
          </w:tcPr>
          <w:p>
            <w:pPr>
              <w:jc w:val="right"/>
              <w:ind w:right="35"/>
              <w:spacing w:after="0" w:line="236" w:lineRule="exact"/>
              <w:rPr>
                <w:sz w:val="20"/>
                <w:szCs w:val="20"/>
                <w:color w:val="auto"/>
              </w:rPr>
            </w:pPr>
            <w:r>
              <w:rPr>
                <w:rFonts w:ascii="Arial" w:cs="Arial" w:eastAsia="Arial" w:hAnsi="Arial"/>
                <w:sz w:val="14"/>
                <w:szCs w:val="14"/>
                <w:color w:val="auto"/>
              </w:rPr>
              <w:t xml:space="preserve">5,107,721 </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64"/>
        </w:trPr>
        <w:tc>
          <w:tcPr>
            <w:tcW w:w="2060" w:type="dxa"/>
            <w:vAlign w:val="bottom"/>
            <w:tcBorders>
              <w:left w:val="single" w:sz="8" w:color="424E6A"/>
              <w:bottom w:val="single" w:sz="8" w:color="424E6A"/>
              <w:right w:val="single" w:sz="8" w:color="424E6A"/>
            </w:tcBorders>
            <w:gridSpan w:val="2"/>
            <w:shd w:val="clear" w:color="auto" w:fill="D9DCE1"/>
          </w:tcPr>
          <w:p>
            <w:pPr>
              <w:ind w:left="4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Richard McGee</w:t>
            </w:r>
            <w:r>
              <w:rPr>
                <w:rFonts w:ascii="Arial" w:cs="Arial" w:eastAsia="Arial" w:hAnsi="Arial"/>
                <w:sz w:val="18"/>
                <w:szCs w:val="18"/>
                <w:b w:val="1"/>
                <w:bCs w:val="1"/>
                <w:color w:val="auto"/>
                <w:vertAlign w:val="superscript"/>
              </w:rPr>
              <w:t>(7)</w:t>
            </w:r>
          </w:p>
        </w:tc>
        <w:tc>
          <w:tcPr>
            <w:tcW w:w="1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 ​</w:t>
            </w:r>
          </w:p>
        </w:tc>
        <w:tc>
          <w:tcPr>
            <w:tcW w:w="760" w:type="dxa"/>
            <w:vAlign w:val="bottom"/>
            <w:tcBorders>
              <w:bottom w:val="single" w:sz="8" w:color="424E6A"/>
            </w:tcBorders>
            <w:shd w:val="clear" w:color="auto" w:fill="D9DCE1"/>
          </w:tcPr>
          <w:p>
            <w:pPr>
              <w:spacing w:after="0"/>
              <w:rPr>
                <w:sz w:val="22"/>
                <w:szCs w:val="22"/>
                <w:color w:val="auto"/>
              </w:rPr>
            </w:pPr>
          </w:p>
        </w:tc>
        <w:tc>
          <w:tcPr>
            <w:tcW w:w="1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424E6A"/>
            </w:tcBorders>
            <w:shd w:val="clear" w:color="auto" w:fill="D9DCE1"/>
          </w:tcPr>
          <w:p>
            <w:pPr>
              <w:spacing w:after="0"/>
              <w:rPr>
                <w:sz w:val="22"/>
                <w:szCs w:val="22"/>
                <w:color w:val="auto"/>
              </w:rPr>
            </w:pP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220" w:type="dxa"/>
            <w:vAlign w:val="bottom"/>
            <w:tcBorders>
              <w:bottom w:val="single" w:sz="8" w:color="424E6A"/>
              <w:right w:val="single" w:sz="8" w:color="424E6A"/>
            </w:tcBorders>
            <w:shd w:val="clear" w:color="auto" w:fill="D9DCE1"/>
          </w:tcPr>
          <w:p>
            <w:pPr>
              <w:jc w:val="right"/>
              <w:ind w:right="3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02"/>
        </w:trPr>
        <w:tc>
          <w:tcPr>
            <w:tcW w:w="1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424E6A"/>
            </w:tcBorders>
            <w:vMerge w:val="restart"/>
          </w:tcPr>
          <w:p>
            <w:pPr>
              <w:ind w:left="80"/>
              <w:spacing w:after="0"/>
              <w:rPr>
                <w:sz w:val="20"/>
                <w:szCs w:val="20"/>
                <w:color w:val="auto"/>
              </w:rPr>
            </w:pPr>
            <w:r>
              <w:rPr>
                <w:rFonts w:ascii="Arial" w:cs="Arial" w:eastAsia="Arial" w:hAnsi="Arial"/>
                <w:sz w:val="16"/>
                <w:szCs w:val="16"/>
                <w:color w:val="auto"/>
              </w:rPr>
              <w:t>Equity Compensation</w:t>
            </w:r>
          </w:p>
        </w:tc>
        <w:tc>
          <w:tcPr>
            <w:tcW w:w="1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3,477,785</w:t>
            </w:r>
          </w:p>
        </w:tc>
        <w:tc>
          <w:tcPr>
            <w:tcW w:w="140" w:type="dxa"/>
            <w:vAlign w:val="bottom"/>
          </w:tcPr>
          <w:p>
            <w:pPr>
              <w:jc w:val="right"/>
              <w:spacing w:after="0" w:line="102" w:lineRule="exact"/>
              <w:rPr>
                <w:sz w:val="20"/>
                <w:szCs w:val="20"/>
                <w:color w:val="auto"/>
              </w:rPr>
            </w:pPr>
            <w:r>
              <w:rPr>
                <w:rFonts w:ascii="Arial" w:cs="Arial" w:eastAsia="Arial" w:hAnsi="Arial"/>
                <w:sz w:val="10"/>
                <w:szCs w:val="10"/>
                <w:color w:val="auto"/>
                <w:w w:val="81"/>
              </w:rPr>
              <w:t>(1)</w:t>
            </w:r>
          </w:p>
        </w:tc>
        <w:tc>
          <w:tcPr>
            <w:tcW w:w="120" w:type="dxa"/>
            <w:vAlign w:val="bottom"/>
            <w:tcBorders>
              <w:right w:val="single" w:sz="8" w:color="424E6A"/>
            </w:tcBorders>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3,477,785</w:t>
            </w:r>
          </w:p>
        </w:tc>
        <w:tc>
          <w:tcPr>
            <w:tcW w:w="140" w:type="dxa"/>
            <w:vAlign w:val="bottom"/>
          </w:tcPr>
          <w:p>
            <w:pPr>
              <w:jc w:val="right"/>
              <w:spacing w:after="0" w:line="102" w:lineRule="exact"/>
              <w:rPr>
                <w:sz w:val="20"/>
                <w:szCs w:val="20"/>
                <w:color w:val="auto"/>
              </w:rPr>
            </w:pPr>
            <w:r>
              <w:rPr>
                <w:rFonts w:ascii="Arial" w:cs="Arial" w:eastAsia="Arial" w:hAnsi="Arial"/>
                <w:sz w:val="10"/>
                <w:szCs w:val="10"/>
                <w:color w:val="auto"/>
                <w:w w:val="81"/>
              </w:rPr>
              <w:t>(1)</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ind w:left="40"/>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 2,343,086</w:t>
            </w:r>
          </w:p>
        </w:tc>
        <w:tc>
          <w:tcPr>
            <w:tcW w:w="160" w:type="dxa"/>
            <w:vAlign w:val="bottom"/>
            <w:tcBorders>
              <w:right w:val="single" w:sz="8" w:color="424E6A"/>
            </w:tcBorders>
          </w:tcPr>
          <w:p>
            <w:pPr>
              <w:jc w:val="right"/>
              <w:spacing w:after="0" w:line="102" w:lineRule="exact"/>
              <w:rPr>
                <w:sz w:val="20"/>
                <w:szCs w:val="20"/>
                <w:color w:val="auto"/>
              </w:rPr>
            </w:pPr>
            <w:r>
              <w:rPr>
                <w:rFonts w:ascii="Arial" w:cs="Arial" w:eastAsia="Arial" w:hAnsi="Arial"/>
                <w:sz w:val="10"/>
                <w:szCs w:val="10"/>
                <w:color w:val="auto"/>
                <w:w w:val="81"/>
              </w:rPr>
              <w:t>(2)</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424E6A"/>
            </w:tcBorders>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vMerge w:val="restart"/>
          </w:tcPr>
          <w:p>
            <w:pPr>
              <w:ind w:left="40"/>
              <w:spacing w:after="0"/>
              <w:rPr>
                <w:sz w:val="20"/>
                <w:szCs w:val="20"/>
                <w:color w:val="auto"/>
              </w:rPr>
            </w:pPr>
            <w:r>
              <w:rPr>
                <w:rFonts w:ascii="Arial" w:cs="Arial" w:eastAsia="Arial" w:hAnsi="Arial"/>
                <w:sz w:val="16"/>
                <w:szCs w:val="16"/>
                <w:color w:val="auto"/>
              </w:rPr>
              <w:t>​ ​</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5,107,721</w:t>
            </w:r>
          </w:p>
        </w:tc>
        <w:tc>
          <w:tcPr>
            <w:tcW w:w="220" w:type="dxa"/>
            <w:vAlign w:val="bottom"/>
            <w:tcBorders>
              <w:right w:val="single" w:sz="8" w:color="424E6A"/>
            </w:tcBorders>
          </w:tcPr>
          <w:p>
            <w:pPr>
              <w:jc w:val="right"/>
              <w:ind w:right="35"/>
              <w:spacing w:after="0" w:line="102" w:lineRule="exact"/>
              <w:rPr>
                <w:sz w:val="20"/>
                <w:szCs w:val="20"/>
                <w:color w:val="auto"/>
              </w:rPr>
            </w:pPr>
            <w:r>
              <w:rPr>
                <w:rFonts w:ascii="Arial" w:cs="Arial" w:eastAsia="Arial" w:hAnsi="Arial"/>
                <w:sz w:val="10"/>
                <w:szCs w:val="10"/>
                <w:color w:val="auto"/>
                <w:w w:val="81"/>
              </w:rPr>
              <w:t>(3)</w:t>
            </w:r>
          </w:p>
        </w:tc>
        <w:tc>
          <w:tcPr>
            <w:tcW w:w="0" w:type="dxa"/>
            <w:vAlign w:val="bottom"/>
          </w:tcPr>
          <w:p>
            <w:pPr>
              <w:spacing w:after="0"/>
              <w:rPr>
                <w:sz w:val="1"/>
                <w:szCs w:val="1"/>
                <w:color w:val="auto"/>
              </w:rPr>
            </w:pPr>
          </w:p>
        </w:tc>
      </w:tr>
      <w:tr>
        <w:trPr>
          <w:trHeight w:val="135"/>
        </w:trPr>
        <w:tc>
          <w:tcPr>
            <w:tcW w:w="140" w:type="dxa"/>
            <w:vAlign w:val="bottom"/>
            <w:tcBorders>
              <w:left w:val="single" w:sz="8" w:color="424E6A"/>
              <w:bottom w:val="single" w:sz="8" w:color="424E6A"/>
            </w:tcBorders>
            <w:vMerge w:val="continue"/>
          </w:tcPr>
          <w:p>
            <w:pPr>
              <w:spacing w:after="0"/>
              <w:rPr>
                <w:sz w:val="11"/>
                <w:szCs w:val="11"/>
                <w:color w:val="auto"/>
              </w:rPr>
            </w:pPr>
          </w:p>
        </w:tc>
        <w:tc>
          <w:tcPr>
            <w:tcW w:w="1920" w:type="dxa"/>
            <w:vAlign w:val="bottom"/>
            <w:tcBorders>
              <w:bottom w:val="single" w:sz="8" w:color="424E6A"/>
              <w:right w:val="single" w:sz="8" w:color="424E6A"/>
            </w:tcBorders>
            <w:vMerge w:val="continue"/>
          </w:tcPr>
          <w:p>
            <w:pPr>
              <w:spacing w:after="0"/>
              <w:rPr>
                <w:sz w:val="11"/>
                <w:szCs w:val="11"/>
                <w:color w:val="auto"/>
              </w:rPr>
            </w:pPr>
          </w:p>
        </w:tc>
        <w:tc>
          <w:tcPr>
            <w:tcW w:w="160" w:type="dxa"/>
            <w:vAlign w:val="bottom"/>
            <w:tcBorders>
              <w:bottom w:val="single" w:sz="8" w:color="424E6A"/>
            </w:tcBorders>
            <w:vMerge w:val="continue"/>
          </w:tcPr>
          <w:p>
            <w:pPr>
              <w:spacing w:after="0"/>
              <w:rPr>
                <w:sz w:val="11"/>
                <w:szCs w:val="11"/>
                <w:color w:val="auto"/>
              </w:rPr>
            </w:pPr>
          </w:p>
        </w:tc>
        <w:tc>
          <w:tcPr>
            <w:tcW w:w="920" w:type="dxa"/>
            <w:vAlign w:val="bottom"/>
            <w:tcBorders>
              <w:bottom w:val="single" w:sz="8" w:color="424E6A"/>
            </w:tcBorders>
            <w:gridSpan w:val="2"/>
            <w:vMerge w:val="continue"/>
          </w:tcPr>
          <w:p>
            <w:pPr>
              <w:spacing w:after="0"/>
              <w:rPr>
                <w:sz w:val="11"/>
                <w:szCs w:val="11"/>
                <w:color w:val="auto"/>
              </w:rPr>
            </w:pPr>
          </w:p>
        </w:tc>
        <w:tc>
          <w:tcPr>
            <w:tcW w:w="140" w:type="dxa"/>
            <w:vAlign w:val="bottom"/>
            <w:tcBorders>
              <w:bottom w:val="single" w:sz="8" w:color="424E6A"/>
            </w:tcBorders>
          </w:tcPr>
          <w:p>
            <w:pPr>
              <w:spacing w:after="0"/>
              <w:rPr>
                <w:sz w:val="11"/>
                <w:szCs w:val="11"/>
                <w:color w:val="auto"/>
              </w:rPr>
            </w:pPr>
          </w:p>
        </w:tc>
        <w:tc>
          <w:tcPr>
            <w:tcW w:w="120" w:type="dxa"/>
            <w:vAlign w:val="bottom"/>
            <w:tcBorders>
              <w:bottom w:val="single" w:sz="8" w:color="424E6A"/>
              <w:right w:val="single" w:sz="8" w:color="424E6A"/>
            </w:tcBorders>
            <w:vMerge w:val="continue"/>
          </w:tcPr>
          <w:p>
            <w:pPr>
              <w:spacing w:after="0"/>
              <w:rPr>
                <w:sz w:val="11"/>
                <w:szCs w:val="11"/>
                <w:color w:val="auto"/>
              </w:rPr>
            </w:pPr>
          </w:p>
        </w:tc>
        <w:tc>
          <w:tcPr>
            <w:tcW w:w="180" w:type="dxa"/>
            <w:vAlign w:val="bottom"/>
            <w:tcBorders>
              <w:bottom w:val="single" w:sz="8" w:color="424E6A"/>
            </w:tcBorders>
            <w:vMerge w:val="continue"/>
          </w:tcPr>
          <w:p>
            <w:pPr>
              <w:spacing w:after="0"/>
              <w:rPr>
                <w:sz w:val="11"/>
                <w:szCs w:val="11"/>
                <w:color w:val="auto"/>
              </w:rPr>
            </w:pPr>
          </w:p>
        </w:tc>
        <w:tc>
          <w:tcPr>
            <w:tcW w:w="900" w:type="dxa"/>
            <w:vAlign w:val="bottom"/>
            <w:tcBorders>
              <w:bottom w:val="single" w:sz="8" w:color="424E6A"/>
            </w:tcBorders>
            <w:gridSpan w:val="2"/>
            <w:vMerge w:val="continue"/>
          </w:tcPr>
          <w:p>
            <w:pPr>
              <w:spacing w:after="0"/>
              <w:rPr>
                <w:sz w:val="11"/>
                <w:szCs w:val="11"/>
                <w:color w:val="auto"/>
              </w:rPr>
            </w:pPr>
          </w:p>
        </w:tc>
        <w:tc>
          <w:tcPr>
            <w:tcW w:w="140" w:type="dxa"/>
            <w:vAlign w:val="bottom"/>
            <w:tcBorders>
              <w:bottom w:val="single" w:sz="8" w:color="424E6A"/>
            </w:tcBorders>
          </w:tcPr>
          <w:p>
            <w:pPr>
              <w:spacing w:after="0"/>
              <w:rPr>
                <w:sz w:val="11"/>
                <w:szCs w:val="11"/>
                <w:color w:val="auto"/>
              </w:rPr>
            </w:pPr>
          </w:p>
        </w:tc>
        <w:tc>
          <w:tcPr>
            <w:tcW w:w="140" w:type="dxa"/>
            <w:vAlign w:val="bottom"/>
            <w:tcBorders>
              <w:bottom w:val="single" w:sz="8" w:color="424E6A"/>
              <w:right w:val="single" w:sz="8" w:color="424E6A"/>
            </w:tcBorders>
            <w:vMerge w:val="continue"/>
          </w:tcPr>
          <w:p>
            <w:pPr>
              <w:spacing w:after="0"/>
              <w:rPr>
                <w:sz w:val="11"/>
                <w:szCs w:val="11"/>
                <w:color w:val="auto"/>
              </w:rPr>
            </w:pPr>
          </w:p>
        </w:tc>
        <w:tc>
          <w:tcPr>
            <w:tcW w:w="940" w:type="dxa"/>
            <w:vAlign w:val="bottom"/>
            <w:tcBorders>
              <w:bottom w:val="single" w:sz="8" w:color="424E6A"/>
            </w:tcBorders>
            <w:gridSpan w:val="2"/>
            <w:vMerge w:val="continue"/>
          </w:tcPr>
          <w:p>
            <w:pPr>
              <w:spacing w:after="0"/>
              <w:rPr>
                <w:sz w:val="11"/>
                <w:szCs w:val="11"/>
                <w:color w:val="auto"/>
              </w:rPr>
            </w:pPr>
          </w:p>
        </w:tc>
        <w:tc>
          <w:tcPr>
            <w:tcW w:w="160" w:type="dxa"/>
            <w:vAlign w:val="bottom"/>
            <w:tcBorders>
              <w:bottom w:val="single" w:sz="8" w:color="424E6A"/>
              <w:right w:val="single" w:sz="8" w:color="424E6A"/>
            </w:tcBorders>
          </w:tcPr>
          <w:p>
            <w:pPr>
              <w:jc w:val="right"/>
              <w:spacing w:after="0" w:line="135" w:lineRule="exact"/>
              <w:rPr>
                <w:sz w:val="20"/>
                <w:szCs w:val="20"/>
                <w:color w:val="auto"/>
              </w:rPr>
            </w:pPr>
            <w:r>
              <w:rPr>
                <w:rFonts w:ascii="Arial" w:cs="Arial" w:eastAsia="Arial" w:hAnsi="Arial"/>
                <w:sz w:val="15"/>
                <w:szCs w:val="15"/>
                <w:color w:val="auto"/>
              </w:rPr>
              <w:t>​​</w:t>
            </w:r>
          </w:p>
        </w:tc>
        <w:tc>
          <w:tcPr>
            <w:tcW w:w="140" w:type="dxa"/>
            <w:vAlign w:val="bottom"/>
            <w:tcBorders>
              <w:bottom w:val="single" w:sz="8" w:color="424E6A"/>
            </w:tcBorders>
            <w:vMerge w:val="continue"/>
          </w:tcPr>
          <w:p>
            <w:pPr>
              <w:spacing w:after="0"/>
              <w:rPr>
                <w:sz w:val="11"/>
                <w:szCs w:val="11"/>
                <w:color w:val="auto"/>
              </w:rPr>
            </w:pPr>
          </w:p>
        </w:tc>
        <w:tc>
          <w:tcPr>
            <w:tcW w:w="120" w:type="dxa"/>
            <w:vAlign w:val="bottom"/>
            <w:tcBorders>
              <w:bottom w:val="single" w:sz="8" w:color="424E6A"/>
            </w:tcBorders>
            <w:vMerge w:val="continue"/>
          </w:tcPr>
          <w:p>
            <w:pPr>
              <w:spacing w:after="0"/>
              <w:rPr>
                <w:sz w:val="11"/>
                <w:szCs w:val="11"/>
                <w:color w:val="auto"/>
              </w:rPr>
            </w:pPr>
          </w:p>
        </w:tc>
        <w:tc>
          <w:tcPr>
            <w:tcW w:w="680" w:type="dxa"/>
            <w:vAlign w:val="bottom"/>
            <w:tcBorders>
              <w:bottom w:val="single" w:sz="8" w:color="424E6A"/>
            </w:tcBorders>
            <w:vMerge w:val="continue"/>
          </w:tcPr>
          <w:p>
            <w:pPr>
              <w:spacing w:after="0"/>
              <w:rPr>
                <w:sz w:val="11"/>
                <w:szCs w:val="11"/>
                <w:color w:val="auto"/>
              </w:rPr>
            </w:pPr>
          </w:p>
        </w:tc>
        <w:tc>
          <w:tcPr>
            <w:tcW w:w="220" w:type="dxa"/>
            <w:vAlign w:val="bottom"/>
            <w:tcBorders>
              <w:bottom w:val="single" w:sz="8" w:color="424E6A"/>
              <w:right w:val="single" w:sz="8" w:color="424E6A"/>
            </w:tcBorders>
            <w:vMerge w:val="continue"/>
          </w:tcPr>
          <w:p>
            <w:pPr>
              <w:spacing w:after="0"/>
              <w:rPr>
                <w:sz w:val="11"/>
                <w:szCs w:val="11"/>
                <w:color w:val="auto"/>
              </w:rPr>
            </w:pPr>
          </w:p>
        </w:tc>
        <w:tc>
          <w:tcPr>
            <w:tcW w:w="200" w:type="dxa"/>
            <w:vAlign w:val="bottom"/>
            <w:tcBorders>
              <w:bottom w:val="single" w:sz="8" w:color="424E6A"/>
            </w:tcBorders>
            <w:gridSpan w:val="2"/>
            <w:vMerge w:val="continue"/>
          </w:tcPr>
          <w:p>
            <w:pPr>
              <w:spacing w:after="0"/>
              <w:rPr>
                <w:sz w:val="11"/>
                <w:szCs w:val="11"/>
                <w:color w:val="auto"/>
              </w:rPr>
            </w:pPr>
          </w:p>
        </w:tc>
        <w:tc>
          <w:tcPr>
            <w:tcW w:w="780" w:type="dxa"/>
            <w:vAlign w:val="bottom"/>
            <w:tcBorders>
              <w:bottom w:val="single" w:sz="8" w:color="424E6A"/>
            </w:tcBorders>
            <w:vMerge w:val="continue"/>
          </w:tcPr>
          <w:p>
            <w:pPr>
              <w:spacing w:after="0"/>
              <w:rPr>
                <w:sz w:val="11"/>
                <w:szCs w:val="11"/>
                <w:color w:val="auto"/>
              </w:rPr>
            </w:pPr>
          </w:p>
        </w:tc>
        <w:tc>
          <w:tcPr>
            <w:tcW w:w="220" w:type="dxa"/>
            <w:vAlign w:val="bottom"/>
            <w:tcBorders>
              <w:bottom w:val="single" w:sz="8" w:color="424E6A"/>
              <w:right w:val="single" w:sz="8" w:color="424E6A"/>
            </w:tcBorders>
          </w:tcPr>
          <w:p>
            <w:pPr>
              <w:jc w:val="right"/>
              <w:ind w:right="35"/>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7"/>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3,477,785</w:t>
            </w:r>
          </w:p>
        </w:tc>
        <w:tc>
          <w:tcPr>
            <w:tcW w:w="14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3,477,785</w:t>
            </w:r>
          </w:p>
        </w:tc>
        <w:tc>
          <w:tcPr>
            <w:tcW w:w="14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 2,343,086 </w:t>
            </w:r>
            <w:r>
              <w:rPr>
                <w:rFonts w:ascii="Arial" w:cs="Arial" w:eastAsia="Arial" w:hAnsi="Arial"/>
                <w:sz w:val="27"/>
                <w:szCs w:val="27"/>
                <w:color w:val="auto"/>
                <w:vertAlign w:val="subscript"/>
              </w:rPr>
              <w:t>​​</w:t>
            </w:r>
          </w:p>
        </w:tc>
        <w:tc>
          <w:tcPr>
            <w:tcW w:w="14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24E6A"/>
            </w:tcBorders>
          </w:tcPr>
          <w:p>
            <w:pPr>
              <w:ind w:left="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424E6A"/>
            </w:tcBorders>
            <w:gridSpan w:val="2"/>
          </w:tcPr>
          <w:p>
            <w:pPr>
              <w:ind w:left="40"/>
              <w:spacing w:after="0"/>
              <w:rPr>
                <w:sz w:val="20"/>
                <w:szCs w:val="20"/>
                <w:color w:val="auto"/>
              </w:rPr>
            </w:pPr>
            <w:r>
              <w:rPr>
                <w:rFonts w:ascii="Arial" w:cs="Arial" w:eastAsia="Arial" w:hAnsi="Arial"/>
                <w:sz w:val="16"/>
                <w:szCs w:val="16"/>
                <w:color w:val="auto"/>
              </w:rPr>
              <w:t>​ ​</w:t>
            </w:r>
          </w:p>
        </w:tc>
        <w:tc>
          <w:tcPr>
            <w:tcW w:w="1000" w:type="dxa"/>
            <w:vAlign w:val="bottom"/>
            <w:tcBorders>
              <w:bottom w:val="single" w:sz="8" w:color="424E6A"/>
              <w:right w:val="single" w:sz="8" w:color="424E6A"/>
            </w:tcBorders>
            <w:gridSpan w:val="2"/>
          </w:tcPr>
          <w:p>
            <w:pPr>
              <w:jc w:val="right"/>
              <w:ind w:right="35"/>
              <w:spacing w:after="0" w:line="236" w:lineRule="exact"/>
              <w:rPr>
                <w:sz w:val="20"/>
                <w:szCs w:val="20"/>
                <w:color w:val="auto"/>
              </w:rPr>
            </w:pPr>
            <w:r>
              <w:rPr>
                <w:rFonts w:ascii="Arial" w:cs="Arial" w:eastAsia="Arial" w:hAnsi="Arial"/>
                <w:sz w:val="14"/>
                <w:szCs w:val="14"/>
                <w:color w:val="auto"/>
              </w:rPr>
              <w:t xml:space="preserve">5,107,721 </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63"/>
        </w:trPr>
        <w:tc>
          <w:tcPr>
            <w:tcW w:w="2060" w:type="dxa"/>
            <w:vAlign w:val="bottom"/>
            <w:tcBorders>
              <w:left w:val="single" w:sz="8" w:color="424E6A"/>
              <w:bottom w:val="single" w:sz="8" w:color="424E6A"/>
              <w:right w:val="single" w:sz="8" w:color="424E6A"/>
            </w:tcBorders>
            <w:gridSpan w:val="2"/>
            <w:shd w:val="clear" w:color="auto" w:fill="D9DCE1"/>
          </w:tcPr>
          <w:p>
            <w:pPr>
              <w:ind w:left="4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Chris Chandler</w:t>
            </w:r>
            <w:r>
              <w:rPr>
                <w:rFonts w:ascii="Arial" w:cs="Arial" w:eastAsia="Arial" w:hAnsi="Arial"/>
                <w:sz w:val="18"/>
                <w:szCs w:val="18"/>
                <w:b w:val="1"/>
                <w:bCs w:val="1"/>
                <w:color w:val="auto"/>
                <w:vertAlign w:val="superscript"/>
              </w:rPr>
              <w:t>(7)</w:t>
            </w:r>
          </w:p>
        </w:tc>
        <w:tc>
          <w:tcPr>
            <w:tcW w:w="1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 ​</w:t>
            </w:r>
          </w:p>
        </w:tc>
        <w:tc>
          <w:tcPr>
            <w:tcW w:w="760" w:type="dxa"/>
            <w:vAlign w:val="bottom"/>
            <w:tcBorders>
              <w:bottom w:val="single" w:sz="8" w:color="424E6A"/>
            </w:tcBorders>
            <w:shd w:val="clear" w:color="auto" w:fill="D9DCE1"/>
          </w:tcPr>
          <w:p>
            <w:pPr>
              <w:spacing w:after="0"/>
              <w:rPr>
                <w:sz w:val="22"/>
                <w:szCs w:val="22"/>
                <w:color w:val="auto"/>
              </w:rPr>
            </w:pPr>
          </w:p>
        </w:tc>
        <w:tc>
          <w:tcPr>
            <w:tcW w:w="1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424E6A"/>
            </w:tcBorders>
            <w:shd w:val="clear" w:color="auto" w:fill="D9DCE1"/>
          </w:tcPr>
          <w:p>
            <w:pPr>
              <w:spacing w:after="0"/>
              <w:rPr>
                <w:sz w:val="22"/>
                <w:szCs w:val="22"/>
                <w:color w:val="auto"/>
              </w:rPr>
            </w:pP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220" w:type="dxa"/>
            <w:vAlign w:val="bottom"/>
            <w:tcBorders>
              <w:bottom w:val="single" w:sz="8" w:color="424E6A"/>
              <w:right w:val="single" w:sz="8" w:color="424E6A"/>
            </w:tcBorders>
            <w:shd w:val="clear" w:color="auto" w:fill="D9DCE1"/>
          </w:tcPr>
          <w:p>
            <w:pPr>
              <w:jc w:val="right"/>
              <w:ind w:right="3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9"/>
        </w:trPr>
        <w:tc>
          <w:tcPr>
            <w:tcW w:w="1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424E6A"/>
            </w:tcBorders>
          </w:tcPr>
          <w:p>
            <w:pPr>
              <w:ind w:left="80"/>
              <w:spacing w:after="0" w:line="169" w:lineRule="exact"/>
              <w:rPr>
                <w:sz w:val="20"/>
                <w:szCs w:val="20"/>
                <w:color w:val="auto"/>
              </w:rPr>
            </w:pPr>
            <w:r>
              <w:rPr>
                <w:rFonts w:ascii="Arial" w:cs="Arial" w:eastAsia="Arial" w:hAnsi="Arial"/>
                <w:sz w:val="16"/>
                <w:szCs w:val="16"/>
                <w:color w:val="auto"/>
              </w:rPr>
              <w:t>Equity Compensation</w:t>
            </w:r>
          </w:p>
        </w:tc>
        <w:tc>
          <w:tcPr>
            <w:tcW w:w="1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9,357,785</w:t>
            </w:r>
            <w:r>
              <w:rPr>
                <w:rFonts w:ascii="Arial" w:cs="Arial" w:eastAsia="Arial" w:hAnsi="Arial"/>
                <w:sz w:val="19"/>
                <w:szCs w:val="19"/>
                <w:color w:val="auto"/>
                <w:vertAlign w:val="superscript"/>
              </w:rPr>
              <w:t>(1)</w:t>
            </w:r>
          </w:p>
        </w:tc>
        <w:tc>
          <w:tcPr>
            <w:tcW w:w="120" w:type="dxa"/>
            <w:vAlign w:val="bottom"/>
            <w:tcBorders>
              <w:right w:val="single" w:sz="8" w:color="424E6A"/>
            </w:tcBorders>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9,357,785</w:t>
            </w:r>
            <w:r>
              <w:rPr>
                <w:rFonts w:ascii="Arial" w:cs="Arial" w:eastAsia="Arial" w:hAnsi="Arial"/>
                <w:sz w:val="19"/>
                <w:szCs w:val="19"/>
                <w:color w:val="auto"/>
                <w:vertAlign w:val="superscript"/>
              </w:rPr>
              <w:t>(1)</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920" w:type="dxa"/>
            <w:vAlign w:val="bottom"/>
            <w:tcBorders>
              <w:right w:val="single" w:sz="8" w:color="424E6A"/>
            </w:tcBorders>
            <w:gridSpan w:val="2"/>
          </w:tcPr>
          <w:p>
            <w:pPr>
              <w:jc w:val="right"/>
              <w:spacing w:after="0" w:line="169" w:lineRule="exact"/>
              <w:rPr>
                <w:sz w:val="20"/>
                <w:szCs w:val="20"/>
                <w:color w:val="auto"/>
              </w:rPr>
            </w:pPr>
            <w:r>
              <w:rPr>
                <w:rFonts w:ascii="Arial" w:cs="Arial" w:eastAsia="Arial" w:hAnsi="Arial"/>
                <w:sz w:val="16"/>
                <w:szCs w:val="16"/>
                <w:color w:val="auto"/>
                <w:w w:val="99"/>
              </w:rPr>
              <w:t>5,871,086</w:t>
            </w:r>
            <w:r>
              <w:rPr>
                <w:rFonts w:ascii="Arial" w:cs="Arial" w:eastAsia="Arial" w:hAnsi="Arial"/>
                <w:sz w:val="19"/>
                <w:szCs w:val="19"/>
                <w:color w:val="auto"/>
                <w:w w:val="99"/>
                <w:vertAlign w:val="superscript"/>
              </w:rPr>
              <w:t>(2)</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220" w:type="dxa"/>
            <w:vAlign w:val="bottom"/>
            <w:tcBorders>
              <w:right w:val="single" w:sz="8" w:color="424E6A"/>
            </w:tcBorders>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tcBorders>
              <w:right w:val="single" w:sz="8" w:color="424E6A"/>
            </w:tcBorders>
            <w:gridSpan w:val="3"/>
          </w:tcPr>
          <w:p>
            <w:pPr>
              <w:jc w:val="right"/>
              <w:ind w:right="35"/>
              <w:spacing w:after="0" w:line="169" w:lineRule="exact"/>
              <w:rPr>
                <w:sz w:val="20"/>
                <w:szCs w:val="20"/>
                <w:color w:val="auto"/>
              </w:rPr>
            </w:pPr>
            <w:r>
              <w:rPr>
                <w:rFonts w:ascii="Arial" w:cs="Arial" w:eastAsia="Arial" w:hAnsi="Arial"/>
                <w:sz w:val="16"/>
                <w:szCs w:val="16"/>
                <w:color w:val="auto"/>
              </w:rPr>
              <w:t>11,459,297</w:t>
            </w:r>
            <w:r>
              <w:rPr>
                <w:rFonts w:ascii="Arial" w:cs="Arial" w:eastAsia="Arial" w:hAnsi="Arial"/>
                <w:sz w:val="19"/>
                <w:szCs w:val="19"/>
                <w:color w:val="auto"/>
                <w:vertAlign w:val="superscript"/>
              </w:rPr>
              <w:t>(3)</w:t>
            </w:r>
          </w:p>
        </w:tc>
        <w:tc>
          <w:tcPr>
            <w:tcW w:w="0" w:type="dxa"/>
            <w:vAlign w:val="bottom"/>
          </w:tcPr>
          <w:p>
            <w:pPr>
              <w:spacing w:after="0"/>
              <w:rPr>
                <w:sz w:val="1"/>
                <w:szCs w:val="1"/>
                <w:color w:val="auto"/>
              </w:rPr>
            </w:pPr>
          </w:p>
        </w:tc>
      </w:tr>
      <w:tr>
        <w:trPr>
          <w:trHeight w:val="68"/>
        </w:trPr>
        <w:tc>
          <w:tcPr>
            <w:tcW w:w="140" w:type="dxa"/>
            <w:vAlign w:val="bottom"/>
            <w:tcBorders>
              <w:left w:val="single" w:sz="8" w:color="424E6A"/>
              <w:bottom w:val="single" w:sz="8" w:color="424E6A"/>
            </w:tcBorders>
            <w:vMerge w:val="continue"/>
          </w:tcPr>
          <w:p>
            <w:pPr>
              <w:spacing w:after="0"/>
              <w:rPr>
                <w:sz w:val="5"/>
                <w:szCs w:val="5"/>
                <w:color w:val="auto"/>
              </w:rPr>
            </w:pPr>
          </w:p>
        </w:tc>
        <w:tc>
          <w:tcPr>
            <w:tcW w:w="1920" w:type="dxa"/>
            <w:vAlign w:val="bottom"/>
            <w:tcBorders>
              <w:bottom w:val="single" w:sz="8" w:color="424E6A"/>
              <w:right w:val="single" w:sz="8" w:color="424E6A"/>
            </w:tcBorders>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780" w:type="dxa"/>
            <w:vAlign w:val="bottom"/>
            <w:tcBorders>
              <w:bottom w:val="single" w:sz="8" w:color="424E6A"/>
            </w:tcBorders>
          </w:tcPr>
          <w:p>
            <w:pPr>
              <w:spacing w:after="0"/>
              <w:rPr>
                <w:sz w:val="5"/>
                <w:szCs w:val="5"/>
                <w:color w:val="auto"/>
              </w:rPr>
            </w:pPr>
          </w:p>
        </w:tc>
        <w:tc>
          <w:tcPr>
            <w:tcW w:w="14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120" w:type="dxa"/>
            <w:vAlign w:val="bottom"/>
            <w:tcBorders>
              <w:bottom w:val="single" w:sz="8" w:color="424E6A"/>
            </w:tcBorders>
            <w:vMerge w:val="continue"/>
          </w:tcPr>
          <w:p>
            <w:pPr>
              <w:spacing w:after="0"/>
              <w:rPr>
                <w:sz w:val="5"/>
                <w:szCs w:val="5"/>
                <w:color w:val="auto"/>
              </w:rPr>
            </w:pPr>
          </w:p>
        </w:tc>
        <w:tc>
          <w:tcPr>
            <w:tcW w:w="780" w:type="dxa"/>
            <w:vAlign w:val="bottom"/>
            <w:tcBorders>
              <w:bottom w:val="single" w:sz="8" w:color="424E6A"/>
            </w:tcBorders>
          </w:tcPr>
          <w:p>
            <w:pPr>
              <w:spacing w:after="0"/>
              <w:rPr>
                <w:sz w:val="5"/>
                <w:szCs w:val="5"/>
                <w:color w:val="auto"/>
              </w:rPr>
            </w:pPr>
          </w:p>
        </w:tc>
        <w:tc>
          <w:tcPr>
            <w:tcW w:w="14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160" w:type="dxa"/>
            <w:vAlign w:val="bottom"/>
            <w:tcBorders>
              <w:bottom w:val="single" w:sz="8" w:color="424E6A"/>
              <w:right w:val="single" w:sz="8" w:color="424E6A"/>
            </w:tcBorders>
          </w:tcPr>
          <w:p>
            <w:pPr>
              <w:jc w:val="right"/>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24E6A"/>
            </w:tcBorders>
            <w:vMerge w:val="continue"/>
          </w:tcPr>
          <w:p>
            <w:pPr>
              <w:spacing w:after="0"/>
              <w:rPr>
                <w:sz w:val="5"/>
                <w:szCs w:val="5"/>
                <w:color w:val="auto"/>
              </w:rPr>
            </w:pPr>
          </w:p>
        </w:tc>
        <w:tc>
          <w:tcPr>
            <w:tcW w:w="120" w:type="dxa"/>
            <w:vAlign w:val="bottom"/>
            <w:tcBorders>
              <w:bottom w:val="single" w:sz="8" w:color="424E6A"/>
            </w:tcBorders>
            <w:vMerge w:val="continue"/>
          </w:tcPr>
          <w:p>
            <w:pPr>
              <w:spacing w:after="0"/>
              <w:rPr>
                <w:sz w:val="5"/>
                <w:szCs w:val="5"/>
                <w:color w:val="auto"/>
              </w:rPr>
            </w:pPr>
          </w:p>
        </w:tc>
        <w:tc>
          <w:tcPr>
            <w:tcW w:w="68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vMerge w:val="continue"/>
          </w:tcPr>
          <w:p>
            <w:pPr>
              <w:spacing w:after="0"/>
              <w:rPr>
                <w:sz w:val="5"/>
                <w:szCs w:val="5"/>
                <w:color w:val="auto"/>
              </w:rPr>
            </w:pPr>
          </w:p>
        </w:tc>
        <w:tc>
          <w:tcPr>
            <w:tcW w:w="200" w:type="dxa"/>
            <w:vAlign w:val="bottom"/>
            <w:tcBorders>
              <w:bottom w:val="single" w:sz="8" w:color="424E6A"/>
            </w:tcBorders>
            <w:gridSpan w:val="2"/>
          </w:tcPr>
          <w:p>
            <w:pPr>
              <w:ind w:left="40"/>
              <w:spacing w:after="0" w:line="68" w:lineRule="exact"/>
              <w:rPr>
                <w:sz w:val="20"/>
                <w:szCs w:val="20"/>
                <w:color w:val="auto"/>
              </w:rPr>
            </w:pPr>
            <w:r>
              <w:rPr>
                <w:rFonts w:ascii="Arial" w:cs="Arial" w:eastAsia="Arial" w:hAnsi="Arial"/>
                <w:sz w:val="7"/>
                <w:szCs w:val="7"/>
                <w:color w:val="auto"/>
              </w:rPr>
              <w:t>​ ​</w:t>
            </w:r>
          </w:p>
        </w:tc>
        <w:tc>
          <w:tcPr>
            <w:tcW w:w="78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jc w:val="right"/>
              <w:ind w:right="35"/>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37"/>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9,357,785</w:t>
            </w:r>
          </w:p>
        </w:tc>
        <w:tc>
          <w:tcPr>
            <w:tcW w:w="14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9,357,785</w:t>
            </w:r>
          </w:p>
        </w:tc>
        <w:tc>
          <w:tcPr>
            <w:tcW w:w="14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 5,871,086 </w:t>
            </w:r>
            <w:r>
              <w:rPr>
                <w:rFonts w:ascii="Arial" w:cs="Arial" w:eastAsia="Arial" w:hAnsi="Arial"/>
                <w:sz w:val="27"/>
                <w:szCs w:val="27"/>
                <w:color w:val="auto"/>
                <w:vertAlign w:val="subscript"/>
              </w:rPr>
              <w:t>​​</w:t>
            </w:r>
          </w:p>
        </w:tc>
        <w:tc>
          <w:tcPr>
            <w:tcW w:w="14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24E6A"/>
            </w:tcBorders>
          </w:tcPr>
          <w:p>
            <w:pPr>
              <w:ind w:left="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11,459,297</w:t>
            </w:r>
          </w:p>
        </w:tc>
        <w:tc>
          <w:tcPr>
            <w:tcW w:w="220" w:type="dxa"/>
            <w:vAlign w:val="bottom"/>
            <w:tcBorders>
              <w:bottom w:val="single" w:sz="8" w:color="424E6A"/>
              <w:right w:val="single" w:sz="8" w:color="424E6A"/>
            </w:tcBorders>
          </w:tcPr>
          <w:p>
            <w:pPr>
              <w:jc w:val="right"/>
              <w:ind w:right="3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060" w:type="dxa"/>
            <w:vAlign w:val="bottom"/>
            <w:tcBorders>
              <w:left w:val="single" w:sz="8" w:color="424E6A"/>
              <w:bottom w:val="single" w:sz="8" w:color="424E6A"/>
              <w:right w:val="single" w:sz="8" w:color="424E6A"/>
            </w:tcBorders>
            <w:gridSpan w:val="2"/>
            <w:shd w:val="clear" w:color="auto" w:fill="D9DCE1"/>
          </w:tcPr>
          <w:p>
            <w:pPr>
              <w:ind w:left="4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Jeremy Goebel</w:t>
            </w:r>
            <w:r>
              <w:rPr>
                <w:rFonts w:ascii="Arial" w:cs="Arial" w:eastAsia="Arial" w:hAnsi="Arial"/>
                <w:sz w:val="18"/>
                <w:szCs w:val="18"/>
                <w:b w:val="1"/>
                <w:bCs w:val="1"/>
                <w:color w:val="auto"/>
                <w:vertAlign w:val="superscript"/>
              </w:rPr>
              <w:t>(7)</w:t>
            </w:r>
          </w:p>
        </w:tc>
        <w:tc>
          <w:tcPr>
            <w:tcW w:w="1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 ​</w:t>
            </w:r>
          </w:p>
        </w:tc>
        <w:tc>
          <w:tcPr>
            <w:tcW w:w="760" w:type="dxa"/>
            <w:vAlign w:val="bottom"/>
            <w:tcBorders>
              <w:bottom w:val="single" w:sz="8" w:color="424E6A"/>
            </w:tcBorders>
            <w:shd w:val="clear" w:color="auto" w:fill="D9DCE1"/>
          </w:tcPr>
          <w:p>
            <w:pPr>
              <w:spacing w:after="0"/>
              <w:rPr>
                <w:sz w:val="22"/>
                <w:szCs w:val="22"/>
                <w:color w:val="auto"/>
              </w:rPr>
            </w:pPr>
          </w:p>
        </w:tc>
        <w:tc>
          <w:tcPr>
            <w:tcW w:w="1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424E6A"/>
            </w:tcBorders>
            <w:shd w:val="clear" w:color="auto" w:fill="D9DCE1"/>
          </w:tcPr>
          <w:p>
            <w:pPr>
              <w:spacing w:after="0"/>
              <w:rPr>
                <w:sz w:val="22"/>
                <w:szCs w:val="22"/>
                <w:color w:val="auto"/>
              </w:rPr>
            </w:pP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220" w:type="dxa"/>
            <w:vAlign w:val="bottom"/>
            <w:tcBorders>
              <w:bottom w:val="single" w:sz="8" w:color="424E6A"/>
              <w:right w:val="single" w:sz="8" w:color="424E6A"/>
            </w:tcBorders>
            <w:shd w:val="clear" w:color="auto" w:fill="D9DCE1"/>
          </w:tcPr>
          <w:p>
            <w:pPr>
              <w:jc w:val="right"/>
              <w:ind w:right="3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9"/>
        </w:trPr>
        <w:tc>
          <w:tcPr>
            <w:tcW w:w="1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424E6A"/>
            </w:tcBorders>
          </w:tcPr>
          <w:p>
            <w:pPr>
              <w:ind w:left="80"/>
              <w:spacing w:after="0" w:line="169" w:lineRule="exact"/>
              <w:rPr>
                <w:sz w:val="20"/>
                <w:szCs w:val="20"/>
                <w:color w:val="auto"/>
              </w:rPr>
            </w:pPr>
            <w:r>
              <w:rPr>
                <w:rFonts w:ascii="Arial" w:cs="Arial" w:eastAsia="Arial" w:hAnsi="Arial"/>
                <w:sz w:val="16"/>
                <w:szCs w:val="16"/>
                <w:color w:val="auto"/>
              </w:rPr>
              <w:t>Equity Compensation</w:t>
            </w:r>
          </w:p>
        </w:tc>
        <w:tc>
          <w:tcPr>
            <w:tcW w:w="1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9,710,585</w:t>
            </w:r>
            <w:r>
              <w:rPr>
                <w:rFonts w:ascii="Arial" w:cs="Arial" w:eastAsia="Arial" w:hAnsi="Arial"/>
                <w:sz w:val="19"/>
                <w:szCs w:val="19"/>
                <w:color w:val="auto"/>
                <w:vertAlign w:val="superscript"/>
              </w:rPr>
              <w:t>(1)</w:t>
            </w:r>
          </w:p>
        </w:tc>
        <w:tc>
          <w:tcPr>
            <w:tcW w:w="120" w:type="dxa"/>
            <w:vAlign w:val="bottom"/>
            <w:tcBorders>
              <w:right w:val="single" w:sz="8" w:color="424E6A"/>
            </w:tcBorders>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9,710,585</w:t>
            </w:r>
            <w:r>
              <w:rPr>
                <w:rFonts w:ascii="Arial" w:cs="Arial" w:eastAsia="Arial" w:hAnsi="Arial"/>
                <w:sz w:val="19"/>
                <w:szCs w:val="19"/>
                <w:color w:val="auto"/>
                <w:vertAlign w:val="superscript"/>
              </w:rPr>
              <w:t>(1)</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920" w:type="dxa"/>
            <w:vAlign w:val="bottom"/>
            <w:tcBorders>
              <w:right w:val="single" w:sz="8" w:color="424E6A"/>
            </w:tcBorders>
            <w:gridSpan w:val="2"/>
          </w:tcPr>
          <w:p>
            <w:pPr>
              <w:jc w:val="right"/>
              <w:spacing w:after="0" w:line="169" w:lineRule="exact"/>
              <w:rPr>
                <w:sz w:val="20"/>
                <w:szCs w:val="20"/>
                <w:color w:val="auto"/>
              </w:rPr>
            </w:pPr>
            <w:r>
              <w:rPr>
                <w:rFonts w:ascii="Arial" w:cs="Arial" w:eastAsia="Arial" w:hAnsi="Arial"/>
                <w:sz w:val="16"/>
                <w:szCs w:val="16"/>
                <w:color w:val="auto"/>
                <w:w w:val="99"/>
              </w:rPr>
              <w:t>6,223,886</w:t>
            </w:r>
            <w:r>
              <w:rPr>
                <w:rFonts w:ascii="Arial" w:cs="Arial" w:eastAsia="Arial" w:hAnsi="Arial"/>
                <w:sz w:val="19"/>
                <w:szCs w:val="19"/>
                <w:color w:val="auto"/>
                <w:w w:val="99"/>
                <w:vertAlign w:val="superscript"/>
              </w:rPr>
              <w:t>(2)</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220" w:type="dxa"/>
            <w:vAlign w:val="bottom"/>
            <w:tcBorders>
              <w:right w:val="single" w:sz="8" w:color="424E6A"/>
            </w:tcBorders>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tcBorders>
              <w:right w:val="single" w:sz="8" w:color="424E6A"/>
            </w:tcBorders>
            <w:gridSpan w:val="3"/>
          </w:tcPr>
          <w:p>
            <w:pPr>
              <w:jc w:val="right"/>
              <w:ind w:right="35"/>
              <w:spacing w:after="0" w:line="169" w:lineRule="exact"/>
              <w:rPr>
                <w:sz w:val="20"/>
                <w:szCs w:val="20"/>
                <w:color w:val="auto"/>
              </w:rPr>
            </w:pPr>
            <w:r>
              <w:rPr>
                <w:rFonts w:ascii="Arial" w:cs="Arial" w:eastAsia="Arial" w:hAnsi="Arial"/>
                <w:sz w:val="16"/>
                <w:szCs w:val="16"/>
                <w:color w:val="auto"/>
              </w:rPr>
              <w:t>11,812,097</w:t>
            </w:r>
            <w:r>
              <w:rPr>
                <w:rFonts w:ascii="Arial" w:cs="Arial" w:eastAsia="Arial" w:hAnsi="Arial"/>
                <w:sz w:val="19"/>
                <w:szCs w:val="19"/>
                <w:color w:val="auto"/>
                <w:vertAlign w:val="superscript"/>
              </w:rPr>
              <w:t>(3)</w:t>
            </w:r>
          </w:p>
        </w:tc>
        <w:tc>
          <w:tcPr>
            <w:tcW w:w="0" w:type="dxa"/>
            <w:vAlign w:val="bottom"/>
          </w:tcPr>
          <w:p>
            <w:pPr>
              <w:spacing w:after="0"/>
              <w:rPr>
                <w:sz w:val="1"/>
                <w:szCs w:val="1"/>
                <w:color w:val="auto"/>
              </w:rPr>
            </w:pPr>
          </w:p>
        </w:tc>
      </w:tr>
      <w:tr>
        <w:trPr>
          <w:trHeight w:val="68"/>
        </w:trPr>
        <w:tc>
          <w:tcPr>
            <w:tcW w:w="140" w:type="dxa"/>
            <w:vAlign w:val="bottom"/>
            <w:tcBorders>
              <w:left w:val="single" w:sz="8" w:color="424E6A"/>
              <w:bottom w:val="single" w:sz="8" w:color="424E6A"/>
            </w:tcBorders>
            <w:vMerge w:val="continue"/>
          </w:tcPr>
          <w:p>
            <w:pPr>
              <w:spacing w:after="0"/>
              <w:rPr>
                <w:sz w:val="5"/>
                <w:szCs w:val="5"/>
                <w:color w:val="auto"/>
              </w:rPr>
            </w:pPr>
          </w:p>
        </w:tc>
        <w:tc>
          <w:tcPr>
            <w:tcW w:w="1920" w:type="dxa"/>
            <w:vAlign w:val="bottom"/>
            <w:tcBorders>
              <w:bottom w:val="single" w:sz="8" w:color="424E6A"/>
              <w:right w:val="single" w:sz="8" w:color="424E6A"/>
            </w:tcBorders>
          </w:tcPr>
          <w:p>
            <w:pPr>
              <w:spacing w:after="0"/>
              <w:rPr>
                <w:sz w:val="5"/>
                <w:szCs w:val="5"/>
                <w:color w:val="auto"/>
              </w:rPr>
            </w:pPr>
          </w:p>
        </w:tc>
        <w:tc>
          <w:tcPr>
            <w:tcW w:w="160" w:type="dxa"/>
            <w:vAlign w:val="bottom"/>
            <w:tcBorders>
              <w:bottom w:val="single" w:sz="8" w:color="424E6A"/>
            </w:tcBorders>
            <w:vMerge w:val="continue"/>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780" w:type="dxa"/>
            <w:vAlign w:val="bottom"/>
            <w:tcBorders>
              <w:bottom w:val="single" w:sz="8" w:color="424E6A"/>
            </w:tcBorders>
          </w:tcPr>
          <w:p>
            <w:pPr>
              <w:spacing w:after="0"/>
              <w:rPr>
                <w:sz w:val="5"/>
                <w:szCs w:val="5"/>
                <w:color w:val="auto"/>
              </w:rPr>
            </w:pPr>
          </w:p>
        </w:tc>
        <w:tc>
          <w:tcPr>
            <w:tcW w:w="14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120" w:type="dxa"/>
            <w:vAlign w:val="bottom"/>
            <w:tcBorders>
              <w:bottom w:val="single" w:sz="8" w:color="424E6A"/>
            </w:tcBorders>
            <w:vMerge w:val="continue"/>
          </w:tcPr>
          <w:p>
            <w:pPr>
              <w:spacing w:after="0"/>
              <w:rPr>
                <w:sz w:val="5"/>
                <w:szCs w:val="5"/>
                <w:color w:val="auto"/>
              </w:rPr>
            </w:pPr>
          </w:p>
        </w:tc>
        <w:tc>
          <w:tcPr>
            <w:tcW w:w="780" w:type="dxa"/>
            <w:vAlign w:val="bottom"/>
            <w:tcBorders>
              <w:bottom w:val="single" w:sz="8" w:color="424E6A"/>
            </w:tcBorders>
          </w:tcPr>
          <w:p>
            <w:pPr>
              <w:spacing w:after="0"/>
              <w:rPr>
                <w:sz w:val="5"/>
                <w:szCs w:val="5"/>
                <w:color w:val="auto"/>
              </w:rPr>
            </w:pPr>
          </w:p>
        </w:tc>
        <w:tc>
          <w:tcPr>
            <w:tcW w:w="14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180" w:type="dxa"/>
            <w:vAlign w:val="bottom"/>
            <w:tcBorders>
              <w:bottom w:val="single" w:sz="8" w:color="424E6A"/>
            </w:tcBorders>
            <w:vMerge w:val="continue"/>
          </w:tcPr>
          <w:p>
            <w:pPr>
              <w:spacing w:after="0"/>
              <w:rPr>
                <w:sz w:val="5"/>
                <w:szCs w:val="5"/>
                <w:color w:val="auto"/>
              </w:rPr>
            </w:pPr>
          </w:p>
        </w:tc>
        <w:tc>
          <w:tcPr>
            <w:tcW w:w="760" w:type="dxa"/>
            <w:vAlign w:val="bottom"/>
            <w:tcBorders>
              <w:bottom w:val="single" w:sz="8" w:color="424E6A"/>
            </w:tcBorders>
          </w:tcPr>
          <w:p>
            <w:pPr>
              <w:spacing w:after="0"/>
              <w:rPr>
                <w:sz w:val="5"/>
                <w:szCs w:val="5"/>
                <w:color w:val="auto"/>
              </w:rPr>
            </w:pPr>
          </w:p>
        </w:tc>
        <w:tc>
          <w:tcPr>
            <w:tcW w:w="160" w:type="dxa"/>
            <w:vAlign w:val="bottom"/>
            <w:tcBorders>
              <w:bottom w:val="single" w:sz="8" w:color="424E6A"/>
              <w:right w:val="single" w:sz="8" w:color="424E6A"/>
            </w:tcBorders>
          </w:tcPr>
          <w:p>
            <w:pPr>
              <w:jc w:val="right"/>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24E6A"/>
            </w:tcBorders>
            <w:vMerge w:val="continue"/>
          </w:tcPr>
          <w:p>
            <w:pPr>
              <w:spacing w:after="0"/>
              <w:rPr>
                <w:sz w:val="5"/>
                <w:szCs w:val="5"/>
                <w:color w:val="auto"/>
              </w:rPr>
            </w:pPr>
          </w:p>
        </w:tc>
        <w:tc>
          <w:tcPr>
            <w:tcW w:w="120" w:type="dxa"/>
            <w:vAlign w:val="bottom"/>
            <w:tcBorders>
              <w:bottom w:val="single" w:sz="8" w:color="424E6A"/>
            </w:tcBorders>
            <w:vMerge w:val="continue"/>
          </w:tcPr>
          <w:p>
            <w:pPr>
              <w:spacing w:after="0"/>
              <w:rPr>
                <w:sz w:val="5"/>
                <w:szCs w:val="5"/>
                <w:color w:val="auto"/>
              </w:rPr>
            </w:pPr>
          </w:p>
        </w:tc>
        <w:tc>
          <w:tcPr>
            <w:tcW w:w="68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vMerge w:val="continue"/>
          </w:tcPr>
          <w:p>
            <w:pPr>
              <w:spacing w:after="0"/>
              <w:rPr>
                <w:sz w:val="5"/>
                <w:szCs w:val="5"/>
                <w:color w:val="auto"/>
              </w:rPr>
            </w:pPr>
          </w:p>
        </w:tc>
        <w:tc>
          <w:tcPr>
            <w:tcW w:w="200" w:type="dxa"/>
            <w:vAlign w:val="bottom"/>
            <w:tcBorders>
              <w:bottom w:val="single" w:sz="8" w:color="424E6A"/>
            </w:tcBorders>
            <w:gridSpan w:val="2"/>
          </w:tcPr>
          <w:p>
            <w:pPr>
              <w:ind w:left="40"/>
              <w:spacing w:after="0" w:line="68" w:lineRule="exact"/>
              <w:rPr>
                <w:sz w:val="20"/>
                <w:szCs w:val="20"/>
                <w:color w:val="auto"/>
              </w:rPr>
            </w:pPr>
            <w:r>
              <w:rPr>
                <w:rFonts w:ascii="Arial" w:cs="Arial" w:eastAsia="Arial" w:hAnsi="Arial"/>
                <w:sz w:val="7"/>
                <w:szCs w:val="7"/>
                <w:color w:val="auto"/>
              </w:rPr>
              <w:t>​ ​</w:t>
            </w:r>
          </w:p>
        </w:tc>
        <w:tc>
          <w:tcPr>
            <w:tcW w:w="78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jc w:val="right"/>
              <w:ind w:right="35"/>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37"/>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9,710,585</w:t>
            </w:r>
          </w:p>
        </w:tc>
        <w:tc>
          <w:tcPr>
            <w:tcW w:w="14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9,710,585</w:t>
            </w:r>
          </w:p>
        </w:tc>
        <w:tc>
          <w:tcPr>
            <w:tcW w:w="14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 6,223,886 </w:t>
            </w:r>
            <w:r>
              <w:rPr>
                <w:rFonts w:ascii="Arial" w:cs="Arial" w:eastAsia="Arial" w:hAnsi="Arial"/>
                <w:sz w:val="27"/>
                <w:szCs w:val="27"/>
                <w:color w:val="auto"/>
                <w:vertAlign w:val="subscript"/>
              </w:rPr>
              <w:t>​​</w:t>
            </w:r>
          </w:p>
        </w:tc>
        <w:tc>
          <w:tcPr>
            <w:tcW w:w="14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24E6A"/>
            </w:tcBorders>
          </w:tcPr>
          <w:p>
            <w:pPr>
              <w:ind w:left="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424E6A"/>
              <w:right w:val="single" w:sz="8" w:color="424E6A"/>
            </w:tcBorders>
            <w:gridSpan w:val="3"/>
          </w:tcPr>
          <w:p>
            <w:pPr>
              <w:jc w:val="right"/>
              <w:ind w:right="35"/>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11,812,097 </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20" w:right="519" w:hanging="360"/>
        <w:spacing w:after="0" w:line="235" w:lineRule="auto"/>
        <w:tabs>
          <w:tab w:leader="none" w:pos="1620" w:val="left"/>
        </w:tabs>
        <w:numPr>
          <w:ilvl w:val="0"/>
          <w:numId w:val="66"/>
        </w:numPr>
        <w:rPr>
          <w:rFonts w:ascii="Arial" w:cs="Arial" w:eastAsia="Arial" w:hAnsi="Arial"/>
          <w:sz w:val="27"/>
          <w:szCs w:val="27"/>
          <w:color w:val="auto"/>
          <w:vertAlign w:val="superscript"/>
        </w:rPr>
      </w:pPr>
      <w:r>
        <w:rPr>
          <w:rFonts w:ascii="Arial" w:cs="Arial" w:eastAsia="Arial" w:hAnsi="Arial"/>
          <w:sz w:val="18"/>
          <w:szCs w:val="18"/>
          <w:color w:val="auto"/>
        </w:rPr>
        <w:t>The letter evidencing the August 2018 phantom unit grant to Mr. Chiang provides that in the event of his death or disability after the second anniversary of the date of the applicable grant, all of his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19" w:lineRule="exact"/>
        <w:rPr>
          <w:rFonts w:ascii="Arial" w:cs="Arial" w:eastAsia="Arial" w:hAnsi="Arial"/>
          <w:sz w:val="27"/>
          <w:szCs w:val="27"/>
          <w:color w:val="auto"/>
          <w:vertAlign w:val="superscript"/>
        </w:rPr>
      </w:pPr>
    </w:p>
    <w:p>
      <w:pPr>
        <w:ind w:left="1620" w:right="419"/>
        <w:spacing w:after="0" w:line="246" w:lineRule="auto"/>
        <w:rPr>
          <w:rFonts w:ascii="Arial" w:cs="Arial" w:eastAsia="Arial" w:hAnsi="Arial"/>
          <w:sz w:val="27"/>
          <w:szCs w:val="27"/>
          <w:color w:val="auto"/>
          <w:vertAlign w:val="superscript"/>
        </w:rPr>
      </w:pPr>
      <w:r>
        <w:rPr>
          <w:rFonts w:ascii="Arial" w:cs="Arial" w:eastAsia="Arial" w:hAnsi="Arial"/>
          <w:sz w:val="18"/>
          <w:szCs w:val="18"/>
          <w:color w:val="auto"/>
        </w:rPr>
        <w:t>The letters evidencing the August 2019, August 2020, August 2021 and August 2022 phantom unit grants awarded to Messrs. Chiang, Swanson, McGee, Chandler and Goebel provide that in the event of their death or disability after the first anniversary of the date of the applicable grant, all of their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13" w:lineRule="exact"/>
        <w:rPr>
          <w:rFonts w:ascii="Arial" w:cs="Arial" w:eastAsia="Arial" w:hAnsi="Arial"/>
          <w:sz w:val="27"/>
          <w:szCs w:val="27"/>
          <w:color w:val="auto"/>
          <w:vertAlign w:val="superscript"/>
        </w:rPr>
      </w:pPr>
    </w:p>
    <w:p>
      <w:pPr>
        <w:ind w:left="1620" w:right="459"/>
        <w:spacing w:after="0" w:line="247" w:lineRule="auto"/>
        <w:rPr>
          <w:rFonts w:ascii="Arial" w:cs="Arial" w:eastAsia="Arial" w:hAnsi="Arial"/>
          <w:sz w:val="27"/>
          <w:szCs w:val="27"/>
          <w:color w:val="auto"/>
          <w:vertAlign w:val="superscript"/>
        </w:rPr>
      </w:pPr>
      <w:r>
        <w:rPr>
          <w:rFonts w:ascii="Arial" w:cs="Arial" w:eastAsia="Arial" w:hAnsi="Arial"/>
          <w:sz w:val="18"/>
          <w:szCs w:val="18"/>
          <w:color w:val="auto"/>
        </w:rPr>
        <w:t>The letter evidencing the December 2017 phantom unit grant awarded to Mr. Goebel provides that in the event of his death or disability, all of his then outstanding phantom units awarded under such grant will be deemed nonforfeitable and will vest on the next following distribution date (and any associated DERs shall not be forfeited but shall vest, be payable and expire according to the terms of the phantom unit grant letter).</w:t>
      </w:r>
    </w:p>
    <w:p>
      <w:pPr>
        <w:spacing w:after="0" w:line="14" w:lineRule="exact"/>
        <w:rPr>
          <w:rFonts w:ascii="Arial" w:cs="Arial" w:eastAsia="Arial" w:hAnsi="Arial"/>
          <w:sz w:val="27"/>
          <w:szCs w:val="27"/>
          <w:color w:val="auto"/>
          <w:vertAlign w:val="superscript"/>
        </w:rPr>
      </w:pPr>
    </w:p>
    <w:p>
      <w:pPr>
        <w:ind w:left="1620" w:right="519"/>
        <w:spacing w:after="0" w:line="245" w:lineRule="auto"/>
        <w:rPr>
          <w:rFonts w:ascii="Arial" w:cs="Arial" w:eastAsia="Arial" w:hAnsi="Arial"/>
          <w:sz w:val="27"/>
          <w:szCs w:val="27"/>
          <w:color w:val="auto"/>
          <w:vertAlign w:val="superscript"/>
        </w:rPr>
      </w:pPr>
      <w:r>
        <w:rPr>
          <w:rFonts w:ascii="Arial" w:cs="Arial" w:eastAsia="Arial" w:hAnsi="Arial"/>
          <w:sz w:val="18"/>
          <w:szCs w:val="18"/>
          <w:color w:val="auto"/>
        </w:rPr>
        <w:t>The letters evidencing the November 2019 phantom unit grants awarded to Messrs. Chandler and Goebel, as amended, provide that in the event of their death or disability after the second anniversary of the date of grant, all of their then outstanding phantom units awarded under such grants and associated DERs will be deemed nonforfeitable, and will vest on the next distribution date (assuming a TSR payout percentage of 100% with respect to the performance-based portion of the award).</w:t>
      </w:r>
    </w:p>
    <w:p>
      <w:pPr>
        <w:spacing w:after="0" w:line="14" w:lineRule="exact"/>
        <w:rPr>
          <w:rFonts w:ascii="Arial" w:cs="Arial" w:eastAsia="Arial" w:hAnsi="Arial"/>
          <w:sz w:val="27"/>
          <w:szCs w:val="27"/>
          <w:color w:val="auto"/>
          <w:vertAlign w:val="superscript"/>
        </w:rPr>
      </w:pPr>
    </w:p>
    <w:p>
      <w:pPr>
        <w:ind w:left="1620" w:right="879"/>
        <w:spacing w:after="0" w:line="253" w:lineRule="auto"/>
        <w:rPr>
          <w:rFonts w:ascii="Arial" w:cs="Arial" w:eastAsia="Arial" w:hAnsi="Arial"/>
          <w:sz w:val="27"/>
          <w:szCs w:val="27"/>
          <w:color w:val="auto"/>
          <w:vertAlign w:val="superscript"/>
        </w:rPr>
      </w:pPr>
      <w:r>
        <w:rPr>
          <w:rFonts w:ascii="Arial" w:cs="Arial" w:eastAsia="Arial" w:hAnsi="Arial"/>
          <w:sz w:val="18"/>
          <w:szCs w:val="18"/>
          <w:color w:val="auto"/>
        </w:rPr>
        <w:t>For these purposes, “disability” means a physical or mental infirmity that impairs the ability substantially to perform duties for a period of eighteen (18) months or that the general partner otherwise determines constitutes a disability.</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Assuming death or disability occurred on December 31, 2022, (A) all of the phantom units and</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associated DERs held by Messrs. Chiang, Swanson, McGee, Chandler and Goebel pursuant to</w:t>
      </w:r>
    </w:p>
    <w:p>
      <w:pPr>
        <w:ind w:left="1620"/>
        <w:spacing w:after="0" w:line="234" w:lineRule="auto"/>
        <w:rPr>
          <w:sz w:val="20"/>
          <w:szCs w:val="20"/>
          <w:color w:val="auto"/>
        </w:rPr>
      </w:pPr>
      <w:r>
        <w:rPr>
          <w:rFonts w:ascii="Arial" w:cs="Arial" w:eastAsia="Arial" w:hAnsi="Arial"/>
          <w:sz w:val="18"/>
          <w:szCs w:val="18"/>
          <w:color w:val="auto"/>
        </w:rPr>
        <w:t>their August 2019, August 2020 and August 2021 grant letters, all of the phantom units and</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associated DERs held by Mr. Chiang pursuant to his August 2018 grant letter, all of the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phantom units and associated DERs held by Mr. Goebel pursuant to his 2017 grant letter, and all of</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phantom units and associated DERs held by Messrs. Chandler and Goebel pursuant to their</w:t>
      </w:r>
    </w:p>
    <w:p>
      <w:pPr>
        <w:ind w:left="1620"/>
        <w:spacing w:after="0"/>
        <w:rPr>
          <w:sz w:val="20"/>
          <w:szCs w:val="20"/>
          <w:color w:val="auto"/>
        </w:rPr>
      </w:pPr>
      <w:r>
        <w:rPr>
          <w:rFonts w:ascii="Arial" w:cs="Arial" w:eastAsia="Arial" w:hAnsi="Arial"/>
          <w:sz w:val="18"/>
          <w:szCs w:val="18"/>
          <w:color w:val="auto"/>
        </w:rPr>
        <w:t>November 2019 grant letters would have become nonforfeitable as of such date and would have</w:t>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vested on the February 2023 distribution date, and (B) all of the phantom units and associated</w:t>
      </w:r>
    </w:p>
    <w:p>
      <w:pPr>
        <w:ind w:left="1620"/>
        <w:spacing w:after="0" w:line="234" w:lineRule="auto"/>
        <w:rPr>
          <w:sz w:val="20"/>
          <w:szCs w:val="20"/>
          <w:color w:val="auto"/>
        </w:rPr>
      </w:pPr>
      <w:r>
        <w:rPr>
          <w:rFonts w:ascii="Arial" w:cs="Arial" w:eastAsia="Arial" w:hAnsi="Arial"/>
          <w:sz w:val="18"/>
          <w:szCs w:val="18"/>
          <w:color w:val="auto"/>
        </w:rPr>
        <w:t>DERs held by Messrs. Chiang, Swanson, McGee, Chandler and Goebel pursuant to their</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August 2022 grant letters would have been forfeited. The dollar value given is based on the market</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value of PAA’s common units on December 30, 2022 ($11.76 per unit).</w:t>
      </w:r>
    </w:p>
    <w:p>
      <w:pPr>
        <w:spacing w:after="0" w:line="45" w:lineRule="exact"/>
        <w:rPr>
          <w:sz w:val="20"/>
          <w:szCs w:val="20"/>
          <w:color w:val="auto"/>
        </w:rPr>
      </w:pPr>
    </w:p>
    <w:p>
      <w:pPr>
        <w:ind w:left="1620" w:right="499" w:hanging="360"/>
        <w:spacing w:after="0" w:line="232" w:lineRule="auto"/>
        <w:tabs>
          <w:tab w:leader="none" w:pos="1620" w:val="left"/>
        </w:tabs>
        <w:numPr>
          <w:ilvl w:val="0"/>
          <w:numId w:val="67"/>
        </w:numPr>
        <w:rPr>
          <w:rFonts w:ascii="Arial" w:cs="Arial" w:eastAsia="Arial" w:hAnsi="Arial"/>
          <w:sz w:val="27"/>
          <w:szCs w:val="27"/>
          <w:color w:val="auto"/>
          <w:vertAlign w:val="superscript"/>
        </w:rPr>
      </w:pPr>
      <w:r>
        <w:rPr>
          <w:rFonts w:ascii="Arial" w:cs="Arial" w:eastAsia="Arial" w:hAnsi="Arial"/>
          <w:sz w:val="18"/>
          <w:szCs w:val="18"/>
          <w:color w:val="auto"/>
        </w:rPr>
        <w:t>Other than as described below, pursuant to the grant letters for the currently outstanding phantom unit grants awarded to the NEOs, if GP LLC terminated their employment other than for cause (as defined in footnote 3 below), all of their unvested phantom units awarded under such grants and associated DERs shall be deemed nonforfeitable on the date of such termination and shall vest on the next following distribution date.</w:t>
      </w:r>
    </w:p>
    <w:p>
      <w:pPr>
        <w:spacing w:after="0" w:line="20" w:lineRule="exact"/>
        <w:rPr>
          <w:rFonts w:ascii="Arial" w:cs="Arial" w:eastAsia="Arial" w:hAnsi="Arial"/>
          <w:sz w:val="27"/>
          <w:szCs w:val="27"/>
          <w:color w:val="auto"/>
          <w:vertAlign w:val="superscript"/>
        </w:rPr>
      </w:pPr>
    </w:p>
    <w:p>
      <w:pPr>
        <w:ind w:left="1620" w:right="459"/>
        <w:spacing w:after="0" w:line="245" w:lineRule="auto"/>
        <w:rPr>
          <w:rFonts w:ascii="Arial" w:cs="Arial" w:eastAsia="Arial" w:hAnsi="Arial"/>
          <w:sz w:val="27"/>
          <w:szCs w:val="27"/>
          <w:color w:val="auto"/>
          <w:vertAlign w:val="superscript"/>
        </w:rPr>
      </w:pPr>
      <w:r>
        <w:rPr>
          <w:rFonts w:ascii="Arial" w:cs="Arial" w:eastAsia="Arial" w:hAnsi="Arial"/>
          <w:sz w:val="18"/>
          <w:szCs w:val="18"/>
          <w:color w:val="auto"/>
        </w:rPr>
        <w:t>The phantom units granted to Messrs. Chandler and Goebel in November 2019, as amended, provide that if their employment is terminated other than for cause (as defined in footnote 3 below), a portion of the unvested phantom units will be deemed nonforfeitable and will vest on the next following distribution date, with the size of the portion starting at 40% for a termination prior to November 21, 2022, and increasing by 20% per year thereafter such that 100% of the unvested phantom units would be deemed nonforfeitable following a termination other than for cause on or after November 21, 2024.</w:t>
      </w:r>
    </w:p>
    <w:p>
      <w:pPr>
        <w:spacing w:after="0" w:line="5" w:lineRule="exact"/>
        <w:rPr>
          <w:rFonts w:ascii="Arial" w:cs="Arial" w:eastAsia="Arial" w:hAnsi="Arial"/>
          <w:sz w:val="27"/>
          <w:szCs w:val="27"/>
          <w:color w:val="auto"/>
          <w:vertAlign w:val="superscript"/>
        </w:rPr>
      </w:pPr>
    </w:p>
    <w:p>
      <w:pPr>
        <w:ind w:left="1620" w:right="659"/>
        <w:spacing w:after="0" w:line="244" w:lineRule="auto"/>
        <w:rPr>
          <w:rFonts w:ascii="Arial" w:cs="Arial" w:eastAsia="Arial" w:hAnsi="Arial"/>
          <w:sz w:val="27"/>
          <w:szCs w:val="27"/>
          <w:color w:val="auto"/>
          <w:vertAlign w:val="superscript"/>
        </w:rPr>
      </w:pPr>
      <w:r>
        <w:rPr>
          <w:rFonts w:ascii="Arial" w:cs="Arial" w:eastAsia="Arial" w:hAnsi="Arial"/>
          <w:sz w:val="18"/>
          <w:szCs w:val="18"/>
          <w:color w:val="auto"/>
        </w:rPr>
        <w:t>The phantom units granted to Messrs. Chiang, Swanson, McGee, Chandler and Goebel in August 2020, August 2021 and August 2022 provide that if their employment is terminated other than for cause prior to the first anniversary of the applicable date of grant, all of their unvested phantom units will be forfeited as of the date of such termination. If such termination occurs after the first anniversary of the applicable date of grant, a pro rata portion of the unvested phantom units (based on the portion of the three-year vesting period that has elapsed since the grant date and assuming a payout at target for any performance-based phantom units) will be deemed nonforfeitable and will vest on the next following distribution date.</w:t>
      </w:r>
    </w:p>
    <w:p>
      <w:pPr>
        <w:spacing w:after="0" w:line="4" w:lineRule="exact"/>
        <w:rPr>
          <w:rFonts w:ascii="Arial" w:cs="Arial" w:eastAsia="Arial" w:hAnsi="Arial"/>
          <w:sz w:val="27"/>
          <w:szCs w:val="27"/>
          <w:color w:val="auto"/>
          <w:vertAlign w:val="superscript"/>
        </w:rPr>
      </w:pPr>
    </w:p>
    <w:p>
      <w:pPr>
        <w:ind w:left="1620" w:right="619"/>
        <w:spacing w:after="0" w:line="245" w:lineRule="auto"/>
        <w:rPr>
          <w:rFonts w:ascii="Arial" w:cs="Arial" w:eastAsia="Arial" w:hAnsi="Arial"/>
          <w:sz w:val="27"/>
          <w:szCs w:val="27"/>
          <w:color w:val="auto"/>
          <w:vertAlign w:val="superscript"/>
        </w:rPr>
      </w:pPr>
      <w:r>
        <w:rPr>
          <w:rFonts w:ascii="Arial" w:cs="Arial" w:eastAsia="Arial" w:hAnsi="Arial"/>
          <w:sz w:val="18"/>
          <w:szCs w:val="18"/>
          <w:color w:val="auto"/>
        </w:rPr>
        <w:t>Mr. Chiang’s August 2018 phantom unit grant provides that if his employment is terminated other than for cause (as defined in footnote 3 below) a portion of the unvested phantom units will be deemed nonforfeitable and will vest on the next following distribution date, with the size of the portion starting at 20% for a termination prior to October 1, 2019, and increasing to 40% for a termination other than for cause between October 1, 2019 and October 1, 2020, 60% for a termination other than for cause between October 1, 2020 and October 1, 2021 and 100% for a termination other than for cause on or after October 1, 2021.</w:t>
      </w:r>
    </w:p>
    <w:p>
      <w:pPr>
        <w:spacing w:after="0" w:line="5" w:lineRule="exact"/>
        <w:rPr>
          <w:rFonts w:ascii="Arial" w:cs="Arial" w:eastAsia="Arial" w:hAnsi="Arial"/>
          <w:sz w:val="27"/>
          <w:szCs w:val="27"/>
          <w:color w:val="auto"/>
          <w:vertAlign w:val="superscript"/>
        </w:rPr>
      </w:pPr>
    </w:p>
    <w:p>
      <w:pPr>
        <w:ind w:left="1620"/>
        <w:spacing w:after="0"/>
        <w:rPr>
          <w:rFonts w:ascii="Arial" w:cs="Arial" w:eastAsia="Arial" w:hAnsi="Arial"/>
          <w:sz w:val="27"/>
          <w:szCs w:val="27"/>
          <w:color w:val="auto"/>
          <w:vertAlign w:val="superscript"/>
        </w:rPr>
      </w:pPr>
      <w:r>
        <w:rPr>
          <w:rFonts w:ascii="Arial" w:cs="Arial" w:eastAsia="Arial" w:hAnsi="Arial"/>
          <w:sz w:val="18"/>
          <w:szCs w:val="18"/>
          <w:color w:val="auto"/>
        </w:rPr>
        <w:t>Assuming our Named Executive Officers were terminated without cause on December 31, 2022,</w:t>
      </w:r>
    </w:p>
    <w:p>
      <w:pPr>
        <w:spacing w:after="0" w:line="27" w:lineRule="exact"/>
        <w:rPr>
          <w:rFonts w:ascii="Arial" w:cs="Arial" w:eastAsia="Arial" w:hAnsi="Arial"/>
          <w:sz w:val="27"/>
          <w:szCs w:val="27"/>
          <w:color w:val="auto"/>
          <w:vertAlign w:val="superscript"/>
        </w:rPr>
      </w:pPr>
    </w:p>
    <w:p>
      <w:pPr>
        <w:ind w:left="1620" w:right="439"/>
        <w:spacing w:after="0"/>
        <w:tabs>
          <w:tab w:leader="none" w:pos="1828"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of the phantom units covered by the August 2019 phantom unit grants held by Messrs. Chiang, Swanson, McGee, Chandler and Goebel, approximately 79% of the phantom units covered by the August 2020 phantom unit grants held by Messrs. Chiang, Swanson, McGee, Chandler and Goebel, all of the phantom units covered by the December 2017 phantom unit grant held by Mr. Goebel, 46% of the phantom units covered by the August 2021 phantom unit grants held by Messrs. Chiang, Swanson, McGee, Chandler and Goebel, 60% of the phantom units covered by the November 2019 phantom unit grants held by Messrs. Chandler and Goebel and 100% of the phantom units covered by the August 2018 phantom unit grant held by Mr. Chiang would have vested on the February 2023 distribution date, and (ii) all remaining phantom units held by our Named Executive Officers would have become automatically forfeited as of such date of termination. The dollar value given is based on the market value of PAA’s common units on December 30, 2022 ($11.76 per unit).</w:t>
      </w:r>
    </w:p>
    <w:p>
      <w:pPr>
        <w:spacing w:after="0" w:line="49" w:lineRule="exact"/>
        <w:rPr>
          <w:rFonts w:ascii="Arial" w:cs="Arial" w:eastAsia="Arial" w:hAnsi="Arial"/>
          <w:sz w:val="18"/>
          <w:szCs w:val="18"/>
          <w:color w:val="auto"/>
        </w:rPr>
      </w:pPr>
    </w:p>
    <w:p>
      <w:pPr>
        <w:ind w:left="1620" w:right="539" w:hanging="360"/>
        <w:spacing w:after="0" w:line="222" w:lineRule="auto"/>
        <w:tabs>
          <w:tab w:leader="none" w:pos="1620" w:val="left"/>
        </w:tabs>
        <w:numPr>
          <w:ilvl w:val="0"/>
          <w:numId w:val="67"/>
        </w:numPr>
        <w:rPr>
          <w:rFonts w:ascii="Arial" w:cs="Arial" w:eastAsia="Arial" w:hAnsi="Arial"/>
          <w:sz w:val="27"/>
          <w:szCs w:val="27"/>
          <w:color w:val="auto"/>
          <w:vertAlign w:val="superscript"/>
        </w:rPr>
      </w:pPr>
      <w:r>
        <w:rPr>
          <w:rFonts w:ascii="Arial" w:cs="Arial" w:eastAsia="Arial" w:hAnsi="Arial"/>
          <w:sz w:val="18"/>
          <w:szCs w:val="18"/>
          <w:color w:val="auto"/>
        </w:rPr>
        <w:t>The letters evidencing phantom unit grants awarded to the Named Executive Officers provide that in the event of a change in status (as defined below), all of the then outstanding phantom units awarded under such grants and associated DERs will be deemed nonforfeitable, and such</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59"/>
        <w:spacing w:after="0" w:line="257" w:lineRule="auto"/>
        <w:rPr>
          <w:sz w:val="20"/>
          <w:szCs w:val="20"/>
          <w:color w:val="auto"/>
        </w:rPr>
      </w:pPr>
      <w:r>
        <w:rPr>
          <w:rFonts w:ascii="Arial" w:cs="Arial" w:eastAsia="Arial" w:hAnsi="Arial"/>
          <w:sz w:val="18"/>
          <w:szCs w:val="18"/>
          <w:color w:val="auto"/>
        </w:rPr>
        <w:t>phantom units will vest in full (i.e., the phantom units will become payable in the form of one common unit per phantom unit) upon the next following distribution date. Assuming that a change in status occurred on December 31, 2022, all outstanding phantom units awarded under such grants and the associated DERs would have become nonforfeitable as of December 31, 2022, and such phantom units would vest on the February 2023 distribution date. The dollar value given is based on the market value of PAA’s common units on December 30, 2022 ($11.76 per unit).</w:t>
      </w:r>
    </w:p>
    <w:p>
      <w:pPr>
        <w:spacing w:after="0" w:line="7" w:lineRule="exact"/>
        <w:rPr>
          <w:sz w:val="20"/>
          <w:szCs w:val="20"/>
          <w:color w:val="auto"/>
        </w:rPr>
      </w:pPr>
    </w:p>
    <w:p>
      <w:pPr>
        <w:ind w:left="1620" w:right="419"/>
        <w:spacing w:after="0" w:line="268" w:lineRule="auto"/>
        <w:rPr>
          <w:sz w:val="20"/>
          <w:szCs w:val="20"/>
          <w:color w:val="auto"/>
        </w:rPr>
      </w:pPr>
      <w:r>
        <w:rPr>
          <w:rFonts w:ascii="Arial" w:cs="Arial" w:eastAsia="Arial" w:hAnsi="Arial"/>
          <w:sz w:val="17"/>
          <w:szCs w:val="17"/>
          <w:color w:val="auto"/>
        </w:rPr>
        <w:t>The phrase “change in status” means, with respect to a Named Executive Officer, (A) during the period (“protected period”) beginning two and a half months prior to and ending one year following a change of control (as defined below), the termination of employment by GP LLC other than a termination for cause (as defined below), (B) during the protected period,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w:t>
      </w:r>
    </w:p>
    <w:p>
      <w:pPr>
        <w:spacing w:after="0" w:line="2" w:lineRule="exact"/>
        <w:rPr>
          <w:sz w:val="20"/>
          <w:szCs w:val="20"/>
          <w:color w:val="auto"/>
        </w:rPr>
      </w:pPr>
    </w:p>
    <w:p>
      <w:pPr>
        <w:jc w:val="both"/>
        <w:ind w:left="1620" w:right="459"/>
        <w:spacing w:after="0" w:line="258" w:lineRule="auto"/>
        <w:tabs>
          <w:tab w:leader="none" w:pos="1907"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action or inaction that would constitute a material breach of the applicable grant letter by GP LLC, or (C) the termination of employment as a result of retirement on terms and timing that are approved by the CEO (or the Board in the case of the CEO).</w:t>
      </w:r>
    </w:p>
    <w:p>
      <w:pPr>
        <w:spacing w:after="0" w:line="3" w:lineRule="exact"/>
        <w:rPr>
          <w:sz w:val="20"/>
          <w:szCs w:val="20"/>
          <w:color w:val="auto"/>
        </w:rPr>
      </w:pPr>
    </w:p>
    <w:p>
      <w:pPr>
        <w:ind w:left="1620" w:right="499"/>
        <w:spacing w:after="0" w:line="252" w:lineRule="auto"/>
        <w:rPr>
          <w:sz w:val="20"/>
          <w:szCs w:val="20"/>
          <w:color w:val="auto"/>
        </w:rPr>
      </w:pPr>
      <w:r>
        <w:rPr>
          <w:rFonts w:ascii="Arial" w:cs="Arial" w:eastAsia="Arial" w:hAnsi="Arial"/>
          <w:sz w:val="18"/>
          <w:szCs w:val="18"/>
          <w:color w:val="auto"/>
        </w:rPr>
        <w:t xml:space="preserve">The phrase “change of control” is defined in phantom unit grants awarded in 2017 to mean, and is deemed to have occurred upon the occurrence of, one or more of the following events: (i) the Persons who owned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8"/>
          <w:szCs w:val="18"/>
          <w:i w:val="1"/>
          <w:iCs w:val="1"/>
          <w:color w:val="auto"/>
        </w:rPr>
        <w:t>and</w:t>
      </w:r>
      <w:r>
        <w:rPr>
          <w:rFonts w:ascii="Arial" w:cs="Arial" w:eastAsia="Arial" w:hAnsi="Arial"/>
          <w:sz w:val="18"/>
          <w:szCs w:val="18"/>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continues to beneficially own, directly or indirectly, more than 50% of the issued and outstanding voting securities of such third party or parties immediately following such transaction.</w:t>
      </w:r>
    </w:p>
    <w:p>
      <w:pPr>
        <w:spacing w:after="0" w:line="6" w:lineRule="exact"/>
        <w:rPr>
          <w:sz w:val="20"/>
          <w:szCs w:val="20"/>
          <w:color w:val="auto"/>
        </w:rPr>
      </w:pPr>
    </w:p>
    <w:p>
      <w:pPr>
        <w:ind w:left="1620" w:right="479"/>
        <w:spacing w:after="0" w:line="252" w:lineRule="auto"/>
        <w:rPr>
          <w:sz w:val="20"/>
          <w:szCs w:val="20"/>
          <w:color w:val="auto"/>
        </w:rPr>
      </w:pPr>
      <w:r>
        <w:rPr>
          <w:rFonts w:ascii="Arial" w:cs="Arial" w:eastAsia="Arial" w:hAnsi="Arial"/>
          <w:sz w:val="18"/>
          <w:szCs w:val="18"/>
          <w:color w:val="auto"/>
        </w:rPr>
        <w:t>The phrase “change of control” is defined in the outstanding phantom unit grants awarded in 2018, 2019, 2020, 2021, 2022 to mean, and is deemed to have occurred upon the occurrence of, one or more of the following events: (i) any Person (other than PAGP and any affiliate of PAGP that is controlled by PAGP) becomes the beneficial owner, directly or indirectly (in one transaction or a series of related transactions and whether by merger or otherwise), of 50% or more of the membership interest in PAGP GP; (ii) any Person (other than PAGP GP, PAGP or any affiliate of PAGP that is controlled by PAGP) acquires (in one transaction or a series of related transactions and whether by merger or otherwise) direct or indirect control of the general partner interest of PAGP; (iii) PAGP ceases to retain direct or indirect control (in one transaction or a series of related transactions and whether by merger or otherwise) of the general partner of PAA; or (iv) the consummation of a reorganization, merger or consolidation with, or any direct or indirect sale, lease, exchange or other transfer (in one transaction or a series of related transactions) of all or substantially all of the assets of PAA to, one or more Persons (other than PAGP or any affiliates of PAGP that are controlled by PAGP). As used in this definition, “Person” shall include any “partnership, limited partnership, syndicate or other group” constituting a “person” within the meaning of such terms pursuant to Sections 13(d) and 14(d) of the Securities Exchange Act of 1934, as amended (the “Exchange Act”).</w:t>
      </w:r>
    </w:p>
    <w:p>
      <w:pPr>
        <w:spacing w:after="0" w:line="18" w:lineRule="exact"/>
        <w:rPr>
          <w:sz w:val="20"/>
          <w:szCs w:val="20"/>
          <w:color w:val="auto"/>
        </w:rPr>
      </w:pPr>
    </w:p>
    <w:p>
      <w:pPr>
        <w:ind w:left="1620" w:right="459"/>
        <w:spacing w:after="0" w:line="275" w:lineRule="auto"/>
        <w:rPr>
          <w:sz w:val="20"/>
          <w:szCs w:val="20"/>
          <w:color w:val="auto"/>
        </w:rPr>
      </w:pPr>
      <w:r>
        <w:rPr>
          <w:rFonts w:ascii="Arial" w:cs="Arial" w:eastAsia="Arial" w:hAnsi="Arial"/>
          <w:sz w:val="17"/>
          <w:szCs w:val="17"/>
          <w:color w:val="auto"/>
        </w:rPr>
        <w:t>“Cause” is defined in the 2017, 2018, 2019, 2020, 2021 and 2022 phantom unit grant agreements as (i) failure to perform the duties and responsibilities of a position at an acceptable level as reasonably determined in good faith by the CEO of GP LLC (or by the Board in the case of the CEO), (ii) the conviction of or guilty plea to the committing of an act or acts constituting a felony under the laws of the United States or any state thereof (or Canada or any province thereof) or any misdemeanor involving moral turpitude, or (iii) violation of GP LLC’s Code of Business Conduct</w:t>
      </w:r>
    </w:p>
    <w:p>
      <w:pPr>
        <w:sectPr>
          <w:pgSz w:w="11900" w:h="16838" w:orient="portrait"/>
          <w:cols w:equalWidth="0" w:num="1">
            <w:col w:w="9879"/>
          </w:cols>
          <w:pgMar w:left="580" w:top="97" w:right="1440" w:bottom="1440" w:gutter="0" w:footer="0" w:header="0"/>
        </w:sectPr>
      </w:pPr>
    </w:p>
    <w:p>
      <w:pPr>
        <w:spacing w:after="0" w:line="34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759"/>
        <w:spacing w:after="0" w:line="269" w:lineRule="auto"/>
        <w:rPr>
          <w:sz w:val="20"/>
          <w:szCs w:val="20"/>
          <w:color w:val="auto"/>
        </w:rPr>
      </w:pPr>
      <w:r>
        <w:rPr>
          <w:rFonts w:ascii="Arial" w:cs="Arial" w:eastAsia="Arial" w:hAnsi="Arial"/>
          <w:sz w:val="18"/>
          <w:szCs w:val="18"/>
          <w:color w:val="auto"/>
        </w:rPr>
        <w:t>(unless waived in accordance with the terms thereof), in the case of clauses (i) and (iii) with the specific failure or violation described in writing.</w:t>
      </w:r>
    </w:p>
    <w:p>
      <w:pPr>
        <w:spacing w:after="0" w:line="22" w:lineRule="exact"/>
        <w:rPr>
          <w:sz w:val="20"/>
          <w:szCs w:val="20"/>
          <w:color w:val="auto"/>
        </w:rPr>
      </w:pPr>
    </w:p>
    <w:p>
      <w:pPr>
        <w:ind w:left="1620" w:right="479" w:hanging="360"/>
        <w:spacing w:after="0" w:line="239" w:lineRule="auto"/>
        <w:tabs>
          <w:tab w:leader="none" w:pos="1620" w:val="left"/>
        </w:tabs>
        <w:numPr>
          <w:ilvl w:val="0"/>
          <w:numId w:val="69"/>
        </w:numPr>
        <w:rPr>
          <w:rFonts w:ascii="Arial" w:cs="Arial" w:eastAsia="Arial" w:hAnsi="Arial"/>
          <w:sz w:val="26"/>
          <w:szCs w:val="26"/>
          <w:color w:val="auto"/>
          <w:vertAlign w:val="superscript"/>
        </w:rPr>
      </w:pPr>
      <w:r>
        <w:rPr>
          <w:rFonts w:ascii="Arial" w:cs="Arial" w:eastAsia="Arial" w:hAnsi="Arial"/>
          <w:sz w:val="17"/>
          <w:szCs w:val="17"/>
          <w:color w:val="auto"/>
        </w:rPr>
        <w:t>Mr. Pefanis’ employment agreement provides that if (i) his employment is terminated as a result of his death, (ii) he terminates his employment (a) because of a disability (as defined in Section 409A of the Code) or (b) for good reason (as defined below), or (iii) GP LLC terminates his employment without cause (as defined below), he is entitled to a lump-sum amount equal to the product of</w:t>
      </w:r>
    </w:p>
    <w:p>
      <w:pPr>
        <w:ind w:left="1620"/>
        <w:spacing w:after="0"/>
        <w:rPr>
          <w:sz w:val="20"/>
          <w:szCs w:val="20"/>
          <w:color w:val="auto"/>
        </w:rPr>
      </w:pPr>
      <w:r>
        <w:rPr>
          <w:rFonts w:ascii="Arial" w:cs="Arial" w:eastAsia="Arial" w:hAnsi="Arial"/>
          <w:sz w:val="18"/>
          <w:szCs w:val="18"/>
          <w:color w:val="auto"/>
        </w:rPr>
        <w:t>(1) the sum of his (a) highest annual base salary paid prior to his date of termination and</w:t>
      </w:r>
    </w:p>
    <w:p>
      <w:pPr>
        <w:spacing w:after="0" w:line="9" w:lineRule="exact"/>
        <w:rPr>
          <w:sz w:val="20"/>
          <w:szCs w:val="20"/>
          <w:color w:val="auto"/>
        </w:rPr>
      </w:pPr>
    </w:p>
    <w:p>
      <w:pPr>
        <w:ind w:left="1620" w:right="499"/>
        <w:spacing w:after="0" w:line="254" w:lineRule="auto"/>
        <w:tabs>
          <w:tab w:leader="none" w:pos="18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highest annual bonus paid or payable for any of the three years prior to the date of termination, and (2) the lesser of (i) two or (ii) the number of days remaining in the term of his employment agreement divided by 360. The amount provided in the table assumes a termination date of December 31, 2022 with two years remaining on the term of his agreement, and also assumes a highest annual base salary of $600,000 and highest annual bonus of $2,105,000.</w:t>
      </w:r>
    </w:p>
    <w:p>
      <w:pPr>
        <w:spacing w:after="0" w:line="7" w:lineRule="exact"/>
        <w:rPr>
          <w:sz w:val="20"/>
          <w:szCs w:val="20"/>
          <w:color w:val="auto"/>
        </w:rPr>
      </w:pPr>
    </w:p>
    <w:p>
      <w:pPr>
        <w:ind w:left="1620" w:right="439"/>
        <w:spacing w:after="0" w:line="256" w:lineRule="auto"/>
        <w:rPr>
          <w:sz w:val="20"/>
          <w:szCs w:val="20"/>
          <w:color w:val="auto"/>
        </w:rPr>
      </w:pPr>
      <w:r>
        <w:rPr>
          <w:rFonts w:ascii="Arial" w:cs="Arial" w:eastAsia="Arial" w:hAnsi="Arial"/>
          <w:sz w:val="17"/>
          <w:szCs w:val="17"/>
          <w:color w:val="auto"/>
        </w:rPr>
        <w:t>Mr. Pefanis’ employment agreement defines “cause” as (i) willfully engaging in gross misconduct, or (ii) conviction of a felony involving moral turpitude. Notwithstanding, no act, or failure to act, on his part is “willful” unless done, or omitted to be done, not in good faith and without reasonable belief that such act or omission was in the best interest of GP LLC or otherwise likely to result in no material injury to GP LLC. However, Mr. Pefanis will not be deemed to have been terminated for cause unless and until there is delivered to him a copy of a resolution of the Board at a meeting held for that purpose (after reasonable notice and an opportunity to be heard), finding that</w:t>
      </w:r>
    </w:p>
    <w:p>
      <w:pPr>
        <w:spacing w:after="0" w:line="3" w:lineRule="exact"/>
        <w:rPr>
          <w:sz w:val="20"/>
          <w:szCs w:val="20"/>
          <w:color w:val="auto"/>
        </w:rPr>
      </w:pPr>
    </w:p>
    <w:p>
      <w:pPr>
        <w:ind w:left="1620" w:right="519"/>
        <w:spacing w:after="0" w:line="245" w:lineRule="auto"/>
        <w:rPr>
          <w:sz w:val="20"/>
          <w:szCs w:val="20"/>
          <w:color w:val="auto"/>
        </w:rPr>
      </w:pPr>
      <w:r>
        <w:rPr>
          <w:rFonts w:ascii="Arial" w:cs="Arial" w:eastAsia="Arial" w:hAnsi="Arial"/>
          <w:sz w:val="18"/>
          <w:szCs w:val="18"/>
          <w:color w:val="auto"/>
        </w:rPr>
        <w:t>Mr. Pefanis was guilty of the conduct described above, and specifying the basis for that finding. If Mr. Pefanis were terminated for cause, GP LLC would be obligated to pay base salary through the date of termination, with no other payment obligations triggered by the termination under the employment agreement or other employment arrangement.</w:t>
      </w:r>
    </w:p>
    <w:p>
      <w:pPr>
        <w:spacing w:after="0" w:line="1" w:lineRule="exact"/>
        <w:rPr>
          <w:sz w:val="20"/>
          <w:szCs w:val="20"/>
          <w:color w:val="auto"/>
        </w:rPr>
      </w:pPr>
    </w:p>
    <w:p>
      <w:pPr>
        <w:ind w:left="1620" w:right="459"/>
        <w:spacing w:after="0" w:line="269" w:lineRule="auto"/>
        <w:rPr>
          <w:sz w:val="20"/>
          <w:szCs w:val="20"/>
          <w:color w:val="auto"/>
        </w:rPr>
      </w:pPr>
      <w:r>
        <w:rPr>
          <w:rFonts w:ascii="Arial" w:cs="Arial" w:eastAsia="Arial" w:hAnsi="Arial"/>
          <w:sz w:val="17"/>
          <w:szCs w:val="17"/>
          <w:color w:val="auto"/>
        </w:rPr>
        <w:t>Mr. Pefanis’ employment agreement defines “good reason” as the occurrence of any of the following circumstances: (i) removal by GP LLC from, or failure to re-elect him to, the position to which Mr. Pefanis was appointed pursuant to his employment agreement, except in connection with his termination for cause (as defined above); (ii) (a) a reduction in his rate of base salary (other than in connection with across-the-board salary reductions for all executive officers of GP LLC) to an amount which is less than 85% of his current base salary, (b) a material reduction in his fringe benefits, or (c) any other material failure by GP LLC to comply with its obligations under the employment agreement to pay his annual salary and bonus, reimburse his business expenses, provide for his participation in certain employee benefit plans and arrangements, furnish him with suitable office space and support staff, or allow him no less than 15 business days of paid vacation annually; or (ii) the failure of GP LLC to obtain the express assumption of the employment agreement by a successor entity (whether direct or indirect, by purchase, merger, consolidation or otherwise) to all or substantially all of the business and/or assets of GP LLC.</w:t>
      </w:r>
    </w:p>
    <w:p>
      <w:pPr>
        <w:spacing w:after="0" w:line="41" w:lineRule="exact"/>
        <w:rPr>
          <w:sz w:val="20"/>
          <w:szCs w:val="20"/>
          <w:color w:val="auto"/>
        </w:rPr>
      </w:pPr>
    </w:p>
    <w:p>
      <w:pPr>
        <w:ind w:left="1620" w:right="559" w:hanging="360"/>
        <w:spacing w:after="0" w:line="237" w:lineRule="auto"/>
        <w:tabs>
          <w:tab w:leader="none" w:pos="1620" w:val="left"/>
        </w:tabs>
        <w:numPr>
          <w:ilvl w:val="0"/>
          <w:numId w:val="71"/>
        </w:numPr>
        <w:rPr>
          <w:rFonts w:ascii="Arial" w:cs="Arial" w:eastAsia="Arial" w:hAnsi="Arial"/>
          <w:sz w:val="27"/>
          <w:szCs w:val="27"/>
          <w:color w:val="auto"/>
          <w:vertAlign w:val="superscript"/>
        </w:rPr>
      </w:pPr>
      <w:r>
        <w:rPr>
          <w:rFonts w:ascii="Arial" w:cs="Arial" w:eastAsia="Arial" w:hAnsi="Arial"/>
          <w:sz w:val="18"/>
          <w:szCs w:val="18"/>
          <w:color w:val="auto"/>
        </w:rPr>
        <w:t>Pursuant to his employment agreement, if Mr. Pefanis terminates his employment with GP LLC within three months of a Change in Control (as defined below), he is entitled to a lump-sum payment in an amount equal to the product of (i) three and (ii) the sum of (a) his highest annual base salary previously paid to him and (b) his highest annual bonus paid or payable for any of the three years prior to the date of such termination. The amount provided in the table assumes a Change in Control and termination date of December 31, 2022, and also assumes a highest annual base salary of $600,000 and highest annual bonus of $2,105,000.</w:t>
      </w:r>
    </w:p>
    <w:p>
      <w:pPr>
        <w:spacing w:after="0" w:line="6" w:lineRule="exact"/>
        <w:rPr>
          <w:rFonts w:ascii="Arial" w:cs="Arial" w:eastAsia="Arial" w:hAnsi="Arial"/>
          <w:sz w:val="27"/>
          <w:szCs w:val="27"/>
          <w:color w:val="auto"/>
          <w:vertAlign w:val="superscript"/>
        </w:rPr>
      </w:pPr>
    </w:p>
    <w:p>
      <w:pPr>
        <w:ind w:left="1620" w:right="459"/>
        <w:spacing w:after="0" w:line="253" w:lineRule="auto"/>
        <w:rPr>
          <w:rFonts w:ascii="Arial" w:cs="Arial" w:eastAsia="Arial" w:hAnsi="Arial"/>
          <w:sz w:val="27"/>
          <w:szCs w:val="27"/>
          <w:color w:val="auto"/>
          <w:vertAlign w:val="superscript"/>
        </w:rPr>
      </w:pPr>
      <w:r>
        <w:rPr>
          <w:rFonts w:ascii="Arial" w:cs="Arial" w:eastAsia="Arial" w:hAnsi="Arial"/>
          <w:sz w:val="18"/>
          <w:szCs w:val="18"/>
          <w:color w:val="auto"/>
        </w:rPr>
        <w:t>In conjunction with events occurring in 2005, 2010 and 2013, Mr. Pefanis executed various agreements waiving his right to terminate his employment and receive separation benefits under his employment agreement. In connection with such waivers, the definition of “Change in Control” in Mr. Pefanis’ employment agreement was modified to mean, and will be deemed to occur upon, one or more of the following events: (i) any person (other than PAGP or its wholly owned subsidiaries), including any partnership, limited partnership, syndicate or other group deemed a “person” for purposes of Section 13(d) or 14(d) of the Exchange Act becomes the beneficial owner, directly or indirectly, of 50% or more of the membership interest in GP LLC or 50% or more of the outstanding limited partnership interest of PAGP; (ii) any person (other than PAGP or its wholly owned subsidiaries), including any partnership, limited partnership, syndicate or other group deemed a “person” for purposes of Section 13(d) or 14(d) of the Exchange Act, becomes the beneficial owner,</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39"/>
        <w:spacing w:after="0" w:line="260" w:lineRule="auto"/>
        <w:rPr>
          <w:sz w:val="20"/>
          <w:szCs w:val="20"/>
          <w:color w:val="auto"/>
        </w:rPr>
      </w:pPr>
      <w:r>
        <w:rPr>
          <w:rFonts w:ascii="Arial" w:cs="Arial" w:eastAsia="Arial" w:hAnsi="Arial"/>
          <w:sz w:val="18"/>
          <w:szCs w:val="18"/>
          <w:color w:val="auto"/>
        </w:rPr>
        <w:t>directly or indirectly, of 50% or more of the membership interest in PAGP GP; (iii) PAGP ceases to beneficially own, directly or indirectly, more than 50% of the membership interest in GP LLC;</w:t>
      </w:r>
    </w:p>
    <w:p>
      <w:pPr>
        <w:spacing w:after="0" w:line="2" w:lineRule="exact"/>
        <w:rPr>
          <w:sz w:val="20"/>
          <w:szCs w:val="20"/>
          <w:color w:val="auto"/>
        </w:rPr>
      </w:pPr>
    </w:p>
    <w:p>
      <w:pPr>
        <w:ind w:left="1620" w:right="459"/>
        <w:spacing w:after="0" w:line="252" w:lineRule="auto"/>
        <w:rPr>
          <w:sz w:val="20"/>
          <w:szCs w:val="20"/>
          <w:color w:val="auto"/>
        </w:rPr>
      </w:pPr>
      <w:r>
        <w:rPr>
          <w:rFonts w:ascii="Arial" w:cs="Arial" w:eastAsia="Arial" w:hAnsi="Arial"/>
          <w:sz w:val="18"/>
          <w:szCs w:val="18"/>
          <w:color w:val="auto"/>
        </w:rPr>
        <w:t>(iv) the “Owner Affiliates”, as defined in the 2013 waiver agreement, cease to beneficially own, directly or indirectly, more than 50% of the membership interest in PAGP GP; or (v) there has been a direct or indirect transfer, sale, exchange or other disposition in a single transaction or series of transactions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52" w:lineRule="exact"/>
        <w:rPr>
          <w:sz w:val="20"/>
          <w:szCs w:val="20"/>
          <w:color w:val="auto"/>
        </w:rPr>
      </w:pPr>
    </w:p>
    <w:p>
      <w:pPr>
        <w:ind w:left="1620" w:right="419" w:hanging="360"/>
        <w:spacing w:after="0" w:line="238" w:lineRule="auto"/>
        <w:tabs>
          <w:tab w:leader="none" w:pos="1620" w:val="left"/>
        </w:tabs>
        <w:numPr>
          <w:ilvl w:val="0"/>
          <w:numId w:val="72"/>
        </w:numPr>
        <w:rPr>
          <w:rFonts w:ascii="Arial" w:cs="Arial" w:eastAsia="Arial" w:hAnsi="Arial"/>
          <w:sz w:val="27"/>
          <w:szCs w:val="27"/>
          <w:color w:val="auto"/>
          <w:vertAlign w:val="superscript"/>
        </w:rPr>
      </w:pPr>
      <w:r>
        <w:rPr>
          <w:rFonts w:ascii="Arial" w:cs="Arial" w:eastAsia="Arial" w:hAnsi="Arial"/>
          <w:sz w:val="18"/>
          <w:szCs w:val="18"/>
          <w:color w:val="auto"/>
        </w:rPr>
        <w:t>Pursuant to his employment agreement, if Mr. Pefanis is terminated other than (i) for cause (as defined in footnote 4 above), (ii) by reason of death or (iii) by resignation (unless such resignation is due to a disability or for good reason (each as defined in footnote 4 above)), then he is entitled to continue to participate, for a period which is the lesser of 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31, 2022 with two years remaining on the term of his agreement.</w:t>
      </w:r>
    </w:p>
    <w:p>
      <w:pPr>
        <w:spacing w:after="0" w:line="50" w:lineRule="exact"/>
        <w:rPr>
          <w:rFonts w:ascii="Arial" w:cs="Arial" w:eastAsia="Arial" w:hAnsi="Arial"/>
          <w:sz w:val="27"/>
          <w:szCs w:val="27"/>
          <w:color w:val="auto"/>
          <w:vertAlign w:val="superscript"/>
        </w:rPr>
      </w:pPr>
    </w:p>
    <w:p>
      <w:pPr>
        <w:jc w:val="both"/>
        <w:ind w:left="1620" w:right="519" w:hanging="360"/>
        <w:spacing w:after="0" w:line="222" w:lineRule="auto"/>
        <w:tabs>
          <w:tab w:leader="none" w:pos="1620" w:val="left"/>
        </w:tabs>
        <w:numPr>
          <w:ilvl w:val="0"/>
          <w:numId w:val="72"/>
        </w:numPr>
        <w:rPr>
          <w:rFonts w:ascii="Arial" w:cs="Arial" w:eastAsia="Arial" w:hAnsi="Arial"/>
          <w:sz w:val="27"/>
          <w:szCs w:val="27"/>
          <w:color w:val="auto"/>
          <w:vertAlign w:val="superscript"/>
        </w:rPr>
      </w:pPr>
      <w:r>
        <w:rPr>
          <w:rFonts w:ascii="Arial" w:cs="Arial" w:eastAsia="Arial" w:hAnsi="Arial"/>
          <w:sz w:val="18"/>
          <w:szCs w:val="18"/>
          <w:color w:val="auto"/>
        </w:rPr>
        <w:t>If Messrs. Chiang, Pefanis, Swanson, McGee, Chandler or Goebel were terminated for cause, GP LLC would be obligated to pay base salary through the date of termination, with no other payment obligation triggered by the termination under any employment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Confidentiality, Non-Compete and Non-Solicitation Arrangements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Mr. Chiang has agreed to maintain the confidentiality of certain information and not to solicit</w:t>
      </w:r>
    </w:p>
    <w:p>
      <w:pPr>
        <w:spacing w:after="0" w:line="14" w:lineRule="exact"/>
        <w:rPr>
          <w:sz w:val="20"/>
          <w:szCs w:val="20"/>
          <w:color w:val="auto"/>
        </w:rPr>
      </w:pPr>
    </w:p>
    <w:p>
      <w:pPr>
        <w:ind w:left="1260" w:right="659"/>
        <w:spacing w:after="0" w:line="246" w:lineRule="auto"/>
        <w:rPr>
          <w:sz w:val="20"/>
          <w:szCs w:val="20"/>
          <w:color w:val="auto"/>
        </w:rPr>
      </w:pPr>
      <w:r>
        <w:rPr>
          <w:rFonts w:ascii="Arial" w:cs="Arial" w:eastAsia="Arial" w:hAnsi="Arial"/>
          <w:sz w:val="18"/>
          <w:szCs w:val="18"/>
          <w:color w:val="auto"/>
        </w:rPr>
        <w:t>customers, assets and employees for two years following termination of his employment. Mr. Pefanis has agreed to maintain the confidentiality of PAA information for a period of one year following the termination of his employment. Messrs. McGee and Chandler have each agreed to maintain the confidentiality of certain information and not to solicit customers for a period of two years after termination of their employment.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 Ratio Disclosure</w:t>
      </w:r>
    </w:p>
    <w:p>
      <w:pPr>
        <w:spacing w:after="0" w:line="158"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Willie Chiang, our CEO during 2022:</w:t>
      </w:r>
    </w:p>
    <w:p>
      <w:pPr>
        <w:spacing w:after="0" w:line="68" w:lineRule="exact"/>
        <w:rPr>
          <w:sz w:val="20"/>
          <w:szCs w:val="20"/>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annual total compensation for Mr. Chiang for 2022 was approximately $8,296,000.</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annual total compensation for the median employee for 2022 was approximately $126,000.</w:t>
      </w:r>
    </w:p>
    <w:p>
      <w:pPr>
        <w:spacing w:after="0" w:line="117" w:lineRule="exact"/>
        <w:rPr>
          <w:rFonts w:ascii="Arial" w:cs="Arial" w:eastAsia="Arial" w:hAnsi="Arial"/>
          <w:sz w:val="18"/>
          <w:szCs w:val="18"/>
          <w:color w:val="auto"/>
        </w:rPr>
      </w:pPr>
    </w:p>
    <w:p>
      <w:pPr>
        <w:ind w:left="1800" w:right="759" w:hanging="180"/>
        <w:spacing w:after="0" w:line="287" w:lineRule="auto"/>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ratio of Mr. Chiang’s pay to the pay of our median employee for 2022 was approximately 65.8 to 1.</w:t>
      </w:r>
    </w:p>
    <w:p>
      <w:pPr>
        <w:spacing w:after="0" w:line="7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PAA’s median employee was identified as of December 31, 2022 using the following methodology:</w:t>
      </w:r>
    </w:p>
    <w:p>
      <w:pPr>
        <w:spacing w:after="0" w:line="117" w:lineRule="exact"/>
        <w:rPr>
          <w:sz w:val="20"/>
          <w:szCs w:val="20"/>
          <w:color w:val="auto"/>
        </w:rPr>
      </w:pPr>
    </w:p>
    <w:p>
      <w:pPr>
        <w:ind w:left="1800" w:right="1079" w:hanging="180"/>
        <w:spacing w:after="0" w:line="28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list was prepared of all individuals, excluding the CEO, who were employed by PAA on December 31, 2022. We included all U.S. and Canadian employees.</w:t>
      </w:r>
    </w:p>
    <w:p>
      <w:pPr>
        <w:spacing w:after="0" w:line="44"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Basic wage data for each U.S. employee was extracted from Form W-2 information provided to the Internal Revenue Service for calendar year 2022. Basic wage data for each Canadian employee was extracted from Form T4 information provided to the Canada Revenue Agency for calendar year 2022 and converted to U.S. dollars. This information was then sorted and the median employee was identified.</w:t>
      </w:r>
    </w:p>
    <w:p>
      <w:pPr>
        <w:spacing w:after="0" w:line="112"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8"/>
          <w:szCs w:val="18"/>
          <w:color w:val="auto"/>
        </w:rPr>
        <w:t>The median employee’s annual total compensation for 2022 was determined using the same methodology we used for determining the annual total compensation for the Named Executive Officers as set forth in the 2022 Summary Compensation Table.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 Versus Performance</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As required by Item 402(v) of Regulation S-K, we are providing the following information about the relationship between executive compensation actually paid (“CAP”) and PAA’s financial performance for the periods presented. The CAP dollar amounts shown in the table below have been calculated in accordance with SEC rules; however, meaningful amounts included as CAP (e.g., approximately two-thirds of CAP for our PEO in 2022) do not represent compensation actually paid or earned during the applicable years. This is due to the fact that CAP includes, in addition to base salary, bonus, the value of equity awards that vested during the year and DERs (“realized value”), the value of outstanding equity awards that could potentially vest in future years (“potentially realizable future value”). With respect to our principal executive officer (“PEO”) for 2022, ~34.5% of the ~$14.5 million of CAP (or ~$5 million) represents the “realized value” of amounts actually paid to or earned by our PEO and ~65.5% (or ~$9.5 million) represents “future potentially realizable value” of outstanding equity awards. With respect to our other NEOs (“Non-PEO NEOs”) for 2022, ~43% of the ~$8.1 million of average CAP (or ~$3.5 million) represents the “realized value” of amounts actually paid to or earned by our non-PEO NEOs and ~57% (or ~$4.6 million) represents “future potentially realizable value” of outstanding equity awards.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Tabular Disclosure of Compensation Actually Paid versus Performance</w:t>
      </w:r>
    </w:p>
    <w:p>
      <w:pPr>
        <w:spacing w:after="0" w:line="142" w:lineRule="exact"/>
        <w:rPr>
          <w:sz w:val="20"/>
          <w:szCs w:val="20"/>
          <w:color w:val="auto"/>
        </w:rPr>
      </w:pPr>
    </w:p>
    <w:p>
      <w:pPr>
        <w:ind w:left="1260" w:right="679" w:firstLine="360"/>
        <w:spacing w:after="0" w:line="318" w:lineRule="auto"/>
        <w:rPr>
          <w:sz w:val="20"/>
          <w:szCs w:val="20"/>
          <w:color w:val="auto"/>
        </w:rPr>
      </w:pPr>
      <w:r>
        <w:rPr>
          <w:rFonts w:ascii="Arial" w:cs="Arial" w:eastAsia="Arial" w:hAnsi="Arial"/>
          <w:sz w:val="17"/>
          <w:szCs w:val="17"/>
          <w:color w:val="auto"/>
        </w:rPr>
        <w:t>The following table discloses information on CAP to our PEO and, on average, to our Non-PEO NEOs during the specified years alongside TSR, net income, and the Company-selected measure of</w:t>
      </w:r>
    </w:p>
    <w:p>
      <w:pPr>
        <w:sectPr>
          <w:pgSz w:w="11900" w:h="16838" w:orient="portrait"/>
          <w:cols w:equalWidth="0" w:num="1">
            <w:col w:w="9879"/>
          </w:cols>
          <w:pgMar w:left="580" w:top="97" w:right="1440" w:bottom="1440" w:gutter="0" w:footer="0" w:header="0"/>
        </w:sectPr>
      </w:pPr>
    </w:p>
    <w:p>
      <w:pPr>
        <w:spacing w:after="0" w:line="31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980"/>
        <w:spacing w:after="0" w:line="268" w:lineRule="auto"/>
        <w:rPr>
          <w:sz w:val="20"/>
          <w:szCs w:val="20"/>
          <w:color w:val="auto"/>
        </w:rPr>
      </w:pPr>
      <w:r>
        <w:rPr>
          <w:rFonts w:ascii="Arial" w:cs="Arial" w:eastAsia="Arial" w:hAnsi="Arial"/>
          <w:sz w:val="18"/>
          <w:szCs w:val="18"/>
          <w:color w:val="auto"/>
        </w:rPr>
        <w:t>Adjusted EBITDA Attributable to PAA. Adjusted EBITDA Attributable to PAA was identified by the Company as the most important financial performance measure used to link CAP to Company performance.</w:t>
      </w:r>
    </w:p>
    <w:p>
      <w:pPr>
        <w:spacing w:after="0" w:line="189" w:lineRule="exact"/>
        <w:rPr>
          <w:sz w:val="20"/>
          <w:szCs w:val="20"/>
          <w:color w:val="auto"/>
        </w:rPr>
      </w:pPr>
    </w:p>
    <w:tbl>
      <w:tblPr>
        <w:tblLayout w:type="fixed"/>
        <w:tblInd w:w="830" w:type="dxa"/>
        <w:tblCellMar>
          <w:top w:w="0" w:type="dxa"/>
          <w:left w:w="0" w:type="dxa"/>
          <w:bottom w:w="0" w:type="dxa"/>
          <w:right w:w="0" w:type="dxa"/>
        </w:tblCellMar>
      </w:tblPr>
      <w:tr>
        <w:trPr>
          <w:trHeight w:val="189"/>
        </w:trPr>
        <w:tc>
          <w:tcPr>
            <w:tcW w:w="560" w:type="dxa"/>
            <w:vAlign w:val="bottom"/>
            <w:tcBorders>
              <w:left w:val="single" w:sz="8" w:color="424E6A"/>
            </w:tcBorders>
            <w:shd w:val="clear" w:color="auto" w:fill="424E6A"/>
          </w:tcPr>
          <w:p>
            <w:pPr>
              <w:spacing w:after="0"/>
              <w:rPr>
                <w:sz w:val="16"/>
                <w:szCs w:val="16"/>
                <w:color w:val="auto"/>
              </w:rPr>
            </w:pPr>
          </w:p>
        </w:tc>
        <w:tc>
          <w:tcPr>
            <w:tcW w:w="240" w:type="dxa"/>
            <w:vAlign w:val="bottom"/>
            <w:tcBorders>
              <w:right w:val="single" w:sz="8" w:color="424E6A"/>
            </w:tcBorders>
            <w:shd w:val="clear" w:color="auto" w:fill="424E6A"/>
          </w:tcPr>
          <w:p>
            <w:pPr>
              <w:spacing w:after="0"/>
              <w:rPr>
                <w:sz w:val="16"/>
                <w:szCs w:val="16"/>
                <w:color w:val="auto"/>
              </w:rPr>
            </w:pPr>
          </w:p>
        </w:tc>
        <w:tc>
          <w:tcPr>
            <w:tcW w:w="80" w:type="dxa"/>
            <w:vAlign w:val="bottom"/>
            <w:shd w:val="clear" w:color="auto" w:fill="424E6A"/>
          </w:tcPr>
          <w:p>
            <w:pPr>
              <w:spacing w:after="0"/>
              <w:rPr>
                <w:sz w:val="16"/>
                <w:szCs w:val="16"/>
                <w:color w:val="auto"/>
              </w:rPr>
            </w:pPr>
          </w:p>
        </w:tc>
        <w:tc>
          <w:tcPr>
            <w:tcW w:w="900" w:type="dxa"/>
            <w:vAlign w:val="bottom"/>
            <w:shd w:val="clear" w:color="auto" w:fill="424E6A"/>
          </w:tcPr>
          <w:p>
            <w:pPr>
              <w:spacing w:after="0"/>
              <w:rPr>
                <w:sz w:val="16"/>
                <w:szCs w:val="16"/>
                <w:color w:val="auto"/>
              </w:rPr>
            </w:pPr>
          </w:p>
        </w:tc>
        <w:tc>
          <w:tcPr>
            <w:tcW w:w="140" w:type="dxa"/>
            <w:vAlign w:val="bottom"/>
            <w:tcBorders>
              <w:right w:val="single" w:sz="8" w:color="424E6A"/>
            </w:tcBorders>
            <w:shd w:val="clear" w:color="auto" w:fill="424E6A"/>
          </w:tcPr>
          <w:p>
            <w:pPr>
              <w:spacing w:after="0"/>
              <w:rPr>
                <w:sz w:val="16"/>
                <w:szCs w:val="16"/>
                <w:color w:val="auto"/>
              </w:rPr>
            </w:pPr>
          </w:p>
        </w:tc>
        <w:tc>
          <w:tcPr>
            <w:tcW w:w="240" w:type="dxa"/>
            <w:vAlign w:val="bottom"/>
            <w:shd w:val="clear" w:color="auto" w:fill="424E6A"/>
          </w:tcPr>
          <w:p>
            <w:pPr>
              <w:spacing w:after="0"/>
              <w:rPr>
                <w:sz w:val="16"/>
                <w:szCs w:val="16"/>
                <w:color w:val="auto"/>
              </w:rPr>
            </w:pPr>
          </w:p>
        </w:tc>
        <w:tc>
          <w:tcPr>
            <w:tcW w:w="760" w:type="dxa"/>
            <w:vAlign w:val="bottom"/>
            <w:shd w:val="clear" w:color="auto" w:fill="424E6A"/>
          </w:tcPr>
          <w:p>
            <w:pPr>
              <w:spacing w:after="0"/>
              <w:rPr>
                <w:sz w:val="16"/>
                <w:szCs w:val="16"/>
                <w:color w:val="auto"/>
              </w:rPr>
            </w:pPr>
          </w:p>
        </w:tc>
        <w:tc>
          <w:tcPr>
            <w:tcW w:w="120" w:type="dxa"/>
            <w:vAlign w:val="bottom"/>
            <w:tcBorders>
              <w:right w:val="single" w:sz="8" w:color="424E6A"/>
            </w:tcBorders>
            <w:shd w:val="clear" w:color="auto" w:fill="424E6A"/>
          </w:tcPr>
          <w:p>
            <w:pPr>
              <w:spacing w:after="0"/>
              <w:rPr>
                <w:sz w:val="16"/>
                <w:szCs w:val="16"/>
                <w:color w:val="auto"/>
              </w:rPr>
            </w:pPr>
          </w:p>
        </w:tc>
        <w:tc>
          <w:tcPr>
            <w:tcW w:w="80" w:type="dxa"/>
            <w:vAlign w:val="bottom"/>
            <w:shd w:val="clear" w:color="auto" w:fill="424E6A"/>
          </w:tcPr>
          <w:p>
            <w:pPr>
              <w:spacing w:after="0"/>
              <w:rPr>
                <w:sz w:val="16"/>
                <w:szCs w:val="16"/>
                <w:color w:val="auto"/>
              </w:rPr>
            </w:pPr>
          </w:p>
        </w:tc>
        <w:tc>
          <w:tcPr>
            <w:tcW w:w="900" w:type="dxa"/>
            <w:vAlign w:val="bottom"/>
            <w:shd w:val="clear" w:color="auto" w:fill="424E6A"/>
          </w:tcPr>
          <w:p>
            <w:pPr>
              <w:jc w:val="center"/>
              <w:spacing w:after="0"/>
              <w:rPr>
                <w:sz w:val="20"/>
                <w:szCs w:val="20"/>
                <w:color w:val="auto"/>
              </w:rPr>
            </w:pPr>
            <w:r>
              <w:rPr>
                <w:rFonts w:ascii="Arial" w:cs="Arial" w:eastAsia="Arial" w:hAnsi="Arial"/>
                <w:sz w:val="13"/>
                <w:szCs w:val="13"/>
                <w:b w:val="1"/>
                <w:bCs w:val="1"/>
                <w:color w:val="FFFFFF"/>
                <w:w w:val="97"/>
              </w:rPr>
              <w:t>Average</w:t>
            </w:r>
          </w:p>
        </w:tc>
        <w:tc>
          <w:tcPr>
            <w:tcW w:w="140" w:type="dxa"/>
            <w:vAlign w:val="bottom"/>
            <w:tcBorders>
              <w:right w:val="single" w:sz="8" w:color="424E6A"/>
            </w:tcBorders>
            <w:shd w:val="clear" w:color="auto" w:fill="424E6A"/>
          </w:tcPr>
          <w:p>
            <w:pPr>
              <w:spacing w:after="0"/>
              <w:rPr>
                <w:sz w:val="16"/>
                <w:szCs w:val="16"/>
                <w:color w:val="auto"/>
              </w:rPr>
            </w:pPr>
          </w:p>
        </w:tc>
        <w:tc>
          <w:tcPr>
            <w:tcW w:w="80" w:type="dxa"/>
            <w:vAlign w:val="bottom"/>
            <w:shd w:val="clear" w:color="auto" w:fill="424E6A"/>
          </w:tcPr>
          <w:p>
            <w:pPr>
              <w:spacing w:after="0"/>
              <w:rPr>
                <w:sz w:val="16"/>
                <w:szCs w:val="16"/>
                <w:color w:val="auto"/>
              </w:rPr>
            </w:pPr>
          </w:p>
        </w:tc>
        <w:tc>
          <w:tcPr>
            <w:tcW w:w="900" w:type="dxa"/>
            <w:vAlign w:val="bottom"/>
            <w:shd w:val="clear" w:color="auto" w:fill="424E6A"/>
          </w:tcPr>
          <w:p>
            <w:pPr>
              <w:jc w:val="center"/>
              <w:spacing w:after="0"/>
              <w:rPr>
                <w:sz w:val="20"/>
                <w:szCs w:val="20"/>
                <w:color w:val="auto"/>
              </w:rPr>
            </w:pPr>
            <w:r>
              <w:rPr>
                <w:rFonts w:ascii="Arial" w:cs="Arial" w:eastAsia="Arial" w:hAnsi="Arial"/>
                <w:sz w:val="13"/>
                <w:szCs w:val="13"/>
                <w:b w:val="1"/>
                <w:bCs w:val="1"/>
                <w:color w:val="FFFFFF"/>
                <w:w w:val="97"/>
              </w:rPr>
              <w:t>Average</w:t>
            </w:r>
          </w:p>
        </w:tc>
        <w:tc>
          <w:tcPr>
            <w:tcW w:w="140" w:type="dxa"/>
            <w:vAlign w:val="bottom"/>
            <w:tcBorders>
              <w:right w:val="single" w:sz="8" w:color="424E6A"/>
            </w:tcBorders>
            <w:shd w:val="clear" w:color="auto" w:fill="424E6A"/>
          </w:tcPr>
          <w:p>
            <w:pPr>
              <w:spacing w:after="0"/>
              <w:rPr>
                <w:sz w:val="16"/>
                <w:szCs w:val="16"/>
                <w:color w:val="auto"/>
              </w:rPr>
            </w:pPr>
          </w:p>
        </w:tc>
        <w:tc>
          <w:tcPr>
            <w:tcW w:w="80" w:type="dxa"/>
            <w:vAlign w:val="bottom"/>
            <w:shd w:val="clear" w:color="auto" w:fill="424E6A"/>
          </w:tcPr>
          <w:p>
            <w:pPr>
              <w:spacing w:after="0"/>
              <w:rPr>
                <w:sz w:val="16"/>
                <w:szCs w:val="16"/>
                <w:color w:val="auto"/>
              </w:rPr>
            </w:pPr>
          </w:p>
        </w:tc>
        <w:tc>
          <w:tcPr>
            <w:tcW w:w="1540" w:type="dxa"/>
            <w:vAlign w:val="bottom"/>
            <w:gridSpan w:val="3"/>
            <w:shd w:val="clear" w:color="auto" w:fill="424E6A"/>
          </w:tcPr>
          <w:p>
            <w:pPr>
              <w:jc w:val="center"/>
              <w:spacing w:after="0"/>
              <w:rPr>
                <w:sz w:val="20"/>
                <w:szCs w:val="20"/>
                <w:color w:val="auto"/>
              </w:rPr>
            </w:pPr>
            <w:r>
              <w:rPr>
                <w:rFonts w:ascii="Arial" w:cs="Arial" w:eastAsia="Arial" w:hAnsi="Arial"/>
                <w:sz w:val="13"/>
                <w:szCs w:val="13"/>
                <w:b w:val="1"/>
                <w:bCs w:val="1"/>
                <w:color w:val="FFFFFF"/>
                <w:w w:val="95"/>
              </w:rPr>
              <w:t>Value of Initial Fixed</w:t>
            </w:r>
          </w:p>
        </w:tc>
        <w:tc>
          <w:tcPr>
            <w:tcW w:w="140" w:type="dxa"/>
            <w:vAlign w:val="bottom"/>
            <w:tcBorders>
              <w:right w:val="single" w:sz="8" w:color="424E6A"/>
            </w:tcBorders>
            <w:shd w:val="clear" w:color="auto" w:fill="424E6A"/>
          </w:tcPr>
          <w:p>
            <w:pPr>
              <w:spacing w:after="0"/>
              <w:rPr>
                <w:sz w:val="16"/>
                <w:szCs w:val="16"/>
                <w:color w:val="auto"/>
              </w:rPr>
            </w:pPr>
          </w:p>
        </w:tc>
        <w:tc>
          <w:tcPr>
            <w:tcW w:w="100" w:type="dxa"/>
            <w:vAlign w:val="bottom"/>
            <w:shd w:val="clear" w:color="auto" w:fill="424E6A"/>
          </w:tcPr>
          <w:p>
            <w:pPr>
              <w:spacing w:after="0"/>
              <w:rPr>
                <w:sz w:val="16"/>
                <w:szCs w:val="16"/>
                <w:color w:val="auto"/>
              </w:rPr>
            </w:pPr>
          </w:p>
        </w:tc>
        <w:tc>
          <w:tcPr>
            <w:tcW w:w="1000" w:type="dxa"/>
            <w:vAlign w:val="bottom"/>
            <w:tcBorders>
              <w:right w:val="single" w:sz="8" w:color="424E6A"/>
            </w:tcBorders>
            <w:shd w:val="clear" w:color="auto" w:fill="424E6A"/>
          </w:tcPr>
          <w:p>
            <w:pPr>
              <w:spacing w:after="0"/>
              <w:rPr>
                <w:sz w:val="16"/>
                <w:szCs w:val="16"/>
                <w:color w:val="auto"/>
              </w:rPr>
            </w:pPr>
          </w:p>
        </w:tc>
        <w:tc>
          <w:tcPr>
            <w:tcW w:w="940" w:type="dxa"/>
            <w:vAlign w:val="bottom"/>
            <w:tcBorders>
              <w:right w:val="single" w:sz="8" w:color="424E6A"/>
            </w:tcBorders>
            <w:shd w:val="clear" w:color="auto" w:fill="424E6A"/>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60" w:type="dxa"/>
            <w:vAlign w:val="bottom"/>
            <w:tcBorders>
              <w:left w:val="single" w:sz="8" w:color="424E6A"/>
            </w:tcBorders>
            <w:shd w:val="clear" w:color="auto" w:fill="424E6A"/>
          </w:tcPr>
          <w:p>
            <w:pPr>
              <w:spacing w:after="0"/>
              <w:rPr>
                <w:sz w:val="12"/>
                <w:szCs w:val="12"/>
                <w:color w:val="auto"/>
              </w:rPr>
            </w:pPr>
          </w:p>
        </w:tc>
        <w:tc>
          <w:tcPr>
            <w:tcW w:w="240" w:type="dxa"/>
            <w:vAlign w:val="bottom"/>
            <w:tcBorders>
              <w:right w:val="single" w:sz="8" w:color="424E6A"/>
            </w:tcBorders>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900" w:type="dxa"/>
            <w:vAlign w:val="bottom"/>
            <w:shd w:val="clear" w:color="auto" w:fill="424E6A"/>
          </w:tcPr>
          <w:p>
            <w:pPr>
              <w:spacing w:after="0"/>
              <w:rPr>
                <w:sz w:val="12"/>
                <w:szCs w:val="12"/>
                <w:color w:val="auto"/>
              </w:rPr>
            </w:pPr>
          </w:p>
        </w:tc>
        <w:tc>
          <w:tcPr>
            <w:tcW w:w="140" w:type="dxa"/>
            <w:vAlign w:val="bottom"/>
            <w:tcBorders>
              <w:right w:val="single" w:sz="8" w:color="424E6A"/>
            </w:tcBorders>
            <w:shd w:val="clear" w:color="auto" w:fill="424E6A"/>
          </w:tcPr>
          <w:p>
            <w:pPr>
              <w:spacing w:after="0"/>
              <w:rPr>
                <w:sz w:val="12"/>
                <w:szCs w:val="12"/>
                <w:color w:val="auto"/>
              </w:rPr>
            </w:pPr>
          </w:p>
        </w:tc>
        <w:tc>
          <w:tcPr>
            <w:tcW w:w="240" w:type="dxa"/>
            <w:vAlign w:val="bottom"/>
            <w:shd w:val="clear" w:color="auto" w:fill="424E6A"/>
          </w:tcPr>
          <w:p>
            <w:pPr>
              <w:spacing w:after="0"/>
              <w:rPr>
                <w:sz w:val="12"/>
                <w:szCs w:val="12"/>
                <w:color w:val="auto"/>
              </w:rPr>
            </w:pPr>
          </w:p>
        </w:tc>
        <w:tc>
          <w:tcPr>
            <w:tcW w:w="760" w:type="dxa"/>
            <w:vAlign w:val="bottom"/>
            <w:shd w:val="clear" w:color="auto" w:fill="424E6A"/>
          </w:tcPr>
          <w:p>
            <w:pPr>
              <w:spacing w:after="0"/>
              <w:rPr>
                <w:sz w:val="12"/>
                <w:szCs w:val="12"/>
                <w:color w:val="auto"/>
              </w:rPr>
            </w:pPr>
          </w:p>
        </w:tc>
        <w:tc>
          <w:tcPr>
            <w:tcW w:w="120" w:type="dxa"/>
            <w:vAlign w:val="bottom"/>
            <w:tcBorders>
              <w:right w:val="single" w:sz="8" w:color="424E6A"/>
            </w:tcBorders>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900" w:type="dxa"/>
            <w:vAlign w:val="bottom"/>
            <w:shd w:val="clear" w:color="auto" w:fill="424E6A"/>
          </w:tcPr>
          <w:p>
            <w:pPr>
              <w:jc w:val="center"/>
              <w:spacing w:after="0"/>
              <w:rPr>
                <w:sz w:val="20"/>
                <w:szCs w:val="20"/>
                <w:color w:val="auto"/>
              </w:rPr>
            </w:pPr>
            <w:r>
              <w:rPr>
                <w:rFonts w:ascii="Arial" w:cs="Arial" w:eastAsia="Arial" w:hAnsi="Arial"/>
                <w:sz w:val="13"/>
                <w:szCs w:val="13"/>
                <w:b w:val="1"/>
                <w:bCs w:val="1"/>
                <w:color w:val="FFFFFF"/>
                <w:w w:val="97"/>
              </w:rPr>
              <w:t>Summary</w:t>
            </w:r>
          </w:p>
        </w:tc>
        <w:tc>
          <w:tcPr>
            <w:tcW w:w="140" w:type="dxa"/>
            <w:vAlign w:val="bottom"/>
            <w:tcBorders>
              <w:right w:val="single" w:sz="8" w:color="424E6A"/>
            </w:tcBorders>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900" w:type="dxa"/>
            <w:vAlign w:val="bottom"/>
            <w:shd w:val="clear" w:color="auto" w:fill="424E6A"/>
          </w:tcPr>
          <w:p>
            <w:pPr>
              <w:jc w:val="center"/>
              <w:spacing w:after="0"/>
              <w:rPr>
                <w:sz w:val="20"/>
                <w:szCs w:val="20"/>
                <w:color w:val="auto"/>
              </w:rPr>
            </w:pPr>
            <w:r>
              <w:rPr>
                <w:rFonts w:ascii="Arial" w:cs="Arial" w:eastAsia="Arial" w:hAnsi="Arial"/>
                <w:sz w:val="13"/>
                <w:szCs w:val="13"/>
                <w:b w:val="1"/>
                <w:bCs w:val="1"/>
                <w:color w:val="FFFFFF"/>
                <w:w w:val="95"/>
              </w:rPr>
              <w:t>Compensation</w:t>
            </w:r>
          </w:p>
        </w:tc>
        <w:tc>
          <w:tcPr>
            <w:tcW w:w="140" w:type="dxa"/>
            <w:vAlign w:val="bottom"/>
            <w:tcBorders>
              <w:right w:val="single" w:sz="8" w:color="424E6A"/>
            </w:tcBorders>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1540" w:type="dxa"/>
            <w:vAlign w:val="bottom"/>
            <w:gridSpan w:val="3"/>
            <w:shd w:val="clear" w:color="auto" w:fill="424E6A"/>
          </w:tcPr>
          <w:p>
            <w:pPr>
              <w:jc w:val="center"/>
              <w:spacing w:after="0"/>
              <w:rPr>
                <w:sz w:val="20"/>
                <w:szCs w:val="20"/>
                <w:color w:val="auto"/>
              </w:rPr>
            </w:pPr>
            <w:r>
              <w:rPr>
                <w:rFonts w:ascii="Arial" w:cs="Arial" w:eastAsia="Arial" w:hAnsi="Arial"/>
                <w:sz w:val="13"/>
                <w:szCs w:val="13"/>
                <w:b w:val="1"/>
                <w:bCs w:val="1"/>
                <w:color w:val="FFFFFF"/>
                <w:w w:val="96"/>
              </w:rPr>
              <w:t>$100 Investment</w:t>
            </w:r>
          </w:p>
        </w:tc>
        <w:tc>
          <w:tcPr>
            <w:tcW w:w="140" w:type="dxa"/>
            <w:vAlign w:val="bottom"/>
            <w:tcBorders>
              <w:right w:val="single" w:sz="8" w:color="424E6A"/>
            </w:tcBorders>
            <w:shd w:val="clear" w:color="auto" w:fill="424E6A"/>
          </w:tcPr>
          <w:p>
            <w:pPr>
              <w:spacing w:after="0"/>
              <w:rPr>
                <w:sz w:val="12"/>
                <w:szCs w:val="12"/>
                <w:color w:val="auto"/>
              </w:rPr>
            </w:pPr>
          </w:p>
        </w:tc>
        <w:tc>
          <w:tcPr>
            <w:tcW w:w="100" w:type="dxa"/>
            <w:vAlign w:val="bottom"/>
            <w:shd w:val="clear" w:color="auto" w:fill="424E6A"/>
          </w:tcPr>
          <w:p>
            <w:pPr>
              <w:spacing w:after="0"/>
              <w:rPr>
                <w:sz w:val="12"/>
                <w:szCs w:val="12"/>
                <w:color w:val="auto"/>
              </w:rPr>
            </w:pPr>
          </w:p>
        </w:tc>
        <w:tc>
          <w:tcPr>
            <w:tcW w:w="1000" w:type="dxa"/>
            <w:vAlign w:val="bottom"/>
            <w:tcBorders>
              <w:right w:val="single" w:sz="8" w:color="424E6A"/>
            </w:tcBorders>
            <w:shd w:val="clear" w:color="auto" w:fill="424E6A"/>
          </w:tcPr>
          <w:p>
            <w:pPr>
              <w:spacing w:after="0"/>
              <w:rPr>
                <w:sz w:val="12"/>
                <w:szCs w:val="12"/>
                <w:color w:val="auto"/>
              </w:rPr>
            </w:pPr>
          </w:p>
        </w:tc>
        <w:tc>
          <w:tcPr>
            <w:tcW w:w="940" w:type="dxa"/>
            <w:vAlign w:val="bottom"/>
            <w:tcBorders>
              <w:right w:val="single" w:sz="8" w:color="424E6A"/>
            </w:tcBorders>
            <w:shd w:val="clear" w:color="auto" w:fill="424E6A"/>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60" w:type="dxa"/>
            <w:vAlign w:val="bottom"/>
            <w:tcBorders>
              <w:left w:val="single" w:sz="8" w:color="424E6A"/>
            </w:tcBorders>
            <w:shd w:val="clear" w:color="auto" w:fill="424E6A"/>
          </w:tcPr>
          <w:p>
            <w:pPr>
              <w:spacing w:after="0"/>
              <w:rPr>
                <w:sz w:val="12"/>
                <w:szCs w:val="12"/>
                <w:color w:val="auto"/>
              </w:rPr>
            </w:pPr>
          </w:p>
        </w:tc>
        <w:tc>
          <w:tcPr>
            <w:tcW w:w="240" w:type="dxa"/>
            <w:vAlign w:val="bottom"/>
            <w:tcBorders>
              <w:right w:val="single" w:sz="8" w:color="424E6A"/>
            </w:tcBorders>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900" w:type="dxa"/>
            <w:vAlign w:val="bottom"/>
            <w:shd w:val="clear" w:color="auto" w:fill="424E6A"/>
          </w:tcPr>
          <w:p>
            <w:pPr>
              <w:jc w:val="center"/>
              <w:spacing w:after="0" w:line="143" w:lineRule="exact"/>
              <w:rPr>
                <w:sz w:val="20"/>
                <w:szCs w:val="20"/>
                <w:color w:val="auto"/>
              </w:rPr>
            </w:pPr>
            <w:r>
              <w:rPr>
                <w:rFonts w:ascii="Arial" w:cs="Arial" w:eastAsia="Arial" w:hAnsi="Arial"/>
                <w:sz w:val="13"/>
                <w:szCs w:val="13"/>
                <w:b w:val="1"/>
                <w:bCs w:val="1"/>
                <w:color w:val="FFFFFF"/>
                <w:w w:val="97"/>
              </w:rPr>
              <w:t>Summary</w:t>
            </w:r>
          </w:p>
        </w:tc>
        <w:tc>
          <w:tcPr>
            <w:tcW w:w="140" w:type="dxa"/>
            <w:vAlign w:val="bottom"/>
            <w:tcBorders>
              <w:right w:val="single" w:sz="8" w:color="424E6A"/>
            </w:tcBorders>
            <w:shd w:val="clear" w:color="auto" w:fill="424E6A"/>
          </w:tcPr>
          <w:p>
            <w:pPr>
              <w:spacing w:after="0"/>
              <w:rPr>
                <w:sz w:val="12"/>
                <w:szCs w:val="12"/>
                <w:color w:val="auto"/>
              </w:rPr>
            </w:pPr>
          </w:p>
        </w:tc>
        <w:tc>
          <w:tcPr>
            <w:tcW w:w="1000" w:type="dxa"/>
            <w:vAlign w:val="bottom"/>
            <w:gridSpan w:val="2"/>
            <w:shd w:val="clear" w:color="auto" w:fill="424E6A"/>
          </w:tcPr>
          <w:p>
            <w:pPr>
              <w:jc w:val="center"/>
              <w:spacing w:after="0" w:line="143" w:lineRule="exact"/>
              <w:rPr>
                <w:sz w:val="20"/>
                <w:szCs w:val="20"/>
                <w:color w:val="auto"/>
              </w:rPr>
            </w:pPr>
            <w:r>
              <w:rPr>
                <w:rFonts w:ascii="Arial" w:cs="Arial" w:eastAsia="Arial" w:hAnsi="Arial"/>
                <w:sz w:val="13"/>
                <w:szCs w:val="13"/>
                <w:b w:val="1"/>
                <w:bCs w:val="1"/>
                <w:color w:val="FFFFFF"/>
                <w:w w:val="95"/>
              </w:rPr>
              <w:t>Compensation</w:t>
            </w:r>
          </w:p>
        </w:tc>
        <w:tc>
          <w:tcPr>
            <w:tcW w:w="120" w:type="dxa"/>
            <w:vAlign w:val="bottom"/>
            <w:tcBorders>
              <w:right w:val="single" w:sz="8" w:color="424E6A"/>
            </w:tcBorders>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900" w:type="dxa"/>
            <w:vAlign w:val="bottom"/>
            <w:shd w:val="clear" w:color="auto" w:fill="424E6A"/>
          </w:tcPr>
          <w:p>
            <w:pPr>
              <w:jc w:val="center"/>
              <w:spacing w:after="0" w:line="143" w:lineRule="exact"/>
              <w:rPr>
                <w:sz w:val="20"/>
                <w:szCs w:val="20"/>
                <w:color w:val="auto"/>
              </w:rPr>
            </w:pPr>
            <w:r>
              <w:rPr>
                <w:rFonts w:ascii="Arial" w:cs="Arial" w:eastAsia="Arial" w:hAnsi="Arial"/>
                <w:sz w:val="13"/>
                <w:szCs w:val="13"/>
                <w:b w:val="1"/>
                <w:bCs w:val="1"/>
                <w:color w:val="FFFFFF"/>
                <w:w w:val="95"/>
              </w:rPr>
              <w:t>Compensation</w:t>
            </w:r>
          </w:p>
        </w:tc>
        <w:tc>
          <w:tcPr>
            <w:tcW w:w="140" w:type="dxa"/>
            <w:vAlign w:val="bottom"/>
            <w:tcBorders>
              <w:right w:val="single" w:sz="8" w:color="424E6A"/>
            </w:tcBorders>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900" w:type="dxa"/>
            <w:vAlign w:val="bottom"/>
            <w:shd w:val="clear" w:color="auto" w:fill="424E6A"/>
          </w:tcPr>
          <w:p>
            <w:pPr>
              <w:jc w:val="center"/>
              <w:spacing w:after="0" w:line="143" w:lineRule="exact"/>
              <w:rPr>
                <w:sz w:val="20"/>
                <w:szCs w:val="20"/>
                <w:color w:val="auto"/>
              </w:rPr>
            </w:pPr>
            <w:r>
              <w:rPr>
                <w:rFonts w:ascii="Arial" w:cs="Arial" w:eastAsia="Arial" w:hAnsi="Arial"/>
                <w:sz w:val="13"/>
                <w:szCs w:val="13"/>
                <w:b w:val="1"/>
                <w:bCs w:val="1"/>
                <w:color w:val="FFFFFF"/>
                <w:w w:val="98"/>
              </w:rPr>
              <w:t>Actually</w:t>
            </w:r>
          </w:p>
        </w:tc>
        <w:tc>
          <w:tcPr>
            <w:tcW w:w="140" w:type="dxa"/>
            <w:vAlign w:val="bottom"/>
            <w:tcBorders>
              <w:right w:val="single" w:sz="8" w:color="424E6A"/>
            </w:tcBorders>
            <w:shd w:val="clear" w:color="auto" w:fill="424E6A"/>
          </w:tcPr>
          <w:p>
            <w:pPr>
              <w:spacing w:after="0"/>
              <w:rPr>
                <w:sz w:val="12"/>
                <w:szCs w:val="12"/>
                <w:color w:val="auto"/>
              </w:rPr>
            </w:pPr>
          </w:p>
        </w:tc>
        <w:tc>
          <w:tcPr>
            <w:tcW w:w="80" w:type="dxa"/>
            <w:vAlign w:val="bottom"/>
            <w:shd w:val="clear" w:color="auto" w:fill="424E6A"/>
          </w:tcPr>
          <w:p>
            <w:pPr>
              <w:ind w:left="40"/>
              <w:spacing w:after="0" w:line="143" w:lineRule="exact"/>
              <w:rPr>
                <w:sz w:val="20"/>
                <w:szCs w:val="20"/>
                <w:color w:val="auto"/>
              </w:rPr>
            </w:pPr>
            <w:r>
              <w:rPr>
                <w:rFonts w:ascii="Arial" w:cs="Arial" w:eastAsia="Arial" w:hAnsi="Arial"/>
                <w:sz w:val="13"/>
                <w:szCs w:val="13"/>
                <w:b w:val="1"/>
                <w:bCs w:val="1"/>
                <w:color w:val="FFFFFF"/>
              </w:rPr>
              <w:t>​</w:t>
            </w:r>
          </w:p>
        </w:tc>
        <w:tc>
          <w:tcPr>
            <w:tcW w:w="1540" w:type="dxa"/>
            <w:vAlign w:val="bottom"/>
            <w:gridSpan w:val="3"/>
            <w:shd w:val="clear" w:color="auto" w:fill="424E6A"/>
          </w:tcPr>
          <w:p>
            <w:pPr>
              <w:jc w:val="center"/>
              <w:spacing w:after="0" w:line="143" w:lineRule="exact"/>
              <w:rPr>
                <w:sz w:val="20"/>
                <w:szCs w:val="20"/>
                <w:color w:val="auto"/>
              </w:rPr>
            </w:pPr>
            <w:r>
              <w:rPr>
                <w:rFonts w:ascii="Arial" w:cs="Arial" w:eastAsia="Arial" w:hAnsi="Arial"/>
                <w:sz w:val="13"/>
                <w:szCs w:val="13"/>
                <w:b w:val="1"/>
                <w:bCs w:val="1"/>
                <w:color w:val="FFFFFF"/>
                <w:w w:val="95"/>
              </w:rPr>
              <w:t>Based On:</w:t>
            </w:r>
          </w:p>
        </w:tc>
        <w:tc>
          <w:tcPr>
            <w:tcW w:w="140" w:type="dxa"/>
            <w:vAlign w:val="bottom"/>
            <w:tcBorders>
              <w:right w:val="single" w:sz="8" w:color="424E6A"/>
            </w:tcBorders>
            <w:shd w:val="clear" w:color="auto" w:fill="424E6A"/>
          </w:tcPr>
          <w:p>
            <w:pPr>
              <w:spacing w:after="0"/>
              <w:rPr>
                <w:sz w:val="12"/>
                <w:szCs w:val="12"/>
                <w:color w:val="auto"/>
              </w:rPr>
            </w:pPr>
          </w:p>
        </w:tc>
        <w:tc>
          <w:tcPr>
            <w:tcW w:w="100" w:type="dxa"/>
            <w:vAlign w:val="bottom"/>
            <w:shd w:val="clear" w:color="auto" w:fill="424E6A"/>
          </w:tcPr>
          <w:p>
            <w:pPr>
              <w:spacing w:after="0"/>
              <w:rPr>
                <w:sz w:val="12"/>
                <w:szCs w:val="12"/>
                <w:color w:val="auto"/>
              </w:rPr>
            </w:pPr>
          </w:p>
        </w:tc>
        <w:tc>
          <w:tcPr>
            <w:tcW w:w="1000" w:type="dxa"/>
            <w:vAlign w:val="bottom"/>
            <w:tcBorders>
              <w:right w:val="single" w:sz="8" w:color="424E6A"/>
            </w:tcBorders>
            <w:shd w:val="clear" w:color="auto" w:fill="424E6A"/>
          </w:tcPr>
          <w:p>
            <w:pPr>
              <w:spacing w:after="0"/>
              <w:rPr>
                <w:sz w:val="12"/>
                <w:szCs w:val="12"/>
                <w:color w:val="auto"/>
              </w:rPr>
            </w:pPr>
          </w:p>
        </w:tc>
        <w:tc>
          <w:tcPr>
            <w:tcW w:w="940" w:type="dxa"/>
            <w:vAlign w:val="bottom"/>
            <w:tcBorders>
              <w:right w:val="single" w:sz="8" w:color="424E6A"/>
            </w:tcBorders>
            <w:shd w:val="clear" w:color="auto" w:fill="424E6A"/>
          </w:tcPr>
          <w:p>
            <w:pPr>
              <w:jc w:val="center"/>
              <w:spacing w:after="0" w:line="143" w:lineRule="exact"/>
              <w:rPr>
                <w:sz w:val="20"/>
                <w:szCs w:val="20"/>
                <w:color w:val="auto"/>
              </w:rPr>
            </w:pPr>
            <w:r>
              <w:rPr>
                <w:rFonts w:ascii="Arial" w:cs="Arial" w:eastAsia="Arial" w:hAnsi="Arial"/>
                <w:sz w:val="13"/>
                <w:szCs w:val="13"/>
                <w:b w:val="1"/>
                <w:bCs w:val="1"/>
                <w:color w:val="FFFFFF"/>
                <w:w w:val="97"/>
              </w:rPr>
              <w:t>Adjusted</w:t>
            </w:r>
          </w:p>
        </w:tc>
        <w:tc>
          <w:tcPr>
            <w:tcW w:w="0" w:type="dxa"/>
            <w:vAlign w:val="bottom"/>
          </w:tcPr>
          <w:p>
            <w:pPr>
              <w:spacing w:after="0"/>
              <w:rPr>
                <w:sz w:val="1"/>
                <w:szCs w:val="1"/>
                <w:color w:val="auto"/>
              </w:rPr>
            </w:pPr>
          </w:p>
        </w:tc>
      </w:tr>
      <w:tr>
        <w:trPr>
          <w:trHeight w:val="123"/>
        </w:trPr>
        <w:tc>
          <w:tcPr>
            <w:tcW w:w="560" w:type="dxa"/>
            <w:vAlign w:val="bottom"/>
            <w:tcBorders>
              <w:left w:val="single" w:sz="8" w:color="424E6A"/>
            </w:tcBorders>
            <w:shd w:val="clear" w:color="auto" w:fill="424E6A"/>
          </w:tcPr>
          <w:p>
            <w:pPr>
              <w:spacing w:after="0"/>
              <w:rPr>
                <w:sz w:val="10"/>
                <w:szCs w:val="10"/>
                <w:color w:val="auto"/>
              </w:rPr>
            </w:pPr>
          </w:p>
        </w:tc>
        <w:tc>
          <w:tcPr>
            <w:tcW w:w="240" w:type="dxa"/>
            <w:vAlign w:val="bottom"/>
            <w:tcBorders>
              <w:right w:val="single" w:sz="8" w:color="424E6A"/>
            </w:tcBorders>
            <w:shd w:val="clear" w:color="auto" w:fill="424E6A"/>
          </w:tcPr>
          <w:p>
            <w:pPr>
              <w:spacing w:after="0"/>
              <w:rPr>
                <w:sz w:val="10"/>
                <w:szCs w:val="10"/>
                <w:color w:val="auto"/>
              </w:rPr>
            </w:pPr>
          </w:p>
        </w:tc>
        <w:tc>
          <w:tcPr>
            <w:tcW w:w="80" w:type="dxa"/>
            <w:vAlign w:val="bottom"/>
            <w:shd w:val="clear" w:color="auto" w:fill="424E6A"/>
          </w:tcPr>
          <w:p>
            <w:pPr>
              <w:spacing w:after="0"/>
              <w:rPr>
                <w:sz w:val="10"/>
                <w:szCs w:val="10"/>
                <w:color w:val="auto"/>
              </w:rPr>
            </w:pPr>
          </w:p>
        </w:tc>
        <w:tc>
          <w:tcPr>
            <w:tcW w:w="900" w:type="dxa"/>
            <w:vAlign w:val="bottom"/>
            <w:shd w:val="clear" w:color="auto" w:fill="424E6A"/>
          </w:tcPr>
          <w:p>
            <w:pPr>
              <w:jc w:val="center"/>
              <w:spacing w:after="0" w:line="123" w:lineRule="exact"/>
              <w:rPr>
                <w:sz w:val="20"/>
                <w:szCs w:val="20"/>
                <w:color w:val="auto"/>
              </w:rPr>
            </w:pPr>
            <w:r>
              <w:rPr>
                <w:rFonts w:ascii="Arial" w:cs="Arial" w:eastAsia="Arial" w:hAnsi="Arial"/>
                <w:sz w:val="13"/>
                <w:szCs w:val="13"/>
                <w:b w:val="1"/>
                <w:bCs w:val="1"/>
                <w:color w:val="FFFFFF"/>
                <w:w w:val="95"/>
              </w:rPr>
              <w:t>Compensation</w:t>
            </w:r>
          </w:p>
        </w:tc>
        <w:tc>
          <w:tcPr>
            <w:tcW w:w="140" w:type="dxa"/>
            <w:vAlign w:val="bottom"/>
            <w:tcBorders>
              <w:right w:val="single" w:sz="8" w:color="424E6A"/>
            </w:tcBorders>
            <w:shd w:val="clear" w:color="auto" w:fill="424E6A"/>
          </w:tcPr>
          <w:p>
            <w:pPr>
              <w:spacing w:after="0"/>
              <w:rPr>
                <w:sz w:val="10"/>
                <w:szCs w:val="10"/>
                <w:color w:val="auto"/>
              </w:rPr>
            </w:pPr>
          </w:p>
        </w:tc>
        <w:tc>
          <w:tcPr>
            <w:tcW w:w="240" w:type="dxa"/>
            <w:vAlign w:val="bottom"/>
            <w:shd w:val="clear" w:color="auto" w:fill="424E6A"/>
          </w:tcPr>
          <w:p>
            <w:pPr>
              <w:spacing w:after="0"/>
              <w:rPr>
                <w:sz w:val="10"/>
                <w:szCs w:val="10"/>
                <w:color w:val="auto"/>
              </w:rPr>
            </w:pPr>
          </w:p>
        </w:tc>
        <w:tc>
          <w:tcPr>
            <w:tcW w:w="760" w:type="dxa"/>
            <w:vAlign w:val="bottom"/>
            <w:shd w:val="clear" w:color="auto" w:fill="424E6A"/>
          </w:tcPr>
          <w:p>
            <w:pPr>
              <w:jc w:val="center"/>
              <w:ind w:right="116"/>
              <w:spacing w:after="0" w:line="123" w:lineRule="exact"/>
              <w:rPr>
                <w:sz w:val="20"/>
                <w:szCs w:val="20"/>
                <w:color w:val="auto"/>
              </w:rPr>
            </w:pPr>
            <w:r>
              <w:rPr>
                <w:rFonts w:ascii="Arial" w:cs="Arial" w:eastAsia="Arial" w:hAnsi="Arial"/>
                <w:sz w:val="13"/>
                <w:szCs w:val="13"/>
                <w:b w:val="1"/>
                <w:bCs w:val="1"/>
                <w:color w:val="FFFFFF"/>
                <w:w w:val="98"/>
              </w:rPr>
              <w:t>Actually</w:t>
            </w:r>
          </w:p>
        </w:tc>
        <w:tc>
          <w:tcPr>
            <w:tcW w:w="120" w:type="dxa"/>
            <w:vAlign w:val="bottom"/>
            <w:tcBorders>
              <w:right w:val="single" w:sz="8" w:color="424E6A"/>
            </w:tcBorders>
            <w:shd w:val="clear" w:color="auto" w:fill="424E6A"/>
          </w:tcPr>
          <w:p>
            <w:pPr>
              <w:spacing w:after="0"/>
              <w:rPr>
                <w:sz w:val="10"/>
                <w:szCs w:val="10"/>
                <w:color w:val="auto"/>
              </w:rPr>
            </w:pPr>
          </w:p>
        </w:tc>
        <w:tc>
          <w:tcPr>
            <w:tcW w:w="80" w:type="dxa"/>
            <w:vAlign w:val="bottom"/>
            <w:shd w:val="clear" w:color="auto" w:fill="424E6A"/>
          </w:tcPr>
          <w:p>
            <w:pPr>
              <w:spacing w:after="0"/>
              <w:rPr>
                <w:sz w:val="10"/>
                <w:szCs w:val="10"/>
                <w:color w:val="auto"/>
              </w:rPr>
            </w:pPr>
          </w:p>
        </w:tc>
        <w:tc>
          <w:tcPr>
            <w:tcW w:w="900" w:type="dxa"/>
            <w:vAlign w:val="bottom"/>
            <w:shd w:val="clear" w:color="auto" w:fill="424E6A"/>
          </w:tcPr>
          <w:p>
            <w:pPr>
              <w:jc w:val="center"/>
              <w:spacing w:after="0" w:line="123" w:lineRule="exact"/>
              <w:rPr>
                <w:sz w:val="20"/>
                <w:szCs w:val="20"/>
                <w:color w:val="auto"/>
              </w:rPr>
            </w:pPr>
            <w:r>
              <w:rPr>
                <w:rFonts w:ascii="Arial" w:cs="Arial" w:eastAsia="Arial" w:hAnsi="Arial"/>
                <w:sz w:val="13"/>
                <w:szCs w:val="13"/>
                <w:b w:val="1"/>
                <w:bCs w:val="1"/>
                <w:color w:val="FFFFFF"/>
                <w:w w:val="93"/>
              </w:rPr>
              <w:t>Table Total</w:t>
            </w:r>
          </w:p>
        </w:tc>
        <w:tc>
          <w:tcPr>
            <w:tcW w:w="140" w:type="dxa"/>
            <w:vAlign w:val="bottom"/>
            <w:tcBorders>
              <w:right w:val="single" w:sz="8" w:color="424E6A"/>
            </w:tcBorders>
            <w:shd w:val="clear" w:color="auto" w:fill="424E6A"/>
          </w:tcPr>
          <w:p>
            <w:pPr>
              <w:spacing w:after="0"/>
              <w:rPr>
                <w:sz w:val="10"/>
                <w:szCs w:val="10"/>
                <w:color w:val="auto"/>
              </w:rPr>
            </w:pPr>
          </w:p>
        </w:tc>
        <w:tc>
          <w:tcPr>
            <w:tcW w:w="80" w:type="dxa"/>
            <w:vAlign w:val="bottom"/>
            <w:shd w:val="clear" w:color="auto" w:fill="424E6A"/>
          </w:tcPr>
          <w:p>
            <w:pPr>
              <w:spacing w:after="0"/>
              <w:rPr>
                <w:sz w:val="10"/>
                <w:szCs w:val="10"/>
                <w:color w:val="auto"/>
              </w:rPr>
            </w:pPr>
          </w:p>
        </w:tc>
        <w:tc>
          <w:tcPr>
            <w:tcW w:w="900" w:type="dxa"/>
            <w:vAlign w:val="bottom"/>
            <w:shd w:val="clear" w:color="auto" w:fill="424E6A"/>
          </w:tcPr>
          <w:p>
            <w:pPr>
              <w:jc w:val="center"/>
              <w:spacing w:after="0" w:line="123" w:lineRule="exact"/>
              <w:rPr>
                <w:sz w:val="20"/>
                <w:szCs w:val="20"/>
                <w:color w:val="auto"/>
              </w:rPr>
            </w:pPr>
            <w:r>
              <w:rPr>
                <w:rFonts w:ascii="Arial" w:cs="Arial" w:eastAsia="Arial" w:hAnsi="Arial"/>
                <w:sz w:val="13"/>
                <w:szCs w:val="13"/>
                <w:b w:val="1"/>
                <w:bCs w:val="1"/>
                <w:color w:val="FFFFFF"/>
                <w:w w:val="96"/>
              </w:rPr>
              <w:t>Paid to</w:t>
            </w:r>
          </w:p>
        </w:tc>
        <w:tc>
          <w:tcPr>
            <w:tcW w:w="140" w:type="dxa"/>
            <w:vAlign w:val="bottom"/>
            <w:tcBorders>
              <w:right w:val="single" w:sz="8" w:color="424E6A"/>
            </w:tcBorders>
            <w:shd w:val="clear" w:color="auto" w:fill="424E6A"/>
          </w:tcPr>
          <w:p>
            <w:pPr>
              <w:spacing w:after="0"/>
              <w:rPr>
                <w:sz w:val="10"/>
                <w:szCs w:val="10"/>
                <w:color w:val="auto"/>
              </w:rPr>
            </w:pPr>
          </w:p>
        </w:tc>
        <w:tc>
          <w:tcPr>
            <w:tcW w:w="80" w:type="dxa"/>
            <w:vAlign w:val="bottom"/>
            <w:shd w:val="clear" w:color="auto" w:fill="424E6A"/>
          </w:tcPr>
          <w:p>
            <w:pPr>
              <w:spacing w:after="0"/>
              <w:rPr>
                <w:sz w:val="10"/>
                <w:szCs w:val="10"/>
                <w:color w:val="auto"/>
              </w:rPr>
            </w:pPr>
          </w:p>
        </w:tc>
        <w:tc>
          <w:tcPr>
            <w:tcW w:w="600" w:type="dxa"/>
            <w:vAlign w:val="bottom"/>
            <w:vMerge w:val="restart"/>
            <w:shd w:val="clear" w:color="auto" w:fill="424E6A"/>
          </w:tcPr>
          <w:p>
            <w:pPr>
              <w:jc w:val="center"/>
              <w:spacing w:after="0"/>
              <w:rPr>
                <w:sz w:val="20"/>
                <w:szCs w:val="20"/>
                <w:color w:val="auto"/>
              </w:rPr>
            </w:pPr>
            <w:r>
              <w:rPr>
                <w:rFonts w:ascii="Arial" w:cs="Arial" w:eastAsia="Arial" w:hAnsi="Arial"/>
                <w:sz w:val="13"/>
                <w:szCs w:val="13"/>
                <w:b w:val="1"/>
                <w:bCs w:val="1"/>
                <w:color w:val="FFFFFF"/>
                <w:w w:val="97"/>
              </w:rPr>
              <w:t>Company</w:t>
            </w:r>
          </w:p>
        </w:tc>
        <w:tc>
          <w:tcPr>
            <w:tcW w:w="120" w:type="dxa"/>
            <w:vAlign w:val="bottom"/>
            <w:tcBorders>
              <w:right w:val="single" w:sz="8" w:color="424E6A"/>
            </w:tcBorders>
            <w:shd w:val="clear" w:color="auto" w:fill="424E6A"/>
          </w:tcPr>
          <w:p>
            <w:pPr>
              <w:spacing w:after="0"/>
              <w:rPr>
                <w:sz w:val="10"/>
                <w:szCs w:val="10"/>
                <w:color w:val="auto"/>
              </w:rPr>
            </w:pPr>
          </w:p>
        </w:tc>
        <w:tc>
          <w:tcPr>
            <w:tcW w:w="820" w:type="dxa"/>
            <w:vAlign w:val="bottom"/>
            <w:vMerge w:val="restart"/>
            <w:shd w:val="clear" w:color="auto" w:fill="424E6A"/>
          </w:tcPr>
          <w:p>
            <w:pPr>
              <w:jc w:val="center"/>
              <w:ind w:left="39"/>
              <w:spacing w:after="0"/>
              <w:rPr>
                <w:sz w:val="20"/>
                <w:szCs w:val="20"/>
                <w:color w:val="auto"/>
              </w:rPr>
            </w:pPr>
            <w:r>
              <w:rPr>
                <w:rFonts w:ascii="Arial" w:cs="Arial" w:eastAsia="Arial" w:hAnsi="Arial"/>
                <w:sz w:val="13"/>
                <w:szCs w:val="13"/>
                <w:b w:val="1"/>
                <w:bCs w:val="1"/>
                <w:color w:val="FFFFFF"/>
                <w:w w:val="95"/>
              </w:rPr>
              <w:t>Peer Group</w:t>
            </w:r>
          </w:p>
        </w:tc>
        <w:tc>
          <w:tcPr>
            <w:tcW w:w="140" w:type="dxa"/>
            <w:vAlign w:val="bottom"/>
            <w:tcBorders>
              <w:right w:val="single" w:sz="8" w:color="424E6A"/>
            </w:tcBorders>
            <w:shd w:val="clear" w:color="auto" w:fill="424E6A"/>
          </w:tcPr>
          <w:p>
            <w:pPr>
              <w:spacing w:after="0"/>
              <w:rPr>
                <w:sz w:val="10"/>
                <w:szCs w:val="10"/>
                <w:color w:val="auto"/>
              </w:rPr>
            </w:pPr>
          </w:p>
        </w:tc>
        <w:tc>
          <w:tcPr>
            <w:tcW w:w="100" w:type="dxa"/>
            <w:vAlign w:val="bottom"/>
            <w:shd w:val="clear" w:color="auto" w:fill="424E6A"/>
          </w:tcPr>
          <w:p>
            <w:pPr>
              <w:spacing w:after="0"/>
              <w:rPr>
                <w:sz w:val="10"/>
                <w:szCs w:val="10"/>
                <w:color w:val="auto"/>
              </w:rPr>
            </w:pPr>
          </w:p>
        </w:tc>
        <w:tc>
          <w:tcPr>
            <w:tcW w:w="1000" w:type="dxa"/>
            <w:vAlign w:val="bottom"/>
            <w:tcBorders>
              <w:right w:val="single" w:sz="8" w:color="424E6A"/>
            </w:tcBorders>
            <w:vMerge w:val="restart"/>
            <w:shd w:val="clear" w:color="auto" w:fill="424E6A"/>
          </w:tcPr>
          <w:p>
            <w:pPr>
              <w:jc w:val="center"/>
              <w:ind w:right="92"/>
              <w:spacing w:after="0"/>
              <w:rPr>
                <w:sz w:val="20"/>
                <w:szCs w:val="20"/>
                <w:color w:val="auto"/>
              </w:rPr>
            </w:pPr>
            <w:r>
              <w:rPr>
                <w:rFonts w:ascii="Arial" w:cs="Arial" w:eastAsia="Arial" w:hAnsi="Arial"/>
                <w:sz w:val="13"/>
                <w:szCs w:val="13"/>
                <w:b w:val="1"/>
                <w:bCs w:val="1"/>
                <w:color w:val="FFFFFF"/>
                <w:w w:val="97"/>
              </w:rPr>
              <w:t>Net Income/</w:t>
            </w:r>
          </w:p>
        </w:tc>
        <w:tc>
          <w:tcPr>
            <w:tcW w:w="940" w:type="dxa"/>
            <w:vAlign w:val="bottom"/>
            <w:tcBorders>
              <w:right w:val="single" w:sz="8" w:color="424E6A"/>
            </w:tcBorders>
            <w:shd w:val="clear" w:color="auto" w:fill="424E6A"/>
          </w:tcPr>
          <w:p>
            <w:pPr>
              <w:jc w:val="center"/>
              <w:spacing w:after="0" w:line="123" w:lineRule="exact"/>
              <w:rPr>
                <w:sz w:val="20"/>
                <w:szCs w:val="20"/>
                <w:color w:val="auto"/>
              </w:rPr>
            </w:pPr>
            <w:r>
              <w:rPr>
                <w:rFonts w:ascii="Arial" w:cs="Arial" w:eastAsia="Arial" w:hAnsi="Arial"/>
                <w:sz w:val="13"/>
                <w:szCs w:val="13"/>
                <w:b w:val="1"/>
                <w:bCs w:val="1"/>
                <w:color w:val="FFFFFF"/>
                <w:w w:val="94"/>
              </w:rPr>
              <w:t>EBITDA</w:t>
            </w:r>
          </w:p>
        </w:tc>
        <w:tc>
          <w:tcPr>
            <w:tcW w:w="0" w:type="dxa"/>
            <w:vAlign w:val="bottom"/>
          </w:tcPr>
          <w:p>
            <w:pPr>
              <w:spacing w:after="0"/>
              <w:rPr>
                <w:sz w:val="1"/>
                <w:szCs w:val="1"/>
                <w:color w:val="auto"/>
              </w:rPr>
            </w:pPr>
          </w:p>
        </w:tc>
      </w:tr>
      <w:tr>
        <w:trPr>
          <w:trHeight w:val="139"/>
        </w:trPr>
        <w:tc>
          <w:tcPr>
            <w:tcW w:w="560" w:type="dxa"/>
            <w:vAlign w:val="bottom"/>
            <w:tcBorders>
              <w:left w:val="single" w:sz="8" w:color="424E6A"/>
            </w:tcBorders>
            <w:vMerge w:val="restart"/>
            <w:shd w:val="clear" w:color="auto" w:fill="424E6A"/>
          </w:tcPr>
          <w:p>
            <w:pPr>
              <w:ind w:left="40"/>
              <w:spacing w:after="0"/>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Year</w:t>
            </w:r>
          </w:p>
        </w:tc>
        <w:tc>
          <w:tcPr>
            <w:tcW w:w="240" w:type="dxa"/>
            <w:vAlign w:val="bottom"/>
            <w:tcBorders>
              <w:right w:val="single" w:sz="8" w:color="424E6A"/>
            </w:tcBorders>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900" w:type="dxa"/>
            <w:vAlign w:val="bottom"/>
            <w:shd w:val="clear" w:color="auto" w:fill="424E6A"/>
          </w:tcPr>
          <w:p>
            <w:pPr>
              <w:jc w:val="center"/>
              <w:spacing w:after="0" w:line="139" w:lineRule="exact"/>
              <w:rPr>
                <w:sz w:val="20"/>
                <w:szCs w:val="20"/>
                <w:color w:val="auto"/>
              </w:rPr>
            </w:pPr>
            <w:r>
              <w:rPr>
                <w:rFonts w:ascii="Arial" w:cs="Arial" w:eastAsia="Arial" w:hAnsi="Arial"/>
                <w:sz w:val="13"/>
                <w:szCs w:val="13"/>
                <w:b w:val="1"/>
                <w:bCs w:val="1"/>
                <w:color w:val="FFFFFF"/>
                <w:w w:val="93"/>
              </w:rPr>
              <w:t>Table Total</w:t>
            </w:r>
          </w:p>
        </w:tc>
        <w:tc>
          <w:tcPr>
            <w:tcW w:w="140" w:type="dxa"/>
            <w:vAlign w:val="bottom"/>
            <w:tcBorders>
              <w:right w:val="single" w:sz="8" w:color="424E6A"/>
            </w:tcBorders>
            <w:shd w:val="clear" w:color="auto" w:fill="424E6A"/>
          </w:tcPr>
          <w:p>
            <w:pPr>
              <w:spacing w:after="0"/>
              <w:rPr>
                <w:sz w:val="12"/>
                <w:szCs w:val="12"/>
                <w:color w:val="auto"/>
              </w:rPr>
            </w:pPr>
          </w:p>
        </w:tc>
        <w:tc>
          <w:tcPr>
            <w:tcW w:w="240" w:type="dxa"/>
            <w:vAlign w:val="bottom"/>
            <w:shd w:val="clear" w:color="auto" w:fill="424E6A"/>
          </w:tcPr>
          <w:p>
            <w:pPr>
              <w:spacing w:after="0"/>
              <w:rPr>
                <w:sz w:val="12"/>
                <w:szCs w:val="12"/>
                <w:color w:val="auto"/>
              </w:rPr>
            </w:pPr>
          </w:p>
        </w:tc>
        <w:tc>
          <w:tcPr>
            <w:tcW w:w="760" w:type="dxa"/>
            <w:vAlign w:val="bottom"/>
            <w:shd w:val="clear" w:color="auto" w:fill="424E6A"/>
          </w:tcPr>
          <w:p>
            <w:pPr>
              <w:jc w:val="center"/>
              <w:ind w:right="116"/>
              <w:spacing w:after="0" w:line="139" w:lineRule="exact"/>
              <w:rPr>
                <w:sz w:val="20"/>
                <w:szCs w:val="20"/>
                <w:color w:val="auto"/>
              </w:rPr>
            </w:pPr>
            <w:r>
              <w:rPr>
                <w:rFonts w:ascii="Arial" w:cs="Arial" w:eastAsia="Arial" w:hAnsi="Arial"/>
                <w:sz w:val="13"/>
                <w:szCs w:val="13"/>
                <w:b w:val="1"/>
                <w:bCs w:val="1"/>
                <w:color w:val="FFFFFF"/>
                <w:w w:val="94"/>
              </w:rPr>
              <w:t>Paid</w:t>
            </w:r>
          </w:p>
        </w:tc>
        <w:tc>
          <w:tcPr>
            <w:tcW w:w="120" w:type="dxa"/>
            <w:vAlign w:val="bottom"/>
            <w:tcBorders>
              <w:right w:val="single" w:sz="8" w:color="424E6A"/>
            </w:tcBorders>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900" w:type="dxa"/>
            <w:vAlign w:val="bottom"/>
            <w:shd w:val="clear" w:color="auto" w:fill="424E6A"/>
          </w:tcPr>
          <w:p>
            <w:pPr>
              <w:jc w:val="center"/>
              <w:spacing w:after="0" w:line="139" w:lineRule="exact"/>
              <w:rPr>
                <w:sz w:val="20"/>
                <w:szCs w:val="20"/>
                <w:color w:val="auto"/>
              </w:rPr>
            </w:pPr>
            <w:r>
              <w:rPr>
                <w:rFonts w:ascii="Arial" w:cs="Arial" w:eastAsia="Arial" w:hAnsi="Arial"/>
                <w:sz w:val="13"/>
                <w:szCs w:val="13"/>
                <w:b w:val="1"/>
                <w:bCs w:val="1"/>
                <w:color w:val="FFFFFF"/>
                <w:w w:val="94"/>
              </w:rPr>
              <w:t>for Non-PEO</w:t>
            </w:r>
          </w:p>
        </w:tc>
        <w:tc>
          <w:tcPr>
            <w:tcW w:w="140" w:type="dxa"/>
            <w:vAlign w:val="bottom"/>
            <w:tcBorders>
              <w:right w:val="single" w:sz="8" w:color="424E6A"/>
            </w:tcBorders>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900" w:type="dxa"/>
            <w:vAlign w:val="bottom"/>
            <w:shd w:val="clear" w:color="auto" w:fill="424E6A"/>
          </w:tcPr>
          <w:p>
            <w:pPr>
              <w:jc w:val="center"/>
              <w:spacing w:after="0" w:line="139" w:lineRule="exact"/>
              <w:rPr>
                <w:sz w:val="20"/>
                <w:szCs w:val="20"/>
                <w:color w:val="auto"/>
              </w:rPr>
            </w:pPr>
            <w:r>
              <w:rPr>
                <w:rFonts w:ascii="Arial" w:cs="Arial" w:eastAsia="Arial" w:hAnsi="Arial"/>
                <w:sz w:val="13"/>
                <w:szCs w:val="13"/>
                <w:b w:val="1"/>
                <w:bCs w:val="1"/>
                <w:color w:val="FFFFFF"/>
                <w:w w:val="94"/>
              </w:rPr>
              <w:t>Non-PEO</w:t>
            </w:r>
          </w:p>
        </w:tc>
        <w:tc>
          <w:tcPr>
            <w:tcW w:w="140" w:type="dxa"/>
            <w:vAlign w:val="bottom"/>
            <w:tcBorders>
              <w:right w:val="single" w:sz="8" w:color="424E6A"/>
            </w:tcBorders>
            <w:shd w:val="clear" w:color="auto" w:fill="424E6A"/>
          </w:tcPr>
          <w:p>
            <w:pPr>
              <w:spacing w:after="0"/>
              <w:rPr>
                <w:sz w:val="12"/>
                <w:szCs w:val="12"/>
                <w:color w:val="auto"/>
              </w:rPr>
            </w:pPr>
          </w:p>
        </w:tc>
        <w:tc>
          <w:tcPr>
            <w:tcW w:w="80" w:type="dxa"/>
            <w:vAlign w:val="bottom"/>
            <w:shd w:val="clear" w:color="auto" w:fill="424E6A"/>
          </w:tcPr>
          <w:p>
            <w:pPr>
              <w:spacing w:after="0"/>
              <w:rPr>
                <w:sz w:val="12"/>
                <w:szCs w:val="12"/>
                <w:color w:val="auto"/>
              </w:rPr>
            </w:pPr>
          </w:p>
        </w:tc>
        <w:tc>
          <w:tcPr>
            <w:tcW w:w="600" w:type="dxa"/>
            <w:vAlign w:val="bottom"/>
            <w:vMerge w:val="continue"/>
            <w:shd w:val="clear" w:color="auto" w:fill="424E6A"/>
          </w:tcPr>
          <w:p>
            <w:pPr>
              <w:spacing w:after="0"/>
              <w:rPr>
                <w:sz w:val="12"/>
                <w:szCs w:val="12"/>
                <w:color w:val="auto"/>
              </w:rPr>
            </w:pPr>
          </w:p>
        </w:tc>
        <w:tc>
          <w:tcPr>
            <w:tcW w:w="120" w:type="dxa"/>
            <w:vAlign w:val="bottom"/>
            <w:tcBorders>
              <w:right w:val="single" w:sz="8" w:color="424E6A"/>
            </w:tcBorders>
            <w:shd w:val="clear" w:color="auto" w:fill="424E6A"/>
          </w:tcPr>
          <w:p>
            <w:pPr>
              <w:spacing w:after="0"/>
              <w:rPr>
                <w:sz w:val="12"/>
                <w:szCs w:val="12"/>
                <w:color w:val="auto"/>
              </w:rPr>
            </w:pPr>
          </w:p>
        </w:tc>
        <w:tc>
          <w:tcPr>
            <w:tcW w:w="820" w:type="dxa"/>
            <w:vAlign w:val="bottom"/>
            <w:vMerge w:val="continue"/>
            <w:shd w:val="clear" w:color="auto" w:fill="424E6A"/>
          </w:tcPr>
          <w:p>
            <w:pPr>
              <w:spacing w:after="0"/>
              <w:rPr>
                <w:sz w:val="12"/>
                <w:szCs w:val="12"/>
                <w:color w:val="auto"/>
              </w:rPr>
            </w:pPr>
          </w:p>
        </w:tc>
        <w:tc>
          <w:tcPr>
            <w:tcW w:w="140" w:type="dxa"/>
            <w:vAlign w:val="bottom"/>
            <w:tcBorders>
              <w:right w:val="single" w:sz="8" w:color="424E6A"/>
            </w:tcBorders>
            <w:shd w:val="clear" w:color="auto" w:fill="424E6A"/>
          </w:tcPr>
          <w:p>
            <w:pPr>
              <w:spacing w:after="0"/>
              <w:rPr>
                <w:sz w:val="12"/>
                <w:szCs w:val="12"/>
                <w:color w:val="auto"/>
              </w:rPr>
            </w:pPr>
          </w:p>
        </w:tc>
        <w:tc>
          <w:tcPr>
            <w:tcW w:w="100" w:type="dxa"/>
            <w:vAlign w:val="bottom"/>
            <w:shd w:val="clear" w:color="auto" w:fill="424E6A"/>
          </w:tcPr>
          <w:p>
            <w:pPr>
              <w:spacing w:after="0"/>
              <w:rPr>
                <w:sz w:val="12"/>
                <w:szCs w:val="12"/>
                <w:color w:val="auto"/>
              </w:rPr>
            </w:pPr>
          </w:p>
        </w:tc>
        <w:tc>
          <w:tcPr>
            <w:tcW w:w="1000" w:type="dxa"/>
            <w:vAlign w:val="bottom"/>
            <w:tcBorders>
              <w:right w:val="single" w:sz="8" w:color="424E6A"/>
            </w:tcBorders>
            <w:vMerge w:val="continue"/>
            <w:shd w:val="clear" w:color="auto" w:fill="424E6A"/>
          </w:tcPr>
          <w:p>
            <w:pPr>
              <w:spacing w:after="0"/>
              <w:rPr>
                <w:sz w:val="12"/>
                <w:szCs w:val="12"/>
                <w:color w:val="auto"/>
              </w:rPr>
            </w:pPr>
          </w:p>
        </w:tc>
        <w:tc>
          <w:tcPr>
            <w:tcW w:w="940" w:type="dxa"/>
            <w:vAlign w:val="bottom"/>
            <w:tcBorders>
              <w:right w:val="single" w:sz="8" w:color="424E6A"/>
            </w:tcBorders>
            <w:shd w:val="clear" w:color="auto" w:fill="424E6A"/>
          </w:tcPr>
          <w:p>
            <w:pPr>
              <w:jc w:val="center"/>
              <w:spacing w:after="0" w:line="139" w:lineRule="exact"/>
              <w:rPr>
                <w:sz w:val="20"/>
                <w:szCs w:val="20"/>
                <w:color w:val="auto"/>
              </w:rPr>
            </w:pPr>
            <w:r>
              <w:rPr>
                <w:rFonts w:ascii="Arial" w:cs="Arial" w:eastAsia="Arial" w:hAnsi="Arial"/>
                <w:sz w:val="13"/>
                <w:szCs w:val="13"/>
                <w:b w:val="1"/>
                <w:bCs w:val="1"/>
                <w:color w:val="FFFFFF"/>
                <w:w w:val="95"/>
              </w:rPr>
              <w:t>Attributable</w:t>
            </w:r>
          </w:p>
        </w:tc>
        <w:tc>
          <w:tcPr>
            <w:tcW w:w="0" w:type="dxa"/>
            <w:vAlign w:val="bottom"/>
          </w:tcPr>
          <w:p>
            <w:pPr>
              <w:spacing w:after="0"/>
              <w:rPr>
                <w:sz w:val="1"/>
                <w:szCs w:val="1"/>
                <w:color w:val="auto"/>
              </w:rPr>
            </w:pPr>
          </w:p>
        </w:tc>
      </w:tr>
      <w:tr>
        <w:trPr>
          <w:trHeight w:val="216"/>
        </w:trPr>
        <w:tc>
          <w:tcPr>
            <w:tcW w:w="560" w:type="dxa"/>
            <w:vAlign w:val="bottom"/>
            <w:tcBorders>
              <w:left w:val="single" w:sz="8" w:color="424E6A"/>
            </w:tcBorders>
            <w:vMerge w:val="continue"/>
            <w:shd w:val="clear" w:color="auto" w:fill="424E6A"/>
          </w:tcPr>
          <w:p>
            <w:pPr>
              <w:spacing w:after="0"/>
              <w:rPr>
                <w:sz w:val="18"/>
                <w:szCs w:val="18"/>
                <w:color w:val="auto"/>
              </w:rPr>
            </w:pPr>
          </w:p>
        </w:tc>
        <w:tc>
          <w:tcPr>
            <w:tcW w:w="320" w:type="dxa"/>
            <w:vAlign w:val="bottom"/>
            <w:gridSpan w:val="2"/>
            <w:shd w:val="clear" w:color="auto" w:fill="424E6A"/>
          </w:tcPr>
          <w:p>
            <w:pPr>
              <w:jc w:val="right"/>
              <w:spacing w:after="0"/>
              <w:rPr>
                <w:sz w:val="20"/>
                <w:szCs w:val="20"/>
                <w:color w:val="auto"/>
              </w:rPr>
            </w:pPr>
            <w:r>
              <w:rPr>
                <w:rFonts w:ascii="Arial" w:cs="Arial" w:eastAsia="Arial" w:hAnsi="Arial"/>
                <w:sz w:val="13"/>
                <w:szCs w:val="13"/>
                <w:b w:val="1"/>
                <w:bCs w:val="1"/>
                <w:color w:val="FFFFFF"/>
              </w:rPr>
              <w:t>​ ​</w:t>
            </w:r>
          </w:p>
        </w:tc>
        <w:tc>
          <w:tcPr>
            <w:tcW w:w="900" w:type="dxa"/>
            <w:vAlign w:val="bottom"/>
            <w:shd w:val="clear" w:color="auto" w:fill="424E6A"/>
          </w:tcPr>
          <w:p>
            <w:pPr>
              <w:jc w:val="center"/>
              <w:spacing w:after="0"/>
              <w:rPr>
                <w:sz w:val="20"/>
                <w:szCs w:val="20"/>
                <w:color w:val="auto"/>
              </w:rPr>
            </w:pPr>
            <w:r>
              <w:rPr>
                <w:rFonts w:ascii="Arial" w:cs="Arial" w:eastAsia="Arial" w:hAnsi="Arial"/>
                <w:sz w:val="13"/>
                <w:szCs w:val="13"/>
                <w:b w:val="1"/>
                <w:bCs w:val="1"/>
                <w:color w:val="FFFFFF"/>
                <w:w w:val="91"/>
              </w:rPr>
              <w:t>for PEO</w:t>
            </w:r>
            <w:r>
              <w:rPr>
                <w:rFonts w:ascii="Arial" w:cs="Arial" w:eastAsia="Arial" w:hAnsi="Arial"/>
                <w:sz w:val="16"/>
                <w:szCs w:val="16"/>
                <w:b w:val="1"/>
                <w:bCs w:val="1"/>
                <w:color w:val="FFFFFF"/>
                <w:w w:val="91"/>
                <w:vertAlign w:val="superscript"/>
              </w:rPr>
              <w:t>(1)</w:t>
            </w:r>
          </w:p>
        </w:tc>
        <w:tc>
          <w:tcPr>
            <w:tcW w:w="380" w:type="dxa"/>
            <w:vAlign w:val="bottom"/>
            <w:gridSpan w:val="2"/>
            <w:shd w:val="clear" w:color="auto" w:fill="424E6A"/>
          </w:tcPr>
          <w:p>
            <w:pPr>
              <w:ind w:left="80"/>
              <w:spacing w:after="0"/>
              <w:rPr>
                <w:sz w:val="20"/>
                <w:szCs w:val="20"/>
                <w:color w:val="auto"/>
              </w:rPr>
            </w:pPr>
            <w:r>
              <w:rPr>
                <w:rFonts w:ascii="Arial" w:cs="Arial" w:eastAsia="Arial" w:hAnsi="Arial"/>
                <w:sz w:val="13"/>
                <w:szCs w:val="13"/>
                <w:b w:val="1"/>
                <w:bCs w:val="1"/>
                <w:color w:val="FFFFFF"/>
              </w:rPr>
              <w:t>​ ​</w:t>
            </w:r>
          </w:p>
        </w:tc>
        <w:tc>
          <w:tcPr>
            <w:tcW w:w="760" w:type="dxa"/>
            <w:vAlign w:val="bottom"/>
            <w:shd w:val="clear" w:color="auto" w:fill="424E6A"/>
          </w:tcPr>
          <w:p>
            <w:pPr>
              <w:jc w:val="center"/>
              <w:ind w:right="96"/>
              <w:spacing w:after="0"/>
              <w:rPr>
                <w:sz w:val="20"/>
                <w:szCs w:val="20"/>
                <w:color w:val="auto"/>
              </w:rPr>
            </w:pPr>
            <w:r>
              <w:rPr>
                <w:rFonts w:ascii="Arial" w:cs="Arial" w:eastAsia="Arial" w:hAnsi="Arial"/>
                <w:sz w:val="13"/>
                <w:szCs w:val="13"/>
                <w:b w:val="1"/>
                <w:bCs w:val="1"/>
                <w:color w:val="FFFFFF"/>
                <w:w w:val="92"/>
              </w:rPr>
              <w:t>to PEO</w:t>
            </w:r>
            <w:r>
              <w:rPr>
                <w:rFonts w:ascii="Arial" w:cs="Arial" w:eastAsia="Arial" w:hAnsi="Arial"/>
                <w:sz w:val="16"/>
                <w:szCs w:val="16"/>
                <w:b w:val="1"/>
                <w:bCs w:val="1"/>
                <w:color w:val="FFFFFF"/>
                <w:w w:val="92"/>
                <w:vertAlign w:val="superscript"/>
              </w:rPr>
              <w:t>(2)</w:t>
            </w:r>
          </w:p>
        </w:tc>
        <w:tc>
          <w:tcPr>
            <w:tcW w:w="200" w:type="dxa"/>
            <w:vAlign w:val="bottom"/>
            <w:gridSpan w:val="2"/>
            <w:shd w:val="clear" w:color="auto" w:fill="424E6A"/>
          </w:tcPr>
          <w:p>
            <w:pPr>
              <w:jc w:val="right"/>
              <w:spacing w:after="0"/>
              <w:rPr>
                <w:sz w:val="20"/>
                <w:szCs w:val="20"/>
                <w:color w:val="auto"/>
              </w:rPr>
            </w:pPr>
            <w:r>
              <w:rPr>
                <w:rFonts w:ascii="Arial" w:cs="Arial" w:eastAsia="Arial" w:hAnsi="Arial"/>
                <w:sz w:val="13"/>
                <w:szCs w:val="13"/>
                <w:b w:val="1"/>
                <w:bCs w:val="1"/>
                <w:color w:val="FFFFFF"/>
              </w:rPr>
              <w:t>​ ​</w:t>
            </w:r>
          </w:p>
        </w:tc>
        <w:tc>
          <w:tcPr>
            <w:tcW w:w="900" w:type="dxa"/>
            <w:vAlign w:val="bottom"/>
            <w:shd w:val="clear" w:color="auto" w:fill="424E6A"/>
          </w:tcPr>
          <w:p>
            <w:pPr>
              <w:jc w:val="center"/>
              <w:spacing w:after="0"/>
              <w:rPr>
                <w:sz w:val="20"/>
                <w:szCs w:val="20"/>
                <w:color w:val="auto"/>
              </w:rPr>
            </w:pPr>
            <w:r>
              <w:rPr>
                <w:rFonts w:ascii="Arial" w:cs="Arial" w:eastAsia="Arial" w:hAnsi="Arial"/>
                <w:sz w:val="13"/>
                <w:szCs w:val="13"/>
                <w:b w:val="1"/>
                <w:bCs w:val="1"/>
                <w:color w:val="FFFFFF"/>
                <w:w w:val="90"/>
              </w:rPr>
              <w:t>NEOs</w:t>
            </w:r>
            <w:r>
              <w:rPr>
                <w:rFonts w:ascii="Arial" w:cs="Arial" w:eastAsia="Arial" w:hAnsi="Arial"/>
                <w:sz w:val="16"/>
                <w:szCs w:val="16"/>
                <w:b w:val="1"/>
                <w:bCs w:val="1"/>
                <w:color w:val="FFFFFF"/>
                <w:w w:val="90"/>
                <w:vertAlign w:val="superscript"/>
              </w:rPr>
              <w:t>(1)</w:t>
            </w:r>
          </w:p>
        </w:tc>
        <w:tc>
          <w:tcPr>
            <w:tcW w:w="220" w:type="dxa"/>
            <w:vAlign w:val="bottom"/>
            <w:gridSpan w:val="2"/>
            <w:shd w:val="clear" w:color="auto" w:fill="424E6A"/>
          </w:tcPr>
          <w:p>
            <w:pPr>
              <w:jc w:val="right"/>
              <w:spacing w:after="0"/>
              <w:rPr>
                <w:sz w:val="20"/>
                <w:szCs w:val="20"/>
                <w:color w:val="auto"/>
              </w:rPr>
            </w:pPr>
            <w:r>
              <w:rPr>
                <w:rFonts w:ascii="Arial" w:cs="Arial" w:eastAsia="Arial" w:hAnsi="Arial"/>
                <w:sz w:val="13"/>
                <w:szCs w:val="13"/>
                <w:b w:val="1"/>
                <w:bCs w:val="1"/>
                <w:color w:val="FFFFFF"/>
              </w:rPr>
              <w:t>​ ​</w:t>
            </w:r>
          </w:p>
        </w:tc>
        <w:tc>
          <w:tcPr>
            <w:tcW w:w="900" w:type="dxa"/>
            <w:vAlign w:val="bottom"/>
            <w:shd w:val="clear" w:color="auto" w:fill="424E6A"/>
          </w:tcPr>
          <w:p>
            <w:pPr>
              <w:jc w:val="center"/>
              <w:spacing w:after="0"/>
              <w:rPr>
                <w:sz w:val="20"/>
                <w:szCs w:val="20"/>
                <w:color w:val="auto"/>
              </w:rPr>
            </w:pPr>
            <w:r>
              <w:rPr>
                <w:rFonts w:ascii="Arial" w:cs="Arial" w:eastAsia="Arial" w:hAnsi="Arial"/>
                <w:sz w:val="13"/>
                <w:szCs w:val="13"/>
                <w:b w:val="1"/>
                <w:bCs w:val="1"/>
                <w:color w:val="FFFFFF"/>
                <w:w w:val="90"/>
              </w:rPr>
              <w:t>NEOs</w:t>
            </w:r>
            <w:r>
              <w:rPr>
                <w:rFonts w:ascii="Arial" w:cs="Arial" w:eastAsia="Arial" w:hAnsi="Arial"/>
                <w:sz w:val="16"/>
                <w:szCs w:val="16"/>
                <w:b w:val="1"/>
                <w:bCs w:val="1"/>
                <w:color w:val="FFFFFF"/>
                <w:w w:val="90"/>
                <w:vertAlign w:val="superscript"/>
              </w:rPr>
              <w:t>(2)</w:t>
            </w:r>
          </w:p>
        </w:tc>
        <w:tc>
          <w:tcPr>
            <w:tcW w:w="14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3"/>
                <w:szCs w:val="13"/>
                <w:b w:val="1"/>
                <w:bCs w:val="1"/>
                <w:color w:val="FFFFFF"/>
              </w:rPr>
              <w:t>​</w:t>
            </w:r>
          </w:p>
        </w:tc>
        <w:tc>
          <w:tcPr>
            <w:tcW w:w="80" w:type="dxa"/>
            <w:vAlign w:val="bottom"/>
            <w:shd w:val="clear" w:color="auto" w:fill="424E6A"/>
          </w:tcPr>
          <w:p>
            <w:pPr>
              <w:ind w:left="40"/>
              <w:spacing w:after="0"/>
              <w:rPr>
                <w:sz w:val="20"/>
                <w:szCs w:val="20"/>
                <w:color w:val="auto"/>
              </w:rPr>
            </w:pPr>
            <w:r>
              <w:rPr>
                <w:rFonts w:ascii="Arial" w:cs="Arial" w:eastAsia="Arial" w:hAnsi="Arial"/>
                <w:sz w:val="13"/>
                <w:szCs w:val="13"/>
                <w:b w:val="1"/>
                <w:bCs w:val="1"/>
                <w:color w:val="FFFFFF"/>
              </w:rPr>
              <w:t>​</w:t>
            </w:r>
          </w:p>
        </w:tc>
        <w:tc>
          <w:tcPr>
            <w:tcW w:w="600" w:type="dxa"/>
            <w:vAlign w:val="bottom"/>
            <w:shd w:val="clear" w:color="auto" w:fill="424E6A"/>
          </w:tcPr>
          <w:p>
            <w:pPr>
              <w:jc w:val="center"/>
              <w:spacing w:after="0" w:line="203" w:lineRule="exact"/>
              <w:rPr>
                <w:sz w:val="20"/>
                <w:szCs w:val="20"/>
                <w:color w:val="auto"/>
              </w:rPr>
            </w:pPr>
            <w:r>
              <w:rPr>
                <w:rFonts w:ascii="Arial" w:cs="Arial" w:eastAsia="Arial" w:hAnsi="Arial"/>
                <w:sz w:val="23"/>
                <w:szCs w:val="23"/>
                <w:b w:val="1"/>
                <w:bCs w:val="1"/>
                <w:color w:val="FFFFFF"/>
                <w:w w:val="83"/>
                <w:vertAlign w:val="subscript"/>
              </w:rPr>
              <w:t>TSR</w:t>
            </w:r>
            <w:r>
              <w:rPr>
                <w:rFonts w:ascii="Arial" w:cs="Arial" w:eastAsia="Arial" w:hAnsi="Arial"/>
                <w:sz w:val="8"/>
                <w:szCs w:val="8"/>
                <w:b w:val="1"/>
                <w:bCs w:val="1"/>
                <w:color w:val="FFFFFF"/>
                <w:w w:val="83"/>
              </w:rPr>
              <w:t>(3)</w:t>
            </w:r>
          </w:p>
        </w:tc>
        <w:tc>
          <w:tcPr>
            <w:tcW w:w="12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424E6A"/>
          </w:tcPr>
          <w:p>
            <w:pPr>
              <w:jc w:val="center"/>
              <w:ind w:left="59"/>
              <w:spacing w:after="0" w:line="203" w:lineRule="exact"/>
              <w:rPr>
                <w:sz w:val="20"/>
                <w:szCs w:val="20"/>
                <w:color w:val="auto"/>
              </w:rPr>
            </w:pPr>
            <w:r>
              <w:rPr>
                <w:rFonts w:ascii="Arial" w:cs="Arial" w:eastAsia="Arial" w:hAnsi="Arial"/>
                <w:sz w:val="23"/>
                <w:szCs w:val="23"/>
                <w:b w:val="1"/>
                <w:bCs w:val="1"/>
                <w:color w:val="FFFFFF"/>
                <w:w w:val="83"/>
                <w:vertAlign w:val="subscript"/>
              </w:rPr>
              <w:t>TSR</w:t>
            </w:r>
            <w:r>
              <w:rPr>
                <w:rFonts w:ascii="Arial" w:cs="Arial" w:eastAsia="Arial" w:hAnsi="Arial"/>
                <w:sz w:val="8"/>
                <w:szCs w:val="8"/>
                <w:b w:val="1"/>
                <w:bCs w:val="1"/>
                <w:color w:val="FFFFFF"/>
                <w:w w:val="83"/>
              </w:rPr>
              <w:t>(3)</w:t>
            </w:r>
          </w:p>
        </w:tc>
        <w:tc>
          <w:tcPr>
            <w:tcW w:w="140" w:type="dxa"/>
            <w:vAlign w:val="bottom"/>
            <w:tcBorders>
              <w:right w:val="single" w:sz="8" w:color="424E6A"/>
            </w:tcBorders>
            <w:shd w:val="clear" w:color="auto" w:fill="424E6A"/>
          </w:tcPr>
          <w:p>
            <w:pPr>
              <w:spacing w:after="0"/>
              <w:rPr>
                <w:sz w:val="18"/>
                <w:szCs w:val="18"/>
                <w:color w:val="auto"/>
              </w:rPr>
            </w:pPr>
          </w:p>
        </w:tc>
        <w:tc>
          <w:tcPr>
            <w:tcW w:w="100" w:type="dxa"/>
            <w:vAlign w:val="bottom"/>
            <w:shd w:val="clear" w:color="auto" w:fill="424E6A"/>
          </w:tcPr>
          <w:p>
            <w:pPr>
              <w:spacing w:after="0"/>
              <w:rPr>
                <w:sz w:val="18"/>
                <w:szCs w:val="18"/>
                <w:color w:val="auto"/>
              </w:rPr>
            </w:pPr>
          </w:p>
        </w:tc>
        <w:tc>
          <w:tcPr>
            <w:tcW w:w="1000" w:type="dxa"/>
            <w:vAlign w:val="bottom"/>
            <w:tcBorders>
              <w:right w:val="single" w:sz="8" w:color="424E6A"/>
            </w:tcBorders>
            <w:shd w:val="clear" w:color="auto" w:fill="424E6A"/>
          </w:tcPr>
          <w:p>
            <w:pPr>
              <w:jc w:val="center"/>
              <w:ind w:right="32"/>
              <w:spacing w:after="0"/>
              <w:rPr>
                <w:sz w:val="20"/>
                <w:szCs w:val="20"/>
                <w:color w:val="auto"/>
              </w:rPr>
            </w:pPr>
            <w:r>
              <w:rPr>
                <w:rFonts w:ascii="Arial" w:cs="Arial" w:eastAsia="Arial" w:hAnsi="Arial"/>
                <w:sz w:val="13"/>
                <w:szCs w:val="13"/>
                <w:b w:val="1"/>
                <w:bCs w:val="1"/>
                <w:color w:val="FFFFFF"/>
                <w:w w:val="97"/>
              </w:rPr>
              <w:t>(Loss)</w:t>
            </w:r>
          </w:p>
        </w:tc>
        <w:tc>
          <w:tcPr>
            <w:tcW w:w="94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3"/>
                <w:szCs w:val="13"/>
                <w:b w:val="1"/>
                <w:bCs w:val="1"/>
                <w:color w:val="FFFFFF"/>
                <w:w w:val="96"/>
              </w:rPr>
              <w:t>to PAA</w:t>
            </w:r>
          </w:p>
        </w:tc>
        <w:tc>
          <w:tcPr>
            <w:tcW w:w="0" w:type="dxa"/>
            <w:vAlign w:val="bottom"/>
          </w:tcPr>
          <w:p>
            <w:pPr>
              <w:spacing w:after="0"/>
              <w:rPr>
                <w:sz w:val="1"/>
                <w:szCs w:val="1"/>
                <w:color w:val="auto"/>
              </w:rPr>
            </w:pPr>
          </w:p>
        </w:tc>
      </w:tr>
      <w:tr>
        <w:trPr>
          <w:trHeight w:val="229"/>
        </w:trPr>
        <w:tc>
          <w:tcPr>
            <w:tcW w:w="560" w:type="dxa"/>
            <w:vAlign w:val="bottom"/>
            <w:tcBorders>
              <w:left w:val="single" w:sz="8" w:color="424E6A"/>
              <w:bottom w:val="single" w:sz="8" w:color="424E6A"/>
            </w:tcBorders>
            <w:shd w:val="clear" w:color="auto" w:fill="D9DCE1"/>
          </w:tcPr>
          <w:p>
            <w:pPr>
              <w:ind w:left="4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2022</w:t>
            </w:r>
          </w:p>
        </w:tc>
        <w:tc>
          <w:tcPr>
            <w:tcW w:w="240" w:type="dxa"/>
            <w:vAlign w:val="bottom"/>
            <w:tcBorders>
              <w:bottom w:val="single" w:sz="8" w:color="424E6A"/>
              <w:right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24E6A"/>
            </w:tcBorders>
            <w:shd w:val="clear" w:color="auto" w:fill="D9DCE1"/>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$ 8,296,140</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424E6A"/>
              <w:right w:val="single" w:sz="8" w:color="424E6A"/>
            </w:tcBorders>
            <w:gridSpan w:val="3"/>
            <w:shd w:val="clear" w:color="auto" w:fill="D9DCE1"/>
          </w:tcPr>
          <w:p>
            <w:pPr>
              <w:jc w:val="right"/>
              <w:spacing w:after="0" w:line="230" w:lineRule="exact"/>
              <w:rPr>
                <w:sz w:val="20"/>
                <w:szCs w:val="20"/>
                <w:color w:val="auto"/>
              </w:rPr>
            </w:pPr>
            <w:r>
              <w:rPr>
                <w:rFonts w:ascii="Arial" w:cs="Arial" w:eastAsia="Arial" w:hAnsi="Arial"/>
                <w:sz w:val="26"/>
                <w:szCs w:val="26"/>
                <w:color w:val="auto"/>
                <w:vertAlign w:val="subscript"/>
              </w:rPr>
              <w:t>​ ​</w:t>
            </w:r>
            <w:r>
              <w:rPr>
                <w:rFonts w:ascii="Arial" w:cs="Arial" w:eastAsia="Arial" w:hAnsi="Arial"/>
                <w:sz w:val="14"/>
                <w:szCs w:val="14"/>
                <w:color w:val="auto"/>
              </w:rPr>
              <w:t xml:space="preserve">$ 14,459,710 </w:t>
            </w:r>
            <w:r>
              <w:rPr>
                <w:rFonts w:ascii="Arial" w:cs="Arial" w:eastAsia="Arial" w:hAnsi="Arial"/>
                <w:sz w:val="26"/>
                <w:szCs w:val="26"/>
                <w:color w:val="auto"/>
                <w:vertAlign w:val="subscript"/>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24E6A"/>
            </w:tcBorders>
            <w:shd w:val="clear" w:color="auto" w:fill="D9DCE1"/>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$ 4,387,570</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24E6A"/>
            </w:tcBorders>
            <w:shd w:val="clear" w:color="auto" w:fill="D9DCE1"/>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$ 8,142,198</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shd w:val="clear" w:color="auto" w:fill="D9DCE1"/>
          </w:tcPr>
          <w:p>
            <w:pPr>
              <w:jc w:val="center"/>
              <w:spacing w:after="0" w:line="230" w:lineRule="exact"/>
              <w:rPr>
                <w:sz w:val="20"/>
                <w:szCs w:val="20"/>
                <w:color w:val="auto"/>
              </w:rPr>
            </w:pPr>
            <w:r>
              <w:rPr>
                <w:rFonts w:ascii="Arial" w:cs="Arial" w:eastAsia="Arial" w:hAnsi="Arial"/>
                <w:sz w:val="26"/>
                <w:szCs w:val="26"/>
                <w:color w:val="auto"/>
                <w:w w:val="98"/>
                <w:vertAlign w:val="subscript"/>
              </w:rPr>
              <w:t>​</w:t>
            </w:r>
            <w:r>
              <w:rPr>
                <w:rFonts w:ascii="Arial" w:cs="Arial" w:eastAsia="Arial" w:hAnsi="Arial"/>
                <w:sz w:val="14"/>
                <w:szCs w:val="14"/>
                <w:color w:val="auto"/>
                <w:w w:val="98"/>
              </w:rPr>
              <w:t>$ 81.51</w:t>
            </w:r>
          </w:p>
        </w:tc>
        <w:tc>
          <w:tcPr>
            <w:tcW w:w="1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24E6A"/>
            </w:tcBorders>
            <w:shd w:val="clear" w:color="auto" w:fill="D9DCE1"/>
          </w:tcPr>
          <w:p>
            <w:pPr>
              <w:jc w:val="center"/>
              <w:ind w:left="59"/>
              <w:spacing w:after="0" w:line="230" w:lineRule="exact"/>
              <w:rPr>
                <w:sz w:val="20"/>
                <w:szCs w:val="20"/>
                <w:color w:val="auto"/>
              </w:rPr>
            </w:pPr>
            <w:r>
              <w:rPr>
                <w:rFonts w:ascii="Arial" w:cs="Arial" w:eastAsia="Arial" w:hAnsi="Arial"/>
                <w:sz w:val="26"/>
                <w:szCs w:val="26"/>
                <w:color w:val="auto"/>
                <w:w w:val="99"/>
                <w:vertAlign w:val="subscript"/>
              </w:rPr>
              <w:t>​</w:t>
            </w:r>
            <w:r>
              <w:rPr>
                <w:rFonts w:ascii="Arial" w:cs="Arial" w:eastAsia="Arial" w:hAnsi="Arial"/>
                <w:sz w:val="14"/>
                <w:szCs w:val="14"/>
                <w:color w:val="auto"/>
                <w:w w:val="99"/>
              </w:rPr>
              <w:t>$ 128.92</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tcBorders>
            <w:shd w:val="clear" w:color="auto" w:fill="D9DCE1"/>
          </w:tcPr>
          <w:p>
            <w:pPr>
              <w:spacing w:after="0"/>
              <w:rPr>
                <w:sz w:val="19"/>
                <w:szCs w:val="19"/>
                <w:color w:val="auto"/>
              </w:rPr>
            </w:pPr>
          </w:p>
        </w:tc>
        <w:tc>
          <w:tcPr>
            <w:tcW w:w="1000" w:type="dxa"/>
            <w:vAlign w:val="bottom"/>
            <w:tcBorders>
              <w:bottom w:val="single" w:sz="8" w:color="424E6A"/>
              <w:right w:val="single" w:sz="8" w:color="424E6A"/>
            </w:tcBorders>
            <w:shd w:val="clear" w:color="auto" w:fill="D9DCE1"/>
          </w:tcPr>
          <w:p>
            <w:pPr>
              <w:jc w:val="center"/>
              <w:ind w:right="52"/>
              <w:spacing w:after="0"/>
              <w:rPr>
                <w:sz w:val="20"/>
                <w:szCs w:val="20"/>
                <w:color w:val="auto"/>
              </w:rPr>
            </w:pPr>
            <w:r>
              <w:rPr>
                <w:rFonts w:ascii="Arial" w:cs="Arial" w:eastAsia="Arial" w:hAnsi="Arial"/>
                <w:sz w:val="14"/>
                <w:szCs w:val="14"/>
                <w:color w:val="auto"/>
              </w:rPr>
              <w:t>$1.23 billion</w:t>
            </w:r>
          </w:p>
        </w:tc>
        <w:tc>
          <w:tcPr>
            <w:tcW w:w="94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4"/>
                <w:szCs w:val="14"/>
                <w:color w:val="auto"/>
              </w:rPr>
              <w:t>$2.51 billion</w:t>
            </w:r>
          </w:p>
        </w:tc>
        <w:tc>
          <w:tcPr>
            <w:tcW w:w="0" w:type="dxa"/>
            <w:vAlign w:val="bottom"/>
          </w:tcPr>
          <w:p>
            <w:pPr>
              <w:spacing w:after="0"/>
              <w:rPr>
                <w:sz w:val="1"/>
                <w:szCs w:val="1"/>
                <w:color w:val="auto"/>
              </w:rPr>
            </w:pPr>
          </w:p>
        </w:tc>
      </w:tr>
      <w:tr>
        <w:trPr>
          <w:trHeight w:val="223"/>
        </w:trPr>
        <w:tc>
          <w:tcPr>
            <w:tcW w:w="560" w:type="dxa"/>
            <w:vAlign w:val="bottom"/>
            <w:tcBorders>
              <w:left w:val="single" w:sz="8" w:color="424E6A"/>
              <w:bottom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2021</w:t>
            </w:r>
          </w:p>
        </w:tc>
        <w:tc>
          <w:tcPr>
            <w:tcW w:w="240" w:type="dxa"/>
            <w:vAlign w:val="bottom"/>
            <w:tcBorders>
              <w:bottom w:val="single" w:sz="8" w:color="424E6A"/>
              <w:right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24E6A"/>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$ 4,392,210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 ​</w:t>
            </w:r>
            <w:r>
              <w:rPr>
                <w:rFonts w:ascii="Arial" w:cs="Arial" w:eastAsia="Arial" w:hAnsi="Arial"/>
                <w:sz w:val="25"/>
                <w:szCs w:val="25"/>
                <w:color w:val="auto"/>
                <w:vertAlign w:val="superscript"/>
              </w:rPr>
              <w:t>$</w:t>
            </w:r>
          </w:p>
        </w:tc>
        <w:tc>
          <w:tcPr>
            <w:tcW w:w="88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 xml:space="preserve">4,792,883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24E6A"/>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$ 2,147,374</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24E6A"/>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$ 2,385,698</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$ 60.08</w:t>
            </w:r>
          </w:p>
        </w:tc>
        <w:tc>
          <w:tcPr>
            <w:tcW w:w="1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24E6A"/>
            </w:tcBorders>
          </w:tcPr>
          <w:p>
            <w:pPr>
              <w:jc w:val="center"/>
              <w:ind w:left="59"/>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$ 106.08</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tcBorders>
          </w:tcPr>
          <w:p>
            <w:pPr>
              <w:spacing w:after="0"/>
              <w:rPr>
                <w:sz w:val="19"/>
                <w:szCs w:val="19"/>
                <w:color w:val="auto"/>
              </w:rPr>
            </w:pPr>
          </w:p>
        </w:tc>
        <w:tc>
          <w:tcPr>
            <w:tcW w:w="1000" w:type="dxa"/>
            <w:vAlign w:val="bottom"/>
            <w:tcBorders>
              <w:bottom w:val="single" w:sz="8" w:color="424E6A"/>
              <w:right w:val="single" w:sz="8" w:color="424E6A"/>
            </w:tcBorders>
          </w:tcPr>
          <w:p>
            <w:pPr>
              <w:jc w:val="center"/>
              <w:ind w:right="52"/>
              <w:spacing w:after="0"/>
              <w:rPr>
                <w:sz w:val="20"/>
                <w:szCs w:val="20"/>
                <w:color w:val="auto"/>
              </w:rPr>
            </w:pPr>
            <w:r>
              <w:rPr>
                <w:rFonts w:ascii="Arial" w:cs="Arial" w:eastAsia="Arial" w:hAnsi="Arial"/>
                <w:sz w:val="14"/>
                <w:szCs w:val="14"/>
                <w:color w:val="auto"/>
              </w:rPr>
              <w:t>$648 million</w:t>
            </w:r>
          </w:p>
        </w:tc>
        <w:tc>
          <w:tcPr>
            <w:tcW w:w="94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4"/>
                <w:szCs w:val="14"/>
                <w:color w:val="auto"/>
              </w:rPr>
              <w:t>$2.20 billion</w:t>
            </w:r>
          </w:p>
        </w:tc>
        <w:tc>
          <w:tcPr>
            <w:tcW w:w="0" w:type="dxa"/>
            <w:vAlign w:val="bottom"/>
          </w:tcPr>
          <w:p>
            <w:pPr>
              <w:spacing w:after="0"/>
              <w:rPr>
                <w:sz w:val="1"/>
                <w:szCs w:val="1"/>
                <w:color w:val="auto"/>
              </w:rPr>
            </w:pPr>
          </w:p>
        </w:tc>
      </w:tr>
      <w:tr>
        <w:trPr>
          <w:trHeight w:val="223"/>
        </w:trPr>
        <w:tc>
          <w:tcPr>
            <w:tcW w:w="560" w:type="dxa"/>
            <w:vAlign w:val="bottom"/>
            <w:tcBorders>
              <w:left w:val="single" w:sz="8" w:color="424E6A"/>
              <w:bottom w:val="single" w:sz="8" w:color="424E6A"/>
            </w:tcBorders>
            <w:shd w:val="clear" w:color="auto" w:fill="D9DCE1"/>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2020</w:t>
            </w:r>
          </w:p>
        </w:tc>
        <w:tc>
          <w:tcPr>
            <w:tcW w:w="240" w:type="dxa"/>
            <w:vAlign w:val="bottom"/>
            <w:tcBorders>
              <w:bottom w:val="single" w:sz="8" w:color="424E6A"/>
              <w:right w:val="single" w:sz="8" w:color="424E6A"/>
            </w:tcBorders>
            <w:shd w:val="clear" w:color="auto" w:fill="D9DCE1"/>
          </w:tcPr>
          <w:p>
            <w:pPr>
              <w:ind w:lef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24E6A"/>
            </w:tcBorders>
            <w:shd w:val="clear" w:color="auto" w:fill="D9DCE1"/>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$ 4,290,241</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424E6A"/>
            </w:tcBorders>
            <w:shd w:val="clear" w:color="auto" w:fill="D9DCE1"/>
          </w:tcPr>
          <w:p>
            <w:pPr>
              <w:ind w:left="40"/>
              <w:spacing w:after="0" w:line="223" w:lineRule="exact"/>
              <w:rPr>
                <w:sz w:val="20"/>
                <w:szCs w:val="20"/>
                <w:color w:val="auto"/>
              </w:rPr>
            </w:pPr>
            <w:r>
              <w:rPr>
                <w:rFonts w:ascii="Arial" w:cs="Arial" w:eastAsia="Arial" w:hAnsi="Arial"/>
                <w:sz w:val="13"/>
                <w:szCs w:val="13"/>
                <w:color w:val="auto"/>
              </w:rPr>
              <w:t>​ ​</w:t>
            </w:r>
            <w:r>
              <w:rPr>
                <w:rFonts w:ascii="Arial" w:cs="Arial" w:eastAsia="Arial" w:hAnsi="Arial"/>
                <w:sz w:val="25"/>
                <w:szCs w:val="25"/>
                <w:color w:val="auto"/>
                <w:vertAlign w:val="superscript"/>
              </w:rPr>
              <w:t>$</w:t>
            </w:r>
          </w:p>
        </w:tc>
        <w:tc>
          <w:tcPr>
            <w:tcW w:w="880" w:type="dxa"/>
            <w:vAlign w:val="bottom"/>
            <w:tcBorders>
              <w:bottom w:val="single" w:sz="8" w:color="424E6A"/>
              <w:right w:val="single" w:sz="8" w:color="424E6A"/>
            </w:tcBorders>
            <w:gridSpan w:val="2"/>
            <w:shd w:val="clear" w:color="auto" w:fill="D9DCE1"/>
          </w:tcPr>
          <w:p>
            <w:pPr>
              <w:jc w:val="right"/>
              <w:spacing w:after="0" w:line="223" w:lineRule="exact"/>
              <w:rPr>
                <w:sz w:val="20"/>
                <w:szCs w:val="20"/>
                <w:color w:val="auto"/>
              </w:rPr>
            </w:pPr>
            <w:r>
              <w:rPr>
                <w:rFonts w:ascii="Arial" w:cs="Arial" w:eastAsia="Arial" w:hAnsi="Arial"/>
                <w:sz w:val="13"/>
                <w:szCs w:val="13"/>
                <w:color w:val="auto"/>
              </w:rPr>
              <w:t xml:space="preserve">2,401,749 </w:t>
            </w:r>
            <w:r>
              <w:rPr>
                <w:rFonts w:ascii="Arial" w:cs="Arial" w:eastAsia="Arial" w:hAnsi="Arial"/>
                <w:sz w:val="25"/>
                <w:szCs w:val="25"/>
                <w:color w:val="auto"/>
                <w:vertAlign w:val="subscript"/>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24E6A"/>
            </w:tcBorders>
            <w:shd w:val="clear" w:color="auto" w:fill="D9DCE1"/>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$ 1,957,177</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24E6A"/>
            </w:tcBorders>
            <w:shd w:val="clear" w:color="auto" w:fill="D9DCE1"/>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429,822</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shd w:val="clear" w:color="auto" w:fill="D9DCE1"/>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$ 49.18</w:t>
            </w:r>
          </w:p>
        </w:tc>
        <w:tc>
          <w:tcPr>
            <w:tcW w:w="1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24E6A"/>
            </w:tcBorders>
            <w:shd w:val="clear" w:color="auto" w:fill="D9DCE1"/>
          </w:tcPr>
          <w:p>
            <w:pPr>
              <w:jc w:val="center"/>
              <w:ind w:left="59"/>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76.94</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tcBorders>
            <w:shd w:val="clear" w:color="auto" w:fill="D9DCE1"/>
          </w:tcPr>
          <w:p>
            <w:pPr>
              <w:spacing w:after="0"/>
              <w:rPr>
                <w:sz w:val="19"/>
                <w:szCs w:val="19"/>
                <w:color w:val="auto"/>
              </w:rPr>
            </w:pPr>
          </w:p>
        </w:tc>
        <w:tc>
          <w:tcPr>
            <w:tcW w:w="1000" w:type="dxa"/>
            <w:vAlign w:val="bottom"/>
            <w:tcBorders>
              <w:bottom w:val="single" w:sz="8" w:color="424E6A"/>
              <w:right w:val="single" w:sz="8" w:color="424E6A"/>
            </w:tcBorders>
            <w:shd w:val="clear" w:color="auto" w:fill="D9DCE1"/>
          </w:tcPr>
          <w:p>
            <w:pPr>
              <w:jc w:val="center"/>
              <w:ind w:right="32"/>
              <w:spacing w:after="0"/>
              <w:rPr>
                <w:sz w:val="20"/>
                <w:szCs w:val="20"/>
                <w:color w:val="auto"/>
              </w:rPr>
            </w:pPr>
            <w:r>
              <w:rPr>
                <w:rFonts w:ascii="Arial" w:cs="Arial" w:eastAsia="Arial" w:hAnsi="Arial"/>
                <w:sz w:val="14"/>
                <w:szCs w:val="14"/>
                <w:color w:val="auto"/>
              </w:rPr>
              <w:t>$(2.58 billion)</w:t>
            </w:r>
          </w:p>
        </w:tc>
        <w:tc>
          <w:tcPr>
            <w:tcW w:w="94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4"/>
                <w:szCs w:val="14"/>
                <w:color w:val="auto"/>
              </w:rPr>
              <w:t>$2.55 billion</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20" w:right="880" w:hanging="360"/>
        <w:spacing w:after="0" w:line="287" w:lineRule="auto"/>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each of the years presented, our PEO is Willie Chiang and our Non-PEO NEOs are Harry Pefanis, Al Swanson, Richard McGee, Chris Chandler and Jeremy Goebel.</w:t>
      </w:r>
    </w:p>
    <w:p>
      <w:pPr>
        <w:spacing w:after="0" w:line="4" w:lineRule="exact"/>
        <w:rPr>
          <w:rFonts w:ascii="Arial" w:cs="Arial" w:eastAsia="Arial" w:hAnsi="Arial"/>
          <w:sz w:val="18"/>
          <w:szCs w:val="18"/>
          <w:color w:val="auto"/>
        </w:rPr>
      </w:pPr>
    </w:p>
    <w:p>
      <w:pPr>
        <w:ind w:left="1620" w:right="580" w:hanging="360"/>
        <w:spacing w:after="0" w:line="259" w:lineRule="auto"/>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dollar amounts shown in these columns reflect CAP as calculated in accordance with SEC rules. As required, the dollar amounts include (among other items) values for unvested equity compensation that may or may not be realized in future periods, and as such, the dollar amounts shown do not necessarily represent the actual amount of compensation earned or paid during the applicable years.</w:t>
      </w:r>
    </w:p>
    <w:p>
      <w:pPr>
        <w:spacing w:after="0" w:line="17" w:lineRule="exact"/>
        <w:rPr>
          <w:rFonts w:ascii="Arial" w:cs="Arial" w:eastAsia="Arial" w:hAnsi="Arial"/>
          <w:sz w:val="18"/>
          <w:szCs w:val="18"/>
          <w:color w:val="auto"/>
        </w:rPr>
      </w:pPr>
    </w:p>
    <w:p>
      <w:pPr>
        <w:ind w:left="1620" w:right="600" w:hanging="360"/>
        <w:spacing w:after="0" w:line="262" w:lineRule="auto"/>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TSR figures assume an initial investment of $100 in PAA on December 31, 2019. The peer group referenced for purposes of the TSR comparison is the group of companies included in the Alerian Midstream Energy Index, which is the same index used for purposes of Item 201(e) of Regulation S-K.</w:t>
      </w:r>
    </w:p>
    <w:p>
      <w:pPr>
        <w:spacing w:after="0" w:line="109" w:lineRule="exact"/>
        <w:rPr>
          <w:sz w:val="20"/>
          <w:szCs w:val="20"/>
          <w:color w:val="auto"/>
        </w:rPr>
      </w:pPr>
    </w:p>
    <w:p>
      <w:pPr>
        <w:ind w:left="1260" w:right="620" w:firstLine="360"/>
        <w:spacing w:after="0" w:line="271" w:lineRule="auto"/>
        <w:rPr>
          <w:sz w:val="20"/>
          <w:szCs w:val="20"/>
          <w:color w:val="auto"/>
        </w:rPr>
      </w:pPr>
      <w:r>
        <w:rPr>
          <w:rFonts w:ascii="Arial" w:cs="Arial" w:eastAsia="Arial" w:hAnsi="Arial"/>
          <w:sz w:val="18"/>
          <w:szCs w:val="18"/>
          <w:color w:val="auto"/>
        </w:rPr>
        <w:t>The adjustments made to the Summary Compensation Table (“SCT”) amounts to determine CAP are shown in the tables below:</w:t>
      </w:r>
    </w:p>
    <w:p>
      <w:pPr>
        <w:spacing w:after="0" w:line="6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PEO — Reconciliation of SCT Total to CAP Total</w:t>
      </w:r>
      <w:r>
        <w:rPr>
          <w:rFonts w:ascii="Arial" w:cs="Arial" w:eastAsia="Arial" w:hAnsi="Arial"/>
          <w:sz w:val="26"/>
          <w:szCs w:val="26"/>
          <w:u w:val="single" w:color="auto"/>
          <w:color w:val="auto"/>
          <w:vertAlign w:val="superscript"/>
        </w:rPr>
        <w:t>(a)</w:t>
      </w:r>
    </w:p>
    <w:p>
      <w:pPr>
        <w:spacing w:after="0" w:line="159" w:lineRule="exact"/>
        <w:rPr>
          <w:sz w:val="20"/>
          <w:szCs w:val="20"/>
          <w:color w:val="auto"/>
        </w:rPr>
      </w:pPr>
    </w:p>
    <w:tbl>
      <w:tblPr>
        <w:tblLayout w:type="fixed"/>
        <w:tblInd w:w="1270" w:type="dxa"/>
        <w:tblCellMar>
          <w:top w:w="0" w:type="dxa"/>
          <w:left w:w="0" w:type="dxa"/>
          <w:bottom w:w="0" w:type="dxa"/>
          <w:right w:w="0" w:type="dxa"/>
        </w:tblCellMar>
      </w:tblPr>
      <w:tr>
        <w:trPr>
          <w:trHeight w:val="193"/>
        </w:trPr>
        <w:tc>
          <w:tcPr>
            <w:tcW w:w="1300" w:type="dxa"/>
            <w:vAlign w:val="bottom"/>
            <w:tcBorders>
              <w:left w:val="single" w:sz="8" w:color="424E6A"/>
            </w:tcBorders>
            <w:shd w:val="clear" w:color="auto" w:fill="424E6A"/>
          </w:tcPr>
          <w:p>
            <w:pPr>
              <w:spacing w:after="0"/>
              <w:rPr>
                <w:sz w:val="16"/>
                <w:szCs w:val="16"/>
                <w:color w:val="auto"/>
              </w:rPr>
            </w:pPr>
          </w:p>
        </w:tc>
        <w:tc>
          <w:tcPr>
            <w:tcW w:w="900" w:type="dxa"/>
            <w:vAlign w:val="bottom"/>
            <w:tcBorders>
              <w:right w:val="single" w:sz="8" w:color="424E6A"/>
            </w:tcBorders>
            <w:shd w:val="clear" w:color="auto" w:fill="424E6A"/>
          </w:tcPr>
          <w:p>
            <w:pPr>
              <w:spacing w:after="0"/>
              <w:rPr>
                <w:sz w:val="16"/>
                <w:szCs w:val="16"/>
                <w:color w:val="auto"/>
              </w:rPr>
            </w:pPr>
          </w:p>
        </w:tc>
        <w:tc>
          <w:tcPr>
            <w:tcW w:w="260" w:type="dxa"/>
            <w:vAlign w:val="bottom"/>
            <w:shd w:val="clear" w:color="auto" w:fill="424E6A"/>
          </w:tcPr>
          <w:p>
            <w:pPr>
              <w:spacing w:after="0"/>
              <w:rPr>
                <w:sz w:val="16"/>
                <w:szCs w:val="16"/>
                <w:color w:val="auto"/>
              </w:rPr>
            </w:pPr>
          </w:p>
        </w:tc>
        <w:tc>
          <w:tcPr>
            <w:tcW w:w="880" w:type="dxa"/>
            <w:vAlign w:val="bottom"/>
            <w:tcBorders>
              <w:right w:val="single" w:sz="8" w:color="424E6A"/>
            </w:tcBorders>
            <w:shd w:val="clear" w:color="auto" w:fill="424E6A"/>
          </w:tcPr>
          <w:p>
            <w:pPr>
              <w:spacing w:after="0"/>
              <w:rPr>
                <w:sz w:val="16"/>
                <w:szCs w:val="16"/>
                <w:color w:val="auto"/>
              </w:rPr>
            </w:pPr>
          </w:p>
        </w:tc>
        <w:tc>
          <w:tcPr>
            <w:tcW w:w="400" w:type="dxa"/>
            <w:vAlign w:val="bottom"/>
            <w:tcBorders>
              <w:right w:val="single" w:sz="8" w:color="424E6A"/>
            </w:tcBorders>
            <w:shd w:val="clear" w:color="auto" w:fill="424E6A"/>
          </w:tcPr>
          <w:p>
            <w:pPr>
              <w:spacing w:after="0"/>
              <w:rPr>
                <w:sz w:val="16"/>
                <w:szCs w:val="16"/>
                <w:color w:val="auto"/>
              </w:rPr>
            </w:pPr>
          </w:p>
        </w:tc>
        <w:tc>
          <w:tcPr>
            <w:tcW w:w="80" w:type="dxa"/>
            <w:vAlign w:val="bottom"/>
            <w:shd w:val="clear" w:color="auto" w:fill="424E6A"/>
          </w:tcPr>
          <w:p>
            <w:pPr>
              <w:spacing w:after="0"/>
              <w:rPr>
                <w:sz w:val="16"/>
                <w:szCs w:val="16"/>
                <w:color w:val="auto"/>
              </w:rPr>
            </w:pPr>
          </w:p>
        </w:tc>
        <w:tc>
          <w:tcPr>
            <w:tcW w:w="1560" w:type="dxa"/>
            <w:vAlign w:val="bottom"/>
            <w:gridSpan w:val="4"/>
            <w:shd w:val="clear" w:color="auto" w:fill="424E6A"/>
          </w:tcPr>
          <w:p>
            <w:pPr>
              <w:jc w:val="center"/>
              <w:ind w:right="162"/>
              <w:spacing w:after="0"/>
              <w:rPr>
                <w:sz w:val="20"/>
                <w:szCs w:val="20"/>
                <w:color w:val="auto"/>
              </w:rPr>
            </w:pPr>
            <w:r>
              <w:rPr>
                <w:rFonts w:ascii="Arial" w:cs="Arial" w:eastAsia="Arial" w:hAnsi="Arial"/>
                <w:sz w:val="14"/>
                <w:szCs w:val="14"/>
                <w:b w:val="1"/>
                <w:bCs w:val="1"/>
                <w:color w:val="FFFFFF"/>
              </w:rPr>
              <w:t>Grant Date Fair</w:t>
            </w:r>
          </w:p>
        </w:tc>
        <w:tc>
          <w:tcPr>
            <w:tcW w:w="200" w:type="dxa"/>
            <w:vAlign w:val="bottom"/>
            <w:shd w:val="clear" w:color="auto" w:fill="424E6A"/>
          </w:tcPr>
          <w:p>
            <w:pPr>
              <w:spacing w:after="0"/>
              <w:rPr>
                <w:sz w:val="16"/>
                <w:szCs w:val="16"/>
                <w:color w:val="auto"/>
              </w:rPr>
            </w:pPr>
          </w:p>
        </w:tc>
        <w:tc>
          <w:tcPr>
            <w:tcW w:w="880" w:type="dxa"/>
            <w:vAlign w:val="bottom"/>
            <w:shd w:val="clear" w:color="auto" w:fill="424E6A"/>
          </w:tcPr>
          <w:p>
            <w:pPr>
              <w:spacing w:after="0"/>
              <w:rPr>
                <w:sz w:val="16"/>
                <w:szCs w:val="16"/>
                <w:color w:val="auto"/>
              </w:rPr>
            </w:pPr>
          </w:p>
        </w:tc>
        <w:tc>
          <w:tcPr>
            <w:tcW w:w="140" w:type="dxa"/>
            <w:vAlign w:val="bottom"/>
            <w:tcBorders>
              <w:right w:val="single" w:sz="8" w:color="424E6A"/>
            </w:tcBorders>
            <w:shd w:val="clear" w:color="auto" w:fill="424E6A"/>
          </w:tcPr>
          <w:p>
            <w:pPr>
              <w:spacing w:after="0"/>
              <w:rPr>
                <w:sz w:val="16"/>
                <w:szCs w:val="16"/>
                <w:color w:val="auto"/>
              </w:rPr>
            </w:pPr>
          </w:p>
        </w:tc>
        <w:tc>
          <w:tcPr>
            <w:tcW w:w="280" w:type="dxa"/>
            <w:vAlign w:val="bottom"/>
            <w:shd w:val="clear" w:color="auto" w:fill="424E6A"/>
          </w:tcPr>
          <w:p>
            <w:pPr>
              <w:spacing w:after="0"/>
              <w:rPr>
                <w:sz w:val="16"/>
                <w:szCs w:val="16"/>
                <w:color w:val="auto"/>
              </w:rPr>
            </w:pPr>
          </w:p>
        </w:tc>
        <w:tc>
          <w:tcPr>
            <w:tcW w:w="140" w:type="dxa"/>
            <w:vAlign w:val="bottom"/>
            <w:tcBorders>
              <w:right w:val="single" w:sz="8" w:color="424E6A"/>
            </w:tcBorders>
            <w:shd w:val="clear" w:color="auto" w:fill="424E6A"/>
          </w:tcPr>
          <w:p>
            <w:pPr>
              <w:spacing w:after="0"/>
              <w:rPr>
                <w:sz w:val="16"/>
                <w:szCs w:val="16"/>
                <w:color w:val="auto"/>
              </w:rPr>
            </w:pPr>
          </w:p>
        </w:tc>
        <w:tc>
          <w:tcPr>
            <w:tcW w:w="240" w:type="dxa"/>
            <w:vAlign w:val="bottom"/>
            <w:shd w:val="clear" w:color="auto" w:fill="424E6A"/>
          </w:tcPr>
          <w:p>
            <w:pPr>
              <w:spacing w:after="0"/>
              <w:rPr>
                <w:sz w:val="16"/>
                <w:szCs w:val="16"/>
                <w:color w:val="auto"/>
              </w:rPr>
            </w:pPr>
          </w:p>
        </w:tc>
        <w:tc>
          <w:tcPr>
            <w:tcW w:w="960" w:type="dxa"/>
            <w:vAlign w:val="bottom"/>
            <w:tcBorders>
              <w:right w:val="single" w:sz="8" w:color="424E6A"/>
            </w:tcBorders>
            <w:shd w:val="clear" w:color="auto" w:fill="424E6A"/>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00" w:type="dxa"/>
            <w:vAlign w:val="bottom"/>
            <w:tcBorders>
              <w:left w:val="single" w:sz="8" w:color="424E6A"/>
            </w:tcBorders>
            <w:shd w:val="clear" w:color="auto" w:fill="424E6A"/>
          </w:tcPr>
          <w:p>
            <w:pPr>
              <w:spacing w:after="0"/>
              <w:rPr>
                <w:sz w:val="14"/>
                <w:szCs w:val="14"/>
                <w:color w:val="auto"/>
              </w:rPr>
            </w:pPr>
          </w:p>
        </w:tc>
        <w:tc>
          <w:tcPr>
            <w:tcW w:w="90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880" w:type="dxa"/>
            <w:vAlign w:val="bottom"/>
            <w:tcBorders>
              <w:right w:val="single" w:sz="8" w:color="424E6A"/>
            </w:tcBorders>
            <w:shd w:val="clear" w:color="auto" w:fill="424E6A"/>
          </w:tcPr>
          <w:p>
            <w:pPr>
              <w:spacing w:after="0"/>
              <w:rPr>
                <w:sz w:val="14"/>
                <w:szCs w:val="14"/>
                <w:color w:val="auto"/>
              </w:rPr>
            </w:pPr>
          </w:p>
        </w:tc>
        <w:tc>
          <w:tcPr>
            <w:tcW w:w="4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560" w:type="dxa"/>
            <w:vAlign w:val="bottom"/>
            <w:gridSpan w:val="4"/>
            <w:shd w:val="clear" w:color="auto" w:fill="424E6A"/>
          </w:tcPr>
          <w:p>
            <w:pPr>
              <w:jc w:val="center"/>
              <w:ind w:right="182"/>
              <w:spacing w:after="0"/>
              <w:rPr>
                <w:sz w:val="20"/>
                <w:szCs w:val="20"/>
                <w:color w:val="auto"/>
              </w:rPr>
            </w:pPr>
            <w:r>
              <w:rPr>
                <w:rFonts w:ascii="Arial" w:cs="Arial" w:eastAsia="Arial" w:hAnsi="Arial"/>
                <w:sz w:val="14"/>
                <w:szCs w:val="14"/>
                <w:b w:val="1"/>
                <w:bCs w:val="1"/>
                <w:color w:val="FFFFFF"/>
              </w:rPr>
              <w:t>Value of Awards</w:t>
            </w:r>
          </w:p>
        </w:tc>
        <w:tc>
          <w:tcPr>
            <w:tcW w:w="1500" w:type="dxa"/>
            <w:vAlign w:val="bottom"/>
            <w:gridSpan w:val="4"/>
            <w:shd w:val="clear" w:color="auto" w:fill="424E6A"/>
          </w:tcPr>
          <w:p>
            <w:pPr>
              <w:jc w:val="center"/>
              <w:spacing w:after="0"/>
              <w:rPr>
                <w:sz w:val="20"/>
                <w:szCs w:val="20"/>
                <w:color w:val="auto"/>
              </w:rPr>
            </w:pPr>
            <w:r>
              <w:rPr>
                <w:rFonts w:ascii="Arial" w:cs="Arial" w:eastAsia="Arial" w:hAnsi="Arial"/>
                <w:sz w:val="14"/>
                <w:szCs w:val="14"/>
                <w:b w:val="1"/>
                <w:bCs w:val="1"/>
                <w:color w:val="FFFFFF"/>
              </w:rPr>
              <w:t>Fair Value of Equity</w:t>
            </w:r>
          </w:p>
        </w:tc>
        <w:tc>
          <w:tcPr>
            <w:tcW w:w="14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Borders>
              <w:left w:val="single" w:sz="8" w:color="424E6A"/>
            </w:tcBorders>
            <w:vMerge w:val="restart"/>
            <w:shd w:val="clear" w:color="auto" w:fill="424E6A"/>
          </w:tcPr>
          <w:p>
            <w:pPr>
              <w:ind w:left="4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Year</w:t>
            </w:r>
          </w:p>
        </w:tc>
        <w:tc>
          <w:tcPr>
            <w:tcW w:w="90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880" w:type="dxa"/>
            <w:vAlign w:val="bottom"/>
            <w:tcBorders>
              <w:right w:val="single" w:sz="8" w:color="424E6A"/>
            </w:tcBorders>
            <w:vMerge w:val="restart"/>
            <w:shd w:val="clear" w:color="auto" w:fill="424E6A"/>
          </w:tcPr>
          <w:p>
            <w:pPr>
              <w:ind w:left="160"/>
              <w:spacing w:after="0"/>
              <w:rPr>
                <w:sz w:val="20"/>
                <w:szCs w:val="20"/>
                <w:color w:val="auto"/>
              </w:rPr>
            </w:pPr>
            <w:r>
              <w:rPr>
                <w:rFonts w:ascii="Arial" w:cs="Arial" w:eastAsia="Arial" w:hAnsi="Arial"/>
                <w:sz w:val="14"/>
                <w:szCs w:val="14"/>
                <w:b w:val="1"/>
                <w:bCs w:val="1"/>
                <w:color w:val="FFFFFF"/>
              </w:rPr>
              <w:t>SCT Total</w:t>
            </w:r>
          </w:p>
        </w:tc>
        <w:tc>
          <w:tcPr>
            <w:tcW w:w="4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560" w:type="dxa"/>
            <w:vAlign w:val="bottom"/>
            <w:gridSpan w:val="4"/>
            <w:shd w:val="clear" w:color="auto" w:fill="424E6A"/>
          </w:tcPr>
          <w:p>
            <w:pPr>
              <w:jc w:val="center"/>
              <w:ind w:right="182"/>
              <w:spacing w:after="0"/>
              <w:rPr>
                <w:sz w:val="20"/>
                <w:szCs w:val="20"/>
                <w:color w:val="auto"/>
              </w:rPr>
            </w:pPr>
            <w:r>
              <w:rPr>
                <w:rFonts w:ascii="Arial" w:cs="Arial" w:eastAsia="Arial" w:hAnsi="Arial"/>
                <w:sz w:val="14"/>
                <w:szCs w:val="14"/>
                <w:b w:val="1"/>
                <w:bCs w:val="1"/>
                <w:color w:val="FFFFFF"/>
              </w:rPr>
              <w:t>Granted During the</w:t>
            </w:r>
          </w:p>
        </w:tc>
        <w:tc>
          <w:tcPr>
            <w:tcW w:w="1500" w:type="dxa"/>
            <w:vAlign w:val="bottom"/>
            <w:gridSpan w:val="4"/>
            <w:shd w:val="clear" w:color="auto" w:fill="424E6A"/>
          </w:tcPr>
          <w:p>
            <w:pPr>
              <w:jc w:val="center"/>
              <w:spacing w:after="0"/>
              <w:rPr>
                <w:sz w:val="20"/>
                <w:szCs w:val="20"/>
                <w:color w:val="auto"/>
              </w:rPr>
            </w:pPr>
            <w:r>
              <w:rPr>
                <w:rFonts w:ascii="Arial" w:cs="Arial" w:eastAsia="Arial" w:hAnsi="Arial"/>
                <w:sz w:val="14"/>
                <w:szCs w:val="14"/>
                <w:b w:val="1"/>
                <w:bCs w:val="1"/>
                <w:color w:val="FFFFFF"/>
              </w:rPr>
              <w:t>Calculated Using SEC</w:t>
            </w:r>
          </w:p>
        </w:tc>
        <w:tc>
          <w:tcPr>
            <w:tcW w:w="14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960" w:type="dxa"/>
            <w:vAlign w:val="bottom"/>
            <w:tcBorders>
              <w:right w:val="single" w:sz="8" w:color="424E6A"/>
            </w:tcBorders>
            <w:vMerge w:val="restart"/>
            <w:shd w:val="clear" w:color="auto" w:fill="424E6A"/>
          </w:tcPr>
          <w:p>
            <w:pPr>
              <w:jc w:val="right"/>
              <w:ind w:right="176"/>
              <w:spacing w:after="0"/>
              <w:rPr>
                <w:sz w:val="20"/>
                <w:szCs w:val="20"/>
                <w:color w:val="auto"/>
              </w:rPr>
            </w:pPr>
            <w:r>
              <w:rPr>
                <w:rFonts w:ascii="Arial" w:cs="Arial" w:eastAsia="Arial" w:hAnsi="Arial"/>
                <w:sz w:val="14"/>
                <w:szCs w:val="14"/>
                <w:b w:val="1"/>
                <w:bCs w:val="1"/>
                <w:color w:val="FFFFFF"/>
              </w:rPr>
              <w:t>CAP Total</w:t>
            </w:r>
          </w:p>
        </w:tc>
        <w:tc>
          <w:tcPr>
            <w:tcW w:w="0" w:type="dxa"/>
            <w:vAlign w:val="bottom"/>
          </w:tcPr>
          <w:p>
            <w:pPr>
              <w:spacing w:after="0"/>
              <w:rPr>
                <w:sz w:val="1"/>
                <w:szCs w:val="1"/>
                <w:color w:val="auto"/>
              </w:rPr>
            </w:pPr>
          </w:p>
        </w:tc>
      </w:tr>
      <w:tr>
        <w:trPr>
          <w:trHeight w:val="212"/>
        </w:trPr>
        <w:tc>
          <w:tcPr>
            <w:tcW w:w="1300" w:type="dxa"/>
            <w:vAlign w:val="bottom"/>
            <w:tcBorders>
              <w:left w:val="single" w:sz="8" w:color="424E6A"/>
            </w:tcBorders>
            <w:vMerge w:val="continue"/>
            <w:shd w:val="clear" w:color="auto" w:fill="424E6A"/>
          </w:tcPr>
          <w:p>
            <w:pPr>
              <w:spacing w:after="0"/>
              <w:rPr>
                <w:sz w:val="18"/>
                <w:szCs w:val="18"/>
                <w:color w:val="auto"/>
              </w:rPr>
            </w:pPr>
          </w:p>
        </w:tc>
        <w:tc>
          <w:tcPr>
            <w:tcW w:w="1160" w:type="dxa"/>
            <w:vAlign w:val="bottom"/>
            <w:gridSpan w:val="2"/>
            <w:shd w:val="clear" w:color="auto" w:fill="424E6A"/>
          </w:tcPr>
          <w:p>
            <w:pPr>
              <w:ind w:left="840"/>
              <w:spacing w:after="0"/>
              <w:rPr>
                <w:sz w:val="20"/>
                <w:szCs w:val="20"/>
                <w:color w:val="auto"/>
              </w:rPr>
            </w:pPr>
            <w:r>
              <w:rPr>
                <w:rFonts w:ascii="Arial" w:cs="Arial" w:eastAsia="Arial" w:hAnsi="Arial"/>
                <w:sz w:val="14"/>
                <w:szCs w:val="14"/>
                <w:b w:val="1"/>
                <w:bCs w:val="1"/>
                <w:color w:val="FFFFFF"/>
              </w:rPr>
              <w:t>​ ​</w:t>
            </w:r>
          </w:p>
        </w:tc>
        <w:tc>
          <w:tcPr>
            <w:tcW w:w="880" w:type="dxa"/>
            <w:vAlign w:val="bottom"/>
            <w:tcBorders>
              <w:right w:val="single" w:sz="8" w:color="424E6A"/>
            </w:tcBorders>
            <w:vMerge w:val="continue"/>
            <w:shd w:val="clear" w:color="auto" w:fill="424E6A"/>
          </w:tcPr>
          <w:p>
            <w:pPr>
              <w:spacing w:after="0"/>
              <w:rPr>
                <w:sz w:val="18"/>
                <w:szCs w:val="18"/>
                <w:color w:val="auto"/>
              </w:rPr>
            </w:pPr>
          </w:p>
        </w:tc>
        <w:tc>
          <w:tcPr>
            <w:tcW w:w="480" w:type="dxa"/>
            <w:vAlign w:val="bottom"/>
            <w:gridSpan w:val="2"/>
            <w:shd w:val="clear" w:color="auto" w:fill="424E6A"/>
          </w:tcPr>
          <w:p>
            <w:pPr>
              <w:ind w:left="320"/>
              <w:spacing w:after="0"/>
              <w:rPr>
                <w:sz w:val="20"/>
                <w:szCs w:val="20"/>
                <w:color w:val="auto"/>
              </w:rPr>
            </w:pPr>
            <w:r>
              <w:rPr>
                <w:rFonts w:ascii="Arial" w:cs="Arial" w:eastAsia="Arial" w:hAnsi="Arial"/>
                <w:sz w:val="14"/>
                <w:szCs w:val="14"/>
                <w:b w:val="1"/>
                <w:bCs w:val="1"/>
                <w:color w:val="FFFFFF"/>
              </w:rPr>
              <w:t>​ ​</w:t>
            </w:r>
          </w:p>
        </w:tc>
        <w:tc>
          <w:tcPr>
            <w:tcW w:w="960" w:type="dxa"/>
            <w:vAlign w:val="bottom"/>
            <w:shd w:val="clear" w:color="auto" w:fill="424E6A"/>
          </w:tcPr>
          <w:p>
            <w:pPr>
              <w:jc w:val="center"/>
              <w:ind w:left="308"/>
              <w:spacing w:after="0"/>
              <w:rPr>
                <w:sz w:val="20"/>
                <w:szCs w:val="20"/>
                <w:color w:val="auto"/>
              </w:rPr>
            </w:pPr>
            <w:r>
              <w:rPr>
                <w:rFonts w:ascii="Arial" w:cs="Arial" w:eastAsia="Arial" w:hAnsi="Arial"/>
                <w:sz w:val="14"/>
                <w:szCs w:val="14"/>
                <w:b w:val="1"/>
                <w:bCs w:val="1"/>
                <w:color w:val="FFFFFF"/>
                <w:w w:val="98"/>
              </w:rPr>
              <w:t>Year</w:t>
            </w:r>
          </w:p>
        </w:tc>
        <w:tc>
          <w:tcPr>
            <w:tcW w:w="120" w:type="dxa"/>
            <w:vAlign w:val="bottom"/>
            <w:tcBorders>
              <w:right w:val="single" w:sz="8" w:color="424E6A"/>
            </w:tcBorders>
            <w:shd w:val="clear" w:color="auto" w:fill="424E6A"/>
          </w:tcPr>
          <w:p>
            <w:pPr>
              <w:spacing w:after="0"/>
              <w:rPr>
                <w:sz w:val="18"/>
                <w:szCs w:val="18"/>
                <w:color w:val="auto"/>
              </w:rPr>
            </w:pPr>
          </w:p>
        </w:tc>
        <w:tc>
          <w:tcPr>
            <w:tcW w:w="480" w:type="dxa"/>
            <w:vAlign w:val="bottom"/>
            <w:gridSpan w:val="2"/>
            <w:shd w:val="clear" w:color="auto" w:fill="424E6A"/>
          </w:tcPr>
          <w:p>
            <w:pPr>
              <w:ind w:left="320"/>
              <w:spacing w:after="0"/>
              <w:rPr>
                <w:sz w:val="20"/>
                <w:szCs w:val="20"/>
                <w:color w:val="auto"/>
              </w:rPr>
            </w:pPr>
            <w:r>
              <w:rPr>
                <w:rFonts w:ascii="Arial" w:cs="Arial" w:eastAsia="Arial" w:hAnsi="Arial"/>
                <w:sz w:val="14"/>
                <w:szCs w:val="14"/>
                <w:b w:val="1"/>
                <w:bCs w:val="1"/>
                <w:color w:val="FFFFFF"/>
              </w:rPr>
              <w:t>​ ​</w:t>
            </w:r>
          </w:p>
        </w:tc>
        <w:tc>
          <w:tcPr>
            <w:tcW w:w="200" w:type="dxa"/>
            <w:vAlign w:val="bottom"/>
            <w:shd w:val="clear" w:color="auto" w:fill="424E6A"/>
          </w:tcPr>
          <w:p>
            <w:pPr>
              <w:spacing w:after="0"/>
              <w:rPr>
                <w:sz w:val="18"/>
                <w:szCs w:val="18"/>
                <w:color w:val="auto"/>
              </w:rPr>
            </w:pPr>
          </w:p>
        </w:tc>
        <w:tc>
          <w:tcPr>
            <w:tcW w:w="1300" w:type="dxa"/>
            <w:vAlign w:val="bottom"/>
            <w:gridSpan w:val="3"/>
            <w:shd w:val="clear" w:color="auto" w:fill="424E6A"/>
          </w:tcPr>
          <w:p>
            <w:pPr>
              <w:jc w:val="center"/>
              <w:ind w:right="102"/>
              <w:spacing w:after="0"/>
              <w:rPr>
                <w:sz w:val="20"/>
                <w:szCs w:val="20"/>
                <w:color w:val="auto"/>
              </w:rPr>
            </w:pPr>
            <w:r>
              <w:rPr>
                <w:rFonts w:ascii="Arial" w:cs="Arial" w:eastAsia="Arial" w:hAnsi="Arial"/>
                <w:sz w:val="14"/>
                <w:szCs w:val="14"/>
                <w:b w:val="1"/>
                <w:bCs w:val="1"/>
                <w:color w:val="FFFFFF"/>
              </w:rPr>
              <w:t>Methodology</w:t>
            </w:r>
          </w:p>
        </w:tc>
        <w:tc>
          <w:tcPr>
            <w:tcW w:w="380" w:type="dxa"/>
            <w:vAlign w:val="bottom"/>
            <w:gridSpan w:val="2"/>
            <w:shd w:val="clear" w:color="auto" w:fill="424E6A"/>
          </w:tcPr>
          <w:p>
            <w:pPr>
              <w:ind w:left="80"/>
              <w:spacing w:after="0"/>
              <w:rPr>
                <w:sz w:val="20"/>
                <w:szCs w:val="20"/>
                <w:color w:val="auto"/>
              </w:rPr>
            </w:pPr>
            <w:r>
              <w:rPr>
                <w:rFonts w:ascii="Arial" w:cs="Arial" w:eastAsia="Arial" w:hAnsi="Arial"/>
                <w:sz w:val="14"/>
                <w:szCs w:val="14"/>
                <w:b w:val="1"/>
                <w:bCs w:val="1"/>
                <w:color w:val="FFFFFF"/>
              </w:rPr>
              <w:t>​ ​</w:t>
            </w:r>
          </w:p>
        </w:tc>
        <w:tc>
          <w:tcPr>
            <w:tcW w:w="960" w:type="dxa"/>
            <w:vAlign w:val="bottom"/>
            <w:tcBorders>
              <w:right w:val="single" w:sz="8" w:color="424E6A"/>
            </w:tcBorders>
            <w:vMerge w:val="continue"/>
            <w:shd w:val="clear" w:color="auto" w:fill="424E6A"/>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00" w:type="dxa"/>
            <w:vAlign w:val="bottom"/>
            <w:tcBorders>
              <w:left w:val="single" w:sz="8" w:color="424E6A"/>
              <w:bottom w:val="single" w:sz="8" w:color="424E6A"/>
            </w:tcBorders>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2022</w:t>
            </w:r>
          </w:p>
        </w:tc>
        <w:tc>
          <w:tcPr>
            <w:tcW w:w="900" w:type="dxa"/>
            <w:vAlign w:val="bottom"/>
            <w:tcBorders>
              <w:bottom w:val="single" w:sz="8" w:color="424E6A"/>
              <w:right w:val="single" w:sz="8" w:color="424E6A"/>
            </w:tcBorders>
            <w:shd w:val="clear" w:color="auto" w:fill="D9DCE1"/>
          </w:tcPr>
          <w:p>
            <w:pPr>
              <w:ind w:left="8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24E6A"/>
              <w:right w:val="single" w:sz="8" w:color="424E6A"/>
            </w:tcBorders>
            <w:gridSpan w:val="2"/>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highlight w:val="lightGray"/>
              </w:rPr>
              <w:t xml:space="preserve">$8,296,140 </w:t>
            </w:r>
            <w:r>
              <w:rPr>
                <w:rFonts w:ascii="Arial" w:cs="Arial" w:eastAsia="Arial" w:hAnsi="Arial"/>
                <w:sz w:val="29"/>
                <w:szCs w:val="29"/>
                <w:color w:val="auto"/>
                <w:highlight w:val="lightGray"/>
                <w:vertAlign w:val="subscript"/>
              </w:rPr>
              <w:t>​</w:t>
            </w:r>
          </w:p>
        </w:tc>
        <w:tc>
          <w:tcPr>
            <w:tcW w:w="400" w:type="dxa"/>
            <w:vAlign w:val="bottom"/>
            <w:tcBorders>
              <w:bottom w:val="single" w:sz="8" w:color="424E6A"/>
              <w:right w:val="single" w:sz="8" w:color="424E6A"/>
            </w:tcBorders>
            <w:shd w:val="clear" w:color="auto" w:fill="D9DCE1"/>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040" w:type="dxa"/>
            <w:vAlign w:val="bottom"/>
            <w:tcBorders>
              <w:bottom w:val="single" w:sz="8" w:color="424E6A"/>
            </w:tcBorders>
            <w:gridSpan w:val="2"/>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highlight w:val="lightGray"/>
              </w:rPr>
              <w:t>$3,927,000</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highlight w:val="lightGray"/>
              </w:rPr>
              <w:t>​​</w:t>
            </w:r>
          </w:p>
        </w:tc>
        <w:tc>
          <w:tcPr>
            <w:tcW w:w="380" w:type="dxa"/>
            <w:vAlign w:val="bottom"/>
            <w:tcBorders>
              <w:bottom w:val="single" w:sz="8" w:color="424E6A"/>
              <w:right w:val="single" w:sz="8" w:color="424E6A"/>
            </w:tcBorders>
            <w:shd w:val="clear" w:color="auto" w:fill="D9DCE1"/>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180" w:type="dxa"/>
            <w:vAlign w:val="bottom"/>
            <w:tcBorders>
              <w:bottom w:val="single" w:sz="8" w:color="424E6A"/>
            </w:tcBorders>
            <w:gridSpan w:val="3"/>
            <w:shd w:val="clear" w:color="auto" w:fill="D9DCE1"/>
          </w:tcPr>
          <w:p>
            <w:pPr>
              <w:jc w:val="right"/>
              <w:spacing w:after="0" w:line="256"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6"/>
                <w:szCs w:val="16"/>
                <w:color w:val="auto"/>
              </w:rPr>
              <w:t>$10,090,570</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shd w:val="clear" w:color="auto" w:fill="D9DCE1"/>
          </w:tcPr>
          <w:p>
            <w:pPr>
              <w:ind w:left="40"/>
              <w:spacing w:after="0" w:line="256" w:lineRule="exact"/>
              <w:rPr>
                <w:sz w:val="20"/>
                <w:szCs w:val="20"/>
                <w:color w:val="auto"/>
              </w:rPr>
            </w:pPr>
            <w:r>
              <w:rPr>
                <w:rFonts w:ascii="Arial" w:cs="Arial" w:eastAsia="Arial" w:hAnsi="Arial"/>
                <w:sz w:val="16"/>
                <w:szCs w:val="16"/>
                <w:color w:val="auto"/>
              </w:rPr>
              <w:t>​ ​</w:t>
            </w:r>
            <w:r>
              <w:rPr>
                <w:rFonts w:ascii="Arial" w:cs="Arial" w:eastAsia="Arial" w:hAnsi="Arial"/>
                <w:sz w:val="29"/>
                <w:szCs w:val="29"/>
                <w:color w:val="auto"/>
                <w:vertAlign w:val="superscript"/>
              </w:rPr>
              <w:t>=</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24E6A"/>
              <w:right w:val="single" w:sz="8" w:color="424E6A"/>
            </w:tcBorders>
            <w:gridSpan w:val="2"/>
            <w:shd w:val="clear" w:color="auto" w:fill="D9DCE1"/>
          </w:tcPr>
          <w:p>
            <w:pPr>
              <w:jc w:val="right"/>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highlight w:val="lightGray"/>
              </w:rPr>
              <w:t>$14,459,710</w:t>
            </w:r>
          </w:p>
        </w:tc>
        <w:tc>
          <w:tcPr>
            <w:tcW w:w="0" w:type="dxa"/>
            <w:vAlign w:val="bottom"/>
          </w:tcPr>
          <w:p>
            <w:pPr>
              <w:spacing w:after="0"/>
              <w:rPr>
                <w:sz w:val="1"/>
                <w:szCs w:val="1"/>
                <w:color w:val="auto"/>
              </w:rPr>
            </w:pPr>
          </w:p>
        </w:tc>
      </w:tr>
      <w:tr>
        <w:trPr>
          <w:trHeight w:val="250"/>
        </w:trPr>
        <w:tc>
          <w:tcPr>
            <w:tcW w:w="130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2021</w:t>
            </w:r>
          </w:p>
        </w:tc>
        <w:tc>
          <w:tcPr>
            <w:tcW w:w="900" w:type="dxa"/>
            <w:vAlign w:val="bottom"/>
            <w:tcBorders>
              <w:bottom w:val="single" w:sz="8" w:color="424E6A"/>
              <w:right w:val="single" w:sz="8" w:color="424E6A"/>
            </w:tcBorders>
          </w:tcPr>
          <w:p>
            <w:pPr>
              <w:ind w:left="8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24E6A"/>
              <w:right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$4,392,210 </w:t>
            </w:r>
            <w:r>
              <w:rPr>
                <w:rFonts w:ascii="Arial" w:cs="Arial" w:eastAsia="Arial" w:hAnsi="Arial"/>
                <w:sz w:val="28"/>
                <w:szCs w:val="28"/>
                <w:color w:val="auto"/>
                <w:vertAlign w:val="subscript"/>
              </w:rPr>
              <w:t>​</w:t>
            </w:r>
          </w:p>
        </w:tc>
        <w:tc>
          <w:tcPr>
            <w:tcW w:w="400" w:type="dxa"/>
            <w:vAlign w:val="bottom"/>
            <w:tcBorders>
              <w:bottom w:val="single" w:sz="8" w:color="424E6A"/>
              <w:right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040" w:type="dxa"/>
            <w:vAlign w:val="bottom"/>
            <w:tcBorders>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$2,053,850</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424E6A"/>
              <w:right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300" w:type="dxa"/>
            <w:vAlign w:val="bottom"/>
            <w:tcBorders>
              <w:bottom w:val="single" w:sz="8" w:color="424E6A"/>
            </w:tcBorders>
            <w:gridSpan w:val="2"/>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8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2,454,523</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6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4,792,883</w:t>
            </w:r>
          </w:p>
        </w:tc>
        <w:tc>
          <w:tcPr>
            <w:tcW w:w="0" w:type="dxa"/>
            <w:vAlign w:val="bottom"/>
          </w:tcPr>
          <w:p>
            <w:pPr>
              <w:spacing w:after="0"/>
              <w:rPr>
                <w:sz w:val="1"/>
                <w:szCs w:val="1"/>
                <w:color w:val="auto"/>
              </w:rPr>
            </w:pPr>
          </w:p>
        </w:tc>
      </w:tr>
      <w:tr>
        <w:trPr>
          <w:trHeight w:val="250"/>
        </w:trPr>
        <w:tc>
          <w:tcPr>
            <w:tcW w:w="130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2020</w:t>
            </w:r>
          </w:p>
        </w:tc>
        <w:tc>
          <w:tcPr>
            <w:tcW w:w="900" w:type="dxa"/>
            <w:vAlign w:val="bottom"/>
            <w:tcBorders>
              <w:bottom w:val="single" w:sz="8" w:color="424E6A"/>
              <w:right w:val="single" w:sz="8" w:color="424E6A"/>
            </w:tcBorders>
            <w:shd w:val="clear" w:color="auto" w:fill="D9DCE1"/>
          </w:tcPr>
          <w:p>
            <w:pPr>
              <w:ind w:left="8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24E6A"/>
              <w:right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 xml:space="preserve">$4,290,241 </w:t>
            </w:r>
            <w:r>
              <w:rPr>
                <w:rFonts w:ascii="Arial" w:cs="Arial" w:eastAsia="Arial" w:hAnsi="Arial"/>
                <w:sz w:val="28"/>
                <w:szCs w:val="28"/>
                <w:color w:val="auto"/>
                <w:highlight w:val="lightGray"/>
                <w:vertAlign w:val="subscript"/>
              </w:rPr>
              <w:t>​</w:t>
            </w:r>
          </w:p>
        </w:tc>
        <w:tc>
          <w:tcPr>
            <w:tcW w:w="400" w:type="dxa"/>
            <w:vAlign w:val="bottom"/>
            <w:tcBorders>
              <w:bottom w:val="single" w:sz="8" w:color="424E6A"/>
              <w:right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040" w:type="dxa"/>
            <w:vAlign w:val="bottom"/>
            <w:tcBorders>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$2,247,181</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highlight w:val="lightGray"/>
              </w:rPr>
              <w:t>​​</w:t>
            </w:r>
          </w:p>
        </w:tc>
        <w:tc>
          <w:tcPr>
            <w:tcW w:w="380" w:type="dxa"/>
            <w:vAlign w:val="bottom"/>
            <w:tcBorders>
              <w:bottom w:val="single" w:sz="8" w:color="424E6A"/>
              <w:right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300" w:type="dxa"/>
            <w:vAlign w:val="bottom"/>
            <w:tcBorders>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8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358,689</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2,401,749</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620" w:right="480" w:hanging="360"/>
        <w:spacing w:after="0" w:line="259" w:lineRule="auto"/>
        <w:tabs>
          <w:tab w:leader="none" w:pos="1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shown in the table, the CAP totals represent the SCT totals for the applicable year, but adjusted as required by SEC rules to replace the grant date fair value of awards granted during the applicable year with the fair value of current and prior year equity awards that are outstanding, vested or forfeited during the applicable year. Our NEOs do not participate in a defined benefit plan; therefore, no adjustment for pension benefits is included.</w:t>
      </w:r>
    </w:p>
    <w:p>
      <w:pPr>
        <w:spacing w:after="0" w:line="98"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The specific calculations for the PEO for the relevant years are shown in the table below:</w:t>
      </w:r>
    </w:p>
    <w:p>
      <w:pPr>
        <w:spacing w:after="0" w:line="12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PEO — CAP Fair Value of Equity Calculation</w:t>
      </w:r>
      <w:r>
        <w:rPr>
          <w:rFonts w:ascii="Arial" w:cs="Arial" w:eastAsia="Arial" w:hAnsi="Arial"/>
          <w:sz w:val="26"/>
          <w:szCs w:val="26"/>
          <w:u w:val="single" w:color="auto"/>
          <w:color w:val="auto"/>
          <w:vertAlign w:val="superscript"/>
        </w:rPr>
        <w:t>(a)</w:t>
      </w:r>
    </w:p>
    <w:p>
      <w:pPr>
        <w:spacing w:after="0" w:line="159" w:lineRule="exact"/>
        <w:rPr>
          <w:sz w:val="20"/>
          <w:szCs w:val="20"/>
          <w:color w:val="auto"/>
        </w:rPr>
      </w:pPr>
    </w:p>
    <w:tbl>
      <w:tblPr>
        <w:tblLayout w:type="fixed"/>
        <w:tblInd w:w="1270" w:type="dxa"/>
        <w:tblCellMar>
          <w:top w:w="0" w:type="dxa"/>
          <w:left w:w="0" w:type="dxa"/>
          <w:bottom w:w="0" w:type="dxa"/>
          <w:right w:w="0" w:type="dxa"/>
        </w:tblCellMar>
      </w:tblPr>
      <w:tr>
        <w:trPr>
          <w:trHeight w:val="193"/>
        </w:trPr>
        <w:tc>
          <w:tcPr>
            <w:tcW w:w="840" w:type="dxa"/>
            <w:vAlign w:val="bottom"/>
            <w:tcBorders>
              <w:left w:val="single" w:sz="8" w:color="424E6A"/>
            </w:tcBorders>
            <w:shd w:val="clear" w:color="auto" w:fill="424E6A"/>
          </w:tcPr>
          <w:p>
            <w:pPr>
              <w:spacing w:after="0"/>
              <w:rPr>
                <w:sz w:val="16"/>
                <w:szCs w:val="16"/>
                <w:color w:val="auto"/>
              </w:rPr>
            </w:pPr>
          </w:p>
        </w:tc>
        <w:tc>
          <w:tcPr>
            <w:tcW w:w="440" w:type="dxa"/>
            <w:vAlign w:val="bottom"/>
            <w:tcBorders>
              <w:right w:val="single" w:sz="8" w:color="424E6A"/>
            </w:tcBorders>
            <w:shd w:val="clear" w:color="auto" w:fill="424E6A"/>
          </w:tcPr>
          <w:p>
            <w:pPr>
              <w:spacing w:after="0"/>
              <w:rPr>
                <w:sz w:val="16"/>
                <w:szCs w:val="16"/>
                <w:color w:val="auto"/>
              </w:rPr>
            </w:pPr>
          </w:p>
        </w:tc>
        <w:tc>
          <w:tcPr>
            <w:tcW w:w="1080" w:type="dxa"/>
            <w:vAlign w:val="bottom"/>
            <w:shd w:val="clear" w:color="auto" w:fill="424E6A"/>
          </w:tcPr>
          <w:p>
            <w:pPr>
              <w:spacing w:after="0"/>
              <w:rPr>
                <w:sz w:val="16"/>
                <w:szCs w:val="16"/>
                <w:color w:val="auto"/>
              </w:rPr>
            </w:pPr>
          </w:p>
        </w:tc>
        <w:tc>
          <w:tcPr>
            <w:tcW w:w="140" w:type="dxa"/>
            <w:vAlign w:val="bottom"/>
            <w:tcBorders>
              <w:right w:val="single" w:sz="8" w:color="424E6A"/>
            </w:tcBorders>
            <w:shd w:val="clear" w:color="auto" w:fill="424E6A"/>
          </w:tcPr>
          <w:p>
            <w:pPr>
              <w:spacing w:after="0"/>
              <w:rPr>
                <w:sz w:val="16"/>
                <w:szCs w:val="16"/>
                <w:color w:val="auto"/>
              </w:rPr>
            </w:pPr>
          </w:p>
        </w:tc>
        <w:tc>
          <w:tcPr>
            <w:tcW w:w="320" w:type="dxa"/>
            <w:vAlign w:val="bottom"/>
            <w:shd w:val="clear" w:color="auto" w:fill="424E6A"/>
          </w:tcPr>
          <w:p>
            <w:pPr>
              <w:spacing w:after="0"/>
              <w:rPr>
                <w:sz w:val="16"/>
                <w:szCs w:val="16"/>
                <w:color w:val="auto"/>
              </w:rPr>
            </w:pPr>
          </w:p>
        </w:tc>
        <w:tc>
          <w:tcPr>
            <w:tcW w:w="120" w:type="dxa"/>
            <w:vAlign w:val="bottom"/>
            <w:tcBorders>
              <w:right w:val="single" w:sz="8" w:color="424E6A"/>
            </w:tcBorders>
            <w:shd w:val="clear" w:color="auto" w:fill="424E6A"/>
          </w:tcPr>
          <w:p>
            <w:pPr>
              <w:spacing w:after="0"/>
              <w:rPr>
                <w:sz w:val="16"/>
                <w:szCs w:val="16"/>
                <w:color w:val="auto"/>
              </w:rPr>
            </w:pPr>
          </w:p>
        </w:tc>
        <w:tc>
          <w:tcPr>
            <w:tcW w:w="220" w:type="dxa"/>
            <w:vAlign w:val="bottom"/>
            <w:shd w:val="clear" w:color="auto" w:fill="424E6A"/>
          </w:tcPr>
          <w:p>
            <w:pPr>
              <w:spacing w:after="0"/>
              <w:rPr>
                <w:sz w:val="16"/>
                <w:szCs w:val="16"/>
                <w:color w:val="auto"/>
              </w:rPr>
            </w:pPr>
          </w:p>
        </w:tc>
        <w:tc>
          <w:tcPr>
            <w:tcW w:w="900" w:type="dxa"/>
            <w:vAlign w:val="bottom"/>
            <w:tcBorders>
              <w:right w:val="single" w:sz="8" w:color="424E6A"/>
            </w:tcBorders>
            <w:shd w:val="clear" w:color="auto" w:fill="424E6A"/>
          </w:tcPr>
          <w:p>
            <w:pPr>
              <w:spacing w:after="0"/>
              <w:rPr>
                <w:sz w:val="16"/>
                <w:szCs w:val="16"/>
                <w:color w:val="auto"/>
              </w:rPr>
            </w:pPr>
          </w:p>
        </w:tc>
        <w:tc>
          <w:tcPr>
            <w:tcW w:w="160" w:type="dxa"/>
            <w:vAlign w:val="bottom"/>
            <w:shd w:val="clear" w:color="auto" w:fill="424E6A"/>
          </w:tcPr>
          <w:p>
            <w:pPr>
              <w:spacing w:after="0"/>
              <w:rPr>
                <w:sz w:val="16"/>
                <w:szCs w:val="16"/>
                <w:color w:val="auto"/>
              </w:rPr>
            </w:pPr>
          </w:p>
        </w:tc>
        <w:tc>
          <w:tcPr>
            <w:tcW w:w="160" w:type="dxa"/>
            <w:vAlign w:val="bottom"/>
            <w:tcBorders>
              <w:right w:val="single" w:sz="8" w:color="424E6A"/>
            </w:tcBorders>
            <w:shd w:val="clear" w:color="auto" w:fill="424E6A"/>
          </w:tcPr>
          <w:p>
            <w:pPr>
              <w:spacing w:after="0"/>
              <w:rPr>
                <w:sz w:val="16"/>
                <w:szCs w:val="16"/>
                <w:color w:val="auto"/>
              </w:rPr>
            </w:pPr>
          </w:p>
        </w:tc>
        <w:tc>
          <w:tcPr>
            <w:tcW w:w="122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40" w:type="dxa"/>
            <w:vAlign w:val="bottom"/>
            <w:tcBorders>
              <w:right w:val="single" w:sz="8" w:color="424E6A"/>
            </w:tcBorders>
            <w:shd w:val="clear" w:color="auto" w:fill="424E6A"/>
          </w:tcPr>
          <w:p>
            <w:pPr>
              <w:spacing w:after="0"/>
              <w:rPr>
                <w:sz w:val="16"/>
                <w:szCs w:val="16"/>
                <w:color w:val="auto"/>
              </w:rPr>
            </w:pPr>
          </w:p>
        </w:tc>
        <w:tc>
          <w:tcPr>
            <w:tcW w:w="200" w:type="dxa"/>
            <w:vAlign w:val="bottom"/>
            <w:shd w:val="clear" w:color="auto" w:fill="424E6A"/>
          </w:tcPr>
          <w:p>
            <w:pPr>
              <w:spacing w:after="0"/>
              <w:rPr>
                <w:sz w:val="16"/>
                <w:szCs w:val="16"/>
                <w:color w:val="auto"/>
              </w:rPr>
            </w:pPr>
          </w:p>
        </w:tc>
        <w:tc>
          <w:tcPr>
            <w:tcW w:w="680" w:type="dxa"/>
            <w:vAlign w:val="bottom"/>
            <w:shd w:val="clear" w:color="auto" w:fill="424E6A"/>
          </w:tcPr>
          <w:p>
            <w:pPr>
              <w:spacing w:after="0"/>
              <w:rPr>
                <w:sz w:val="16"/>
                <w:szCs w:val="16"/>
                <w:color w:val="auto"/>
              </w:rPr>
            </w:pPr>
          </w:p>
        </w:tc>
        <w:tc>
          <w:tcPr>
            <w:tcW w:w="100" w:type="dxa"/>
            <w:vAlign w:val="bottom"/>
            <w:tcBorders>
              <w:right w:val="single" w:sz="8" w:color="424E6A"/>
            </w:tcBorders>
            <w:shd w:val="clear" w:color="auto" w:fill="424E6A"/>
          </w:tcPr>
          <w:p>
            <w:pPr>
              <w:spacing w:after="0"/>
              <w:rPr>
                <w:sz w:val="16"/>
                <w:szCs w:val="16"/>
                <w:color w:val="auto"/>
              </w:rPr>
            </w:pPr>
          </w:p>
        </w:tc>
        <w:tc>
          <w:tcPr>
            <w:tcW w:w="140" w:type="dxa"/>
            <w:vAlign w:val="bottom"/>
            <w:shd w:val="clear" w:color="auto" w:fill="424E6A"/>
          </w:tcPr>
          <w:p>
            <w:pPr>
              <w:spacing w:after="0"/>
              <w:rPr>
                <w:sz w:val="16"/>
                <w:szCs w:val="16"/>
                <w:color w:val="auto"/>
              </w:rPr>
            </w:pPr>
          </w:p>
        </w:tc>
        <w:tc>
          <w:tcPr>
            <w:tcW w:w="160" w:type="dxa"/>
            <w:vAlign w:val="bottom"/>
            <w:tcBorders>
              <w:right w:val="single" w:sz="8" w:color="424E6A"/>
            </w:tcBorders>
            <w:shd w:val="clear" w:color="auto" w:fill="424E6A"/>
          </w:tcPr>
          <w:p>
            <w:pPr>
              <w:spacing w:after="0"/>
              <w:rPr>
                <w:sz w:val="16"/>
                <w:szCs w:val="16"/>
                <w:color w:val="auto"/>
              </w:rPr>
            </w:pPr>
          </w:p>
        </w:tc>
        <w:tc>
          <w:tcPr>
            <w:tcW w:w="240" w:type="dxa"/>
            <w:vAlign w:val="bottom"/>
            <w:shd w:val="clear" w:color="auto" w:fill="424E6A"/>
          </w:tcPr>
          <w:p>
            <w:pPr>
              <w:spacing w:after="0"/>
              <w:rPr>
                <w:sz w:val="16"/>
                <w:szCs w:val="16"/>
                <w:color w:val="auto"/>
              </w:rPr>
            </w:pPr>
          </w:p>
        </w:tc>
        <w:tc>
          <w:tcPr>
            <w:tcW w:w="960" w:type="dxa"/>
            <w:vAlign w:val="bottom"/>
            <w:tcBorders>
              <w:right w:val="single" w:sz="8" w:color="424E6A"/>
            </w:tcBorders>
            <w:shd w:val="clear" w:color="auto" w:fill="424E6A"/>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40" w:type="dxa"/>
            <w:vAlign w:val="bottom"/>
            <w:tcBorders>
              <w:left w:val="single" w:sz="8" w:color="424E6A"/>
            </w:tcBorders>
            <w:shd w:val="clear" w:color="auto" w:fill="424E6A"/>
          </w:tcPr>
          <w:p>
            <w:pPr>
              <w:spacing w:after="0"/>
              <w:rPr>
                <w:sz w:val="14"/>
                <w:szCs w:val="14"/>
                <w:color w:val="auto"/>
              </w:rPr>
            </w:pPr>
          </w:p>
        </w:tc>
        <w:tc>
          <w:tcPr>
            <w:tcW w:w="440" w:type="dxa"/>
            <w:vAlign w:val="bottom"/>
            <w:tcBorders>
              <w:right w:val="single" w:sz="8" w:color="424E6A"/>
            </w:tcBorders>
            <w:shd w:val="clear" w:color="auto" w:fill="424E6A"/>
          </w:tcPr>
          <w:p>
            <w:pPr>
              <w:spacing w:after="0"/>
              <w:rPr>
                <w:sz w:val="14"/>
                <w:szCs w:val="14"/>
                <w:color w:val="auto"/>
              </w:rPr>
            </w:pPr>
          </w:p>
        </w:tc>
        <w:tc>
          <w:tcPr>
            <w:tcW w:w="108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1280" w:type="dxa"/>
            <w:vAlign w:val="bottom"/>
            <w:gridSpan w:val="3"/>
            <w:shd w:val="clear" w:color="auto" w:fill="424E6A"/>
          </w:tcPr>
          <w:p>
            <w:pPr>
              <w:jc w:val="center"/>
              <w:ind w:left="5"/>
              <w:spacing w:after="0"/>
              <w:rPr>
                <w:sz w:val="20"/>
                <w:szCs w:val="20"/>
                <w:color w:val="auto"/>
              </w:rPr>
            </w:pPr>
            <w:r>
              <w:rPr>
                <w:rFonts w:ascii="Arial" w:cs="Arial" w:eastAsia="Arial" w:hAnsi="Arial"/>
                <w:sz w:val="14"/>
                <w:szCs w:val="14"/>
                <w:b w:val="1"/>
                <w:bCs w:val="1"/>
                <w:color w:val="FFFFFF"/>
              </w:rPr>
              <w:t>Change in Fair</w:t>
            </w:r>
          </w:p>
        </w:tc>
        <w:tc>
          <w:tcPr>
            <w:tcW w:w="16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ind w:right="82"/>
              <w:spacing w:after="0"/>
              <w:rPr>
                <w:sz w:val="20"/>
                <w:szCs w:val="20"/>
                <w:color w:val="auto"/>
              </w:rPr>
            </w:pPr>
            <w:r>
              <w:rPr>
                <w:rFonts w:ascii="Arial" w:cs="Arial" w:eastAsia="Arial" w:hAnsi="Arial"/>
                <w:sz w:val="14"/>
                <w:szCs w:val="14"/>
                <w:b w:val="1"/>
                <w:bCs w:val="1"/>
                <w:color w:val="FFFFFF"/>
              </w:rPr>
              <w:t>Value as of</w:t>
            </w:r>
          </w:p>
        </w:tc>
        <w:tc>
          <w:tcPr>
            <w:tcW w:w="14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68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Borders>
              <w:left w:val="single" w:sz="8" w:color="424E6A"/>
            </w:tcBorders>
            <w:shd w:val="clear" w:color="auto" w:fill="424E6A"/>
          </w:tcPr>
          <w:p>
            <w:pPr>
              <w:spacing w:after="0"/>
              <w:rPr>
                <w:sz w:val="14"/>
                <w:szCs w:val="14"/>
                <w:color w:val="auto"/>
              </w:rPr>
            </w:pPr>
          </w:p>
        </w:tc>
        <w:tc>
          <w:tcPr>
            <w:tcW w:w="440" w:type="dxa"/>
            <w:vAlign w:val="bottom"/>
            <w:tcBorders>
              <w:right w:val="single" w:sz="8" w:color="424E6A"/>
            </w:tcBorders>
            <w:shd w:val="clear" w:color="auto" w:fill="424E6A"/>
          </w:tcPr>
          <w:p>
            <w:pPr>
              <w:spacing w:after="0"/>
              <w:rPr>
                <w:sz w:val="14"/>
                <w:szCs w:val="14"/>
                <w:color w:val="auto"/>
              </w:rPr>
            </w:pPr>
          </w:p>
        </w:tc>
        <w:tc>
          <w:tcPr>
            <w:tcW w:w="108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1280" w:type="dxa"/>
            <w:vAlign w:val="bottom"/>
            <w:gridSpan w:val="3"/>
            <w:shd w:val="clear" w:color="auto" w:fill="424E6A"/>
          </w:tcPr>
          <w:p>
            <w:pPr>
              <w:jc w:val="center"/>
              <w:ind w:left="25"/>
              <w:spacing w:after="0"/>
              <w:rPr>
                <w:sz w:val="20"/>
                <w:szCs w:val="20"/>
                <w:color w:val="auto"/>
              </w:rPr>
            </w:pPr>
            <w:r>
              <w:rPr>
                <w:rFonts w:ascii="Arial" w:cs="Arial" w:eastAsia="Arial" w:hAnsi="Arial"/>
                <w:sz w:val="14"/>
                <w:szCs w:val="14"/>
                <w:b w:val="1"/>
                <w:bCs w:val="1"/>
                <w:color w:val="FFFFFF"/>
              </w:rPr>
              <w:t>Value as of YE</w:t>
            </w:r>
          </w:p>
        </w:tc>
        <w:tc>
          <w:tcPr>
            <w:tcW w:w="16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ind w:right="62"/>
              <w:spacing w:after="0"/>
              <w:rPr>
                <w:sz w:val="20"/>
                <w:szCs w:val="20"/>
                <w:color w:val="auto"/>
              </w:rPr>
            </w:pPr>
            <w:r>
              <w:rPr>
                <w:rFonts w:ascii="Arial" w:cs="Arial" w:eastAsia="Arial" w:hAnsi="Arial"/>
                <w:sz w:val="14"/>
                <w:szCs w:val="14"/>
                <w:b w:val="1"/>
                <w:bCs w:val="1"/>
                <w:color w:val="FFFFFF"/>
              </w:rPr>
              <w:t>Vesting Date</w:t>
            </w:r>
          </w:p>
        </w:tc>
        <w:tc>
          <w:tcPr>
            <w:tcW w:w="14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68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Borders>
              <w:left w:val="single" w:sz="8" w:color="424E6A"/>
            </w:tcBorders>
            <w:shd w:val="clear" w:color="auto" w:fill="424E6A"/>
          </w:tcPr>
          <w:p>
            <w:pPr>
              <w:spacing w:after="0"/>
              <w:rPr>
                <w:sz w:val="14"/>
                <w:szCs w:val="14"/>
                <w:color w:val="auto"/>
              </w:rPr>
            </w:pPr>
          </w:p>
        </w:tc>
        <w:tc>
          <w:tcPr>
            <w:tcW w:w="440" w:type="dxa"/>
            <w:vAlign w:val="bottom"/>
            <w:tcBorders>
              <w:right w:val="single" w:sz="8" w:color="424E6A"/>
            </w:tcBorders>
            <w:shd w:val="clear" w:color="auto" w:fill="424E6A"/>
          </w:tcPr>
          <w:p>
            <w:pPr>
              <w:spacing w:after="0"/>
              <w:rPr>
                <w:sz w:val="14"/>
                <w:szCs w:val="14"/>
                <w:color w:val="auto"/>
              </w:rPr>
            </w:pPr>
          </w:p>
        </w:tc>
        <w:tc>
          <w:tcPr>
            <w:tcW w:w="108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ind w:right="42"/>
              <w:spacing w:after="0"/>
              <w:rPr>
                <w:sz w:val="20"/>
                <w:szCs w:val="20"/>
                <w:color w:val="auto"/>
              </w:rPr>
            </w:pPr>
            <w:r>
              <w:rPr>
                <w:rFonts w:ascii="Arial" w:cs="Arial" w:eastAsia="Arial" w:hAnsi="Arial"/>
                <w:sz w:val="14"/>
                <w:szCs w:val="14"/>
                <w:b w:val="1"/>
                <w:bCs w:val="1"/>
                <w:color w:val="FFFFFF"/>
              </w:rPr>
              <w:t>for Prior Year</w:t>
            </w:r>
          </w:p>
        </w:tc>
        <w:tc>
          <w:tcPr>
            <w:tcW w:w="160" w:type="dxa"/>
            <w:vAlign w:val="bottom"/>
            <w:tcBorders>
              <w:right w:val="single" w:sz="8" w:color="424E6A"/>
            </w:tcBorders>
            <w:shd w:val="clear" w:color="auto" w:fill="424E6A"/>
          </w:tcPr>
          <w:p>
            <w:pPr>
              <w:spacing w:after="0"/>
              <w:rPr>
                <w:sz w:val="14"/>
                <w:szCs w:val="14"/>
                <w:color w:val="auto"/>
              </w:rPr>
            </w:pPr>
          </w:p>
        </w:tc>
        <w:tc>
          <w:tcPr>
            <w:tcW w:w="122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for Prior Year</w:t>
            </w:r>
          </w:p>
        </w:tc>
        <w:tc>
          <w:tcPr>
            <w:tcW w:w="140" w:type="dxa"/>
            <w:vAlign w:val="bottom"/>
            <w:tcBorders>
              <w:right w:val="single" w:sz="8" w:color="424E6A"/>
            </w:tcBorders>
            <w:shd w:val="clear" w:color="auto" w:fill="424E6A"/>
          </w:tcPr>
          <w:p>
            <w:pPr>
              <w:spacing w:after="0"/>
              <w:rPr>
                <w:sz w:val="14"/>
                <w:szCs w:val="14"/>
                <w:color w:val="auto"/>
              </w:rPr>
            </w:pPr>
          </w:p>
        </w:tc>
        <w:tc>
          <w:tcPr>
            <w:tcW w:w="1120" w:type="dxa"/>
            <w:vAlign w:val="bottom"/>
            <w:gridSpan w:val="4"/>
            <w:shd w:val="clear" w:color="auto" w:fill="424E6A"/>
          </w:tcPr>
          <w:p>
            <w:pPr>
              <w:jc w:val="center"/>
              <w:ind w:left="24"/>
              <w:spacing w:after="0"/>
              <w:rPr>
                <w:sz w:val="20"/>
                <w:szCs w:val="20"/>
                <w:color w:val="auto"/>
              </w:rPr>
            </w:pPr>
            <w:r>
              <w:rPr>
                <w:rFonts w:ascii="Arial" w:cs="Arial" w:eastAsia="Arial" w:hAnsi="Arial"/>
                <w:sz w:val="14"/>
                <w:szCs w:val="14"/>
                <w:b w:val="1"/>
                <w:bCs w:val="1"/>
                <w:color w:val="FFFFFF"/>
              </w:rPr>
              <w:t>Fair Value of</w:t>
            </w:r>
          </w:p>
        </w:tc>
        <w:tc>
          <w:tcPr>
            <w:tcW w:w="160" w:type="dxa"/>
            <w:vAlign w:val="bottom"/>
            <w:tcBorders>
              <w:right w:val="single" w:sz="8" w:color="424E6A"/>
            </w:tcBorders>
            <w:shd w:val="clear" w:color="auto" w:fill="424E6A"/>
          </w:tcPr>
          <w:p>
            <w:pPr>
              <w:spacing w:after="0"/>
              <w:rPr>
                <w:sz w:val="14"/>
                <w:szCs w:val="14"/>
                <w:color w:val="auto"/>
              </w:rPr>
            </w:pPr>
          </w:p>
        </w:tc>
        <w:tc>
          <w:tcPr>
            <w:tcW w:w="1200" w:type="dxa"/>
            <w:vAlign w:val="bottom"/>
            <w:tcBorders>
              <w:right w:val="single" w:sz="8" w:color="424E6A"/>
            </w:tcBorders>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Fair Value of</w:t>
            </w:r>
          </w:p>
        </w:tc>
        <w:tc>
          <w:tcPr>
            <w:tcW w:w="0" w:type="dxa"/>
            <w:vAlign w:val="bottom"/>
          </w:tcPr>
          <w:p>
            <w:pPr>
              <w:spacing w:after="0"/>
              <w:rPr>
                <w:sz w:val="1"/>
                <w:szCs w:val="1"/>
                <w:color w:val="auto"/>
              </w:rPr>
            </w:pPr>
          </w:p>
        </w:tc>
      </w:tr>
      <w:tr>
        <w:trPr>
          <w:trHeight w:val="162"/>
        </w:trPr>
        <w:tc>
          <w:tcPr>
            <w:tcW w:w="840" w:type="dxa"/>
            <w:vAlign w:val="bottom"/>
            <w:tcBorders>
              <w:left w:val="single" w:sz="8" w:color="424E6A"/>
            </w:tcBorders>
            <w:shd w:val="clear" w:color="auto" w:fill="424E6A"/>
          </w:tcPr>
          <w:p>
            <w:pPr>
              <w:spacing w:after="0"/>
              <w:rPr>
                <w:sz w:val="14"/>
                <w:szCs w:val="14"/>
                <w:color w:val="auto"/>
              </w:rPr>
            </w:pPr>
          </w:p>
        </w:tc>
        <w:tc>
          <w:tcPr>
            <w:tcW w:w="440" w:type="dxa"/>
            <w:vAlign w:val="bottom"/>
            <w:tcBorders>
              <w:right w:val="single" w:sz="8" w:color="424E6A"/>
            </w:tcBorders>
            <w:shd w:val="clear" w:color="auto" w:fill="424E6A"/>
          </w:tcPr>
          <w:p>
            <w:pPr>
              <w:spacing w:after="0"/>
              <w:rPr>
                <w:sz w:val="14"/>
                <w:szCs w:val="14"/>
                <w:color w:val="auto"/>
              </w:rPr>
            </w:pPr>
          </w:p>
        </w:tc>
        <w:tc>
          <w:tcPr>
            <w:tcW w:w="154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YE Fair Value of</w:t>
            </w:r>
          </w:p>
        </w:tc>
        <w:tc>
          <w:tcPr>
            <w:tcW w:w="12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ind w:right="62"/>
              <w:spacing w:after="0"/>
              <w:rPr>
                <w:sz w:val="20"/>
                <w:szCs w:val="20"/>
                <w:color w:val="auto"/>
              </w:rPr>
            </w:pPr>
            <w:r>
              <w:rPr>
                <w:rFonts w:ascii="Arial" w:cs="Arial" w:eastAsia="Arial" w:hAnsi="Arial"/>
                <w:sz w:val="14"/>
                <w:szCs w:val="14"/>
                <w:b w:val="1"/>
                <w:bCs w:val="1"/>
                <w:color w:val="FFFFFF"/>
              </w:rPr>
              <w:t>Awards</w:t>
            </w:r>
          </w:p>
        </w:tc>
        <w:tc>
          <w:tcPr>
            <w:tcW w:w="16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ind w:right="62"/>
              <w:spacing w:after="0"/>
              <w:rPr>
                <w:sz w:val="20"/>
                <w:szCs w:val="20"/>
                <w:color w:val="auto"/>
              </w:rPr>
            </w:pPr>
            <w:r>
              <w:rPr>
                <w:rFonts w:ascii="Arial" w:cs="Arial" w:eastAsia="Arial" w:hAnsi="Arial"/>
                <w:sz w:val="14"/>
                <w:szCs w:val="14"/>
                <w:b w:val="1"/>
                <w:bCs w:val="1"/>
                <w:color w:val="FFFFFF"/>
              </w:rPr>
              <w:t>Awards that</w:t>
            </w:r>
          </w:p>
        </w:tc>
        <w:tc>
          <w:tcPr>
            <w:tcW w:w="14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920" w:type="dxa"/>
            <w:vAlign w:val="bottom"/>
            <w:gridSpan w:val="3"/>
            <w:shd w:val="clear" w:color="auto" w:fill="424E6A"/>
          </w:tcPr>
          <w:p>
            <w:pPr>
              <w:jc w:val="center"/>
              <w:ind w:right="42"/>
              <w:spacing w:after="0"/>
              <w:rPr>
                <w:sz w:val="20"/>
                <w:szCs w:val="20"/>
                <w:color w:val="auto"/>
              </w:rPr>
            </w:pPr>
            <w:r>
              <w:rPr>
                <w:rFonts w:ascii="Arial" w:cs="Arial" w:eastAsia="Arial" w:hAnsi="Arial"/>
                <w:sz w:val="14"/>
                <w:szCs w:val="14"/>
                <w:b w:val="1"/>
                <w:bCs w:val="1"/>
                <w:color w:val="FFFFFF"/>
              </w:rPr>
              <w:t>DERs Paid</w:t>
            </w:r>
          </w:p>
        </w:tc>
        <w:tc>
          <w:tcPr>
            <w:tcW w:w="16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jc w:val="center"/>
              <w:ind w:right="181"/>
              <w:spacing w:after="0"/>
              <w:rPr>
                <w:sz w:val="20"/>
                <w:szCs w:val="20"/>
                <w:color w:val="auto"/>
              </w:rPr>
            </w:pPr>
            <w:r>
              <w:rPr>
                <w:rFonts w:ascii="Arial" w:cs="Arial" w:eastAsia="Arial" w:hAnsi="Arial"/>
                <w:sz w:val="14"/>
                <w:szCs w:val="14"/>
                <w:b w:val="1"/>
                <w:bCs w:val="1"/>
                <w:color w:val="FFFFFF"/>
              </w:rPr>
              <w:t>Equity for</w:t>
            </w:r>
          </w:p>
        </w:tc>
        <w:tc>
          <w:tcPr>
            <w:tcW w:w="0" w:type="dxa"/>
            <w:vAlign w:val="bottom"/>
          </w:tcPr>
          <w:p>
            <w:pPr>
              <w:spacing w:after="0"/>
              <w:rPr>
                <w:sz w:val="1"/>
                <w:szCs w:val="1"/>
                <w:color w:val="auto"/>
              </w:rPr>
            </w:pPr>
          </w:p>
        </w:tc>
      </w:tr>
      <w:tr>
        <w:trPr>
          <w:trHeight w:val="162"/>
        </w:trPr>
        <w:tc>
          <w:tcPr>
            <w:tcW w:w="840" w:type="dxa"/>
            <w:vAlign w:val="bottom"/>
            <w:tcBorders>
              <w:left w:val="single" w:sz="8" w:color="424E6A"/>
            </w:tcBorders>
            <w:vMerge w:val="restart"/>
            <w:shd w:val="clear" w:color="auto" w:fill="424E6A"/>
          </w:tcPr>
          <w:p>
            <w:pPr>
              <w:ind w:left="4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Year</w:t>
            </w:r>
          </w:p>
        </w:tc>
        <w:tc>
          <w:tcPr>
            <w:tcW w:w="440" w:type="dxa"/>
            <w:vAlign w:val="bottom"/>
            <w:tcBorders>
              <w:right w:val="single" w:sz="8" w:color="424E6A"/>
            </w:tcBorders>
            <w:shd w:val="clear" w:color="auto" w:fill="424E6A"/>
          </w:tcPr>
          <w:p>
            <w:pPr>
              <w:spacing w:after="0"/>
              <w:rPr>
                <w:sz w:val="14"/>
                <w:szCs w:val="14"/>
                <w:color w:val="auto"/>
              </w:rPr>
            </w:pPr>
          </w:p>
        </w:tc>
        <w:tc>
          <w:tcPr>
            <w:tcW w:w="154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Current Year Awards</w:t>
            </w:r>
          </w:p>
        </w:tc>
        <w:tc>
          <w:tcPr>
            <w:tcW w:w="120" w:type="dxa"/>
            <w:vAlign w:val="bottom"/>
            <w:tcBorders>
              <w:right w:val="single" w:sz="8" w:color="424E6A"/>
            </w:tcBorders>
            <w:shd w:val="clear" w:color="auto" w:fill="424E6A"/>
          </w:tcPr>
          <w:p>
            <w:pPr>
              <w:spacing w:after="0"/>
              <w:rPr>
                <w:sz w:val="14"/>
                <w:szCs w:val="14"/>
                <w:color w:val="auto"/>
              </w:rPr>
            </w:pPr>
          </w:p>
        </w:tc>
        <w:tc>
          <w:tcPr>
            <w:tcW w:w="1280" w:type="dxa"/>
            <w:vAlign w:val="bottom"/>
            <w:gridSpan w:val="3"/>
            <w:shd w:val="clear" w:color="auto" w:fill="424E6A"/>
          </w:tcPr>
          <w:p>
            <w:pPr>
              <w:jc w:val="center"/>
              <w:ind w:left="25"/>
              <w:spacing w:after="0"/>
              <w:rPr>
                <w:sz w:val="20"/>
                <w:szCs w:val="20"/>
                <w:color w:val="auto"/>
              </w:rPr>
            </w:pPr>
            <w:r>
              <w:rPr>
                <w:rFonts w:ascii="Arial" w:cs="Arial" w:eastAsia="Arial" w:hAnsi="Arial"/>
                <w:sz w:val="14"/>
                <w:szCs w:val="14"/>
                <w:b w:val="1"/>
                <w:bCs w:val="1"/>
                <w:color w:val="FFFFFF"/>
              </w:rPr>
              <w:t>Outstanding at</w:t>
            </w:r>
          </w:p>
        </w:tc>
        <w:tc>
          <w:tcPr>
            <w:tcW w:w="160" w:type="dxa"/>
            <w:vAlign w:val="bottom"/>
            <w:tcBorders>
              <w:right w:val="single" w:sz="8" w:color="424E6A"/>
            </w:tcBorders>
            <w:shd w:val="clear" w:color="auto" w:fill="424E6A"/>
          </w:tcPr>
          <w:p>
            <w:pPr>
              <w:spacing w:after="0"/>
              <w:rPr>
                <w:sz w:val="14"/>
                <w:szCs w:val="14"/>
                <w:color w:val="auto"/>
              </w:rPr>
            </w:pPr>
          </w:p>
        </w:tc>
        <w:tc>
          <w:tcPr>
            <w:tcW w:w="122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Vested During</w:t>
            </w:r>
          </w:p>
        </w:tc>
        <w:tc>
          <w:tcPr>
            <w:tcW w:w="14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920" w:type="dxa"/>
            <w:vAlign w:val="bottom"/>
            <w:gridSpan w:val="3"/>
            <w:shd w:val="clear" w:color="auto" w:fill="424E6A"/>
          </w:tcPr>
          <w:p>
            <w:pPr>
              <w:jc w:val="right"/>
              <w:ind w:right="82"/>
              <w:spacing w:after="0"/>
              <w:rPr>
                <w:sz w:val="20"/>
                <w:szCs w:val="20"/>
                <w:color w:val="auto"/>
              </w:rPr>
            </w:pPr>
            <w:r>
              <w:rPr>
                <w:rFonts w:ascii="Arial" w:cs="Arial" w:eastAsia="Arial" w:hAnsi="Arial"/>
                <w:sz w:val="14"/>
                <w:szCs w:val="14"/>
                <w:b w:val="1"/>
                <w:bCs w:val="1"/>
                <w:color w:val="FFFFFF"/>
              </w:rPr>
              <w:t>During the</w:t>
            </w:r>
          </w:p>
        </w:tc>
        <w:tc>
          <w:tcPr>
            <w:tcW w:w="16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jc w:val="center"/>
              <w:ind w:right="181"/>
              <w:spacing w:after="0"/>
              <w:rPr>
                <w:sz w:val="20"/>
                <w:szCs w:val="20"/>
                <w:color w:val="auto"/>
              </w:rPr>
            </w:pPr>
            <w:r>
              <w:rPr>
                <w:rFonts w:ascii="Arial" w:cs="Arial" w:eastAsia="Arial" w:hAnsi="Arial"/>
                <w:sz w:val="14"/>
                <w:szCs w:val="14"/>
                <w:b w:val="1"/>
                <w:bCs w:val="1"/>
                <w:color w:val="FFFFFF"/>
              </w:rPr>
              <w:t>CAP</w:t>
            </w:r>
          </w:p>
        </w:tc>
        <w:tc>
          <w:tcPr>
            <w:tcW w:w="0" w:type="dxa"/>
            <w:vAlign w:val="bottom"/>
          </w:tcPr>
          <w:p>
            <w:pPr>
              <w:spacing w:after="0"/>
              <w:rPr>
                <w:sz w:val="1"/>
                <w:szCs w:val="1"/>
                <w:color w:val="auto"/>
              </w:rPr>
            </w:pPr>
          </w:p>
        </w:tc>
      </w:tr>
      <w:tr>
        <w:trPr>
          <w:trHeight w:val="212"/>
        </w:trPr>
        <w:tc>
          <w:tcPr>
            <w:tcW w:w="840" w:type="dxa"/>
            <w:vAlign w:val="bottom"/>
            <w:tcBorders>
              <w:left w:val="single" w:sz="8" w:color="424E6A"/>
            </w:tcBorders>
            <w:vMerge w:val="continue"/>
            <w:shd w:val="clear" w:color="auto" w:fill="424E6A"/>
          </w:tcPr>
          <w:p>
            <w:pPr>
              <w:spacing w:after="0"/>
              <w:rPr>
                <w:sz w:val="18"/>
                <w:szCs w:val="18"/>
                <w:color w:val="auto"/>
              </w:rPr>
            </w:pPr>
          </w:p>
        </w:tc>
        <w:tc>
          <w:tcPr>
            <w:tcW w:w="1980" w:type="dxa"/>
            <w:vAlign w:val="bottom"/>
            <w:gridSpan w:val="4"/>
            <w:shd w:val="clear" w:color="auto" w:fill="424E6A"/>
          </w:tcPr>
          <w:p>
            <w:pPr>
              <w:ind w:left="360"/>
              <w:spacing w:after="0"/>
              <w:rPr>
                <w:sz w:val="20"/>
                <w:szCs w:val="20"/>
                <w:color w:val="auto"/>
              </w:rPr>
            </w:pPr>
            <w:r>
              <w:rPr>
                <w:rFonts w:ascii="Arial" w:cs="Arial" w:eastAsia="Arial" w:hAnsi="Arial"/>
                <w:sz w:val="14"/>
                <w:szCs w:val="14"/>
                <w:b w:val="1"/>
                <w:bCs w:val="1"/>
                <w:color w:val="FFFFFF"/>
              </w:rPr>
              <w:t>​ ​  Outstanding at YE</w:t>
            </w:r>
          </w:p>
        </w:tc>
        <w:tc>
          <w:tcPr>
            <w:tcW w:w="340" w:type="dxa"/>
            <w:vAlign w:val="bottom"/>
            <w:gridSpan w:val="2"/>
            <w:shd w:val="clear" w:color="auto" w:fill="424E6A"/>
          </w:tcPr>
          <w:p>
            <w:pPr>
              <w:ind w:left="40"/>
              <w:spacing w:after="0"/>
              <w:rPr>
                <w:sz w:val="20"/>
                <w:szCs w:val="20"/>
                <w:color w:val="auto"/>
              </w:rPr>
            </w:pPr>
            <w:r>
              <w:rPr>
                <w:rFonts w:ascii="Arial" w:cs="Arial" w:eastAsia="Arial" w:hAnsi="Arial"/>
                <w:sz w:val="14"/>
                <w:szCs w:val="14"/>
                <w:b w:val="1"/>
                <w:bCs w:val="1"/>
                <w:color w:val="FFFFFF"/>
              </w:rPr>
              <w:t>​ ​</w:t>
            </w:r>
          </w:p>
        </w:tc>
        <w:tc>
          <w:tcPr>
            <w:tcW w:w="1060" w:type="dxa"/>
            <w:vAlign w:val="bottom"/>
            <w:gridSpan w:val="2"/>
            <w:shd w:val="clear" w:color="auto" w:fill="424E6A"/>
          </w:tcPr>
          <w:p>
            <w:pPr>
              <w:jc w:val="center"/>
              <w:ind w:right="2"/>
              <w:spacing w:after="0"/>
              <w:rPr>
                <w:sz w:val="20"/>
                <w:szCs w:val="20"/>
                <w:color w:val="auto"/>
              </w:rPr>
            </w:pPr>
            <w:r>
              <w:rPr>
                <w:rFonts w:ascii="Arial" w:cs="Arial" w:eastAsia="Arial" w:hAnsi="Arial"/>
                <w:sz w:val="14"/>
                <w:szCs w:val="14"/>
                <w:b w:val="1"/>
                <w:bCs w:val="1"/>
                <w:color w:val="FFFFFF"/>
                <w:w w:val="96"/>
              </w:rPr>
              <w:t>YE</w:t>
            </w:r>
          </w:p>
        </w:tc>
        <w:tc>
          <w:tcPr>
            <w:tcW w:w="380" w:type="dxa"/>
            <w:vAlign w:val="bottom"/>
            <w:gridSpan w:val="2"/>
            <w:shd w:val="clear" w:color="auto" w:fill="424E6A"/>
          </w:tcPr>
          <w:p>
            <w:pPr>
              <w:ind w:left="100"/>
              <w:spacing w:after="0"/>
              <w:rPr>
                <w:sz w:val="20"/>
                <w:szCs w:val="20"/>
                <w:color w:val="auto"/>
              </w:rPr>
            </w:pPr>
            <w:r>
              <w:rPr>
                <w:rFonts w:ascii="Arial" w:cs="Arial" w:eastAsia="Arial" w:hAnsi="Arial"/>
                <w:sz w:val="14"/>
                <w:szCs w:val="14"/>
                <w:b w:val="1"/>
                <w:bCs w:val="1"/>
                <w:color w:val="FFFFFF"/>
              </w:rPr>
              <w:t>​ ​</w:t>
            </w:r>
          </w:p>
        </w:tc>
        <w:tc>
          <w:tcPr>
            <w:tcW w:w="1000" w:type="dxa"/>
            <w:vAlign w:val="bottom"/>
            <w:gridSpan w:val="2"/>
            <w:shd w:val="clear" w:color="auto" w:fill="424E6A"/>
          </w:tcPr>
          <w:p>
            <w:pPr>
              <w:jc w:val="center"/>
              <w:ind w:right="42"/>
              <w:spacing w:after="0"/>
              <w:rPr>
                <w:sz w:val="20"/>
                <w:szCs w:val="20"/>
                <w:color w:val="auto"/>
              </w:rPr>
            </w:pPr>
            <w:r>
              <w:rPr>
                <w:rFonts w:ascii="Arial" w:cs="Arial" w:eastAsia="Arial" w:hAnsi="Arial"/>
                <w:sz w:val="14"/>
                <w:szCs w:val="14"/>
                <w:b w:val="1"/>
                <w:bCs w:val="1"/>
                <w:color w:val="FFFFFF"/>
              </w:rPr>
              <w:t>the Year</w:t>
            </w:r>
          </w:p>
        </w:tc>
        <w:tc>
          <w:tcPr>
            <w:tcW w:w="340" w:type="dxa"/>
            <w:vAlign w:val="bottom"/>
            <w:gridSpan w:val="2"/>
            <w:shd w:val="clear" w:color="auto" w:fill="424E6A"/>
          </w:tcPr>
          <w:p>
            <w:pPr>
              <w:ind w:left="60"/>
              <w:spacing w:after="0"/>
              <w:rPr>
                <w:sz w:val="20"/>
                <w:szCs w:val="20"/>
                <w:color w:val="auto"/>
              </w:rPr>
            </w:pPr>
            <w:r>
              <w:rPr>
                <w:rFonts w:ascii="Arial" w:cs="Arial" w:eastAsia="Arial" w:hAnsi="Arial"/>
                <w:sz w:val="14"/>
                <w:szCs w:val="14"/>
                <w:b w:val="1"/>
                <w:bCs w:val="1"/>
                <w:color w:val="FFFFFF"/>
              </w:rPr>
              <w:t>​ ​</w:t>
            </w:r>
          </w:p>
        </w:tc>
        <w:tc>
          <w:tcPr>
            <w:tcW w:w="680" w:type="dxa"/>
            <w:vAlign w:val="bottom"/>
            <w:shd w:val="clear" w:color="auto" w:fill="424E6A"/>
          </w:tcPr>
          <w:p>
            <w:pPr>
              <w:jc w:val="center"/>
              <w:ind w:left="99"/>
              <w:spacing w:after="0"/>
              <w:rPr>
                <w:sz w:val="20"/>
                <w:szCs w:val="20"/>
                <w:color w:val="auto"/>
              </w:rPr>
            </w:pPr>
            <w:r>
              <w:rPr>
                <w:rFonts w:ascii="Arial" w:cs="Arial" w:eastAsia="Arial" w:hAnsi="Arial"/>
                <w:sz w:val="14"/>
                <w:szCs w:val="14"/>
                <w:b w:val="1"/>
                <w:bCs w:val="1"/>
                <w:color w:val="FFFFFF"/>
                <w:w w:val="98"/>
              </w:rPr>
              <w:t>Year</w:t>
            </w:r>
          </w:p>
        </w:tc>
        <w:tc>
          <w:tcPr>
            <w:tcW w:w="100" w:type="dxa"/>
            <w:vAlign w:val="bottom"/>
            <w:tcBorders>
              <w:right w:val="single" w:sz="8" w:color="424E6A"/>
            </w:tcBorders>
            <w:shd w:val="clear" w:color="auto" w:fill="424E6A"/>
          </w:tcPr>
          <w:p>
            <w:pPr>
              <w:spacing w:after="0"/>
              <w:rPr>
                <w:sz w:val="18"/>
                <w:szCs w:val="18"/>
                <w:color w:val="auto"/>
              </w:rPr>
            </w:pPr>
          </w:p>
        </w:tc>
        <w:tc>
          <w:tcPr>
            <w:tcW w:w="140" w:type="dxa"/>
            <w:vAlign w:val="bottom"/>
            <w:shd w:val="clear" w:color="auto" w:fill="424E6A"/>
          </w:tcPr>
          <w:p>
            <w:pPr>
              <w:spacing w:after="0"/>
              <w:rPr>
                <w:sz w:val="18"/>
                <w:szCs w:val="18"/>
                <w:color w:val="auto"/>
              </w:rPr>
            </w:pPr>
          </w:p>
        </w:tc>
        <w:tc>
          <w:tcPr>
            <w:tcW w:w="400" w:type="dxa"/>
            <w:vAlign w:val="bottom"/>
            <w:gridSpan w:val="2"/>
            <w:shd w:val="clear" w:color="auto" w:fill="424E6A"/>
          </w:tcPr>
          <w:p>
            <w:pPr>
              <w:ind w:left="100"/>
              <w:spacing w:after="0"/>
              <w:rPr>
                <w:sz w:val="20"/>
                <w:szCs w:val="20"/>
                <w:color w:val="auto"/>
              </w:rPr>
            </w:pPr>
            <w:r>
              <w:rPr>
                <w:rFonts w:ascii="Arial" w:cs="Arial" w:eastAsia="Arial" w:hAnsi="Arial"/>
                <w:sz w:val="14"/>
                <w:szCs w:val="14"/>
                <w:b w:val="1"/>
                <w:bCs w:val="1"/>
                <w:color w:val="FFFFFF"/>
              </w:rPr>
              <w:t>​ ​</w:t>
            </w:r>
          </w:p>
        </w:tc>
        <w:tc>
          <w:tcPr>
            <w:tcW w:w="960" w:type="dxa"/>
            <w:vAlign w:val="bottom"/>
            <w:tcBorders>
              <w:right w:val="single" w:sz="8" w:color="424E6A"/>
            </w:tcBorders>
            <w:shd w:val="clear" w:color="auto" w:fill="424E6A"/>
          </w:tcPr>
          <w:p>
            <w:pPr>
              <w:jc w:val="center"/>
              <w:ind w:right="141"/>
              <w:spacing w:after="0"/>
              <w:rPr>
                <w:sz w:val="20"/>
                <w:szCs w:val="20"/>
                <w:color w:val="auto"/>
              </w:rPr>
            </w:pPr>
            <w:r>
              <w:rPr>
                <w:rFonts w:ascii="Arial" w:cs="Arial" w:eastAsia="Arial" w:hAnsi="Arial"/>
                <w:sz w:val="14"/>
                <w:szCs w:val="14"/>
                <w:b w:val="1"/>
                <w:bCs w:val="1"/>
                <w:color w:val="FFFFFF"/>
              </w:rPr>
              <w:t>Purposes</w:t>
            </w:r>
          </w:p>
        </w:tc>
        <w:tc>
          <w:tcPr>
            <w:tcW w:w="0" w:type="dxa"/>
            <w:vAlign w:val="bottom"/>
          </w:tcPr>
          <w:p>
            <w:pPr>
              <w:spacing w:after="0"/>
              <w:rPr>
                <w:sz w:val="1"/>
                <w:szCs w:val="1"/>
                <w:color w:val="auto"/>
              </w:rPr>
            </w:pPr>
          </w:p>
        </w:tc>
      </w:tr>
      <w:tr>
        <w:trPr>
          <w:trHeight w:val="257"/>
        </w:trPr>
        <w:tc>
          <w:tcPr>
            <w:tcW w:w="840" w:type="dxa"/>
            <w:vAlign w:val="bottom"/>
            <w:tcBorders>
              <w:left w:val="single" w:sz="8" w:color="424E6A"/>
              <w:bottom w:val="single" w:sz="8" w:color="424E6A"/>
            </w:tcBorders>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2022</w:t>
            </w:r>
          </w:p>
        </w:tc>
        <w:tc>
          <w:tcPr>
            <w:tcW w:w="440" w:type="dxa"/>
            <w:vAlign w:val="bottom"/>
            <w:tcBorders>
              <w:bottom w:val="single" w:sz="8" w:color="424E6A"/>
              <w:right w:val="single" w:sz="8" w:color="424E6A"/>
            </w:tcBorders>
            <w:shd w:val="clear" w:color="auto" w:fill="D9DCE1"/>
          </w:tcPr>
          <w:p>
            <w:pPr>
              <w:ind w:left="3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6"/>
                <w:szCs w:val="16"/>
                <w:color w:val="auto"/>
              </w:rPr>
              <w:t>$4,812,192</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424E6A"/>
              <w:right w:val="single" w:sz="8" w:color="424E6A"/>
            </w:tcBorders>
            <w:gridSpan w:val="2"/>
            <w:shd w:val="clear" w:color="auto" w:fill="D9DCE1"/>
          </w:tcPr>
          <w:p>
            <w:pPr>
              <w:ind w:left="40"/>
              <w:spacing w:after="0" w:line="256" w:lineRule="exact"/>
              <w:rPr>
                <w:sz w:val="20"/>
                <w:szCs w:val="20"/>
                <w:color w:val="auto"/>
              </w:rPr>
            </w:pPr>
            <w:r>
              <w:rPr>
                <w:rFonts w:ascii="Arial" w:cs="Arial" w:eastAsia="Arial" w:hAnsi="Arial"/>
                <w:sz w:val="16"/>
                <w:szCs w:val="16"/>
                <w:color w:val="auto"/>
              </w:rPr>
              <w:t>​ ​</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120" w:type="dxa"/>
            <w:vAlign w:val="bottom"/>
            <w:tcBorders>
              <w:bottom w:val="single" w:sz="8" w:color="424E6A"/>
              <w:right w:val="single" w:sz="8" w:color="424E6A"/>
            </w:tcBorders>
            <w:gridSpan w:val="2"/>
            <w:shd w:val="clear" w:color="auto" w:fill="D9DCE1"/>
          </w:tcPr>
          <w:p>
            <w:pPr>
              <w:jc w:val="right"/>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highlight w:val="lightGray"/>
              </w:rPr>
              <w:t xml:space="preserve">$4,659,293 </w:t>
            </w:r>
            <w:r>
              <w:rPr>
                <w:rFonts w:ascii="Arial" w:cs="Arial" w:eastAsia="Arial" w:hAnsi="Arial"/>
                <w:sz w:val="29"/>
                <w:szCs w:val="29"/>
                <w:color w:val="auto"/>
                <w:highlight w:val="lightGray"/>
                <w:vertAlign w:val="subscript"/>
              </w:rPr>
              <w:t>​</w:t>
            </w:r>
          </w:p>
        </w:tc>
        <w:tc>
          <w:tcPr>
            <w:tcW w:w="320" w:type="dxa"/>
            <w:vAlign w:val="bottom"/>
            <w:tcBorders>
              <w:bottom w:val="single" w:sz="8" w:color="424E6A"/>
              <w:right w:val="single" w:sz="8" w:color="424E6A"/>
            </w:tcBorders>
            <w:gridSpan w:val="2"/>
            <w:shd w:val="clear" w:color="auto" w:fill="D9DCE1"/>
          </w:tcPr>
          <w:p>
            <w:pPr>
              <w:ind w:left="6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040" w:type="dxa"/>
            <w:vAlign w:val="bottom"/>
            <w:tcBorders>
              <w:bottom w:val="single" w:sz="8" w:color="424E6A"/>
              <w:right w:val="single" w:sz="8" w:color="424E6A"/>
            </w:tcBorders>
            <w:gridSpan w:val="2"/>
            <w:shd w:val="clear" w:color="auto" w:fill="D9DCE1"/>
          </w:tcPr>
          <w:p>
            <w:pPr>
              <w:jc w:val="right"/>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$ 219,804 </w:t>
            </w:r>
            <w:r>
              <w:rPr>
                <w:rFonts w:ascii="Arial" w:cs="Arial" w:eastAsia="Arial" w:hAnsi="Arial"/>
                <w:sz w:val="29"/>
                <w:szCs w:val="29"/>
                <w:color w:val="auto"/>
                <w:vertAlign w:val="subscript"/>
              </w:rPr>
              <w:t>​</w:t>
            </w:r>
          </w:p>
        </w:tc>
        <w:tc>
          <w:tcPr>
            <w:tcW w:w="320" w:type="dxa"/>
            <w:vAlign w:val="bottom"/>
            <w:tcBorders>
              <w:bottom w:val="single" w:sz="8" w:color="424E6A"/>
              <w:right w:val="single" w:sz="8" w:color="424E6A"/>
            </w:tcBorders>
            <w:gridSpan w:val="2"/>
            <w:shd w:val="clear" w:color="auto" w:fill="D9DCE1"/>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200" w:type="dxa"/>
            <w:vAlign w:val="bottom"/>
            <w:tcBorders>
              <w:bottom w:val="single" w:sz="8" w:color="424E6A"/>
            </w:tcBorders>
            <w:shd w:val="clear" w:color="auto" w:fill="D9DCE1"/>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6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w w:val="98"/>
              </w:rPr>
              <w:t>399,281</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gridSpan w:val="2"/>
            <w:shd w:val="clear" w:color="auto" w:fill="D9DCE1"/>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200" w:type="dxa"/>
            <w:vAlign w:val="bottom"/>
            <w:tcBorders>
              <w:bottom w:val="single" w:sz="8" w:color="424E6A"/>
              <w:right w:val="single" w:sz="8" w:color="424E6A"/>
            </w:tcBorders>
            <w:gridSpan w:val="2"/>
            <w:shd w:val="clear" w:color="auto" w:fill="D9DCE1"/>
          </w:tcPr>
          <w:p>
            <w:pPr>
              <w:jc w:val="right"/>
              <w:ind w:right="1"/>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highlight w:val="lightGray"/>
              </w:rPr>
              <w:t>$10,090,570</w:t>
            </w:r>
          </w:p>
        </w:tc>
        <w:tc>
          <w:tcPr>
            <w:tcW w:w="0" w:type="dxa"/>
            <w:vAlign w:val="bottom"/>
          </w:tcPr>
          <w:p>
            <w:pPr>
              <w:spacing w:after="0"/>
              <w:rPr>
                <w:sz w:val="1"/>
                <w:szCs w:val="1"/>
                <w:color w:val="auto"/>
              </w:rPr>
            </w:pPr>
          </w:p>
        </w:tc>
      </w:tr>
      <w:tr>
        <w:trPr>
          <w:trHeight w:val="250"/>
        </w:trPr>
        <w:tc>
          <w:tcPr>
            <w:tcW w:w="84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2021</w:t>
            </w:r>
          </w:p>
        </w:tc>
        <w:tc>
          <w:tcPr>
            <w:tcW w:w="440" w:type="dxa"/>
            <w:vAlign w:val="bottom"/>
            <w:tcBorders>
              <w:bottom w:val="single" w:sz="8" w:color="424E6A"/>
              <w:right w:val="single" w:sz="8" w:color="424E6A"/>
            </w:tcBorders>
          </w:tcPr>
          <w:p>
            <w:pPr>
              <w:ind w:left="3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$1,579,277</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424E6A"/>
              <w:right w:val="single" w:sz="8" w:color="424E6A"/>
            </w:tcBorders>
            <w:gridSpan w:val="2"/>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22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00" w:type="dxa"/>
            <w:vAlign w:val="bottom"/>
            <w:tcBorders>
              <w:bottom w:val="single" w:sz="8" w:color="424E6A"/>
              <w:right w:val="single" w:sz="8" w:color="424E6A"/>
            </w:tcBorders>
          </w:tcPr>
          <w:p>
            <w:pPr>
              <w:jc w:val="right"/>
              <w:spacing w:after="0" w:line="250" w:lineRule="exact"/>
              <w:rPr>
                <w:sz w:val="20"/>
                <w:szCs w:val="20"/>
                <w:color w:val="auto"/>
              </w:rPr>
            </w:pPr>
            <w:r>
              <w:rPr>
                <w:rFonts w:ascii="Arial" w:cs="Arial" w:eastAsia="Arial" w:hAnsi="Arial"/>
                <w:sz w:val="15"/>
                <w:szCs w:val="15"/>
                <w:color w:val="auto"/>
              </w:rPr>
              <w:t xml:space="preserve">524,435 </w:t>
            </w:r>
            <w:r>
              <w:rPr>
                <w:rFonts w:ascii="Arial" w:cs="Arial" w:eastAsia="Arial" w:hAnsi="Arial"/>
                <w:sz w:val="28"/>
                <w:szCs w:val="28"/>
                <w:color w:val="auto"/>
                <w:vertAlign w:val="subscript"/>
              </w:rPr>
              <w:t>​</w:t>
            </w:r>
          </w:p>
        </w:tc>
        <w:tc>
          <w:tcPr>
            <w:tcW w:w="320" w:type="dxa"/>
            <w:vAlign w:val="bottom"/>
            <w:tcBorders>
              <w:bottom w:val="single" w:sz="8" w:color="424E6A"/>
              <w:right w:val="single" w:sz="8" w:color="424E6A"/>
            </w:tcBorders>
            <w:gridSpan w:val="2"/>
          </w:tcPr>
          <w:p>
            <w:pPr>
              <w:ind w:left="6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22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20" w:type="dxa"/>
            <w:vAlign w:val="bottom"/>
            <w:tcBorders>
              <w:bottom w:val="single" w:sz="8" w:color="424E6A"/>
              <w:right w:val="single" w:sz="8" w:color="424E6A"/>
            </w:tcBorders>
          </w:tcPr>
          <w:p>
            <w:pPr>
              <w:jc w:val="right"/>
              <w:spacing w:after="0" w:line="250" w:lineRule="exact"/>
              <w:rPr>
                <w:sz w:val="20"/>
                <w:szCs w:val="20"/>
                <w:color w:val="auto"/>
              </w:rPr>
            </w:pPr>
            <w:r>
              <w:rPr>
                <w:rFonts w:ascii="Arial" w:cs="Arial" w:eastAsia="Arial" w:hAnsi="Arial"/>
                <w:sz w:val="15"/>
                <w:szCs w:val="15"/>
                <w:color w:val="auto"/>
              </w:rPr>
              <w:t xml:space="preserve">94,025 </w:t>
            </w:r>
            <w:r>
              <w:rPr>
                <w:rFonts w:ascii="Arial" w:cs="Arial" w:eastAsia="Arial" w:hAnsi="Arial"/>
                <w:sz w:val="28"/>
                <w:szCs w:val="28"/>
                <w:color w:val="auto"/>
                <w:vertAlign w:val="subscript"/>
              </w:rPr>
              <w:t>​</w:t>
            </w:r>
          </w:p>
        </w:tc>
        <w:tc>
          <w:tcPr>
            <w:tcW w:w="320" w:type="dxa"/>
            <w:vAlign w:val="bottom"/>
            <w:tcBorders>
              <w:bottom w:val="single" w:sz="8" w:color="424E6A"/>
              <w:right w:val="single" w:sz="8" w:color="424E6A"/>
            </w:tcBorders>
            <w:gridSpan w:val="2"/>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20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6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w w:val="98"/>
              </w:rPr>
              <w:t>256,786</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gridSpan w:val="2"/>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24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60" w:type="dxa"/>
            <w:vAlign w:val="bottom"/>
            <w:tcBorders>
              <w:bottom w:val="single" w:sz="8" w:color="424E6A"/>
              <w:right w:val="single" w:sz="8" w:color="424E6A"/>
            </w:tcBorders>
          </w:tcPr>
          <w:p>
            <w:pPr>
              <w:jc w:val="right"/>
              <w:ind w:right="1"/>
              <w:spacing w:after="0"/>
              <w:rPr>
                <w:sz w:val="20"/>
                <w:szCs w:val="20"/>
                <w:color w:val="auto"/>
              </w:rPr>
            </w:pPr>
            <w:r>
              <w:rPr>
                <w:rFonts w:ascii="Arial" w:cs="Arial" w:eastAsia="Arial" w:hAnsi="Arial"/>
                <w:sz w:val="18"/>
                <w:szCs w:val="18"/>
                <w:color w:val="auto"/>
              </w:rPr>
              <w:t>2,454,523</w:t>
            </w:r>
          </w:p>
        </w:tc>
        <w:tc>
          <w:tcPr>
            <w:tcW w:w="0" w:type="dxa"/>
            <w:vAlign w:val="bottom"/>
          </w:tcPr>
          <w:p>
            <w:pPr>
              <w:spacing w:after="0"/>
              <w:rPr>
                <w:sz w:val="1"/>
                <w:szCs w:val="1"/>
                <w:color w:val="auto"/>
              </w:rPr>
            </w:pPr>
          </w:p>
        </w:tc>
      </w:tr>
      <w:tr>
        <w:trPr>
          <w:trHeight w:val="250"/>
        </w:trPr>
        <w:tc>
          <w:tcPr>
            <w:tcW w:w="84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2020</w:t>
            </w:r>
          </w:p>
        </w:tc>
        <w:tc>
          <w:tcPr>
            <w:tcW w:w="440" w:type="dxa"/>
            <w:vAlign w:val="bottom"/>
            <w:tcBorders>
              <w:bottom w:val="single" w:sz="8" w:color="424E6A"/>
              <w:right w:val="single" w:sz="8" w:color="424E6A"/>
            </w:tcBorders>
            <w:shd w:val="clear" w:color="auto" w:fill="D9DCE1"/>
          </w:tcPr>
          <w:p>
            <w:pPr>
              <w:ind w:left="3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$1,742,482</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424E6A"/>
              <w:right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220" w:type="dxa"/>
            <w:vAlign w:val="bottom"/>
            <w:tcBorders>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00" w:type="dxa"/>
            <w:vAlign w:val="bottom"/>
            <w:tcBorders>
              <w:bottom w:val="single" w:sz="8" w:color="424E6A"/>
              <w:right w:val="single" w:sz="8" w:color="424E6A"/>
            </w:tcBorders>
            <w:shd w:val="clear" w:color="auto" w:fill="D9DCE1"/>
          </w:tcPr>
          <w:p>
            <w:pPr>
              <w:jc w:val="right"/>
              <w:spacing w:after="0" w:line="250" w:lineRule="exact"/>
              <w:rPr>
                <w:sz w:val="20"/>
                <w:szCs w:val="20"/>
                <w:color w:val="auto"/>
              </w:rPr>
            </w:pPr>
            <w:r>
              <w:rPr>
                <w:rFonts w:ascii="Arial" w:cs="Arial" w:eastAsia="Arial" w:hAnsi="Arial"/>
                <w:sz w:val="15"/>
                <w:szCs w:val="15"/>
                <w:color w:val="auto"/>
              </w:rPr>
              <w:t>(987,727)</w:t>
            </w:r>
            <w:r>
              <w:rPr>
                <w:rFonts w:ascii="Arial" w:cs="Arial" w:eastAsia="Arial" w:hAnsi="Arial"/>
                <w:sz w:val="28"/>
                <w:szCs w:val="28"/>
                <w:color w:val="auto"/>
                <w:vertAlign w:val="subscript"/>
              </w:rPr>
              <w:t>​</w:t>
            </w:r>
          </w:p>
        </w:tc>
        <w:tc>
          <w:tcPr>
            <w:tcW w:w="320" w:type="dxa"/>
            <w:vAlign w:val="bottom"/>
            <w:tcBorders>
              <w:bottom w:val="single" w:sz="8" w:color="424E6A"/>
              <w:right w:val="single" w:sz="8" w:color="424E6A"/>
            </w:tcBorders>
            <w:gridSpan w:val="2"/>
            <w:shd w:val="clear" w:color="auto" w:fill="D9DCE1"/>
          </w:tcPr>
          <w:p>
            <w:pPr>
              <w:ind w:left="6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040" w:type="dxa"/>
            <w:vAlign w:val="bottom"/>
            <w:tcBorders>
              <w:bottom w:val="single" w:sz="8" w:color="424E6A"/>
              <w:right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$(661,670)</w:t>
            </w:r>
            <w:r>
              <w:rPr>
                <w:rFonts w:ascii="Arial" w:cs="Arial" w:eastAsia="Arial" w:hAnsi="Arial"/>
                <w:sz w:val="28"/>
                <w:szCs w:val="28"/>
                <w:color w:val="auto"/>
                <w:highlight w:val="lightGray"/>
                <w:vertAlign w:val="subscript"/>
              </w:rPr>
              <w:t>​</w:t>
            </w:r>
          </w:p>
        </w:tc>
        <w:tc>
          <w:tcPr>
            <w:tcW w:w="320" w:type="dxa"/>
            <w:vAlign w:val="bottom"/>
            <w:tcBorders>
              <w:bottom w:val="single" w:sz="8" w:color="424E6A"/>
              <w:right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200" w:type="dxa"/>
            <w:vAlign w:val="bottom"/>
            <w:tcBorders>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6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w w:val="98"/>
              </w:rPr>
              <w:t>265,604</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240" w:type="dxa"/>
            <w:vAlign w:val="bottom"/>
            <w:tcBorders>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60" w:type="dxa"/>
            <w:vAlign w:val="bottom"/>
            <w:tcBorders>
              <w:bottom w:val="single" w:sz="8" w:color="424E6A"/>
              <w:right w:val="single" w:sz="8" w:color="424E6A"/>
            </w:tcBorders>
            <w:shd w:val="clear" w:color="auto" w:fill="D9DCE1"/>
          </w:tcPr>
          <w:p>
            <w:pPr>
              <w:jc w:val="right"/>
              <w:ind w:right="1"/>
              <w:spacing w:after="0"/>
              <w:rPr>
                <w:sz w:val="20"/>
                <w:szCs w:val="20"/>
                <w:color w:val="auto"/>
              </w:rPr>
            </w:pPr>
            <w:r>
              <w:rPr>
                <w:rFonts w:ascii="Arial" w:cs="Arial" w:eastAsia="Arial" w:hAnsi="Arial"/>
                <w:sz w:val="18"/>
                <w:szCs w:val="18"/>
                <w:color w:val="auto"/>
              </w:rPr>
              <w:t>358,689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580" w:top="97" w:right="1419" w:bottom="1440" w:gutter="0" w:footer="0" w:header="0"/>
        </w:sectPr>
      </w:pPr>
    </w:p>
    <w:p>
      <w:pPr>
        <w:spacing w:after="0" w:line="1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619" w:hanging="360"/>
        <w:spacing w:after="0" w:line="287" w:lineRule="auto"/>
        <w:tabs>
          <w:tab w:leader="none" w:pos="1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did not issue equity awards during the applicable fiscal years that vested in the year of grant. Additionally, no equity awards were forfeited during any of the applicable years.</w:t>
      </w:r>
    </w:p>
    <w:p>
      <w:pPr>
        <w:spacing w:after="0" w:line="5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Non-PEO NEOs (Average) — Reconciliation of SCT Total to CAP Total</w:t>
      </w:r>
      <w:r>
        <w:rPr>
          <w:rFonts w:ascii="Arial" w:cs="Arial" w:eastAsia="Arial" w:hAnsi="Arial"/>
          <w:sz w:val="26"/>
          <w:szCs w:val="26"/>
          <w:u w:val="single" w:color="auto"/>
          <w:color w:val="auto"/>
          <w:vertAlign w:val="superscript"/>
        </w:rPr>
        <w:t>(a)</w:t>
      </w:r>
    </w:p>
    <w:p>
      <w:pPr>
        <w:spacing w:after="0" w:line="159" w:lineRule="exact"/>
        <w:rPr>
          <w:sz w:val="20"/>
          <w:szCs w:val="20"/>
          <w:color w:val="auto"/>
        </w:rPr>
      </w:pPr>
    </w:p>
    <w:tbl>
      <w:tblPr>
        <w:tblLayout w:type="fixed"/>
        <w:tblInd w:w="1270" w:type="dxa"/>
        <w:tblCellMar>
          <w:top w:w="0" w:type="dxa"/>
          <w:left w:w="0" w:type="dxa"/>
          <w:bottom w:w="0" w:type="dxa"/>
          <w:right w:w="0" w:type="dxa"/>
        </w:tblCellMar>
      </w:tblPr>
      <w:tr>
        <w:trPr>
          <w:trHeight w:val="193"/>
        </w:trPr>
        <w:tc>
          <w:tcPr>
            <w:tcW w:w="1340" w:type="dxa"/>
            <w:vAlign w:val="bottom"/>
            <w:tcBorders>
              <w:left w:val="single" w:sz="8" w:color="424E6A"/>
            </w:tcBorders>
            <w:shd w:val="clear" w:color="auto" w:fill="424E6A"/>
          </w:tcPr>
          <w:p>
            <w:pPr>
              <w:spacing w:after="0"/>
              <w:rPr>
                <w:sz w:val="16"/>
                <w:szCs w:val="16"/>
                <w:color w:val="auto"/>
              </w:rPr>
            </w:pPr>
          </w:p>
        </w:tc>
        <w:tc>
          <w:tcPr>
            <w:tcW w:w="940" w:type="dxa"/>
            <w:vAlign w:val="bottom"/>
            <w:tcBorders>
              <w:right w:val="single" w:sz="8" w:color="424E6A"/>
            </w:tcBorders>
            <w:shd w:val="clear" w:color="auto" w:fill="424E6A"/>
          </w:tcPr>
          <w:p>
            <w:pPr>
              <w:spacing w:after="0"/>
              <w:rPr>
                <w:sz w:val="16"/>
                <w:szCs w:val="16"/>
                <w:color w:val="auto"/>
              </w:rPr>
            </w:pPr>
          </w:p>
        </w:tc>
        <w:tc>
          <w:tcPr>
            <w:tcW w:w="260" w:type="dxa"/>
            <w:vAlign w:val="bottom"/>
            <w:shd w:val="clear" w:color="auto" w:fill="424E6A"/>
          </w:tcPr>
          <w:p>
            <w:pPr>
              <w:spacing w:after="0"/>
              <w:rPr>
                <w:sz w:val="16"/>
                <w:szCs w:val="16"/>
                <w:color w:val="auto"/>
              </w:rPr>
            </w:pPr>
          </w:p>
        </w:tc>
        <w:tc>
          <w:tcPr>
            <w:tcW w:w="800" w:type="dxa"/>
            <w:vAlign w:val="bottom"/>
            <w:shd w:val="clear" w:color="auto" w:fill="424E6A"/>
          </w:tcPr>
          <w:p>
            <w:pPr>
              <w:spacing w:after="0"/>
              <w:rPr>
                <w:sz w:val="16"/>
                <w:szCs w:val="16"/>
                <w:color w:val="auto"/>
              </w:rPr>
            </w:pPr>
          </w:p>
        </w:tc>
        <w:tc>
          <w:tcPr>
            <w:tcW w:w="80" w:type="dxa"/>
            <w:vAlign w:val="bottom"/>
            <w:tcBorders>
              <w:right w:val="single" w:sz="8" w:color="424E6A"/>
            </w:tcBorders>
            <w:shd w:val="clear" w:color="auto" w:fill="424E6A"/>
          </w:tcPr>
          <w:p>
            <w:pPr>
              <w:spacing w:after="0"/>
              <w:rPr>
                <w:sz w:val="16"/>
                <w:szCs w:val="16"/>
                <w:color w:val="auto"/>
              </w:rPr>
            </w:pPr>
          </w:p>
        </w:tc>
        <w:tc>
          <w:tcPr>
            <w:tcW w:w="400" w:type="dxa"/>
            <w:vAlign w:val="bottom"/>
            <w:tcBorders>
              <w:right w:val="single" w:sz="8" w:color="424E6A"/>
            </w:tcBorders>
            <w:shd w:val="clear" w:color="auto" w:fill="424E6A"/>
          </w:tcPr>
          <w:p>
            <w:pPr>
              <w:spacing w:after="0"/>
              <w:rPr>
                <w:sz w:val="16"/>
                <w:szCs w:val="16"/>
                <w:color w:val="auto"/>
              </w:rPr>
            </w:pPr>
          </w:p>
        </w:tc>
        <w:tc>
          <w:tcPr>
            <w:tcW w:w="220" w:type="dxa"/>
            <w:vAlign w:val="bottom"/>
            <w:shd w:val="clear" w:color="auto" w:fill="424E6A"/>
          </w:tcPr>
          <w:p>
            <w:pPr>
              <w:spacing w:after="0"/>
              <w:rPr>
                <w:sz w:val="16"/>
                <w:szCs w:val="16"/>
                <w:color w:val="auto"/>
              </w:rPr>
            </w:pPr>
          </w:p>
        </w:tc>
        <w:tc>
          <w:tcPr>
            <w:tcW w:w="1180" w:type="dxa"/>
            <w:vAlign w:val="bottom"/>
            <w:gridSpan w:val="3"/>
            <w:shd w:val="clear" w:color="auto" w:fill="424E6A"/>
          </w:tcPr>
          <w:p>
            <w:pPr>
              <w:jc w:val="center"/>
              <w:ind w:right="62"/>
              <w:spacing w:after="0"/>
              <w:rPr>
                <w:sz w:val="20"/>
                <w:szCs w:val="20"/>
                <w:color w:val="auto"/>
              </w:rPr>
            </w:pPr>
            <w:r>
              <w:rPr>
                <w:rFonts w:ascii="Arial" w:cs="Arial" w:eastAsia="Arial" w:hAnsi="Arial"/>
                <w:sz w:val="14"/>
                <w:szCs w:val="14"/>
                <w:b w:val="1"/>
                <w:bCs w:val="1"/>
                <w:color w:val="FFFFFF"/>
              </w:rPr>
              <w:t>Grant Date Fair</w:t>
            </w:r>
          </w:p>
        </w:tc>
        <w:tc>
          <w:tcPr>
            <w:tcW w:w="140" w:type="dxa"/>
            <w:vAlign w:val="bottom"/>
            <w:tcBorders>
              <w:right w:val="single" w:sz="8" w:color="424E6A"/>
            </w:tcBorders>
            <w:shd w:val="clear" w:color="auto" w:fill="424E6A"/>
          </w:tcPr>
          <w:p>
            <w:pPr>
              <w:spacing w:after="0"/>
              <w:rPr>
                <w:sz w:val="16"/>
                <w:szCs w:val="16"/>
                <w:color w:val="auto"/>
              </w:rPr>
            </w:pPr>
          </w:p>
        </w:tc>
        <w:tc>
          <w:tcPr>
            <w:tcW w:w="340" w:type="dxa"/>
            <w:vAlign w:val="bottom"/>
            <w:shd w:val="clear" w:color="auto" w:fill="424E6A"/>
          </w:tcPr>
          <w:p>
            <w:pPr>
              <w:spacing w:after="0"/>
              <w:rPr>
                <w:sz w:val="16"/>
                <w:szCs w:val="16"/>
                <w:color w:val="auto"/>
              </w:rPr>
            </w:pPr>
          </w:p>
        </w:tc>
        <w:tc>
          <w:tcPr>
            <w:tcW w:w="800" w:type="dxa"/>
            <w:vAlign w:val="bottom"/>
            <w:shd w:val="clear" w:color="auto" w:fill="424E6A"/>
          </w:tcPr>
          <w:p>
            <w:pPr>
              <w:spacing w:after="0"/>
              <w:rPr>
                <w:sz w:val="16"/>
                <w:szCs w:val="16"/>
                <w:color w:val="auto"/>
              </w:rPr>
            </w:pPr>
          </w:p>
        </w:tc>
        <w:tc>
          <w:tcPr>
            <w:tcW w:w="140" w:type="dxa"/>
            <w:vAlign w:val="bottom"/>
            <w:tcBorders>
              <w:right w:val="single" w:sz="8" w:color="424E6A"/>
            </w:tcBorders>
            <w:shd w:val="clear" w:color="auto" w:fill="424E6A"/>
          </w:tcPr>
          <w:p>
            <w:pPr>
              <w:spacing w:after="0"/>
              <w:rPr>
                <w:sz w:val="16"/>
                <w:szCs w:val="16"/>
                <w:color w:val="auto"/>
              </w:rPr>
            </w:pPr>
          </w:p>
        </w:tc>
        <w:tc>
          <w:tcPr>
            <w:tcW w:w="340" w:type="dxa"/>
            <w:vAlign w:val="bottom"/>
            <w:shd w:val="clear" w:color="auto" w:fill="424E6A"/>
          </w:tcPr>
          <w:p>
            <w:pPr>
              <w:spacing w:after="0"/>
              <w:rPr>
                <w:sz w:val="16"/>
                <w:szCs w:val="16"/>
                <w:color w:val="auto"/>
              </w:rPr>
            </w:pPr>
          </w:p>
        </w:tc>
        <w:tc>
          <w:tcPr>
            <w:tcW w:w="140" w:type="dxa"/>
            <w:vAlign w:val="bottom"/>
            <w:tcBorders>
              <w:right w:val="single" w:sz="8" w:color="424E6A"/>
            </w:tcBorders>
            <w:shd w:val="clear" w:color="auto" w:fill="424E6A"/>
          </w:tcPr>
          <w:p>
            <w:pPr>
              <w:spacing w:after="0"/>
              <w:rPr>
                <w:sz w:val="16"/>
                <w:szCs w:val="16"/>
                <w:color w:val="auto"/>
              </w:rPr>
            </w:pPr>
          </w:p>
        </w:tc>
        <w:tc>
          <w:tcPr>
            <w:tcW w:w="220" w:type="dxa"/>
            <w:vAlign w:val="bottom"/>
            <w:shd w:val="clear" w:color="auto" w:fill="424E6A"/>
          </w:tcPr>
          <w:p>
            <w:pPr>
              <w:spacing w:after="0"/>
              <w:rPr>
                <w:sz w:val="16"/>
                <w:szCs w:val="16"/>
                <w:color w:val="auto"/>
              </w:rPr>
            </w:pPr>
          </w:p>
        </w:tc>
        <w:tc>
          <w:tcPr>
            <w:tcW w:w="880" w:type="dxa"/>
            <w:vAlign w:val="bottom"/>
            <w:tcBorders>
              <w:right w:val="single" w:sz="8" w:color="424E6A"/>
            </w:tcBorders>
            <w:shd w:val="clear" w:color="auto" w:fill="424E6A"/>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424E6A"/>
            </w:tcBorders>
            <w:shd w:val="clear" w:color="auto" w:fill="424E6A"/>
          </w:tcPr>
          <w:p>
            <w:pPr>
              <w:spacing w:after="0"/>
              <w:rPr>
                <w:sz w:val="14"/>
                <w:szCs w:val="14"/>
                <w:color w:val="auto"/>
              </w:rPr>
            </w:pPr>
          </w:p>
        </w:tc>
        <w:tc>
          <w:tcPr>
            <w:tcW w:w="94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800" w:type="dxa"/>
            <w:vAlign w:val="bottom"/>
            <w:shd w:val="clear" w:color="auto" w:fill="424E6A"/>
          </w:tcPr>
          <w:p>
            <w:pPr>
              <w:spacing w:after="0"/>
              <w:rPr>
                <w:sz w:val="14"/>
                <w:szCs w:val="14"/>
                <w:color w:val="auto"/>
              </w:rPr>
            </w:pPr>
          </w:p>
        </w:tc>
        <w:tc>
          <w:tcPr>
            <w:tcW w:w="80" w:type="dxa"/>
            <w:vAlign w:val="bottom"/>
            <w:tcBorders>
              <w:right w:val="single" w:sz="8" w:color="424E6A"/>
            </w:tcBorders>
            <w:shd w:val="clear" w:color="auto" w:fill="424E6A"/>
          </w:tcPr>
          <w:p>
            <w:pPr>
              <w:spacing w:after="0"/>
              <w:rPr>
                <w:sz w:val="14"/>
                <w:szCs w:val="14"/>
                <w:color w:val="auto"/>
              </w:rPr>
            </w:pPr>
          </w:p>
        </w:tc>
        <w:tc>
          <w:tcPr>
            <w:tcW w:w="400" w:type="dxa"/>
            <w:vAlign w:val="bottom"/>
            <w:tcBorders>
              <w:right w:val="single" w:sz="8" w:color="424E6A"/>
            </w:tcBorders>
            <w:shd w:val="clear" w:color="auto" w:fill="424E6A"/>
          </w:tcPr>
          <w:p>
            <w:pPr>
              <w:spacing w:after="0"/>
              <w:rPr>
                <w:sz w:val="14"/>
                <w:szCs w:val="14"/>
                <w:color w:val="auto"/>
              </w:rPr>
            </w:pPr>
          </w:p>
        </w:tc>
        <w:tc>
          <w:tcPr>
            <w:tcW w:w="1400" w:type="dxa"/>
            <w:vAlign w:val="bottom"/>
            <w:gridSpan w:val="4"/>
            <w:shd w:val="clear" w:color="auto" w:fill="424E6A"/>
          </w:tcPr>
          <w:p>
            <w:pPr>
              <w:jc w:val="center"/>
              <w:spacing w:after="0"/>
              <w:rPr>
                <w:sz w:val="20"/>
                <w:szCs w:val="20"/>
                <w:color w:val="auto"/>
              </w:rPr>
            </w:pPr>
            <w:r>
              <w:rPr>
                <w:rFonts w:ascii="Arial" w:cs="Arial" w:eastAsia="Arial" w:hAnsi="Arial"/>
                <w:sz w:val="14"/>
                <w:szCs w:val="14"/>
                <w:b w:val="1"/>
                <w:bCs w:val="1"/>
                <w:color w:val="FFFFFF"/>
              </w:rPr>
              <w:t>Value of Awards</w:t>
            </w:r>
          </w:p>
        </w:tc>
        <w:tc>
          <w:tcPr>
            <w:tcW w:w="140" w:type="dxa"/>
            <w:vAlign w:val="bottom"/>
            <w:tcBorders>
              <w:right w:val="single" w:sz="8" w:color="424E6A"/>
            </w:tcBorders>
            <w:shd w:val="clear" w:color="auto" w:fill="424E6A"/>
          </w:tcPr>
          <w:p>
            <w:pPr>
              <w:spacing w:after="0"/>
              <w:rPr>
                <w:sz w:val="14"/>
                <w:szCs w:val="14"/>
                <w:color w:val="auto"/>
              </w:rPr>
            </w:pPr>
          </w:p>
        </w:tc>
        <w:tc>
          <w:tcPr>
            <w:tcW w:w="1620" w:type="dxa"/>
            <w:vAlign w:val="bottom"/>
            <w:gridSpan w:val="4"/>
            <w:shd w:val="clear" w:color="auto" w:fill="424E6A"/>
          </w:tcPr>
          <w:p>
            <w:pPr>
              <w:jc w:val="center"/>
              <w:ind w:left="5"/>
              <w:spacing w:after="0"/>
              <w:rPr>
                <w:sz w:val="20"/>
                <w:szCs w:val="20"/>
                <w:color w:val="auto"/>
              </w:rPr>
            </w:pPr>
            <w:r>
              <w:rPr>
                <w:rFonts w:ascii="Arial" w:cs="Arial" w:eastAsia="Arial" w:hAnsi="Arial"/>
                <w:sz w:val="14"/>
                <w:szCs w:val="14"/>
                <w:b w:val="1"/>
                <w:bCs w:val="1"/>
                <w:color w:val="FFFFFF"/>
              </w:rPr>
              <w:t>Fair Value of Equity</w:t>
            </w:r>
          </w:p>
        </w:tc>
        <w:tc>
          <w:tcPr>
            <w:tcW w:w="14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88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424E6A"/>
            </w:tcBorders>
            <w:vMerge w:val="restart"/>
            <w:shd w:val="clear" w:color="auto" w:fill="424E6A"/>
          </w:tcPr>
          <w:p>
            <w:pPr>
              <w:ind w:left="4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Year</w:t>
            </w:r>
          </w:p>
        </w:tc>
        <w:tc>
          <w:tcPr>
            <w:tcW w:w="94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880" w:type="dxa"/>
            <w:vAlign w:val="bottom"/>
            <w:tcBorders>
              <w:right w:val="single" w:sz="8" w:color="424E6A"/>
            </w:tcBorders>
            <w:gridSpan w:val="2"/>
            <w:vMerge w:val="restart"/>
            <w:shd w:val="clear" w:color="auto" w:fill="424E6A"/>
          </w:tcPr>
          <w:p>
            <w:pPr>
              <w:ind w:left="160"/>
              <w:spacing w:after="0"/>
              <w:rPr>
                <w:sz w:val="20"/>
                <w:szCs w:val="20"/>
                <w:color w:val="auto"/>
              </w:rPr>
            </w:pPr>
            <w:r>
              <w:rPr>
                <w:rFonts w:ascii="Arial" w:cs="Arial" w:eastAsia="Arial" w:hAnsi="Arial"/>
                <w:sz w:val="14"/>
                <w:szCs w:val="14"/>
                <w:b w:val="1"/>
                <w:bCs w:val="1"/>
                <w:color w:val="FFFFFF"/>
              </w:rPr>
              <w:t>SCT Total</w:t>
            </w:r>
          </w:p>
        </w:tc>
        <w:tc>
          <w:tcPr>
            <w:tcW w:w="400" w:type="dxa"/>
            <w:vAlign w:val="bottom"/>
            <w:tcBorders>
              <w:right w:val="single" w:sz="8" w:color="424E6A"/>
            </w:tcBorders>
            <w:shd w:val="clear" w:color="auto" w:fill="424E6A"/>
          </w:tcPr>
          <w:p>
            <w:pPr>
              <w:spacing w:after="0"/>
              <w:rPr>
                <w:sz w:val="14"/>
                <w:szCs w:val="14"/>
                <w:color w:val="auto"/>
              </w:rPr>
            </w:pPr>
          </w:p>
        </w:tc>
        <w:tc>
          <w:tcPr>
            <w:tcW w:w="1400" w:type="dxa"/>
            <w:vAlign w:val="bottom"/>
            <w:gridSpan w:val="4"/>
            <w:shd w:val="clear" w:color="auto" w:fill="424E6A"/>
          </w:tcPr>
          <w:p>
            <w:pPr>
              <w:jc w:val="right"/>
              <w:spacing w:after="0"/>
              <w:rPr>
                <w:sz w:val="20"/>
                <w:szCs w:val="20"/>
                <w:color w:val="auto"/>
              </w:rPr>
            </w:pPr>
            <w:r>
              <w:rPr>
                <w:rFonts w:ascii="Arial" w:cs="Arial" w:eastAsia="Arial" w:hAnsi="Arial"/>
                <w:sz w:val="14"/>
                <w:szCs w:val="14"/>
                <w:b w:val="1"/>
                <w:bCs w:val="1"/>
                <w:color w:val="FFFFFF"/>
              </w:rPr>
              <w:t>Granted During the</w:t>
            </w:r>
          </w:p>
        </w:tc>
        <w:tc>
          <w:tcPr>
            <w:tcW w:w="140" w:type="dxa"/>
            <w:vAlign w:val="bottom"/>
            <w:tcBorders>
              <w:right w:val="single" w:sz="8" w:color="424E6A"/>
            </w:tcBorders>
            <w:shd w:val="clear" w:color="auto" w:fill="424E6A"/>
          </w:tcPr>
          <w:p>
            <w:pPr>
              <w:spacing w:after="0"/>
              <w:rPr>
                <w:sz w:val="14"/>
                <w:szCs w:val="14"/>
                <w:color w:val="auto"/>
              </w:rPr>
            </w:pPr>
          </w:p>
        </w:tc>
        <w:tc>
          <w:tcPr>
            <w:tcW w:w="1620" w:type="dxa"/>
            <w:vAlign w:val="bottom"/>
            <w:gridSpan w:val="4"/>
            <w:shd w:val="clear" w:color="auto" w:fill="424E6A"/>
          </w:tcPr>
          <w:p>
            <w:pPr>
              <w:jc w:val="center"/>
              <w:ind w:left="5"/>
              <w:spacing w:after="0"/>
              <w:rPr>
                <w:sz w:val="20"/>
                <w:szCs w:val="20"/>
                <w:color w:val="auto"/>
              </w:rPr>
            </w:pPr>
            <w:r>
              <w:rPr>
                <w:rFonts w:ascii="Arial" w:cs="Arial" w:eastAsia="Arial" w:hAnsi="Arial"/>
                <w:sz w:val="14"/>
                <w:szCs w:val="14"/>
                <w:b w:val="1"/>
                <w:bCs w:val="1"/>
                <w:color w:val="FFFFFF"/>
              </w:rPr>
              <w:t>Calculated Using SEC</w:t>
            </w:r>
          </w:p>
        </w:tc>
        <w:tc>
          <w:tcPr>
            <w:tcW w:w="14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880" w:type="dxa"/>
            <w:vAlign w:val="bottom"/>
            <w:tcBorders>
              <w:right w:val="single" w:sz="8" w:color="424E6A"/>
            </w:tcBorders>
            <w:vMerge w:val="restart"/>
            <w:shd w:val="clear" w:color="auto" w:fill="424E6A"/>
          </w:tcPr>
          <w:p>
            <w:pPr>
              <w:jc w:val="right"/>
              <w:ind w:right="119"/>
              <w:spacing w:after="0"/>
              <w:rPr>
                <w:sz w:val="20"/>
                <w:szCs w:val="20"/>
                <w:color w:val="auto"/>
              </w:rPr>
            </w:pPr>
            <w:r>
              <w:rPr>
                <w:rFonts w:ascii="Arial" w:cs="Arial" w:eastAsia="Arial" w:hAnsi="Arial"/>
                <w:sz w:val="14"/>
                <w:szCs w:val="14"/>
                <w:b w:val="1"/>
                <w:bCs w:val="1"/>
                <w:color w:val="FFFFFF"/>
                <w:w w:val="98"/>
              </w:rPr>
              <w:t>CAP Total</w:t>
            </w:r>
          </w:p>
        </w:tc>
        <w:tc>
          <w:tcPr>
            <w:tcW w:w="0" w:type="dxa"/>
            <w:vAlign w:val="bottom"/>
          </w:tcPr>
          <w:p>
            <w:pPr>
              <w:spacing w:after="0"/>
              <w:rPr>
                <w:sz w:val="1"/>
                <w:szCs w:val="1"/>
                <w:color w:val="auto"/>
              </w:rPr>
            </w:pPr>
          </w:p>
        </w:tc>
      </w:tr>
      <w:tr>
        <w:trPr>
          <w:trHeight w:val="212"/>
        </w:trPr>
        <w:tc>
          <w:tcPr>
            <w:tcW w:w="1340" w:type="dxa"/>
            <w:vAlign w:val="bottom"/>
            <w:tcBorders>
              <w:left w:val="single" w:sz="8" w:color="424E6A"/>
            </w:tcBorders>
            <w:vMerge w:val="continue"/>
            <w:shd w:val="clear" w:color="auto" w:fill="424E6A"/>
          </w:tcPr>
          <w:p>
            <w:pPr>
              <w:spacing w:after="0"/>
              <w:rPr>
                <w:sz w:val="18"/>
                <w:szCs w:val="18"/>
                <w:color w:val="auto"/>
              </w:rPr>
            </w:pPr>
          </w:p>
        </w:tc>
        <w:tc>
          <w:tcPr>
            <w:tcW w:w="1200" w:type="dxa"/>
            <w:vAlign w:val="bottom"/>
            <w:gridSpan w:val="2"/>
            <w:shd w:val="clear" w:color="auto" w:fill="424E6A"/>
          </w:tcPr>
          <w:p>
            <w:pPr>
              <w:ind w:left="880"/>
              <w:spacing w:after="0"/>
              <w:rPr>
                <w:sz w:val="20"/>
                <w:szCs w:val="20"/>
                <w:color w:val="auto"/>
              </w:rPr>
            </w:pPr>
            <w:r>
              <w:rPr>
                <w:rFonts w:ascii="Arial" w:cs="Arial" w:eastAsia="Arial" w:hAnsi="Arial"/>
                <w:sz w:val="14"/>
                <w:szCs w:val="14"/>
                <w:b w:val="1"/>
                <w:bCs w:val="1"/>
                <w:color w:val="FFFFFF"/>
              </w:rPr>
              <w:t>​ ​</w:t>
            </w:r>
          </w:p>
        </w:tc>
        <w:tc>
          <w:tcPr>
            <w:tcW w:w="880" w:type="dxa"/>
            <w:vAlign w:val="bottom"/>
            <w:tcBorders>
              <w:right w:val="single" w:sz="8" w:color="424E6A"/>
            </w:tcBorders>
            <w:gridSpan w:val="2"/>
            <w:vMerge w:val="continue"/>
            <w:shd w:val="clear" w:color="auto" w:fill="424E6A"/>
          </w:tcPr>
          <w:p>
            <w:pPr>
              <w:spacing w:after="0"/>
              <w:rPr>
                <w:sz w:val="18"/>
                <w:szCs w:val="18"/>
                <w:color w:val="auto"/>
              </w:rPr>
            </w:pPr>
          </w:p>
        </w:tc>
        <w:tc>
          <w:tcPr>
            <w:tcW w:w="620" w:type="dxa"/>
            <w:vAlign w:val="bottom"/>
            <w:gridSpan w:val="2"/>
            <w:shd w:val="clear" w:color="auto" w:fill="424E6A"/>
          </w:tcPr>
          <w:p>
            <w:pPr>
              <w:ind w:left="320"/>
              <w:spacing w:after="0"/>
              <w:rPr>
                <w:sz w:val="20"/>
                <w:szCs w:val="20"/>
                <w:color w:val="auto"/>
              </w:rPr>
            </w:pPr>
            <w:r>
              <w:rPr>
                <w:rFonts w:ascii="Arial" w:cs="Arial" w:eastAsia="Arial" w:hAnsi="Arial"/>
                <w:sz w:val="14"/>
                <w:szCs w:val="14"/>
                <w:b w:val="1"/>
                <w:bCs w:val="1"/>
                <w:color w:val="FFFFFF"/>
              </w:rPr>
              <w:t>​ ​</w:t>
            </w:r>
          </w:p>
        </w:tc>
        <w:tc>
          <w:tcPr>
            <w:tcW w:w="820" w:type="dxa"/>
            <w:vAlign w:val="bottom"/>
            <w:shd w:val="clear" w:color="auto" w:fill="424E6A"/>
          </w:tcPr>
          <w:p>
            <w:pPr>
              <w:jc w:val="center"/>
              <w:ind w:left="159"/>
              <w:spacing w:after="0"/>
              <w:rPr>
                <w:sz w:val="20"/>
                <w:szCs w:val="20"/>
                <w:color w:val="auto"/>
              </w:rPr>
            </w:pPr>
            <w:r>
              <w:rPr>
                <w:rFonts w:ascii="Arial" w:cs="Arial" w:eastAsia="Arial" w:hAnsi="Arial"/>
                <w:sz w:val="14"/>
                <w:szCs w:val="14"/>
                <w:b w:val="1"/>
                <w:bCs w:val="1"/>
                <w:color w:val="FFFFFF"/>
                <w:w w:val="98"/>
              </w:rPr>
              <w:t>Year</w:t>
            </w:r>
          </w:p>
        </w:tc>
        <w:tc>
          <w:tcPr>
            <w:tcW w:w="120" w:type="dxa"/>
            <w:vAlign w:val="bottom"/>
            <w:tcBorders>
              <w:right w:val="single" w:sz="8" w:color="424E6A"/>
            </w:tcBorders>
            <w:shd w:val="clear" w:color="auto" w:fill="424E6A"/>
          </w:tcPr>
          <w:p>
            <w:pPr>
              <w:spacing w:after="0"/>
              <w:rPr>
                <w:sz w:val="18"/>
                <w:szCs w:val="18"/>
                <w:color w:val="auto"/>
              </w:rPr>
            </w:pPr>
          </w:p>
        </w:tc>
        <w:tc>
          <w:tcPr>
            <w:tcW w:w="240" w:type="dxa"/>
            <w:vAlign w:val="bottom"/>
            <w:shd w:val="clear" w:color="auto" w:fill="424E6A"/>
          </w:tcPr>
          <w:p>
            <w:pPr>
              <w:spacing w:after="0"/>
              <w:rPr>
                <w:sz w:val="18"/>
                <w:szCs w:val="18"/>
                <w:color w:val="auto"/>
              </w:rPr>
            </w:pPr>
          </w:p>
        </w:tc>
        <w:tc>
          <w:tcPr>
            <w:tcW w:w="480" w:type="dxa"/>
            <w:vAlign w:val="bottom"/>
            <w:gridSpan w:val="2"/>
            <w:shd w:val="clear" w:color="auto" w:fill="424E6A"/>
          </w:tcPr>
          <w:p>
            <w:pPr>
              <w:ind w:left="80"/>
              <w:spacing w:after="0"/>
              <w:rPr>
                <w:sz w:val="20"/>
                <w:szCs w:val="20"/>
                <w:color w:val="auto"/>
              </w:rPr>
            </w:pPr>
            <w:r>
              <w:rPr>
                <w:rFonts w:ascii="Arial" w:cs="Arial" w:eastAsia="Arial" w:hAnsi="Arial"/>
                <w:sz w:val="14"/>
                <w:szCs w:val="14"/>
                <w:b w:val="1"/>
                <w:bCs w:val="1"/>
                <w:color w:val="FFFFFF"/>
              </w:rPr>
              <w:t>​ ​</w:t>
            </w:r>
          </w:p>
        </w:tc>
        <w:tc>
          <w:tcPr>
            <w:tcW w:w="1280" w:type="dxa"/>
            <w:vAlign w:val="bottom"/>
            <w:gridSpan w:val="3"/>
            <w:shd w:val="clear" w:color="auto" w:fill="424E6A"/>
          </w:tcPr>
          <w:p>
            <w:pPr>
              <w:jc w:val="center"/>
              <w:ind w:right="142"/>
              <w:spacing w:after="0"/>
              <w:rPr>
                <w:sz w:val="20"/>
                <w:szCs w:val="20"/>
                <w:color w:val="auto"/>
              </w:rPr>
            </w:pPr>
            <w:r>
              <w:rPr>
                <w:rFonts w:ascii="Arial" w:cs="Arial" w:eastAsia="Arial" w:hAnsi="Arial"/>
                <w:sz w:val="14"/>
                <w:szCs w:val="14"/>
                <w:b w:val="1"/>
                <w:bCs w:val="1"/>
                <w:color w:val="FFFFFF"/>
              </w:rPr>
              <w:t>Methodology</w:t>
            </w:r>
          </w:p>
        </w:tc>
        <w:tc>
          <w:tcPr>
            <w:tcW w:w="360" w:type="dxa"/>
            <w:vAlign w:val="bottom"/>
            <w:gridSpan w:val="2"/>
            <w:shd w:val="clear" w:color="auto" w:fill="424E6A"/>
          </w:tcPr>
          <w:p>
            <w:pPr>
              <w:ind w:left="80"/>
              <w:spacing w:after="0"/>
              <w:rPr>
                <w:sz w:val="20"/>
                <w:szCs w:val="20"/>
                <w:color w:val="auto"/>
              </w:rPr>
            </w:pPr>
            <w:r>
              <w:rPr>
                <w:rFonts w:ascii="Arial" w:cs="Arial" w:eastAsia="Arial" w:hAnsi="Arial"/>
                <w:sz w:val="14"/>
                <w:szCs w:val="14"/>
                <w:b w:val="1"/>
                <w:bCs w:val="1"/>
                <w:color w:val="FFFFFF"/>
              </w:rPr>
              <w:t>​ ​</w:t>
            </w:r>
          </w:p>
        </w:tc>
        <w:tc>
          <w:tcPr>
            <w:tcW w:w="880" w:type="dxa"/>
            <w:vAlign w:val="bottom"/>
            <w:tcBorders>
              <w:right w:val="single" w:sz="8" w:color="424E6A"/>
            </w:tcBorders>
            <w:vMerge w:val="continue"/>
            <w:shd w:val="clear" w:color="auto" w:fill="424E6A"/>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424E6A"/>
              <w:bottom w:val="single" w:sz="8" w:color="424E6A"/>
            </w:tcBorders>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2022</w:t>
            </w:r>
          </w:p>
        </w:tc>
        <w:tc>
          <w:tcPr>
            <w:tcW w:w="940" w:type="dxa"/>
            <w:vAlign w:val="bottom"/>
            <w:tcBorders>
              <w:bottom w:val="single" w:sz="8" w:color="424E6A"/>
              <w:right w:val="single" w:sz="8" w:color="424E6A"/>
            </w:tcBorders>
            <w:shd w:val="clear" w:color="auto" w:fill="D9DCE1"/>
          </w:tcPr>
          <w:p>
            <w:pPr>
              <w:ind w:left="8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tcBorders>
            <w:gridSpan w:val="2"/>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highlight w:val="lightGray"/>
              </w:rPr>
              <w:t>$4,387,570</w:t>
            </w:r>
          </w:p>
        </w:tc>
        <w:tc>
          <w:tcPr>
            <w:tcW w:w="8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highlight w:val="lightGray"/>
              </w:rPr>
              <w:t>​</w:t>
            </w:r>
          </w:p>
        </w:tc>
        <w:tc>
          <w:tcPr>
            <w:tcW w:w="400" w:type="dxa"/>
            <w:vAlign w:val="bottom"/>
            <w:tcBorders>
              <w:bottom w:val="single" w:sz="8" w:color="424E6A"/>
              <w:right w:val="single" w:sz="8" w:color="424E6A"/>
            </w:tcBorders>
            <w:shd w:val="clear" w:color="auto" w:fill="D9DCE1"/>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040" w:type="dxa"/>
            <w:vAlign w:val="bottom"/>
            <w:tcBorders>
              <w:bottom w:val="single" w:sz="8" w:color="424E6A"/>
            </w:tcBorders>
            <w:gridSpan w:val="2"/>
            <w:shd w:val="clear" w:color="auto" w:fill="D9DCE1"/>
          </w:tcPr>
          <w:p>
            <w:pPr>
              <w:jc w:val="right"/>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highlight w:val="lightGray"/>
              </w:rPr>
              <w:t>$1,132,761</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highlight w:val="lightGray"/>
              </w:rPr>
              <w:t>​​</w:t>
            </w:r>
          </w:p>
        </w:tc>
        <w:tc>
          <w:tcPr>
            <w:tcW w:w="240" w:type="dxa"/>
            <w:vAlign w:val="bottom"/>
            <w:tcBorders>
              <w:bottom w:val="single" w:sz="8" w:color="424E6A"/>
            </w:tcBorders>
            <w:shd w:val="clear" w:color="auto" w:fill="D9DCE1"/>
          </w:tcPr>
          <w:p>
            <w:pPr>
              <w:jc w:val="right"/>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24E6A"/>
            </w:tcBorders>
            <w:gridSpan w:val="2"/>
            <w:shd w:val="clear" w:color="auto" w:fill="D9DCE1"/>
          </w:tcPr>
          <w:p>
            <w:pPr>
              <w:jc w:val="right"/>
              <w:spacing w:after="0" w:line="256"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6"/>
                <w:szCs w:val="16"/>
                <w:color w:val="auto"/>
              </w:rPr>
              <w:t>$4,887,389</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shd w:val="clear" w:color="auto" w:fill="D9DCE1"/>
          </w:tcPr>
          <w:p>
            <w:pPr>
              <w:ind w:left="40"/>
              <w:spacing w:after="0" w:line="256" w:lineRule="exact"/>
              <w:rPr>
                <w:sz w:val="20"/>
                <w:szCs w:val="20"/>
                <w:color w:val="auto"/>
              </w:rPr>
            </w:pPr>
            <w:r>
              <w:rPr>
                <w:rFonts w:ascii="Arial" w:cs="Arial" w:eastAsia="Arial" w:hAnsi="Arial"/>
                <w:sz w:val="16"/>
                <w:szCs w:val="16"/>
                <w:color w:val="auto"/>
              </w:rPr>
              <w:t>​ ​</w:t>
            </w:r>
            <w:r>
              <w:rPr>
                <w:rFonts w:ascii="Arial" w:cs="Arial" w:eastAsia="Arial" w:hAnsi="Arial"/>
                <w:sz w:val="29"/>
                <w:szCs w:val="29"/>
                <w:color w:val="auto"/>
                <w:vertAlign w:val="superscript"/>
              </w:rPr>
              <w:t>=</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24E6A"/>
              <w:right w:val="single" w:sz="8" w:color="424E6A"/>
            </w:tcBorders>
            <w:gridSpan w:val="2"/>
            <w:shd w:val="clear" w:color="auto" w:fill="D9DCE1"/>
          </w:tcPr>
          <w:p>
            <w:pPr>
              <w:jc w:val="right"/>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highlight w:val="lightGray"/>
              </w:rPr>
              <w:t>$8,142,198</w:t>
            </w:r>
          </w:p>
        </w:tc>
        <w:tc>
          <w:tcPr>
            <w:tcW w:w="0" w:type="dxa"/>
            <w:vAlign w:val="bottom"/>
          </w:tcPr>
          <w:p>
            <w:pPr>
              <w:spacing w:after="0"/>
              <w:rPr>
                <w:sz w:val="1"/>
                <w:szCs w:val="1"/>
                <w:color w:val="auto"/>
              </w:rPr>
            </w:pPr>
          </w:p>
        </w:tc>
      </w:tr>
      <w:tr>
        <w:trPr>
          <w:trHeight w:val="250"/>
        </w:trPr>
        <w:tc>
          <w:tcPr>
            <w:tcW w:w="134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2021</w:t>
            </w:r>
          </w:p>
        </w:tc>
        <w:tc>
          <w:tcPr>
            <w:tcW w:w="940" w:type="dxa"/>
            <w:vAlign w:val="bottom"/>
            <w:tcBorders>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$2,147,374</w:t>
            </w:r>
          </w:p>
        </w:tc>
        <w:tc>
          <w:tcPr>
            <w:tcW w:w="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424E6A"/>
              <w:right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22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2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657,014</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424E6A"/>
            </w:tcBorders>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8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895,338</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24E6A"/>
              <w:right w:val="single" w:sz="8" w:color="424E6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$2,385,698</w:t>
            </w:r>
          </w:p>
        </w:tc>
        <w:tc>
          <w:tcPr>
            <w:tcW w:w="0" w:type="dxa"/>
            <w:vAlign w:val="bottom"/>
          </w:tcPr>
          <w:p>
            <w:pPr>
              <w:spacing w:after="0"/>
              <w:rPr>
                <w:sz w:val="1"/>
                <w:szCs w:val="1"/>
                <w:color w:val="auto"/>
              </w:rPr>
            </w:pPr>
          </w:p>
        </w:tc>
      </w:tr>
      <w:tr>
        <w:trPr>
          <w:trHeight w:val="250"/>
        </w:trPr>
        <w:tc>
          <w:tcPr>
            <w:tcW w:w="134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2020</w:t>
            </w:r>
          </w:p>
        </w:tc>
        <w:tc>
          <w:tcPr>
            <w:tcW w:w="940" w:type="dxa"/>
            <w:vAlign w:val="bottom"/>
            <w:tcBorders>
              <w:bottom w:val="single" w:sz="8" w:color="424E6A"/>
              <w:right w:val="single" w:sz="8" w:color="424E6A"/>
            </w:tcBorders>
            <w:shd w:val="clear" w:color="auto" w:fill="D9DCE1"/>
          </w:tcPr>
          <w:p>
            <w:pPr>
              <w:ind w:left="8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$1,957,177</w:t>
            </w:r>
          </w:p>
        </w:tc>
        <w:tc>
          <w:tcPr>
            <w:tcW w:w="8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highlight w:val="lightGray"/>
              </w:rPr>
              <w:t>​</w:t>
            </w:r>
          </w:p>
        </w:tc>
        <w:tc>
          <w:tcPr>
            <w:tcW w:w="400" w:type="dxa"/>
            <w:vAlign w:val="bottom"/>
            <w:tcBorders>
              <w:bottom w:val="single" w:sz="8" w:color="424E6A"/>
              <w:right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220" w:type="dxa"/>
            <w:vAlign w:val="bottom"/>
            <w:tcBorders>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719,117</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424E6A"/>
            </w:tcBorders>
            <w:shd w:val="clear" w:color="auto" w:fill="D9DCE1"/>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940" w:type="dxa"/>
            <w:vAlign w:val="bottom"/>
            <w:tcBorders>
              <w:bottom w:val="single" w:sz="8" w:color="424E6A"/>
              <w:right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15"/>
                <w:szCs w:val="15"/>
                <w:color w:val="auto"/>
              </w:rPr>
              <w:t>(808,238)</w:t>
            </w:r>
            <w:r>
              <w:rPr>
                <w:rFonts w:ascii="Arial" w:cs="Arial" w:eastAsia="Arial" w:hAnsi="Arial"/>
                <w:sz w:val="28"/>
                <w:szCs w:val="28"/>
                <w:color w:val="auto"/>
                <w:vertAlign w:val="subscript"/>
              </w:rPr>
              <w:t>​​</w:t>
            </w:r>
          </w:p>
        </w:tc>
        <w:tc>
          <w:tcPr>
            <w:tcW w:w="340" w:type="dxa"/>
            <w:vAlign w:val="bottom"/>
            <w:tcBorders>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8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429,822</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620" w:right="459" w:hanging="360"/>
        <w:spacing w:after="0" w:line="287" w:lineRule="auto"/>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CAP total figures were calculated using the same methodology described in footnote (a) to the “PEO — Reconciliation of SCT Total to CAP Total” table shown above.</w:t>
      </w:r>
    </w:p>
    <w:p>
      <w:pPr>
        <w:spacing w:after="0" w:line="85" w:lineRule="exact"/>
        <w:rPr>
          <w:sz w:val="20"/>
          <w:szCs w:val="20"/>
          <w:color w:val="auto"/>
        </w:rPr>
      </w:pPr>
    </w:p>
    <w:p>
      <w:pPr>
        <w:ind w:left="1260" w:right="899" w:firstLine="360"/>
        <w:spacing w:after="0" w:line="271" w:lineRule="auto"/>
        <w:rPr>
          <w:sz w:val="20"/>
          <w:szCs w:val="20"/>
          <w:color w:val="auto"/>
        </w:rPr>
      </w:pPr>
      <w:r>
        <w:rPr>
          <w:rFonts w:ascii="Arial" w:cs="Arial" w:eastAsia="Arial" w:hAnsi="Arial"/>
          <w:sz w:val="18"/>
          <w:szCs w:val="18"/>
          <w:color w:val="auto"/>
        </w:rPr>
        <w:t>The specific calculations for the Non-PEO NEOs for the relevant years are shown in the table below:</w:t>
      </w:r>
    </w:p>
    <w:p>
      <w:pPr>
        <w:spacing w:after="0" w:line="6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Non-PEO NEOs (Average) — CAP Fair Value of Equity Calculation</w:t>
      </w:r>
      <w:r>
        <w:rPr>
          <w:rFonts w:ascii="Arial" w:cs="Arial" w:eastAsia="Arial" w:hAnsi="Arial"/>
          <w:sz w:val="26"/>
          <w:szCs w:val="26"/>
          <w:u w:val="single" w:color="auto"/>
          <w:color w:val="auto"/>
          <w:vertAlign w:val="superscript"/>
        </w:rPr>
        <w:t>(a)</w:t>
      </w:r>
    </w:p>
    <w:p>
      <w:pPr>
        <w:spacing w:after="0" w:line="159" w:lineRule="exact"/>
        <w:rPr>
          <w:sz w:val="20"/>
          <w:szCs w:val="20"/>
          <w:color w:val="auto"/>
        </w:rPr>
      </w:pPr>
    </w:p>
    <w:tbl>
      <w:tblPr>
        <w:tblLayout w:type="fixed"/>
        <w:tblInd w:w="1270" w:type="dxa"/>
        <w:tblCellMar>
          <w:top w:w="0" w:type="dxa"/>
          <w:left w:w="0" w:type="dxa"/>
          <w:bottom w:w="0" w:type="dxa"/>
          <w:right w:w="0" w:type="dxa"/>
        </w:tblCellMar>
      </w:tblPr>
      <w:tr>
        <w:trPr>
          <w:trHeight w:val="193"/>
        </w:trPr>
        <w:tc>
          <w:tcPr>
            <w:tcW w:w="920" w:type="dxa"/>
            <w:vAlign w:val="bottom"/>
            <w:tcBorders>
              <w:left w:val="single" w:sz="8" w:color="424E6A"/>
            </w:tcBorders>
            <w:shd w:val="clear" w:color="auto" w:fill="424E6A"/>
          </w:tcPr>
          <w:p>
            <w:pPr>
              <w:spacing w:after="0"/>
              <w:rPr>
                <w:sz w:val="16"/>
                <w:szCs w:val="16"/>
                <w:color w:val="auto"/>
              </w:rPr>
            </w:pPr>
          </w:p>
        </w:tc>
        <w:tc>
          <w:tcPr>
            <w:tcW w:w="520" w:type="dxa"/>
            <w:vAlign w:val="bottom"/>
            <w:tcBorders>
              <w:right w:val="single" w:sz="8" w:color="424E6A"/>
            </w:tcBorders>
            <w:shd w:val="clear" w:color="auto" w:fill="424E6A"/>
          </w:tcPr>
          <w:p>
            <w:pPr>
              <w:spacing w:after="0"/>
              <w:rPr>
                <w:sz w:val="16"/>
                <w:szCs w:val="16"/>
                <w:color w:val="auto"/>
              </w:rPr>
            </w:pPr>
          </w:p>
        </w:tc>
        <w:tc>
          <w:tcPr>
            <w:tcW w:w="240" w:type="dxa"/>
            <w:vAlign w:val="bottom"/>
            <w:shd w:val="clear" w:color="auto" w:fill="424E6A"/>
          </w:tcPr>
          <w:p>
            <w:pPr>
              <w:spacing w:after="0"/>
              <w:rPr>
                <w:sz w:val="16"/>
                <w:szCs w:val="16"/>
                <w:color w:val="auto"/>
              </w:rPr>
            </w:pPr>
          </w:p>
        </w:tc>
        <w:tc>
          <w:tcPr>
            <w:tcW w:w="800" w:type="dxa"/>
            <w:vAlign w:val="bottom"/>
            <w:shd w:val="clear" w:color="auto" w:fill="424E6A"/>
          </w:tcPr>
          <w:p>
            <w:pPr>
              <w:spacing w:after="0"/>
              <w:rPr>
                <w:sz w:val="16"/>
                <w:szCs w:val="16"/>
                <w:color w:val="auto"/>
              </w:rPr>
            </w:pPr>
          </w:p>
        </w:tc>
        <w:tc>
          <w:tcPr>
            <w:tcW w:w="100" w:type="dxa"/>
            <w:vAlign w:val="bottom"/>
            <w:tcBorders>
              <w:right w:val="single" w:sz="8" w:color="424E6A"/>
            </w:tcBorders>
            <w:shd w:val="clear" w:color="auto" w:fill="424E6A"/>
          </w:tcPr>
          <w:p>
            <w:pPr>
              <w:spacing w:after="0"/>
              <w:rPr>
                <w:sz w:val="16"/>
                <w:szCs w:val="16"/>
                <w:color w:val="auto"/>
              </w:rPr>
            </w:pPr>
          </w:p>
        </w:tc>
        <w:tc>
          <w:tcPr>
            <w:tcW w:w="300" w:type="dxa"/>
            <w:vAlign w:val="bottom"/>
            <w:tcBorders>
              <w:right w:val="single" w:sz="8" w:color="424E6A"/>
            </w:tcBorders>
            <w:shd w:val="clear" w:color="auto" w:fill="424E6A"/>
          </w:tcPr>
          <w:p>
            <w:pPr>
              <w:spacing w:after="0"/>
              <w:rPr>
                <w:sz w:val="16"/>
                <w:szCs w:val="16"/>
                <w:color w:val="auto"/>
              </w:rPr>
            </w:pPr>
          </w:p>
        </w:tc>
        <w:tc>
          <w:tcPr>
            <w:tcW w:w="220" w:type="dxa"/>
            <w:vAlign w:val="bottom"/>
            <w:shd w:val="clear" w:color="auto" w:fill="424E6A"/>
          </w:tcPr>
          <w:p>
            <w:pPr>
              <w:spacing w:after="0"/>
              <w:rPr>
                <w:sz w:val="16"/>
                <w:szCs w:val="16"/>
                <w:color w:val="auto"/>
              </w:rPr>
            </w:pPr>
          </w:p>
        </w:tc>
        <w:tc>
          <w:tcPr>
            <w:tcW w:w="960" w:type="dxa"/>
            <w:vAlign w:val="bottom"/>
            <w:tcBorders>
              <w:right w:val="single" w:sz="8" w:color="424E6A"/>
            </w:tcBorders>
            <w:shd w:val="clear" w:color="auto" w:fill="424E6A"/>
          </w:tcPr>
          <w:p>
            <w:pPr>
              <w:spacing w:after="0"/>
              <w:rPr>
                <w:sz w:val="16"/>
                <w:szCs w:val="16"/>
                <w:color w:val="auto"/>
              </w:rPr>
            </w:pPr>
          </w:p>
        </w:tc>
        <w:tc>
          <w:tcPr>
            <w:tcW w:w="140" w:type="dxa"/>
            <w:vAlign w:val="bottom"/>
            <w:shd w:val="clear" w:color="auto" w:fill="424E6A"/>
          </w:tcPr>
          <w:p>
            <w:pPr>
              <w:spacing w:after="0"/>
              <w:rPr>
                <w:sz w:val="16"/>
                <w:szCs w:val="16"/>
                <w:color w:val="auto"/>
              </w:rPr>
            </w:pPr>
          </w:p>
        </w:tc>
        <w:tc>
          <w:tcPr>
            <w:tcW w:w="180" w:type="dxa"/>
            <w:vAlign w:val="bottom"/>
            <w:tcBorders>
              <w:right w:val="single" w:sz="8" w:color="424E6A"/>
            </w:tcBorders>
            <w:shd w:val="clear" w:color="auto" w:fill="424E6A"/>
          </w:tcPr>
          <w:p>
            <w:pPr>
              <w:spacing w:after="0"/>
              <w:rPr>
                <w:sz w:val="16"/>
                <w:szCs w:val="16"/>
                <w:color w:val="auto"/>
              </w:rPr>
            </w:pPr>
          </w:p>
        </w:tc>
        <w:tc>
          <w:tcPr>
            <w:tcW w:w="122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40" w:type="dxa"/>
            <w:vAlign w:val="bottom"/>
            <w:tcBorders>
              <w:right w:val="single" w:sz="8" w:color="424E6A"/>
            </w:tcBorders>
            <w:shd w:val="clear" w:color="auto" w:fill="424E6A"/>
          </w:tcPr>
          <w:p>
            <w:pPr>
              <w:spacing w:after="0"/>
              <w:rPr>
                <w:sz w:val="16"/>
                <w:szCs w:val="16"/>
                <w:color w:val="auto"/>
              </w:rPr>
            </w:pPr>
          </w:p>
        </w:tc>
        <w:tc>
          <w:tcPr>
            <w:tcW w:w="220" w:type="dxa"/>
            <w:vAlign w:val="bottom"/>
            <w:shd w:val="clear" w:color="auto" w:fill="424E6A"/>
          </w:tcPr>
          <w:p>
            <w:pPr>
              <w:spacing w:after="0"/>
              <w:rPr>
                <w:sz w:val="16"/>
                <w:szCs w:val="16"/>
                <w:color w:val="auto"/>
              </w:rPr>
            </w:pPr>
          </w:p>
        </w:tc>
        <w:tc>
          <w:tcPr>
            <w:tcW w:w="660" w:type="dxa"/>
            <w:vAlign w:val="bottom"/>
            <w:shd w:val="clear" w:color="auto" w:fill="424E6A"/>
          </w:tcPr>
          <w:p>
            <w:pPr>
              <w:spacing w:after="0"/>
              <w:rPr>
                <w:sz w:val="16"/>
                <w:szCs w:val="16"/>
                <w:color w:val="auto"/>
              </w:rPr>
            </w:pPr>
          </w:p>
        </w:tc>
        <w:tc>
          <w:tcPr>
            <w:tcW w:w="100" w:type="dxa"/>
            <w:vAlign w:val="bottom"/>
            <w:tcBorders>
              <w:right w:val="single" w:sz="8" w:color="424E6A"/>
            </w:tcBorders>
            <w:shd w:val="clear" w:color="auto" w:fill="424E6A"/>
          </w:tcPr>
          <w:p>
            <w:pPr>
              <w:spacing w:after="0"/>
              <w:rPr>
                <w:sz w:val="16"/>
                <w:szCs w:val="16"/>
                <w:color w:val="auto"/>
              </w:rPr>
            </w:pPr>
          </w:p>
        </w:tc>
        <w:tc>
          <w:tcPr>
            <w:tcW w:w="140" w:type="dxa"/>
            <w:vAlign w:val="bottom"/>
            <w:shd w:val="clear" w:color="auto" w:fill="424E6A"/>
          </w:tcPr>
          <w:p>
            <w:pPr>
              <w:spacing w:after="0"/>
              <w:rPr>
                <w:sz w:val="16"/>
                <w:szCs w:val="16"/>
                <w:color w:val="auto"/>
              </w:rPr>
            </w:pPr>
          </w:p>
        </w:tc>
        <w:tc>
          <w:tcPr>
            <w:tcW w:w="160" w:type="dxa"/>
            <w:vAlign w:val="bottom"/>
            <w:tcBorders>
              <w:right w:val="single" w:sz="8" w:color="424E6A"/>
            </w:tcBorders>
            <w:shd w:val="clear" w:color="auto" w:fill="424E6A"/>
          </w:tcPr>
          <w:p>
            <w:pPr>
              <w:spacing w:after="0"/>
              <w:rPr>
                <w:sz w:val="16"/>
                <w:szCs w:val="16"/>
                <w:color w:val="auto"/>
              </w:rPr>
            </w:pPr>
          </w:p>
        </w:tc>
        <w:tc>
          <w:tcPr>
            <w:tcW w:w="300" w:type="dxa"/>
            <w:vAlign w:val="bottom"/>
            <w:shd w:val="clear" w:color="auto" w:fill="424E6A"/>
          </w:tcPr>
          <w:p>
            <w:pPr>
              <w:spacing w:after="0"/>
              <w:rPr>
                <w:sz w:val="16"/>
                <w:szCs w:val="16"/>
                <w:color w:val="auto"/>
              </w:rPr>
            </w:pPr>
          </w:p>
        </w:tc>
        <w:tc>
          <w:tcPr>
            <w:tcW w:w="900" w:type="dxa"/>
            <w:vAlign w:val="bottom"/>
            <w:tcBorders>
              <w:right w:val="single" w:sz="8" w:color="424E6A"/>
            </w:tcBorders>
            <w:shd w:val="clear" w:color="auto" w:fill="424E6A"/>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424E6A"/>
            </w:tcBorders>
            <w:shd w:val="clear" w:color="auto" w:fill="424E6A"/>
          </w:tcPr>
          <w:p>
            <w:pPr>
              <w:spacing w:after="0"/>
              <w:rPr>
                <w:sz w:val="14"/>
                <w:szCs w:val="14"/>
                <w:color w:val="auto"/>
              </w:rPr>
            </w:pPr>
          </w:p>
        </w:tc>
        <w:tc>
          <w:tcPr>
            <w:tcW w:w="52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80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1100" w:type="dxa"/>
            <w:vAlign w:val="bottom"/>
            <w:gridSpan w:val="2"/>
            <w:shd w:val="clear" w:color="auto" w:fill="424E6A"/>
          </w:tcPr>
          <w:p>
            <w:pPr>
              <w:jc w:val="center"/>
              <w:ind w:right="22"/>
              <w:spacing w:after="0"/>
              <w:rPr>
                <w:sz w:val="20"/>
                <w:szCs w:val="20"/>
                <w:color w:val="auto"/>
              </w:rPr>
            </w:pPr>
            <w:r>
              <w:rPr>
                <w:rFonts w:ascii="Arial" w:cs="Arial" w:eastAsia="Arial" w:hAnsi="Arial"/>
                <w:sz w:val="14"/>
                <w:szCs w:val="14"/>
                <w:b w:val="1"/>
                <w:bCs w:val="1"/>
                <w:color w:val="FFFFFF"/>
              </w:rPr>
              <w:t>Change in Fair</w:t>
            </w: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ind w:right="82"/>
              <w:spacing w:after="0"/>
              <w:rPr>
                <w:sz w:val="20"/>
                <w:szCs w:val="20"/>
                <w:color w:val="auto"/>
              </w:rPr>
            </w:pPr>
            <w:r>
              <w:rPr>
                <w:rFonts w:ascii="Arial" w:cs="Arial" w:eastAsia="Arial" w:hAnsi="Arial"/>
                <w:sz w:val="14"/>
                <w:szCs w:val="14"/>
                <w:b w:val="1"/>
                <w:bCs w:val="1"/>
                <w:color w:val="FFFFFF"/>
              </w:rPr>
              <w:t>Value as of</w:t>
            </w:r>
          </w:p>
        </w:tc>
        <w:tc>
          <w:tcPr>
            <w:tcW w:w="14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66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300" w:type="dxa"/>
            <w:vAlign w:val="bottom"/>
            <w:shd w:val="clear" w:color="auto" w:fill="424E6A"/>
          </w:tcPr>
          <w:p>
            <w:pPr>
              <w:spacing w:after="0"/>
              <w:rPr>
                <w:sz w:val="14"/>
                <w:szCs w:val="14"/>
                <w:color w:val="auto"/>
              </w:rPr>
            </w:pPr>
          </w:p>
        </w:tc>
        <w:tc>
          <w:tcPr>
            <w:tcW w:w="9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424E6A"/>
            </w:tcBorders>
            <w:shd w:val="clear" w:color="auto" w:fill="424E6A"/>
          </w:tcPr>
          <w:p>
            <w:pPr>
              <w:spacing w:after="0"/>
              <w:rPr>
                <w:sz w:val="14"/>
                <w:szCs w:val="14"/>
                <w:color w:val="auto"/>
              </w:rPr>
            </w:pPr>
          </w:p>
        </w:tc>
        <w:tc>
          <w:tcPr>
            <w:tcW w:w="520" w:type="dxa"/>
            <w:vAlign w:val="bottom"/>
            <w:tcBorders>
              <w:right w:val="single" w:sz="8" w:color="424E6A"/>
            </w:tcBorders>
            <w:shd w:val="clear" w:color="auto" w:fill="424E6A"/>
          </w:tcPr>
          <w:p>
            <w:pPr>
              <w:spacing w:after="0"/>
              <w:rPr>
                <w:sz w:val="14"/>
                <w:szCs w:val="14"/>
                <w:color w:val="auto"/>
              </w:rPr>
            </w:pPr>
          </w:p>
        </w:tc>
        <w:tc>
          <w:tcPr>
            <w:tcW w:w="1660" w:type="dxa"/>
            <w:vAlign w:val="bottom"/>
            <w:gridSpan w:val="5"/>
            <w:shd w:val="clear" w:color="auto" w:fill="424E6A"/>
          </w:tcPr>
          <w:p>
            <w:pPr>
              <w:jc w:val="center"/>
              <w:ind w:right="222"/>
              <w:spacing w:after="0"/>
              <w:rPr>
                <w:sz w:val="20"/>
                <w:szCs w:val="20"/>
                <w:color w:val="auto"/>
              </w:rPr>
            </w:pPr>
            <w:r>
              <w:rPr>
                <w:rFonts w:ascii="Arial" w:cs="Arial" w:eastAsia="Arial" w:hAnsi="Arial"/>
                <w:sz w:val="14"/>
                <w:szCs w:val="14"/>
                <w:b w:val="1"/>
                <w:bCs w:val="1"/>
                <w:color w:val="FFFFFF"/>
              </w:rPr>
              <w:t>YE Fair Value of</w:t>
            </w:r>
          </w:p>
        </w:tc>
        <w:tc>
          <w:tcPr>
            <w:tcW w:w="1100" w:type="dxa"/>
            <w:vAlign w:val="bottom"/>
            <w:gridSpan w:val="2"/>
            <w:shd w:val="clear" w:color="auto" w:fill="424E6A"/>
          </w:tcPr>
          <w:p>
            <w:pPr>
              <w:jc w:val="center"/>
              <w:ind w:right="42"/>
              <w:spacing w:after="0"/>
              <w:rPr>
                <w:sz w:val="20"/>
                <w:szCs w:val="20"/>
                <w:color w:val="auto"/>
              </w:rPr>
            </w:pPr>
            <w:r>
              <w:rPr>
                <w:rFonts w:ascii="Arial" w:cs="Arial" w:eastAsia="Arial" w:hAnsi="Arial"/>
                <w:sz w:val="14"/>
                <w:szCs w:val="14"/>
                <w:b w:val="1"/>
                <w:bCs w:val="1"/>
                <w:color w:val="FFFFFF"/>
              </w:rPr>
              <w:t>Value as of YE</w:t>
            </w: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ind w:right="62"/>
              <w:spacing w:after="0"/>
              <w:rPr>
                <w:sz w:val="20"/>
                <w:szCs w:val="20"/>
                <w:color w:val="auto"/>
              </w:rPr>
            </w:pPr>
            <w:r>
              <w:rPr>
                <w:rFonts w:ascii="Arial" w:cs="Arial" w:eastAsia="Arial" w:hAnsi="Arial"/>
                <w:sz w:val="14"/>
                <w:szCs w:val="14"/>
                <w:b w:val="1"/>
                <w:bCs w:val="1"/>
                <w:color w:val="FFFFFF"/>
              </w:rPr>
              <w:t>Vesting Date</w:t>
            </w:r>
          </w:p>
        </w:tc>
        <w:tc>
          <w:tcPr>
            <w:tcW w:w="14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66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300" w:type="dxa"/>
            <w:vAlign w:val="bottom"/>
            <w:shd w:val="clear" w:color="auto" w:fill="424E6A"/>
          </w:tcPr>
          <w:p>
            <w:pPr>
              <w:spacing w:after="0"/>
              <w:rPr>
                <w:sz w:val="14"/>
                <w:szCs w:val="14"/>
                <w:color w:val="auto"/>
              </w:rPr>
            </w:pPr>
          </w:p>
        </w:tc>
        <w:tc>
          <w:tcPr>
            <w:tcW w:w="9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424E6A"/>
            </w:tcBorders>
            <w:shd w:val="clear" w:color="auto" w:fill="424E6A"/>
          </w:tcPr>
          <w:p>
            <w:pPr>
              <w:spacing w:after="0"/>
              <w:rPr>
                <w:sz w:val="14"/>
                <w:szCs w:val="14"/>
                <w:color w:val="auto"/>
              </w:rPr>
            </w:pPr>
          </w:p>
        </w:tc>
        <w:tc>
          <w:tcPr>
            <w:tcW w:w="52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1420" w:type="dxa"/>
            <w:vAlign w:val="bottom"/>
            <w:gridSpan w:val="4"/>
            <w:shd w:val="clear" w:color="auto" w:fill="424E6A"/>
          </w:tcPr>
          <w:p>
            <w:pPr>
              <w:jc w:val="center"/>
              <w:ind w:right="442"/>
              <w:spacing w:after="0"/>
              <w:rPr>
                <w:sz w:val="20"/>
                <w:szCs w:val="20"/>
                <w:color w:val="auto"/>
              </w:rPr>
            </w:pPr>
            <w:r>
              <w:rPr>
                <w:rFonts w:ascii="Arial" w:cs="Arial" w:eastAsia="Arial" w:hAnsi="Arial"/>
                <w:sz w:val="14"/>
                <w:szCs w:val="14"/>
                <w:b w:val="1"/>
                <w:bCs w:val="1"/>
                <w:color w:val="FFFFFF"/>
              </w:rPr>
              <w:t>Current Year</w:t>
            </w:r>
          </w:p>
        </w:tc>
        <w:tc>
          <w:tcPr>
            <w:tcW w:w="1100" w:type="dxa"/>
            <w:vAlign w:val="bottom"/>
            <w:gridSpan w:val="2"/>
            <w:shd w:val="clear" w:color="auto" w:fill="424E6A"/>
          </w:tcPr>
          <w:p>
            <w:pPr>
              <w:jc w:val="center"/>
              <w:ind w:right="22"/>
              <w:spacing w:after="0"/>
              <w:rPr>
                <w:sz w:val="20"/>
                <w:szCs w:val="20"/>
                <w:color w:val="auto"/>
              </w:rPr>
            </w:pPr>
            <w:r>
              <w:rPr>
                <w:rFonts w:ascii="Arial" w:cs="Arial" w:eastAsia="Arial" w:hAnsi="Arial"/>
                <w:sz w:val="14"/>
                <w:szCs w:val="14"/>
                <w:b w:val="1"/>
                <w:bCs w:val="1"/>
                <w:color w:val="FFFFFF"/>
              </w:rPr>
              <w:t>for Prior Year</w:t>
            </w:r>
          </w:p>
        </w:tc>
        <w:tc>
          <w:tcPr>
            <w:tcW w:w="180" w:type="dxa"/>
            <w:vAlign w:val="bottom"/>
            <w:tcBorders>
              <w:right w:val="single" w:sz="8" w:color="424E6A"/>
            </w:tcBorders>
            <w:shd w:val="clear" w:color="auto" w:fill="424E6A"/>
          </w:tcPr>
          <w:p>
            <w:pPr>
              <w:spacing w:after="0"/>
              <w:rPr>
                <w:sz w:val="14"/>
                <w:szCs w:val="14"/>
                <w:color w:val="auto"/>
              </w:rPr>
            </w:pPr>
          </w:p>
        </w:tc>
        <w:tc>
          <w:tcPr>
            <w:tcW w:w="122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for Prior Year</w:t>
            </w:r>
          </w:p>
        </w:tc>
        <w:tc>
          <w:tcPr>
            <w:tcW w:w="140" w:type="dxa"/>
            <w:vAlign w:val="bottom"/>
            <w:tcBorders>
              <w:right w:val="single" w:sz="8" w:color="424E6A"/>
            </w:tcBorders>
            <w:shd w:val="clear" w:color="auto" w:fill="424E6A"/>
          </w:tcPr>
          <w:p>
            <w:pPr>
              <w:spacing w:after="0"/>
              <w:rPr>
                <w:sz w:val="14"/>
                <w:szCs w:val="14"/>
                <w:color w:val="auto"/>
              </w:rPr>
            </w:pPr>
          </w:p>
        </w:tc>
        <w:tc>
          <w:tcPr>
            <w:tcW w:w="1120" w:type="dxa"/>
            <w:vAlign w:val="bottom"/>
            <w:gridSpan w:val="4"/>
            <w:shd w:val="clear" w:color="auto" w:fill="424E6A"/>
          </w:tcPr>
          <w:p>
            <w:pPr>
              <w:jc w:val="center"/>
              <w:ind w:left="24"/>
              <w:spacing w:after="0"/>
              <w:rPr>
                <w:sz w:val="20"/>
                <w:szCs w:val="20"/>
                <w:color w:val="auto"/>
              </w:rPr>
            </w:pPr>
            <w:r>
              <w:rPr>
                <w:rFonts w:ascii="Arial" w:cs="Arial" w:eastAsia="Arial" w:hAnsi="Arial"/>
                <w:sz w:val="14"/>
                <w:szCs w:val="14"/>
                <w:b w:val="1"/>
                <w:bCs w:val="1"/>
                <w:color w:val="FFFFFF"/>
              </w:rPr>
              <w:t>Fair Value of</w:t>
            </w:r>
          </w:p>
        </w:tc>
        <w:tc>
          <w:tcPr>
            <w:tcW w:w="160" w:type="dxa"/>
            <w:vAlign w:val="bottom"/>
            <w:tcBorders>
              <w:right w:val="single" w:sz="8" w:color="424E6A"/>
            </w:tcBorders>
            <w:shd w:val="clear" w:color="auto" w:fill="424E6A"/>
          </w:tcPr>
          <w:p>
            <w:pPr>
              <w:spacing w:after="0"/>
              <w:rPr>
                <w:sz w:val="14"/>
                <w:szCs w:val="14"/>
                <w:color w:val="auto"/>
              </w:rPr>
            </w:pPr>
          </w:p>
        </w:tc>
        <w:tc>
          <w:tcPr>
            <w:tcW w:w="300" w:type="dxa"/>
            <w:vAlign w:val="bottom"/>
            <w:shd w:val="clear" w:color="auto" w:fill="424E6A"/>
          </w:tcPr>
          <w:p>
            <w:pPr>
              <w:spacing w:after="0"/>
              <w:rPr>
                <w:sz w:val="14"/>
                <w:szCs w:val="14"/>
                <w:color w:val="auto"/>
              </w:rPr>
            </w:pPr>
          </w:p>
        </w:tc>
        <w:tc>
          <w:tcPr>
            <w:tcW w:w="9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424E6A"/>
            </w:tcBorders>
            <w:shd w:val="clear" w:color="auto" w:fill="424E6A"/>
          </w:tcPr>
          <w:p>
            <w:pPr>
              <w:spacing w:after="0"/>
              <w:rPr>
                <w:sz w:val="14"/>
                <w:szCs w:val="14"/>
                <w:color w:val="auto"/>
              </w:rPr>
            </w:pPr>
          </w:p>
        </w:tc>
        <w:tc>
          <w:tcPr>
            <w:tcW w:w="520" w:type="dxa"/>
            <w:vAlign w:val="bottom"/>
            <w:tcBorders>
              <w:right w:val="single" w:sz="8" w:color="424E6A"/>
            </w:tcBorders>
            <w:shd w:val="clear" w:color="auto" w:fill="424E6A"/>
          </w:tcPr>
          <w:p>
            <w:pPr>
              <w:spacing w:after="0"/>
              <w:rPr>
                <w:sz w:val="14"/>
                <w:szCs w:val="14"/>
                <w:color w:val="auto"/>
              </w:rPr>
            </w:pPr>
          </w:p>
        </w:tc>
        <w:tc>
          <w:tcPr>
            <w:tcW w:w="240" w:type="dxa"/>
            <w:vAlign w:val="bottom"/>
            <w:shd w:val="clear" w:color="auto" w:fill="424E6A"/>
          </w:tcPr>
          <w:p>
            <w:pPr>
              <w:spacing w:after="0"/>
              <w:rPr>
                <w:sz w:val="14"/>
                <w:szCs w:val="14"/>
                <w:color w:val="auto"/>
              </w:rPr>
            </w:pPr>
          </w:p>
        </w:tc>
        <w:tc>
          <w:tcPr>
            <w:tcW w:w="800" w:type="dxa"/>
            <w:vAlign w:val="bottom"/>
            <w:shd w:val="clear" w:color="auto" w:fill="424E6A"/>
          </w:tcPr>
          <w:p>
            <w:pPr>
              <w:jc w:val="center"/>
              <w:ind w:left="1"/>
              <w:spacing w:after="0"/>
              <w:rPr>
                <w:sz w:val="20"/>
                <w:szCs w:val="20"/>
                <w:color w:val="auto"/>
              </w:rPr>
            </w:pPr>
            <w:r>
              <w:rPr>
                <w:rFonts w:ascii="Arial" w:cs="Arial" w:eastAsia="Arial" w:hAnsi="Arial"/>
                <w:sz w:val="14"/>
                <w:szCs w:val="14"/>
                <w:b w:val="1"/>
                <w:bCs w:val="1"/>
                <w:color w:val="FFFFFF"/>
              </w:rPr>
              <w:t>Awards</w:t>
            </w:r>
          </w:p>
        </w:tc>
        <w:tc>
          <w:tcPr>
            <w:tcW w:w="10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1100" w:type="dxa"/>
            <w:vAlign w:val="bottom"/>
            <w:gridSpan w:val="2"/>
            <w:shd w:val="clear" w:color="auto" w:fill="424E6A"/>
          </w:tcPr>
          <w:p>
            <w:pPr>
              <w:jc w:val="center"/>
              <w:ind w:right="22"/>
              <w:spacing w:after="0"/>
              <w:rPr>
                <w:sz w:val="20"/>
                <w:szCs w:val="20"/>
                <w:color w:val="auto"/>
              </w:rPr>
            </w:pPr>
            <w:r>
              <w:rPr>
                <w:rFonts w:ascii="Arial" w:cs="Arial" w:eastAsia="Arial" w:hAnsi="Arial"/>
                <w:sz w:val="14"/>
                <w:szCs w:val="14"/>
                <w:b w:val="1"/>
                <w:bCs w:val="1"/>
                <w:color w:val="FFFFFF"/>
              </w:rPr>
              <w:t>Awards</w:t>
            </w: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ind w:right="62"/>
              <w:spacing w:after="0"/>
              <w:rPr>
                <w:sz w:val="20"/>
                <w:szCs w:val="20"/>
                <w:color w:val="auto"/>
              </w:rPr>
            </w:pPr>
            <w:r>
              <w:rPr>
                <w:rFonts w:ascii="Arial" w:cs="Arial" w:eastAsia="Arial" w:hAnsi="Arial"/>
                <w:sz w:val="14"/>
                <w:szCs w:val="14"/>
                <w:b w:val="1"/>
                <w:bCs w:val="1"/>
                <w:color w:val="FFFFFF"/>
              </w:rPr>
              <w:t>Awards that</w:t>
            </w:r>
          </w:p>
        </w:tc>
        <w:tc>
          <w:tcPr>
            <w:tcW w:w="14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900" w:type="dxa"/>
            <w:vAlign w:val="bottom"/>
            <w:gridSpan w:val="3"/>
            <w:shd w:val="clear" w:color="auto" w:fill="424E6A"/>
          </w:tcPr>
          <w:p>
            <w:pPr>
              <w:jc w:val="center"/>
              <w:ind w:right="62"/>
              <w:spacing w:after="0"/>
              <w:rPr>
                <w:sz w:val="20"/>
                <w:szCs w:val="20"/>
                <w:color w:val="auto"/>
              </w:rPr>
            </w:pPr>
            <w:r>
              <w:rPr>
                <w:rFonts w:ascii="Arial" w:cs="Arial" w:eastAsia="Arial" w:hAnsi="Arial"/>
                <w:sz w:val="14"/>
                <w:szCs w:val="14"/>
                <w:b w:val="1"/>
                <w:bCs w:val="1"/>
                <w:color w:val="FFFFFF"/>
              </w:rPr>
              <w:t>DERs Paid</w:t>
            </w:r>
          </w:p>
        </w:tc>
        <w:tc>
          <w:tcPr>
            <w:tcW w:w="160" w:type="dxa"/>
            <w:vAlign w:val="bottom"/>
            <w:tcBorders>
              <w:right w:val="single" w:sz="8" w:color="424E6A"/>
            </w:tcBorders>
            <w:shd w:val="clear" w:color="auto" w:fill="424E6A"/>
          </w:tcPr>
          <w:p>
            <w:pPr>
              <w:spacing w:after="0"/>
              <w:rPr>
                <w:sz w:val="14"/>
                <w:szCs w:val="14"/>
                <w:color w:val="auto"/>
              </w:rPr>
            </w:pPr>
          </w:p>
        </w:tc>
        <w:tc>
          <w:tcPr>
            <w:tcW w:w="1200" w:type="dxa"/>
            <w:vAlign w:val="bottom"/>
            <w:tcBorders>
              <w:right w:val="single" w:sz="8" w:color="424E6A"/>
            </w:tcBorders>
            <w:gridSpan w:val="2"/>
            <w:shd w:val="clear" w:color="auto" w:fill="424E6A"/>
          </w:tcPr>
          <w:p>
            <w:pPr>
              <w:jc w:val="right"/>
              <w:ind w:right="103"/>
              <w:spacing w:after="0"/>
              <w:rPr>
                <w:sz w:val="20"/>
                <w:szCs w:val="20"/>
                <w:color w:val="auto"/>
              </w:rPr>
            </w:pPr>
            <w:r>
              <w:rPr>
                <w:rFonts w:ascii="Arial" w:cs="Arial" w:eastAsia="Arial" w:hAnsi="Arial"/>
                <w:sz w:val="14"/>
                <w:szCs w:val="14"/>
                <w:b w:val="1"/>
                <w:bCs w:val="1"/>
                <w:color w:val="FFFFFF"/>
              </w:rPr>
              <w:t>Fair Value of</w:t>
            </w:r>
          </w:p>
        </w:tc>
        <w:tc>
          <w:tcPr>
            <w:tcW w:w="0" w:type="dxa"/>
            <w:vAlign w:val="bottom"/>
          </w:tcPr>
          <w:p>
            <w:pPr>
              <w:spacing w:after="0"/>
              <w:rPr>
                <w:sz w:val="1"/>
                <w:szCs w:val="1"/>
                <w:color w:val="auto"/>
              </w:rPr>
            </w:pPr>
          </w:p>
        </w:tc>
      </w:tr>
      <w:tr>
        <w:trPr>
          <w:trHeight w:val="162"/>
        </w:trPr>
        <w:tc>
          <w:tcPr>
            <w:tcW w:w="920" w:type="dxa"/>
            <w:vAlign w:val="bottom"/>
            <w:tcBorders>
              <w:left w:val="single" w:sz="8" w:color="424E6A"/>
            </w:tcBorders>
            <w:vMerge w:val="restart"/>
            <w:shd w:val="clear" w:color="auto" w:fill="424E6A"/>
          </w:tcPr>
          <w:p>
            <w:pPr>
              <w:ind w:left="4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Year</w:t>
            </w:r>
          </w:p>
        </w:tc>
        <w:tc>
          <w:tcPr>
            <w:tcW w:w="520" w:type="dxa"/>
            <w:vAlign w:val="bottom"/>
            <w:tcBorders>
              <w:right w:val="single" w:sz="8" w:color="424E6A"/>
            </w:tcBorders>
            <w:shd w:val="clear" w:color="auto" w:fill="424E6A"/>
          </w:tcPr>
          <w:p>
            <w:pPr>
              <w:spacing w:after="0"/>
              <w:rPr>
                <w:sz w:val="14"/>
                <w:szCs w:val="14"/>
                <w:color w:val="auto"/>
              </w:rPr>
            </w:pPr>
          </w:p>
        </w:tc>
        <w:tc>
          <w:tcPr>
            <w:tcW w:w="1660" w:type="dxa"/>
            <w:vAlign w:val="bottom"/>
            <w:gridSpan w:val="5"/>
            <w:shd w:val="clear" w:color="auto" w:fill="424E6A"/>
          </w:tcPr>
          <w:p>
            <w:pPr>
              <w:jc w:val="center"/>
              <w:ind w:right="202"/>
              <w:spacing w:after="0"/>
              <w:rPr>
                <w:sz w:val="20"/>
                <w:szCs w:val="20"/>
                <w:color w:val="auto"/>
              </w:rPr>
            </w:pPr>
            <w:r>
              <w:rPr>
                <w:rFonts w:ascii="Arial" w:cs="Arial" w:eastAsia="Arial" w:hAnsi="Arial"/>
                <w:sz w:val="14"/>
                <w:szCs w:val="14"/>
                <w:b w:val="1"/>
                <w:bCs w:val="1"/>
                <w:color w:val="FFFFFF"/>
              </w:rPr>
              <w:t>Outstanding at</w:t>
            </w:r>
          </w:p>
        </w:tc>
        <w:tc>
          <w:tcPr>
            <w:tcW w:w="1100" w:type="dxa"/>
            <w:vAlign w:val="bottom"/>
            <w:gridSpan w:val="2"/>
            <w:shd w:val="clear" w:color="auto" w:fill="424E6A"/>
          </w:tcPr>
          <w:p>
            <w:pPr>
              <w:jc w:val="center"/>
              <w:ind w:right="22"/>
              <w:spacing w:after="0"/>
              <w:rPr>
                <w:sz w:val="20"/>
                <w:szCs w:val="20"/>
                <w:color w:val="auto"/>
              </w:rPr>
            </w:pPr>
            <w:r>
              <w:rPr>
                <w:rFonts w:ascii="Arial" w:cs="Arial" w:eastAsia="Arial" w:hAnsi="Arial"/>
                <w:sz w:val="14"/>
                <w:szCs w:val="14"/>
                <w:b w:val="1"/>
                <w:bCs w:val="1"/>
                <w:color w:val="FFFFFF"/>
              </w:rPr>
              <w:t>Outstanding at</w:t>
            </w:r>
          </w:p>
        </w:tc>
        <w:tc>
          <w:tcPr>
            <w:tcW w:w="180" w:type="dxa"/>
            <w:vAlign w:val="bottom"/>
            <w:tcBorders>
              <w:right w:val="single" w:sz="8" w:color="424E6A"/>
            </w:tcBorders>
            <w:shd w:val="clear" w:color="auto" w:fill="424E6A"/>
          </w:tcPr>
          <w:p>
            <w:pPr>
              <w:spacing w:after="0"/>
              <w:rPr>
                <w:sz w:val="14"/>
                <w:szCs w:val="14"/>
                <w:color w:val="auto"/>
              </w:rPr>
            </w:pPr>
          </w:p>
        </w:tc>
        <w:tc>
          <w:tcPr>
            <w:tcW w:w="122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Vested During</w:t>
            </w:r>
          </w:p>
        </w:tc>
        <w:tc>
          <w:tcPr>
            <w:tcW w:w="14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900" w:type="dxa"/>
            <w:vAlign w:val="bottom"/>
            <w:gridSpan w:val="3"/>
            <w:shd w:val="clear" w:color="auto" w:fill="424E6A"/>
          </w:tcPr>
          <w:p>
            <w:pPr>
              <w:jc w:val="right"/>
              <w:ind w:right="82"/>
              <w:spacing w:after="0"/>
              <w:rPr>
                <w:sz w:val="20"/>
                <w:szCs w:val="20"/>
                <w:color w:val="auto"/>
              </w:rPr>
            </w:pPr>
            <w:r>
              <w:rPr>
                <w:rFonts w:ascii="Arial" w:cs="Arial" w:eastAsia="Arial" w:hAnsi="Arial"/>
                <w:sz w:val="14"/>
                <w:szCs w:val="14"/>
                <w:b w:val="1"/>
                <w:bCs w:val="1"/>
                <w:color w:val="FFFFFF"/>
              </w:rPr>
              <w:t>During the</w:t>
            </w:r>
          </w:p>
        </w:tc>
        <w:tc>
          <w:tcPr>
            <w:tcW w:w="160" w:type="dxa"/>
            <w:vAlign w:val="bottom"/>
            <w:tcBorders>
              <w:right w:val="single" w:sz="8" w:color="424E6A"/>
            </w:tcBorders>
            <w:shd w:val="clear" w:color="auto" w:fill="424E6A"/>
          </w:tcPr>
          <w:p>
            <w:pPr>
              <w:spacing w:after="0"/>
              <w:rPr>
                <w:sz w:val="14"/>
                <w:szCs w:val="14"/>
                <w:color w:val="auto"/>
              </w:rPr>
            </w:pPr>
          </w:p>
        </w:tc>
        <w:tc>
          <w:tcPr>
            <w:tcW w:w="1200" w:type="dxa"/>
            <w:vAlign w:val="bottom"/>
            <w:tcBorders>
              <w:right w:val="single" w:sz="8" w:color="424E6A"/>
            </w:tcBorders>
            <w:gridSpan w:val="2"/>
            <w:shd w:val="clear" w:color="auto" w:fill="424E6A"/>
          </w:tcPr>
          <w:p>
            <w:pPr>
              <w:jc w:val="right"/>
              <w:ind w:right="203"/>
              <w:spacing w:after="0"/>
              <w:rPr>
                <w:sz w:val="20"/>
                <w:szCs w:val="20"/>
                <w:color w:val="auto"/>
              </w:rPr>
            </w:pPr>
            <w:r>
              <w:rPr>
                <w:rFonts w:ascii="Arial" w:cs="Arial" w:eastAsia="Arial" w:hAnsi="Arial"/>
                <w:sz w:val="14"/>
                <w:szCs w:val="14"/>
                <w:b w:val="1"/>
                <w:bCs w:val="1"/>
                <w:color w:val="FFFFFF"/>
              </w:rPr>
              <w:t>Equity for</w:t>
            </w:r>
          </w:p>
        </w:tc>
        <w:tc>
          <w:tcPr>
            <w:tcW w:w="0" w:type="dxa"/>
            <w:vAlign w:val="bottom"/>
          </w:tcPr>
          <w:p>
            <w:pPr>
              <w:spacing w:after="0"/>
              <w:rPr>
                <w:sz w:val="1"/>
                <w:szCs w:val="1"/>
                <w:color w:val="auto"/>
              </w:rPr>
            </w:pPr>
          </w:p>
        </w:tc>
      </w:tr>
      <w:tr>
        <w:trPr>
          <w:trHeight w:val="212"/>
        </w:trPr>
        <w:tc>
          <w:tcPr>
            <w:tcW w:w="920" w:type="dxa"/>
            <w:vAlign w:val="bottom"/>
            <w:tcBorders>
              <w:left w:val="single" w:sz="8" w:color="424E6A"/>
            </w:tcBorders>
            <w:vMerge w:val="continue"/>
            <w:shd w:val="clear" w:color="auto" w:fill="424E6A"/>
          </w:tcPr>
          <w:p>
            <w:pPr>
              <w:spacing w:after="0"/>
              <w:rPr>
                <w:sz w:val="18"/>
                <w:szCs w:val="18"/>
                <w:color w:val="auto"/>
              </w:rPr>
            </w:pPr>
          </w:p>
        </w:tc>
        <w:tc>
          <w:tcPr>
            <w:tcW w:w="760" w:type="dxa"/>
            <w:vAlign w:val="bottom"/>
            <w:gridSpan w:val="2"/>
            <w:shd w:val="clear" w:color="auto" w:fill="424E6A"/>
          </w:tcPr>
          <w:p>
            <w:pPr>
              <w:ind w:left="460"/>
              <w:spacing w:after="0"/>
              <w:rPr>
                <w:sz w:val="20"/>
                <w:szCs w:val="20"/>
                <w:color w:val="auto"/>
              </w:rPr>
            </w:pPr>
            <w:r>
              <w:rPr>
                <w:rFonts w:ascii="Arial" w:cs="Arial" w:eastAsia="Arial" w:hAnsi="Arial"/>
                <w:sz w:val="14"/>
                <w:szCs w:val="14"/>
                <w:b w:val="1"/>
                <w:bCs w:val="1"/>
                <w:color w:val="FFFFFF"/>
              </w:rPr>
              <w:t>​ ​</w:t>
            </w:r>
          </w:p>
        </w:tc>
        <w:tc>
          <w:tcPr>
            <w:tcW w:w="800" w:type="dxa"/>
            <w:vAlign w:val="bottom"/>
            <w:shd w:val="clear" w:color="auto" w:fill="424E6A"/>
          </w:tcPr>
          <w:p>
            <w:pPr>
              <w:jc w:val="center"/>
              <w:ind w:left="61"/>
              <w:spacing w:after="0"/>
              <w:rPr>
                <w:sz w:val="20"/>
                <w:szCs w:val="20"/>
                <w:color w:val="auto"/>
              </w:rPr>
            </w:pPr>
            <w:r>
              <w:rPr>
                <w:rFonts w:ascii="Arial" w:cs="Arial" w:eastAsia="Arial" w:hAnsi="Arial"/>
                <w:sz w:val="14"/>
                <w:szCs w:val="14"/>
                <w:b w:val="1"/>
                <w:bCs w:val="1"/>
                <w:color w:val="FFFFFF"/>
                <w:w w:val="96"/>
              </w:rPr>
              <w:t>YE</w:t>
            </w:r>
          </w:p>
        </w:tc>
        <w:tc>
          <w:tcPr>
            <w:tcW w:w="100" w:type="dxa"/>
            <w:vAlign w:val="bottom"/>
            <w:tcBorders>
              <w:right w:val="single" w:sz="8" w:color="424E6A"/>
            </w:tcBorders>
            <w:shd w:val="clear" w:color="auto" w:fill="424E6A"/>
          </w:tcPr>
          <w:p>
            <w:pPr>
              <w:spacing w:after="0"/>
              <w:rPr>
                <w:sz w:val="18"/>
                <w:szCs w:val="18"/>
                <w:color w:val="auto"/>
              </w:rPr>
            </w:pPr>
          </w:p>
        </w:tc>
        <w:tc>
          <w:tcPr>
            <w:tcW w:w="520" w:type="dxa"/>
            <w:vAlign w:val="bottom"/>
            <w:gridSpan w:val="2"/>
            <w:shd w:val="clear" w:color="auto" w:fill="424E6A"/>
          </w:tcPr>
          <w:p>
            <w:pPr>
              <w:ind w:left="240"/>
              <w:spacing w:after="0"/>
              <w:rPr>
                <w:sz w:val="20"/>
                <w:szCs w:val="20"/>
                <w:color w:val="auto"/>
              </w:rPr>
            </w:pPr>
            <w:r>
              <w:rPr>
                <w:rFonts w:ascii="Arial" w:cs="Arial" w:eastAsia="Arial" w:hAnsi="Arial"/>
                <w:sz w:val="14"/>
                <w:szCs w:val="14"/>
                <w:b w:val="1"/>
                <w:bCs w:val="1"/>
                <w:color w:val="FFFFFF"/>
              </w:rPr>
              <w:t>​ ​</w:t>
            </w:r>
          </w:p>
        </w:tc>
        <w:tc>
          <w:tcPr>
            <w:tcW w:w="11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YE</w:t>
            </w:r>
          </w:p>
        </w:tc>
        <w:tc>
          <w:tcPr>
            <w:tcW w:w="400" w:type="dxa"/>
            <w:vAlign w:val="bottom"/>
            <w:gridSpan w:val="2"/>
            <w:shd w:val="clear" w:color="auto" w:fill="424E6A"/>
          </w:tcPr>
          <w:p>
            <w:pPr>
              <w:ind w:left="120"/>
              <w:spacing w:after="0"/>
              <w:rPr>
                <w:sz w:val="20"/>
                <w:szCs w:val="20"/>
                <w:color w:val="auto"/>
              </w:rPr>
            </w:pPr>
            <w:r>
              <w:rPr>
                <w:rFonts w:ascii="Arial" w:cs="Arial" w:eastAsia="Arial" w:hAnsi="Arial"/>
                <w:sz w:val="14"/>
                <w:szCs w:val="14"/>
                <w:b w:val="1"/>
                <w:bCs w:val="1"/>
                <w:color w:val="FFFFFF"/>
              </w:rPr>
              <w:t>​ ​</w:t>
            </w:r>
          </w:p>
        </w:tc>
        <w:tc>
          <w:tcPr>
            <w:tcW w:w="1000" w:type="dxa"/>
            <w:vAlign w:val="bottom"/>
            <w:gridSpan w:val="2"/>
            <w:shd w:val="clear" w:color="auto" w:fill="424E6A"/>
          </w:tcPr>
          <w:p>
            <w:pPr>
              <w:jc w:val="center"/>
              <w:ind w:right="42"/>
              <w:spacing w:after="0"/>
              <w:rPr>
                <w:sz w:val="20"/>
                <w:szCs w:val="20"/>
                <w:color w:val="auto"/>
              </w:rPr>
            </w:pPr>
            <w:r>
              <w:rPr>
                <w:rFonts w:ascii="Arial" w:cs="Arial" w:eastAsia="Arial" w:hAnsi="Arial"/>
                <w:sz w:val="14"/>
                <w:szCs w:val="14"/>
                <w:b w:val="1"/>
                <w:bCs w:val="1"/>
                <w:color w:val="FFFFFF"/>
              </w:rPr>
              <w:t>the Year</w:t>
            </w:r>
          </w:p>
        </w:tc>
        <w:tc>
          <w:tcPr>
            <w:tcW w:w="360" w:type="dxa"/>
            <w:vAlign w:val="bottom"/>
            <w:gridSpan w:val="2"/>
            <w:shd w:val="clear" w:color="auto" w:fill="424E6A"/>
          </w:tcPr>
          <w:p>
            <w:pPr>
              <w:ind w:left="60"/>
              <w:spacing w:after="0"/>
              <w:rPr>
                <w:sz w:val="20"/>
                <w:szCs w:val="20"/>
                <w:color w:val="auto"/>
              </w:rPr>
            </w:pPr>
            <w:r>
              <w:rPr>
                <w:rFonts w:ascii="Arial" w:cs="Arial" w:eastAsia="Arial" w:hAnsi="Arial"/>
                <w:sz w:val="14"/>
                <w:szCs w:val="14"/>
                <w:b w:val="1"/>
                <w:bCs w:val="1"/>
                <w:color w:val="FFFFFF"/>
              </w:rPr>
              <w:t>​ ​</w:t>
            </w:r>
          </w:p>
        </w:tc>
        <w:tc>
          <w:tcPr>
            <w:tcW w:w="660" w:type="dxa"/>
            <w:vAlign w:val="bottom"/>
            <w:shd w:val="clear" w:color="auto" w:fill="424E6A"/>
          </w:tcPr>
          <w:p>
            <w:pPr>
              <w:jc w:val="center"/>
              <w:ind w:left="84"/>
              <w:spacing w:after="0"/>
              <w:rPr>
                <w:sz w:val="20"/>
                <w:szCs w:val="20"/>
                <w:color w:val="auto"/>
              </w:rPr>
            </w:pPr>
            <w:r>
              <w:rPr>
                <w:rFonts w:ascii="Arial" w:cs="Arial" w:eastAsia="Arial" w:hAnsi="Arial"/>
                <w:sz w:val="14"/>
                <w:szCs w:val="14"/>
                <w:b w:val="1"/>
                <w:bCs w:val="1"/>
                <w:color w:val="FFFFFF"/>
                <w:w w:val="98"/>
              </w:rPr>
              <w:t>Year</w:t>
            </w:r>
          </w:p>
        </w:tc>
        <w:tc>
          <w:tcPr>
            <w:tcW w:w="100" w:type="dxa"/>
            <w:vAlign w:val="bottom"/>
            <w:tcBorders>
              <w:right w:val="single" w:sz="8" w:color="424E6A"/>
            </w:tcBorders>
            <w:shd w:val="clear" w:color="auto" w:fill="424E6A"/>
          </w:tcPr>
          <w:p>
            <w:pPr>
              <w:spacing w:after="0"/>
              <w:rPr>
                <w:sz w:val="18"/>
                <w:szCs w:val="18"/>
                <w:color w:val="auto"/>
              </w:rPr>
            </w:pPr>
          </w:p>
        </w:tc>
        <w:tc>
          <w:tcPr>
            <w:tcW w:w="140" w:type="dxa"/>
            <w:vAlign w:val="bottom"/>
            <w:shd w:val="clear" w:color="auto" w:fill="424E6A"/>
          </w:tcPr>
          <w:p>
            <w:pPr>
              <w:spacing w:after="0"/>
              <w:rPr>
                <w:sz w:val="18"/>
                <w:szCs w:val="18"/>
                <w:color w:val="auto"/>
              </w:rPr>
            </w:pPr>
          </w:p>
        </w:tc>
        <w:tc>
          <w:tcPr>
            <w:tcW w:w="1360" w:type="dxa"/>
            <w:vAlign w:val="bottom"/>
            <w:tcBorders>
              <w:right w:val="single" w:sz="8" w:color="424E6A"/>
            </w:tcBorders>
            <w:gridSpan w:val="3"/>
            <w:shd w:val="clear" w:color="auto" w:fill="424E6A"/>
          </w:tcPr>
          <w:p>
            <w:pPr>
              <w:jc w:val="right"/>
              <w:ind w:right="23"/>
              <w:spacing w:after="0"/>
              <w:rPr>
                <w:sz w:val="20"/>
                <w:szCs w:val="20"/>
                <w:color w:val="auto"/>
              </w:rPr>
            </w:pPr>
            <w:r>
              <w:rPr>
                <w:rFonts w:ascii="Arial" w:cs="Arial" w:eastAsia="Arial" w:hAnsi="Arial"/>
                <w:sz w:val="14"/>
                <w:szCs w:val="14"/>
                <w:b w:val="1"/>
                <w:bCs w:val="1"/>
                <w:color w:val="FFFFFF"/>
              </w:rPr>
              <w:t>​ ​ CAP Purposes</w:t>
            </w:r>
          </w:p>
        </w:tc>
        <w:tc>
          <w:tcPr>
            <w:tcW w:w="0" w:type="dxa"/>
            <w:vAlign w:val="bottom"/>
          </w:tcPr>
          <w:p>
            <w:pPr>
              <w:spacing w:after="0"/>
              <w:rPr>
                <w:sz w:val="1"/>
                <w:szCs w:val="1"/>
                <w:color w:val="auto"/>
              </w:rPr>
            </w:pPr>
          </w:p>
        </w:tc>
      </w:tr>
      <w:tr>
        <w:trPr>
          <w:trHeight w:val="256"/>
        </w:trPr>
        <w:tc>
          <w:tcPr>
            <w:tcW w:w="920" w:type="dxa"/>
            <w:vAlign w:val="bottom"/>
            <w:tcBorders>
              <w:left w:val="single" w:sz="8" w:color="424E6A"/>
              <w:bottom w:val="single" w:sz="8" w:color="424E6A"/>
            </w:tcBorders>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2022</w:t>
            </w:r>
          </w:p>
        </w:tc>
        <w:tc>
          <w:tcPr>
            <w:tcW w:w="520" w:type="dxa"/>
            <w:vAlign w:val="bottom"/>
            <w:tcBorders>
              <w:bottom w:val="single" w:sz="8" w:color="424E6A"/>
              <w:right w:val="single" w:sz="8" w:color="424E6A"/>
            </w:tcBorders>
            <w:shd w:val="clear" w:color="auto" w:fill="D9DCE1"/>
          </w:tcPr>
          <w:p>
            <w:pPr>
              <w:ind w:left="4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424E6A"/>
            </w:tcBorders>
            <w:gridSpan w:val="2"/>
            <w:shd w:val="clear" w:color="auto" w:fill="D9DCE1"/>
          </w:tcPr>
          <w:p>
            <w:pPr>
              <w:jc w:val="right"/>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highlight w:val="lightGray"/>
              </w:rPr>
              <w:t>$1,388,099</w:t>
            </w:r>
          </w:p>
        </w:tc>
        <w:tc>
          <w:tcPr>
            <w:tcW w:w="10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highlight w:val="lightGray"/>
              </w:rPr>
              <w:t>​</w:t>
            </w:r>
          </w:p>
        </w:tc>
        <w:tc>
          <w:tcPr>
            <w:tcW w:w="300" w:type="dxa"/>
            <w:vAlign w:val="bottom"/>
            <w:tcBorders>
              <w:bottom w:val="single" w:sz="8" w:color="424E6A"/>
              <w:right w:val="single" w:sz="8" w:color="424E6A"/>
            </w:tcBorders>
            <w:shd w:val="clear" w:color="auto" w:fill="D9DCE1"/>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180" w:type="dxa"/>
            <w:vAlign w:val="bottom"/>
            <w:tcBorders>
              <w:bottom w:val="single" w:sz="8" w:color="424E6A"/>
              <w:right w:val="single" w:sz="8" w:color="424E6A"/>
            </w:tcBorders>
            <w:gridSpan w:val="2"/>
            <w:shd w:val="clear" w:color="auto" w:fill="D9DCE1"/>
          </w:tcPr>
          <w:p>
            <w:pPr>
              <w:jc w:val="right"/>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$ 3,245,179 </w:t>
            </w:r>
            <w:r>
              <w:rPr>
                <w:rFonts w:ascii="Arial" w:cs="Arial" w:eastAsia="Arial" w:hAnsi="Arial"/>
                <w:sz w:val="29"/>
                <w:szCs w:val="29"/>
                <w:color w:val="auto"/>
                <w:vertAlign w:val="subscript"/>
              </w:rPr>
              <w:t>​</w:t>
            </w:r>
          </w:p>
        </w:tc>
        <w:tc>
          <w:tcPr>
            <w:tcW w:w="320" w:type="dxa"/>
            <w:vAlign w:val="bottom"/>
            <w:tcBorders>
              <w:bottom w:val="single" w:sz="8" w:color="424E6A"/>
              <w:right w:val="single" w:sz="8" w:color="424E6A"/>
            </w:tcBorders>
            <w:gridSpan w:val="2"/>
            <w:shd w:val="clear" w:color="auto" w:fill="D9DCE1"/>
          </w:tcPr>
          <w:p>
            <w:pPr>
              <w:ind w:left="6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220" w:type="dxa"/>
            <w:vAlign w:val="bottom"/>
            <w:tcBorders>
              <w:bottom w:val="single" w:sz="8" w:color="424E6A"/>
            </w:tcBorders>
            <w:shd w:val="clear" w:color="auto" w:fill="D9DCE1"/>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820" w:type="dxa"/>
            <w:vAlign w:val="bottom"/>
            <w:tcBorders>
              <w:bottom w:val="single" w:sz="8" w:color="424E6A"/>
              <w:right w:val="single" w:sz="8" w:color="424E6A"/>
            </w:tcBorders>
            <w:shd w:val="clear" w:color="auto" w:fill="D9DCE1"/>
          </w:tcPr>
          <w:p>
            <w:pPr>
              <w:jc w:val="right"/>
              <w:spacing w:after="0" w:line="256" w:lineRule="exact"/>
              <w:rPr>
                <w:sz w:val="20"/>
                <w:szCs w:val="20"/>
                <w:color w:val="auto"/>
              </w:rPr>
            </w:pPr>
            <w:r>
              <w:rPr>
                <w:rFonts w:ascii="Arial" w:cs="Arial" w:eastAsia="Arial" w:hAnsi="Arial"/>
                <w:sz w:val="16"/>
                <w:szCs w:val="16"/>
                <w:color w:val="auto"/>
              </w:rPr>
              <w:t xml:space="preserve">78,173 </w:t>
            </w:r>
            <w:r>
              <w:rPr>
                <w:rFonts w:ascii="Arial" w:cs="Arial" w:eastAsia="Arial" w:hAnsi="Arial"/>
                <w:sz w:val="29"/>
                <w:szCs w:val="29"/>
                <w:color w:val="auto"/>
                <w:vertAlign w:val="subscript"/>
              </w:rPr>
              <w:t>​</w:t>
            </w:r>
          </w:p>
        </w:tc>
        <w:tc>
          <w:tcPr>
            <w:tcW w:w="320" w:type="dxa"/>
            <w:vAlign w:val="bottom"/>
            <w:tcBorders>
              <w:bottom w:val="single" w:sz="8" w:color="424E6A"/>
              <w:right w:val="single" w:sz="8" w:color="424E6A"/>
            </w:tcBorders>
            <w:gridSpan w:val="2"/>
            <w:shd w:val="clear" w:color="auto" w:fill="D9DCE1"/>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880" w:type="dxa"/>
            <w:vAlign w:val="bottom"/>
            <w:tcBorders>
              <w:bottom w:val="single" w:sz="8" w:color="424E6A"/>
            </w:tcBorders>
            <w:gridSpan w:val="2"/>
            <w:shd w:val="clear" w:color="auto" w:fill="D9DCE1"/>
          </w:tcPr>
          <w:p>
            <w:pPr>
              <w:jc w:val="right"/>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$175,938</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gridSpan w:val="2"/>
            <w:shd w:val="clear" w:color="auto" w:fill="D9DCE1"/>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200" w:type="dxa"/>
            <w:vAlign w:val="bottom"/>
            <w:tcBorders>
              <w:bottom w:val="single" w:sz="8" w:color="424E6A"/>
              <w:right w:val="single" w:sz="8" w:color="424E6A"/>
            </w:tcBorders>
            <w:gridSpan w:val="2"/>
            <w:shd w:val="clear" w:color="auto" w:fill="D9DCE1"/>
          </w:tcPr>
          <w:p>
            <w:pPr>
              <w:jc w:val="right"/>
              <w:spacing w:after="0" w:line="256"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6"/>
                <w:szCs w:val="16"/>
                <w:color w:val="auto"/>
              </w:rPr>
              <w:t xml:space="preserve">$4,887,389 </w:t>
            </w:r>
            <w:r>
              <w:rPr>
                <w:rFonts w:ascii="Arial" w:cs="Arial" w:eastAsia="Arial" w:hAnsi="Arial"/>
                <w:sz w:val="29"/>
                <w:szCs w:val="29"/>
                <w:color w:val="auto"/>
                <w:vertAlign w:val="subscript"/>
              </w:rPr>
              <w:t>​</w:t>
            </w:r>
          </w:p>
        </w:tc>
        <w:tc>
          <w:tcPr>
            <w:tcW w:w="0" w:type="dxa"/>
            <w:vAlign w:val="bottom"/>
          </w:tcPr>
          <w:p>
            <w:pPr>
              <w:spacing w:after="0"/>
              <w:rPr>
                <w:sz w:val="1"/>
                <w:szCs w:val="1"/>
                <w:color w:val="auto"/>
              </w:rPr>
            </w:pPr>
          </w:p>
        </w:tc>
      </w:tr>
      <w:tr>
        <w:trPr>
          <w:trHeight w:val="250"/>
        </w:trPr>
        <w:tc>
          <w:tcPr>
            <w:tcW w:w="92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2021</w:t>
            </w:r>
          </w:p>
        </w:tc>
        <w:tc>
          <w:tcPr>
            <w:tcW w:w="52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505,201</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22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60" w:type="dxa"/>
            <w:vAlign w:val="bottom"/>
            <w:tcBorders>
              <w:bottom w:val="single" w:sz="8" w:color="424E6A"/>
              <w:right w:val="single" w:sz="8" w:color="424E6A"/>
            </w:tcBorders>
          </w:tcPr>
          <w:p>
            <w:pPr>
              <w:jc w:val="right"/>
              <w:spacing w:after="0" w:line="250" w:lineRule="exact"/>
              <w:rPr>
                <w:sz w:val="20"/>
                <w:szCs w:val="20"/>
                <w:color w:val="auto"/>
              </w:rPr>
            </w:pPr>
            <w:r>
              <w:rPr>
                <w:rFonts w:ascii="Arial" w:cs="Arial" w:eastAsia="Arial" w:hAnsi="Arial"/>
                <w:sz w:val="15"/>
                <w:szCs w:val="15"/>
                <w:color w:val="auto"/>
              </w:rPr>
              <w:t xml:space="preserve">218,628 </w:t>
            </w:r>
            <w:r>
              <w:rPr>
                <w:rFonts w:ascii="Arial" w:cs="Arial" w:eastAsia="Arial" w:hAnsi="Arial"/>
                <w:sz w:val="28"/>
                <w:szCs w:val="28"/>
                <w:color w:val="auto"/>
                <w:vertAlign w:val="subscript"/>
              </w:rPr>
              <w:t>​</w:t>
            </w:r>
          </w:p>
        </w:tc>
        <w:tc>
          <w:tcPr>
            <w:tcW w:w="320" w:type="dxa"/>
            <w:vAlign w:val="bottom"/>
            <w:tcBorders>
              <w:bottom w:val="single" w:sz="8" w:color="424E6A"/>
              <w:right w:val="single" w:sz="8" w:color="424E6A"/>
            </w:tcBorders>
            <w:gridSpan w:val="2"/>
          </w:tcPr>
          <w:p>
            <w:pPr>
              <w:ind w:left="6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040" w:type="dxa"/>
            <w:vAlign w:val="bottom"/>
            <w:tcBorders>
              <w:bottom w:val="single" w:sz="8" w:color="424E6A"/>
              <w:right w:val="single" w:sz="8" w:color="424E6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62,450 </w:t>
            </w:r>
            <w:r>
              <w:rPr>
                <w:rFonts w:ascii="Arial" w:cs="Arial" w:eastAsia="Arial" w:hAnsi="Arial"/>
                <w:sz w:val="28"/>
                <w:szCs w:val="28"/>
                <w:color w:val="auto"/>
                <w:vertAlign w:val="subscript"/>
              </w:rPr>
              <w:t>​</w:t>
            </w:r>
          </w:p>
        </w:tc>
        <w:tc>
          <w:tcPr>
            <w:tcW w:w="320" w:type="dxa"/>
            <w:vAlign w:val="bottom"/>
            <w:tcBorders>
              <w:bottom w:val="single" w:sz="8" w:color="424E6A"/>
              <w:right w:val="single" w:sz="8" w:color="424E6A"/>
            </w:tcBorders>
            <w:gridSpan w:val="2"/>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880" w:type="dxa"/>
            <w:vAlign w:val="bottom"/>
            <w:tcBorders>
              <w:bottom w:val="single" w:sz="8" w:color="424E6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$109,059</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gridSpan w:val="2"/>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300" w:type="dxa"/>
            <w:vAlign w:val="bottom"/>
            <w:tcBorders>
              <w:bottom w:val="single" w:sz="8" w:color="424E6A"/>
            </w:tcBorders>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900" w:type="dxa"/>
            <w:vAlign w:val="bottom"/>
            <w:tcBorders>
              <w:bottom w:val="single" w:sz="8" w:color="424E6A"/>
              <w:right w:val="single" w:sz="8" w:color="424E6A"/>
            </w:tcBorders>
          </w:tcPr>
          <w:p>
            <w:pPr>
              <w:jc w:val="right"/>
              <w:spacing w:after="0" w:line="250" w:lineRule="exact"/>
              <w:rPr>
                <w:sz w:val="20"/>
                <w:szCs w:val="20"/>
                <w:color w:val="auto"/>
              </w:rPr>
            </w:pPr>
            <w:r>
              <w:rPr>
                <w:rFonts w:ascii="Arial" w:cs="Arial" w:eastAsia="Arial" w:hAnsi="Arial"/>
                <w:sz w:val="15"/>
                <w:szCs w:val="15"/>
                <w:color w:val="auto"/>
              </w:rPr>
              <w:t xml:space="preserve">895,338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92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2020</w:t>
            </w:r>
          </w:p>
        </w:tc>
        <w:tc>
          <w:tcPr>
            <w:tcW w:w="520" w:type="dxa"/>
            <w:vAlign w:val="bottom"/>
            <w:tcBorders>
              <w:bottom w:val="single" w:sz="8" w:color="424E6A"/>
              <w:right w:val="single" w:sz="8" w:color="424E6A"/>
            </w:tcBorders>
            <w:shd w:val="clear" w:color="auto" w:fill="D9DCE1"/>
          </w:tcPr>
          <w:p>
            <w:pPr>
              <w:ind w:left="4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557,609</w:t>
            </w:r>
          </w:p>
        </w:tc>
        <w:tc>
          <w:tcPr>
            <w:tcW w:w="10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180" w:type="dxa"/>
            <w:vAlign w:val="bottom"/>
            <w:tcBorders>
              <w:bottom w:val="single" w:sz="8" w:color="424E6A"/>
              <w:right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$(1,237,356)</w:t>
            </w:r>
            <w:r>
              <w:rPr>
                <w:rFonts w:ascii="Arial" w:cs="Arial" w:eastAsia="Arial" w:hAnsi="Arial"/>
                <w:sz w:val="28"/>
                <w:szCs w:val="28"/>
                <w:color w:val="auto"/>
                <w:highlight w:val="lightGray"/>
                <w:vertAlign w:val="subscript"/>
              </w:rPr>
              <w:t>​</w:t>
            </w:r>
          </w:p>
        </w:tc>
        <w:tc>
          <w:tcPr>
            <w:tcW w:w="320" w:type="dxa"/>
            <w:vAlign w:val="bottom"/>
            <w:tcBorders>
              <w:bottom w:val="single" w:sz="8" w:color="424E6A"/>
              <w:right w:val="single" w:sz="8" w:color="424E6A"/>
            </w:tcBorders>
            <w:gridSpan w:val="2"/>
            <w:shd w:val="clear" w:color="auto" w:fill="D9DCE1"/>
          </w:tcPr>
          <w:p>
            <w:pPr>
              <w:ind w:left="6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1040" w:type="dxa"/>
            <w:vAlign w:val="bottom"/>
            <w:tcBorders>
              <w:bottom w:val="single" w:sz="8" w:color="424E6A"/>
              <w:right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highlight w:val="lightGray"/>
              </w:rPr>
              <w:t>$(219,632)</w:t>
            </w:r>
            <w:r>
              <w:rPr>
                <w:rFonts w:ascii="Arial" w:cs="Arial" w:eastAsia="Arial" w:hAnsi="Arial"/>
                <w:sz w:val="28"/>
                <w:szCs w:val="28"/>
                <w:color w:val="auto"/>
                <w:highlight w:val="lightGray"/>
                <w:vertAlign w:val="subscript"/>
              </w:rPr>
              <w:t>​</w:t>
            </w:r>
          </w:p>
        </w:tc>
        <w:tc>
          <w:tcPr>
            <w:tcW w:w="320" w:type="dxa"/>
            <w:vAlign w:val="bottom"/>
            <w:tcBorders>
              <w:bottom w:val="single" w:sz="8" w:color="424E6A"/>
              <w:right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220" w:type="dxa"/>
            <w:vAlign w:val="bottom"/>
            <w:tcBorders>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6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91,141</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300" w:type="dxa"/>
            <w:vAlign w:val="bottom"/>
            <w:tcBorders>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900" w:type="dxa"/>
            <w:vAlign w:val="bottom"/>
            <w:tcBorders>
              <w:bottom w:val="single" w:sz="8" w:color="424E6A"/>
              <w:right w:val="single" w:sz="8" w:color="424E6A"/>
            </w:tcBorders>
            <w:shd w:val="clear" w:color="auto" w:fill="D9DCE1"/>
          </w:tcPr>
          <w:p>
            <w:pPr>
              <w:jc w:val="right"/>
              <w:spacing w:after="0" w:line="250" w:lineRule="exact"/>
              <w:rPr>
                <w:sz w:val="20"/>
                <w:szCs w:val="20"/>
                <w:color w:val="auto"/>
              </w:rPr>
            </w:pPr>
            <w:r>
              <w:rPr>
                <w:rFonts w:ascii="Arial" w:cs="Arial" w:eastAsia="Arial" w:hAnsi="Arial"/>
                <w:sz w:val="15"/>
                <w:szCs w:val="15"/>
                <w:color w:val="auto"/>
              </w:rPr>
              <w:t>(808,238)</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620" w:right="619" w:hanging="360"/>
        <w:spacing w:after="0" w:line="287" w:lineRule="auto"/>
        <w:tabs>
          <w:tab w:leader="none" w:pos="1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did not issue equity awards during the applicable fiscal years that vested in the year of grant. Additionally, no equity awards were forfeited during any of the applicable years.</w:t>
      </w:r>
    </w:p>
    <w:p>
      <w:pPr>
        <w:spacing w:after="0" w:line="155" w:lineRule="exact"/>
        <w:rPr>
          <w:sz w:val="20"/>
          <w:szCs w:val="20"/>
          <w:color w:val="auto"/>
        </w:rPr>
      </w:pPr>
    </w:p>
    <w:p>
      <w:pPr>
        <w:ind w:left="1260" w:right="699"/>
        <w:spacing w:after="0" w:line="269" w:lineRule="auto"/>
        <w:rPr>
          <w:sz w:val="20"/>
          <w:szCs w:val="20"/>
          <w:color w:val="auto"/>
        </w:rPr>
      </w:pPr>
      <w:r>
        <w:rPr>
          <w:rFonts w:ascii="Arial" w:cs="Arial" w:eastAsia="Arial" w:hAnsi="Arial"/>
          <w:sz w:val="18"/>
          <w:szCs w:val="18"/>
          <w:i w:val="1"/>
          <w:iCs w:val="1"/>
          <w:color w:val="auto"/>
        </w:rPr>
        <w:t>Tabular Disclosure of Most Important Measures Linking Compensation Actually Paid During 2022 to Company Performance</w:t>
      </w:r>
    </w:p>
    <w:p>
      <w:pPr>
        <w:spacing w:after="0" w:line="88"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The following were the most important financial and non-financial performance measures, as determined by the Company, that link 2022 CAP to the Company’s performance for the most recently completed fiscal year (unranked):</w:t>
      </w:r>
    </w:p>
    <w:p>
      <w:pPr>
        <w:spacing w:after="0" w:line="140" w:lineRule="exact"/>
        <w:rPr>
          <w:sz w:val="20"/>
          <w:szCs w:val="20"/>
          <w:color w:val="auto"/>
        </w:rPr>
      </w:pPr>
    </w:p>
    <w:tbl>
      <w:tblPr>
        <w:tblLayout w:type="fixed"/>
        <w:tblInd w:w="1630" w:type="dxa"/>
        <w:tblCellMar>
          <w:top w:w="0" w:type="dxa"/>
          <w:left w:w="0" w:type="dxa"/>
          <w:bottom w:w="0" w:type="dxa"/>
          <w:right w:w="0" w:type="dxa"/>
        </w:tblCellMar>
      </w:tblPr>
      <w:tr>
        <w:trPr>
          <w:trHeight w:val="256"/>
        </w:trPr>
        <w:tc>
          <w:tcPr>
            <w:tcW w:w="1180" w:type="dxa"/>
            <w:vAlign w:val="bottom"/>
            <w:tcBorders>
              <w:lef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5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Most Important Performance Measures</w:t>
            </w:r>
          </w:p>
        </w:tc>
        <w:tc>
          <w:tcPr>
            <w:tcW w:w="1160" w:type="dxa"/>
            <w:vAlign w:val="bottom"/>
            <w:shd w:val="clear" w:color="auto" w:fill="424E6A"/>
          </w:tcPr>
          <w:p>
            <w:pPr>
              <w:ind w:left="1120"/>
              <w:spacing w:after="0"/>
              <w:rPr>
                <w:sz w:val="20"/>
                <w:szCs w:val="20"/>
                <w:color w:val="auto"/>
              </w:rPr>
            </w:pPr>
            <w:r>
              <w:rPr>
                <w:rFonts w:ascii="Arial" w:cs="Arial" w:eastAsia="Arial" w:hAnsi="Arial"/>
                <w:sz w:val="14"/>
                <w:szCs w:val="14"/>
                <w:b w:val="1"/>
                <w:bCs w:val="1"/>
                <w:color w:val="FFFFFF"/>
              </w:rPr>
              <w:t>​</w:t>
            </w:r>
          </w:p>
        </w:tc>
      </w:tr>
      <w:tr>
        <w:trPr>
          <w:trHeight w:val="257"/>
        </w:trPr>
        <w:tc>
          <w:tcPr>
            <w:tcW w:w="118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1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w w:val="98"/>
              </w:rPr>
              <w:t>Adjusted EBITDA Attributable to PAA</w:t>
            </w:r>
          </w:p>
        </w:tc>
        <w:tc>
          <w:tcPr>
            <w:tcW w:w="1160" w:type="dxa"/>
            <w:vAlign w:val="bottom"/>
            <w:tcBorders>
              <w:bottom w:val="single" w:sz="8" w:color="424E6A"/>
            </w:tcBorders>
          </w:tcPr>
          <w:p>
            <w:pPr>
              <w:ind w:left="1120"/>
              <w:spacing w:after="0"/>
              <w:rPr>
                <w:sz w:val="20"/>
                <w:szCs w:val="20"/>
                <w:color w:val="auto"/>
              </w:rPr>
            </w:pPr>
            <w:r>
              <w:rPr>
                <w:rFonts w:ascii="Arial" w:cs="Arial" w:eastAsia="Arial" w:hAnsi="Arial"/>
                <w:sz w:val="18"/>
                <w:szCs w:val="18"/>
                <w:color w:val="auto"/>
              </w:rPr>
              <w:t>​</w:t>
            </w:r>
          </w:p>
        </w:tc>
      </w:tr>
      <w:tr>
        <w:trPr>
          <w:trHeight w:val="250"/>
        </w:trPr>
        <w:tc>
          <w:tcPr>
            <w:tcW w:w="118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1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w w:val="99"/>
              </w:rPr>
              <w:t>DCF per CUE</w:t>
            </w:r>
          </w:p>
        </w:tc>
        <w:tc>
          <w:tcPr>
            <w:tcW w:w="1160" w:type="dxa"/>
            <w:vAlign w:val="bottom"/>
            <w:tcBorders>
              <w:bottom w:val="single" w:sz="8" w:color="424E6A"/>
            </w:tcBorders>
          </w:tcPr>
          <w:p>
            <w:pPr>
              <w:ind w:left="1120"/>
              <w:spacing w:after="0"/>
              <w:rPr>
                <w:sz w:val="20"/>
                <w:szCs w:val="20"/>
                <w:color w:val="auto"/>
              </w:rPr>
            </w:pPr>
            <w:r>
              <w:rPr>
                <w:rFonts w:ascii="Arial" w:cs="Arial" w:eastAsia="Arial" w:hAnsi="Arial"/>
                <w:sz w:val="18"/>
                <w:szCs w:val="18"/>
                <w:color w:val="auto"/>
              </w:rPr>
              <w:t>​</w:t>
            </w:r>
          </w:p>
        </w:tc>
      </w:tr>
      <w:tr>
        <w:trPr>
          <w:trHeight w:val="250"/>
        </w:trPr>
        <w:tc>
          <w:tcPr>
            <w:tcW w:w="118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1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w w:val="99"/>
              </w:rPr>
              <w:t>TSR</w:t>
            </w:r>
          </w:p>
        </w:tc>
        <w:tc>
          <w:tcPr>
            <w:tcW w:w="1160" w:type="dxa"/>
            <w:vAlign w:val="bottom"/>
            <w:tcBorders>
              <w:bottom w:val="single" w:sz="8" w:color="424E6A"/>
            </w:tcBorders>
          </w:tcPr>
          <w:p>
            <w:pPr>
              <w:ind w:left="1120"/>
              <w:spacing w:after="0"/>
              <w:rPr>
                <w:sz w:val="20"/>
                <w:szCs w:val="20"/>
                <w:color w:val="auto"/>
              </w:rPr>
            </w:pPr>
            <w:r>
              <w:rPr>
                <w:rFonts w:ascii="Arial" w:cs="Arial" w:eastAsia="Arial" w:hAnsi="Arial"/>
                <w:sz w:val="18"/>
                <w:szCs w:val="18"/>
                <w:color w:val="auto"/>
              </w:rPr>
              <w:t>​</w:t>
            </w:r>
          </w:p>
        </w:tc>
      </w:tr>
      <w:tr>
        <w:trPr>
          <w:trHeight w:val="250"/>
        </w:trPr>
        <w:tc>
          <w:tcPr>
            <w:tcW w:w="118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1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w w:val="99"/>
              </w:rPr>
              <w:t>TRIR</w:t>
            </w:r>
          </w:p>
        </w:tc>
        <w:tc>
          <w:tcPr>
            <w:tcW w:w="1160" w:type="dxa"/>
            <w:vAlign w:val="bottom"/>
            <w:tcBorders>
              <w:bottom w:val="single" w:sz="8" w:color="424E6A"/>
            </w:tcBorders>
          </w:tcPr>
          <w:p>
            <w:pPr>
              <w:ind w:left="1120"/>
              <w:spacing w:after="0"/>
              <w:rPr>
                <w:sz w:val="20"/>
                <w:szCs w:val="20"/>
                <w:color w:val="auto"/>
              </w:rPr>
            </w:pPr>
            <w:r>
              <w:rPr>
                <w:rFonts w:ascii="Arial" w:cs="Arial" w:eastAsia="Arial" w:hAnsi="Arial"/>
                <w:sz w:val="18"/>
                <w:szCs w:val="18"/>
                <w:color w:val="auto"/>
              </w:rPr>
              <w:t>​</w:t>
            </w:r>
          </w:p>
        </w:tc>
      </w:tr>
      <w:tr>
        <w:trPr>
          <w:trHeight w:val="250"/>
        </w:trPr>
        <w:tc>
          <w:tcPr>
            <w:tcW w:w="118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1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FRR</w:t>
            </w:r>
          </w:p>
        </w:tc>
        <w:tc>
          <w:tcPr>
            <w:tcW w:w="1160" w:type="dxa"/>
            <w:vAlign w:val="bottom"/>
            <w:tcBorders>
              <w:bottom w:val="single" w:sz="8" w:color="424E6A"/>
            </w:tcBorders>
          </w:tcPr>
          <w:p>
            <w:pPr>
              <w:ind w:left="11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-856615</wp:posOffset>
            </wp:positionV>
            <wp:extent cx="4740275" cy="8572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40275" cy="857250"/>
                    </a:xfrm>
                    <a:prstGeom prst="rect">
                      <a:avLst/>
                    </a:prstGeom>
                    <a:noFill/>
                  </pic:spPr>
                </pic:pic>
              </a:graphicData>
            </a:graphic>
          </wp:anchor>
        </w:drawing>
      </w:r>
    </w:p>
    <w:p>
      <w:pPr>
        <w:spacing w:after="0" w:line="96" w:lineRule="exact"/>
        <w:rPr>
          <w:sz w:val="20"/>
          <w:szCs w:val="20"/>
          <w:color w:val="auto"/>
        </w:rPr>
      </w:pPr>
    </w:p>
    <w:p>
      <w:pPr>
        <w:ind w:left="1260" w:right="579" w:firstLine="360"/>
        <w:spacing w:after="0" w:line="318" w:lineRule="auto"/>
        <w:rPr>
          <w:sz w:val="20"/>
          <w:szCs w:val="20"/>
          <w:color w:val="auto"/>
        </w:rPr>
      </w:pPr>
      <w:r>
        <w:rPr>
          <w:rFonts w:ascii="Arial" w:cs="Arial" w:eastAsia="Arial" w:hAnsi="Arial"/>
          <w:sz w:val="17"/>
          <w:szCs w:val="17"/>
          <w:color w:val="auto"/>
        </w:rPr>
        <w:t>For further information regarding these performance measures and their function in our executive compensation program, please see “Compensation Discussion and Analysis” beginning on page 28.</w:t>
      </w:r>
    </w:p>
    <w:p>
      <w:pPr>
        <w:spacing w:after="0" w:line="118" w:lineRule="exact"/>
        <w:rPr>
          <w:sz w:val="20"/>
          <w:szCs w:val="20"/>
          <w:color w:val="auto"/>
        </w:rPr>
      </w:pPr>
    </w:p>
    <w:p>
      <w:pPr>
        <w:ind w:left="1260" w:right="979"/>
        <w:spacing w:after="0" w:line="269" w:lineRule="auto"/>
        <w:rPr>
          <w:sz w:val="20"/>
          <w:szCs w:val="20"/>
          <w:color w:val="auto"/>
        </w:rPr>
      </w:pPr>
      <w:r>
        <w:rPr>
          <w:rFonts w:ascii="Arial" w:cs="Arial" w:eastAsia="Arial" w:hAnsi="Arial"/>
          <w:sz w:val="18"/>
          <w:szCs w:val="18"/>
          <w:i w:val="1"/>
          <w:iCs w:val="1"/>
          <w:color w:val="auto"/>
        </w:rPr>
        <w:t>Disclosure of the Relationship Between Compensation Actually Paid and Financial Performance Measures</w:t>
      </w:r>
    </w:p>
    <w:p>
      <w:pPr>
        <w:spacing w:after="0" w:line="88"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The graphs below describe the relationship between CAP (as calculated above) and our financial and stock performance for the indicated years. In addition, the first table below compares our cumulative TSR to peer group TSR for the indicated years.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569595</wp:posOffset>
            </wp:positionV>
            <wp:extent cx="5117465" cy="21259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17465" cy="212598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3321685</wp:posOffset>
            </wp:positionV>
            <wp:extent cx="5357495" cy="21342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357495" cy="21342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5935980</wp:posOffset>
            </wp:positionV>
            <wp:extent cx="5374640" cy="21342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374640" cy="213423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15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8"/>
          <w:szCs w:val="18"/>
          <w:color w:val="auto"/>
        </w:rPr>
        <w:t>The following table sets forth a summary of the compensation paid to each person who served as a director of PAGP GP in 2022 (other than Messrs. Chiang and Pefanis who were not compensated as directors and whose compensation is set forth in the Summary Compensation Table above):</w:t>
      </w:r>
    </w:p>
    <w:p>
      <w:pPr>
        <w:spacing w:after="0" w:line="149"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2460" w:type="dxa"/>
            <w:vAlign w:val="bottom"/>
            <w:tcBorders>
              <w:left w:val="single" w:sz="8" w:color="424E6A"/>
            </w:tcBorders>
            <w:shd w:val="clear" w:color="auto" w:fill="424E6A"/>
          </w:tcPr>
          <w:p>
            <w:pPr>
              <w:spacing w:after="0"/>
              <w:rPr>
                <w:sz w:val="17"/>
                <w:szCs w:val="17"/>
                <w:color w:val="auto"/>
              </w:rPr>
            </w:pPr>
          </w:p>
        </w:tc>
        <w:tc>
          <w:tcPr>
            <w:tcW w:w="660" w:type="dxa"/>
            <w:vAlign w:val="bottom"/>
            <w:tcBorders>
              <w:right w:val="single" w:sz="8" w:color="424E6A"/>
            </w:tcBorders>
            <w:shd w:val="clear" w:color="auto" w:fill="424E6A"/>
          </w:tcPr>
          <w:p>
            <w:pPr>
              <w:spacing w:after="0"/>
              <w:rPr>
                <w:sz w:val="17"/>
                <w:szCs w:val="17"/>
                <w:color w:val="auto"/>
              </w:rPr>
            </w:pPr>
          </w:p>
        </w:tc>
        <w:tc>
          <w:tcPr>
            <w:tcW w:w="200" w:type="dxa"/>
            <w:vAlign w:val="bottom"/>
            <w:shd w:val="clear" w:color="auto" w:fill="424E6A"/>
          </w:tcPr>
          <w:p>
            <w:pPr>
              <w:spacing w:after="0"/>
              <w:rPr>
                <w:sz w:val="17"/>
                <w:szCs w:val="17"/>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Fees</w:t>
            </w:r>
          </w:p>
        </w:tc>
        <w:tc>
          <w:tcPr>
            <w:tcW w:w="240" w:type="dxa"/>
            <w:vAlign w:val="bottom"/>
            <w:tcBorders>
              <w:right w:val="single" w:sz="8" w:color="424E6A"/>
            </w:tcBorders>
            <w:shd w:val="clear" w:color="auto" w:fill="424E6A"/>
          </w:tcPr>
          <w:p>
            <w:pPr>
              <w:spacing w:after="0"/>
              <w:rPr>
                <w:sz w:val="17"/>
                <w:szCs w:val="17"/>
                <w:color w:val="auto"/>
              </w:rPr>
            </w:pPr>
          </w:p>
        </w:tc>
        <w:tc>
          <w:tcPr>
            <w:tcW w:w="200" w:type="dxa"/>
            <w:vAlign w:val="bottom"/>
            <w:shd w:val="clear" w:color="auto" w:fill="424E6A"/>
          </w:tcPr>
          <w:p>
            <w:pPr>
              <w:spacing w:after="0"/>
              <w:rPr>
                <w:sz w:val="17"/>
                <w:szCs w:val="17"/>
                <w:color w:val="auto"/>
              </w:rPr>
            </w:pPr>
          </w:p>
        </w:tc>
        <w:tc>
          <w:tcPr>
            <w:tcW w:w="180" w:type="dxa"/>
            <w:vAlign w:val="bottom"/>
            <w:shd w:val="clear" w:color="auto" w:fill="424E6A"/>
          </w:tcPr>
          <w:p>
            <w:pPr>
              <w:spacing w:after="0"/>
              <w:rPr>
                <w:sz w:val="17"/>
                <w:szCs w:val="17"/>
                <w:color w:val="auto"/>
              </w:rPr>
            </w:pPr>
          </w:p>
        </w:tc>
        <w:tc>
          <w:tcPr>
            <w:tcW w:w="720" w:type="dxa"/>
            <w:vAlign w:val="bottom"/>
            <w:shd w:val="clear" w:color="auto" w:fill="424E6A"/>
          </w:tcPr>
          <w:p>
            <w:pPr>
              <w:spacing w:after="0"/>
              <w:rPr>
                <w:sz w:val="17"/>
                <w:szCs w:val="17"/>
                <w:color w:val="auto"/>
              </w:rPr>
            </w:pPr>
          </w:p>
        </w:tc>
        <w:tc>
          <w:tcPr>
            <w:tcW w:w="24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320" w:type="dxa"/>
            <w:vAlign w:val="bottom"/>
            <w:shd w:val="clear" w:color="auto" w:fill="424E6A"/>
          </w:tcPr>
          <w:p>
            <w:pPr>
              <w:spacing w:after="0"/>
              <w:rPr>
                <w:sz w:val="17"/>
                <w:szCs w:val="17"/>
                <w:color w:val="auto"/>
              </w:rPr>
            </w:pPr>
          </w:p>
        </w:tc>
        <w:tc>
          <w:tcPr>
            <w:tcW w:w="680" w:type="dxa"/>
            <w:vAlign w:val="bottom"/>
            <w:shd w:val="clear" w:color="auto" w:fill="424E6A"/>
          </w:tcPr>
          <w:p>
            <w:pPr>
              <w:spacing w:after="0"/>
              <w:rPr>
                <w:sz w:val="17"/>
                <w:szCs w:val="17"/>
                <w:color w:val="auto"/>
              </w:rPr>
            </w:pPr>
          </w:p>
        </w:tc>
        <w:tc>
          <w:tcPr>
            <w:tcW w:w="140" w:type="dxa"/>
            <w:vAlign w:val="bottom"/>
            <w:tcBorders>
              <w:right w:val="single" w:sz="8" w:color="424E6A"/>
            </w:tcBorders>
            <w:shd w:val="clear" w:color="auto" w:fill="424E6A"/>
          </w:tcPr>
          <w:p>
            <w:pPr>
              <w:spacing w:after="0"/>
              <w:rPr>
                <w:sz w:val="17"/>
                <w:szCs w:val="17"/>
                <w:color w:val="auto"/>
              </w:rPr>
            </w:pPr>
          </w:p>
        </w:tc>
        <w:tc>
          <w:tcPr>
            <w:tcW w:w="160" w:type="dxa"/>
            <w:vAlign w:val="bottom"/>
            <w:shd w:val="clear" w:color="auto" w:fill="424E6A"/>
          </w:tcPr>
          <w:p>
            <w:pPr>
              <w:spacing w:after="0"/>
              <w:rPr>
                <w:sz w:val="17"/>
                <w:szCs w:val="17"/>
                <w:color w:val="auto"/>
              </w:rPr>
            </w:pPr>
          </w:p>
        </w:tc>
        <w:tc>
          <w:tcPr>
            <w:tcW w:w="800" w:type="dxa"/>
            <w:vAlign w:val="bottom"/>
            <w:shd w:val="clear" w:color="auto" w:fill="424E6A"/>
          </w:tcPr>
          <w:p>
            <w:pPr>
              <w:spacing w:after="0"/>
              <w:rPr>
                <w:sz w:val="17"/>
                <w:szCs w:val="17"/>
                <w:color w:val="auto"/>
              </w:rPr>
            </w:pPr>
          </w:p>
        </w:tc>
        <w:tc>
          <w:tcPr>
            <w:tcW w:w="200" w:type="dxa"/>
            <w:vAlign w:val="bottom"/>
            <w:tcBorders>
              <w:right w:val="single" w:sz="8" w:color="424E6A"/>
            </w:tcBorders>
            <w:shd w:val="clear" w:color="auto" w:fill="424E6A"/>
          </w:tcPr>
          <w:p>
            <w:pPr>
              <w:spacing w:after="0"/>
              <w:rPr>
                <w:sz w:val="17"/>
                <w:szCs w:val="17"/>
                <w:color w:val="auto"/>
              </w:rPr>
            </w:pPr>
          </w:p>
        </w:tc>
      </w:tr>
      <w:tr>
        <w:trPr>
          <w:trHeight w:val="162"/>
        </w:trPr>
        <w:tc>
          <w:tcPr>
            <w:tcW w:w="2460" w:type="dxa"/>
            <w:vAlign w:val="bottom"/>
            <w:tcBorders>
              <w:left w:val="single" w:sz="8" w:color="424E6A"/>
            </w:tcBorders>
            <w:shd w:val="clear" w:color="auto" w:fill="424E6A"/>
          </w:tcPr>
          <w:p>
            <w:pPr>
              <w:spacing w:after="0"/>
              <w:rPr>
                <w:sz w:val="14"/>
                <w:szCs w:val="14"/>
                <w:color w:val="auto"/>
              </w:rPr>
            </w:pPr>
          </w:p>
        </w:tc>
        <w:tc>
          <w:tcPr>
            <w:tcW w:w="66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Earned or</w:t>
            </w:r>
          </w:p>
        </w:tc>
        <w:tc>
          <w:tcPr>
            <w:tcW w:w="24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72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68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800" w:type="dxa"/>
            <w:vAlign w:val="bottom"/>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r>
      <w:tr>
        <w:trPr>
          <w:trHeight w:val="162"/>
        </w:trPr>
        <w:tc>
          <w:tcPr>
            <w:tcW w:w="2460" w:type="dxa"/>
            <w:vAlign w:val="bottom"/>
            <w:tcBorders>
              <w:left w:val="single" w:sz="8" w:color="424E6A"/>
            </w:tcBorders>
            <w:shd w:val="clear" w:color="auto" w:fill="424E6A"/>
          </w:tcPr>
          <w:p>
            <w:pPr>
              <w:spacing w:after="0"/>
              <w:rPr>
                <w:sz w:val="14"/>
                <w:szCs w:val="14"/>
                <w:color w:val="auto"/>
              </w:rPr>
            </w:pPr>
          </w:p>
        </w:tc>
        <w:tc>
          <w:tcPr>
            <w:tcW w:w="66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Paid in</w:t>
            </w:r>
          </w:p>
        </w:tc>
        <w:tc>
          <w:tcPr>
            <w:tcW w:w="24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720" w:type="dxa"/>
            <w:vAlign w:val="bottom"/>
            <w:shd w:val="clear" w:color="auto" w:fill="424E6A"/>
          </w:tcPr>
          <w:p>
            <w:pPr>
              <w:jc w:val="center"/>
              <w:ind w:right="124"/>
              <w:spacing w:after="0"/>
              <w:rPr>
                <w:sz w:val="20"/>
                <w:szCs w:val="20"/>
                <w:color w:val="auto"/>
              </w:rPr>
            </w:pPr>
            <w:r>
              <w:rPr>
                <w:rFonts w:ascii="Arial" w:cs="Arial" w:eastAsia="Arial" w:hAnsi="Arial"/>
                <w:sz w:val="14"/>
                <w:szCs w:val="14"/>
                <w:b w:val="1"/>
                <w:bCs w:val="1"/>
                <w:color w:val="FFFFFF"/>
              </w:rPr>
              <w:t>Stock</w:t>
            </w:r>
          </w:p>
        </w:tc>
        <w:tc>
          <w:tcPr>
            <w:tcW w:w="2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ind w:left="200"/>
              <w:spacing w:after="0"/>
              <w:rPr>
                <w:sz w:val="20"/>
                <w:szCs w:val="20"/>
                <w:color w:val="auto"/>
              </w:rPr>
            </w:pPr>
            <w:r>
              <w:rPr>
                <w:rFonts w:ascii="Arial" w:cs="Arial" w:eastAsia="Arial" w:hAnsi="Arial"/>
                <w:sz w:val="14"/>
                <w:szCs w:val="14"/>
                <w:b w:val="1"/>
                <w:bCs w:val="1"/>
                <w:color w:val="FFFFFF"/>
              </w:rPr>
              <w:t>All Other</w:t>
            </w:r>
          </w:p>
        </w:tc>
        <w:tc>
          <w:tcPr>
            <w:tcW w:w="14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800" w:type="dxa"/>
            <w:vAlign w:val="bottom"/>
            <w:shd w:val="clear" w:color="auto" w:fill="424E6A"/>
          </w:tcPr>
          <w:p>
            <w:pPr>
              <w:spacing w:after="0"/>
              <w:rPr>
                <w:sz w:val="14"/>
                <w:szCs w:val="14"/>
                <w:color w:val="auto"/>
              </w:rPr>
            </w:pPr>
          </w:p>
        </w:tc>
        <w:tc>
          <w:tcPr>
            <w:tcW w:w="200" w:type="dxa"/>
            <w:vAlign w:val="bottom"/>
            <w:tcBorders>
              <w:right w:val="single" w:sz="8" w:color="424E6A"/>
            </w:tcBorders>
            <w:shd w:val="clear" w:color="auto" w:fill="424E6A"/>
          </w:tcPr>
          <w:p>
            <w:pPr>
              <w:spacing w:after="0"/>
              <w:rPr>
                <w:sz w:val="14"/>
                <w:szCs w:val="14"/>
                <w:color w:val="auto"/>
              </w:rPr>
            </w:pPr>
          </w:p>
        </w:tc>
      </w:tr>
      <w:tr>
        <w:trPr>
          <w:trHeight w:val="162"/>
        </w:trPr>
        <w:tc>
          <w:tcPr>
            <w:tcW w:w="2460" w:type="dxa"/>
            <w:vAlign w:val="bottom"/>
            <w:tcBorders>
              <w:left w:val="single" w:sz="8" w:color="424E6A"/>
            </w:tcBorders>
            <w:shd w:val="clear" w:color="auto" w:fill="424E6A"/>
          </w:tcPr>
          <w:p>
            <w:pPr>
              <w:spacing w:after="0"/>
              <w:rPr>
                <w:sz w:val="14"/>
                <w:szCs w:val="14"/>
                <w:color w:val="auto"/>
              </w:rPr>
            </w:pPr>
          </w:p>
        </w:tc>
        <w:tc>
          <w:tcPr>
            <w:tcW w:w="66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Cash</w:t>
            </w:r>
          </w:p>
        </w:tc>
        <w:tc>
          <w:tcPr>
            <w:tcW w:w="24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720" w:type="dxa"/>
            <w:vAlign w:val="bottom"/>
            <w:shd w:val="clear" w:color="auto" w:fill="424E6A"/>
          </w:tcPr>
          <w:p>
            <w:pPr>
              <w:jc w:val="center"/>
              <w:ind w:right="124"/>
              <w:spacing w:after="0"/>
              <w:rPr>
                <w:sz w:val="20"/>
                <w:szCs w:val="20"/>
                <w:color w:val="auto"/>
              </w:rPr>
            </w:pPr>
            <w:r>
              <w:rPr>
                <w:rFonts w:ascii="Arial" w:cs="Arial" w:eastAsia="Arial" w:hAnsi="Arial"/>
                <w:sz w:val="14"/>
                <w:szCs w:val="14"/>
                <w:b w:val="1"/>
                <w:bCs w:val="1"/>
                <w:color w:val="FFFFFF"/>
              </w:rPr>
              <w:t>Awards</w:t>
            </w:r>
          </w:p>
        </w:tc>
        <w:tc>
          <w:tcPr>
            <w:tcW w:w="2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Compensation</w:t>
            </w:r>
          </w:p>
        </w:tc>
        <w:tc>
          <w:tcPr>
            <w:tcW w:w="14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800" w:type="dxa"/>
            <w:vAlign w:val="bottom"/>
            <w:shd w:val="clear" w:color="auto" w:fill="424E6A"/>
          </w:tcPr>
          <w:p>
            <w:pPr>
              <w:ind w:left="220"/>
              <w:spacing w:after="0"/>
              <w:rPr>
                <w:sz w:val="20"/>
                <w:szCs w:val="20"/>
                <w:color w:val="auto"/>
              </w:rPr>
            </w:pPr>
            <w:r>
              <w:rPr>
                <w:rFonts w:ascii="Arial" w:cs="Arial" w:eastAsia="Arial" w:hAnsi="Arial"/>
                <w:sz w:val="14"/>
                <w:szCs w:val="14"/>
                <w:b w:val="1"/>
                <w:bCs w:val="1"/>
                <w:color w:val="FFFFFF"/>
              </w:rPr>
              <w:t>Total</w:t>
            </w:r>
          </w:p>
        </w:tc>
        <w:tc>
          <w:tcPr>
            <w:tcW w:w="200" w:type="dxa"/>
            <w:vAlign w:val="bottom"/>
            <w:tcBorders>
              <w:right w:val="single" w:sz="8" w:color="424E6A"/>
            </w:tcBorders>
            <w:shd w:val="clear" w:color="auto" w:fill="424E6A"/>
          </w:tcPr>
          <w:p>
            <w:pPr>
              <w:spacing w:after="0"/>
              <w:rPr>
                <w:sz w:val="14"/>
                <w:szCs w:val="14"/>
                <w:color w:val="auto"/>
              </w:rPr>
            </w:pPr>
          </w:p>
        </w:tc>
      </w:tr>
      <w:tr>
        <w:trPr>
          <w:trHeight w:val="212"/>
        </w:trPr>
        <w:tc>
          <w:tcPr>
            <w:tcW w:w="2460" w:type="dxa"/>
            <w:vAlign w:val="bottom"/>
            <w:tcBorders>
              <w:left w:val="single" w:sz="8" w:color="424E6A"/>
            </w:tcBorders>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w:t>
            </w:r>
          </w:p>
        </w:tc>
        <w:tc>
          <w:tcPr>
            <w:tcW w:w="860" w:type="dxa"/>
            <w:vAlign w:val="bottom"/>
            <w:gridSpan w:val="2"/>
            <w:shd w:val="clear" w:color="auto" w:fill="424E6A"/>
          </w:tcPr>
          <w:p>
            <w:pPr>
              <w:ind w:left="600"/>
              <w:spacing w:after="0"/>
              <w:rPr>
                <w:sz w:val="20"/>
                <w:szCs w:val="20"/>
                <w:color w:val="auto"/>
              </w:rPr>
            </w:pPr>
            <w:r>
              <w:rPr>
                <w:rFonts w:ascii="Arial" w:cs="Arial" w:eastAsia="Arial" w:hAnsi="Arial"/>
                <w:sz w:val="14"/>
                <w:szCs w:val="14"/>
                <w:b w:val="1"/>
                <w:bCs w:val="1"/>
                <w:color w:val="FFFFFF"/>
              </w:rPr>
              <w:t>​ ​</w:t>
            </w: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w:t>
            </w:r>
          </w:p>
        </w:tc>
        <w:tc>
          <w:tcPr>
            <w:tcW w:w="440" w:type="dxa"/>
            <w:vAlign w:val="bottom"/>
            <w:gridSpan w:val="2"/>
            <w:shd w:val="clear" w:color="auto" w:fill="424E6A"/>
          </w:tcPr>
          <w:p>
            <w:pPr>
              <w:jc w:val="right"/>
              <w:ind w:right="30"/>
              <w:spacing w:after="0"/>
              <w:rPr>
                <w:sz w:val="20"/>
                <w:szCs w:val="20"/>
                <w:color w:val="auto"/>
              </w:rPr>
            </w:pPr>
            <w:r>
              <w:rPr>
                <w:rFonts w:ascii="Arial" w:cs="Arial" w:eastAsia="Arial" w:hAnsi="Arial"/>
                <w:sz w:val="14"/>
                <w:szCs w:val="14"/>
                <w:b w:val="1"/>
                <w:bCs w:val="1"/>
                <w:color w:val="FFFFFF"/>
              </w:rPr>
              <w:t>​ ​</w:t>
            </w:r>
          </w:p>
        </w:tc>
        <w:tc>
          <w:tcPr>
            <w:tcW w:w="180" w:type="dxa"/>
            <w:vAlign w:val="bottom"/>
            <w:shd w:val="clear" w:color="auto" w:fill="424E6A"/>
          </w:tcPr>
          <w:p>
            <w:pPr>
              <w:spacing w:after="0"/>
              <w:rPr>
                <w:sz w:val="18"/>
                <w:szCs w:val="18"/>
                <w:color w:val="auto"/>
              </w:rPr>
            </w:pPr>
          </w:p>
        </w:tc>
        <w:tc>
          <w:tcPr>
            <w:tcW w:w="720" w:type="dxa"/>
            <w:vAlign w:val="bottom"/>
            <w:shd w:val="clear" w:color="auto" w:fill="424E6A"/>
          </w:tcPr>
          <w:p>
            <w:pPr>
              <w:jc w:val="center"/>
              <w:ind w:right="84"/>
              <w:spacing w:after="0"/>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(1)</w:t>
            </w:r>
          </w:p>
        </w:tc>
        <w:tc>
          <w:tcPr>
            <w:tcW w:w="34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320" w:type="dxa"/>
            <w:vAlign w:val="bottom"/>
            <w:shd w:val="clear" w:color="auto" w:fill="424E6A"/>
          </w:tcPr>
          <w:p>
            <w:pPr>
              <w:spacing w:after="0"/>
              <w:rPr>
                <w:sz w:val="18"/>
                <w:szCs w:val="18"/>
                <w:color w:val="auto"/>
              </w:rPr>
            </w:pPr>
          </w:p>
        </w:tc>
        <w:tc>
          <w:tcPr>
            <w:tcW w:w="680" w:type="dxa"/>
            <w:vAlign w:val="bottom"/>
            <w:shd w:val="clear" w:color="auto" w:fill="424E6A"/>
          </w:tcPr>
          <w:p>
            <w:pPr>
              <w:jc w:val="right"/>
              <w:ind w:right="312"/>
              <w:spacing w:after="0"/>
              <w:rPr>
                <w:sz w:val="20"/>
                <w:szCs w:val="20"/>
                <w:color w:val="auto"/>
              </w:rPr>
            </w:pPr>
            <w:r>
              <w:rPr>
                <w:rFonts w:ascii="Arial" w:cs="Arial" w:eastAsia="Arial" w:hAnsi="Arial"/>
                <w:sz w:val="14"/>
                <w:szCs w:val="14"/>
                <w:b w:val="1"/>
                <w:bCs w:val="1"/>
                <w:color w:val="FFFFFF"/>
              </w:rPr>
              <w:t>($)</w:t>
            </w:r>
          </w:p>
        </w:tc>
        <w:tc>
          <w:tcPr>
            <w:tcW w:w="30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8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3"/>
              </w:rPr>
              <w:t>($)</w:t>
            </w:r>
          </w:p>
        </w:tc>
        <w:tc>
          <w:tcPr>
            <w:tcW w:w="200" w:type="dxa"/>
            <w:vAlign w:val="bottom"/>
            <w:tcBorders>
              <w:right w:val="single" w:sz="8" w:color="424E6A"/>
            </w:tcBorders>
            <w:shd w:val="clear" w:color="auto" w:fill="424E6A"/>
          </w:tcPr>
          <w:p>
            <w:pPr>
              <w:spacing w:after="0"/>
              <w:rPr>
                <w:sz w:val="18"/>
                <w:szCs w:val="18"/>
                <w:color w:val="auto"/>
              </w:rPr>
            </w:pPr>
          </w:p>
        </w:tc>
      </w:tr>
      <w:tr>
        <w:trPr>
          <w:trHeight w:val="283"/>
        </w:trPr>
        <w:tc>
          <w:tcPr>
            <w:tcW w:w="2460" w:type="dxa"/>
            <w:vAlign w:val="bottom"/>
            <w:tcBorders>
              <w:left w:val="single" w:sz="8" w:color="424E6A"/>
              <w:bottom w:val="single" w:sz="8" w:color="424E6A"/>
            </w:tcBorders>
            <w:shd w:val="clear" w:color="auto" w:fill="D9DCE1"/>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Greg L. Armstrong</w:t>
            </w:r>
            <w:r>
              <w:rPr>
                <w:rFonts w:ascii="Arial" w:cs="Arial" w:eastAsia="Arial" w:hAnsi="Arial"/>
                <w:sz w:val="21"/>
                <w:szCs w:val="21"/>
                <w:color w:val="auto"/>
                <w:vertAlign w:val="superscript"/>
              </w:rPr>
              <w:t>(2)</w:t>
            </w:r>
          </w:p>
        </w:tc>
        <w:tc>
          <w:tcPr>
            <w:tcW w:w="660" w:type="dxa"/>
            <w:vAlign w:val="bottom"/>
            <w:tcBorders>
              <w:bottom w:val="single" w:sz="8" w:color="424E6A"/>
              <w:right w:val="single" w:sz="8" w:color="424E6A"/>
            </w:tcBorders>
            <w:shd w:val="clear" w:color="auto" w:fill="D9DCE1"/>
          </w:tcPr>
          <w:p>
            <w:pPr>
              <w:ind w:left="6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shd w:val="clear" w:color="auto" w:fill="D9DCE1"/>
          </w:tcPr>
          <w:p>
            <w:pPr>
              <w:jc w:val="cente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250,000</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424E6A"/>
            </w:tcBorders>
            <w:shd w:val="clear" w:color="auto" w:fill="D9DCE1"/>
          </w:tcPr>
          <w:p>
            <w:pPr>
              <w:jc w:val="right"/>
              <w:ind w:right="4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shd w:val="clear" w:color="auto" w:fill="D9DCE1"/>
          </w:tcPr>
          <w:p>
            <w:pPr>
              <w:jc w:val="right"/>
              <w:ind w:right="92"/>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15,840</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24E6A"/>
            </w:tcBorders>
            <w:shd w:val="clear" w:color="auto" w:fill="D9DCE1"/>
          </w:tcPr>
          <w:p>
            <w:pPr>
              <w:jc w:val="cente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265,840</w:t>
            </w:r>
          </w:p>
        </w:tc>
        <w:tc>
          <w:tcPr>
            <w:tcW w:w="20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t>
            </w:r>
          </w:p>
        </w:tc>
      </w:tr>
      <w:tr>
        <w:trPr>
          <w:trHeight w:val="250"/>
        </w:trPr>
        <w:tc>
          <w:tcPr>
            <w:tcW w:w="246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Victor Burk</w:t>
            </w:r>
          </w:p>
        </w:tc>
        <w:tc>
          <w:tcPr>
            <w:tcW w:w="660" w:type="dxa"/>
            <w:vAlign w:val="bottom"/>
            <w:tcBorders>
              <w:bottom w:val="single" w:sz="8" w:color="424E6A"/>
              <w:right w:val="single" w:sz="8" w:color="424E6A"/>
            </w:tcBorders>
          </w:tcPr>
          <w:p>
            <w:pPr>
              <w:ind w:left="6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135,000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tcPr>
          <w:p>
            <w:pPr>
              <w:jc w:val="right"/>
              <w:ind w:right="44"/>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138,624</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tcPr>
          <w:p>
            <w:pPr>
              <w:jc w:val="right"/>
              <w:ind w:right="9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273,624</w:t>
            </w:r>
          </w:p>
        </w:tc>
        <w:tc>
          <w:tcPr>
            <w:tcW w:w="20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w:t>
            </w:r>
          </w:p>
        </w:tc>
      </w:tr>
      <w:tr>
        <w:trPr>
          <w:trHeight w:val="277"/>
        </w:trPr>
        <w:tc>
          <w:tcPr>
            <w:tcW w:w="2460" w:type="dxa"/>
            <w:vAlign w:val="bottom"/>
            <w:tcBorders>
              <w:left w:val="single" w:sz="8" w:color="424E6A"/>
              <w:bottom w:val="single" w:sz="8" w:color="424E6A"/>
            </w:tcBorders>
            <w:shd w:val="clear" w:color="auto" w:fill="D9DCE1"/>
          </w:tcPr>
          <w:p>
            <w:pPr>
              <w:ind w:left="4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Ellen R. DeSanctis</w:t>
            </w:r>
            <w:r>
              <w:rPr>
                <w:rFonts w:ascii="Arial" w:cs="Arial" w:eastAsia="Arial" w:hAnsi="Arial"/>
                <w:sz w:val="21"/>
                <w:szCs w:val="21"/>
                <w:color w:val="auto"/>
                <w:vertAlign w:val="superscript"/>
              </w:rPr>
              <w:t>(3)</w:t>
            </w:r>
          </w:p>
        </w:tc>
        <w:tc>
          <w:tcPr>
            <w:tcW w:w="660" w:type="dxa"/>
            <w:vAlign w:val="bottom"/>
            <w:tcBorders>
              <w:bottom w:val="single" w:sz="8" w:color="424E6A"/>
              <w:right w:val="single" w:sz="8" w:color="424E6A"/>
            </w:tcBorders>
            <w:shd w:val="clear" w:color="auto" w:fill="D9DCE1"/>
          </w:tcPr>
          <w:p>
            <w:pPr>
              <w:ind w:left="6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shd w:val="clear" w:color="auto" w:fill="D9DCE1"/>
          </w:tcPr>
          <w:p>
            <w:pPr>
              <w:jc w:val="center"/>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49,103</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shd w:val="clear" w:color="auto" w:fill="D9DCE1"/>
          </w:tcPr>
          <w:p>
            <w:pPr>
              <w:jc w:val="right"/>
              <w:ind w:right="44"/>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138,624</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shd w:val="clear" w:color="auto" w:fill="D9DCE1"/>
          </w:tcPr>
          <w:p>
            <w:pPr>
              <w:jc w:val="right"/>
              <w:ind w:right="9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24E6A"/>
            </w:tcBorders>
            <w:shd w:val="clear" w:color="auto" w:fill="D9DCE1"/>
          </w:tcPr>
          <w:p>
            <w:pPr>
              <w:jc w:val="center"/>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187,727</w:t>
            </w:r>
          </w:p>
        </w:tc>
        <w:tc>
          <w:tcPr>
            <w:tcW w:w="20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t>
            </w:r>
          </w:p>
        </w:tc>
      </w:tr>
      <w:tr>
        <w:trPr>
          <w:trHeight w:val="250"/>
        </w:trPr>
        <w:tc>
          <w:tcPr>
            <w:tcW w:w="246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Kevin S. McCarthy</w:t>
            </w:r>
          </w:p>
        </w:tc>
        <w:tc>
          <w:tcPr>
            <w:tcW w:w="660" w:type="dxa"/>
            <w:vAlign w:val="bottom"/>
            <w:tcBorders>
              <w:bottom w:val="single" w:sz="8" w:color="424E6A"/>
              <w:right w:val="single" w:sz="8" w:color="424E6A"/>
            </w:tcBorders>
          </w:tcPr>
          <w:p>
            <w:pPr>
              <w:ind w:left="6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86,250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tcPr>
          <w:p>
            <w:pPr>
              <w:jc w:val="right"/>
              <w:ind w:right="44"/>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138,624</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tcPr>
          <w:p>
            <w:pPr>
              <w:jc w:val="right"/>
              <w:ind w:right="9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224,874</w:t>
            </w:r>
          </w:p>
        </w:tc>
        <w:tc>
          <w:tcPr>
            <w:tcW w:w="20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246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Gary R. Petersen</w:t>
            </w:r>
          </w:p>
        </w:tc>
        <w:tc>
          <w:tcPr>
            <w:tcW w:w="660" w:type="dxa"/>
            <w:vAlign w:val="bottom"/>
            <w:tcBorders>
              <w:bottom w:val="single" w:sz="8" w:color="424E6A"/>
              <w:right w:val="single" w:sz="8" w:color="424E6A"/>
            </w:tcBorders>
            <w:shd w:val="clear" w:color="auto" w:fill="D9DCE1"/>
          </w:tcPr>
          <w:p>
            <w:pPr>
              <w:ind w:left="6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105,000</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shd w:val="clear" w:color="auto" w:fill="D9DCE1"/>
          </w:tcPr>
          <w:p>
            <w:pPr>
              <w:jc w:val="right"/>
              <w:ind w:right="44"/>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138,624</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shd w:val="clear" w:color="auto" w:fill="D9DCE1"/>
          </w:tcPr>
          <w:p>
            <w:pPr>
              <w:jc w:val="right"/>
              <w:ind w:right="9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243,624</w:t>
            </w:r>
          </w:p>
        </w:tc>
        <w:tc>
          <w:tcPr>
            <w:tcW w:w="20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t>
            </w:r>
          </w:p>
        </w:tc>
      </w:tr>
      <w:tr>
        <w:trPr>
          <w:trHeight w:val="250"/>
        </w:trPr>
        <w:tc>
          <w:tcPr>
            <w:tcW w:w="246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Alexandra D. Pruner</w:t>
            </w:r>
          </w:p>
        </w:tc>
        <w:tc>
          <w:tcPr>
            <w:tcW w:w="660" w:type="dxa"/>
            <w:vAlign w:val="bottom"/>
            <w:tcBorders>
              <w:bottom w:val="single" w:sz="8" w:color="424E6A"/>
              <w:right w:val="single" w:sz="8" w:color="424E6A"/>
            </w:tcBorders>
          </w:tcPr>
          <w:p>
            <w:pPr>
              <w:ind w:left="6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120,000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tcPr>
          <w:p>
            <w:pPr>
              <w:jc w:val="right"/>
              <w:ind w:right="44"/>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138,624</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tcPr>
          <w:p>
            <w:pPr>
              <w:jc w:val="right"/>
              <w:ind w:right="9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258,624</w:t>
            </w:r>
          </w:p>
        </w:tc>
        <w:tc>
          <w:tcPr>
            <w:tcW w:w="20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246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John T. Raymond</w:t>
            </w:r>
          </w:p>
        </w:tc>
        <w:tc>
          <w:tcPr>
            <w:tcW w:w="660" w:type="dxa"/>
            <w:vAlign w:val="bottom"/>
            <w:tcBorders>
              <w:bottom w:val="single" w:sz="8" w:color="424E6A"/>
              <w:right w:val="single" w:sz="8" w:color="424E6A"/>
            </w:tcBorders>
            <w:shd w:val="clear" w:color="auto" w:fill="D9DCE1"/>
          </w:tcPr>
          <w:p>
            <w:pPr>
              <w:ind w:left="6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118,750</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shd w:val="clear" w:color="auto" w:fill="D9DCE1"/>
          </w:tcPr>
          <w:p>
            <w:pPr>
              <w:jc w:val="right"/>
              <w:ind w:right="44"/>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138,624</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shd w:val="clear" w:color="auto" w:fill="D9DCE1"/>
          </w:tcPr>
          <w:p>
            <w:pPr>
              <w:jc w:val="right"/>
              <w:ind w:right="9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257,374</w:t>
            </w:r>
          </w:p>
        </w:tc>
        <w:tc>
          <w:tcPr>
            <w:tcW w:w="20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t>
            </w:r>
          </w:p>
        </w:tc>
      </w:tr>
      <w:tr>
        <w:trPr>
          <w:trHeight w:val="250"/>
        </w:trPr>
        <w:tc>
          <w:tcPr>
            <w:tcW w:w="246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Bobby S. Shackouls</w:t>
            </w:r>
          </w:p>
        </w:tc>
        <w:tc>
          <w:tcPr>
            <w:tcW w:w="660" w:type="dxa"/>
            <w:vAlign w:val="bottom"/>
            <w:tcBorders>
              <w:bottom w:val="single" w:sz="8" w:color="424E6A"/>
              <w:right w:val="single" w:sz="8" w:color="424E6A"/>
            </w:tcBorders>
          </w:tcPr>
          <w:p>
            <w:pPr>
              <w:ind w:left="6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153,750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tcPr>
          <w:p>
            <w:pPr>
              <w:jc w:val="right"/>
              <w:ind w:right="44"/>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138,624</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tcPr>
          <w:p>
            <w:pPr>
              <w:jc w:val="right"/>
              <w:ind w:right="9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292,374</w:t>
            </w:r>
          </w:p>
        </w:tc>
        <w:tc>
          <w:tcPr>
            <w:tcW w:w="20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246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Christopher M. Temple</w:t>
            </w:r>
          </w:p>
        </w:tc>
        <w:tc>
          <w:tcPr>
            <w:tcW w:w="660" w:type="dxa"/>
            <w:vAlign w:val="bottom"/>
            <w:tcBorders>
              <w:bottom w:val="single" w:sz="8" w:color="424E6A"/>
              <w:right w:val="single" w:sz="8" w:color="424E6A"/>
            </w:tcBorders>
            <w:shd w:val="clear" w:color="auto" w:fill="D9DCE1"/>
          </w:tcPr>
          <w:p>
            <w:pPr>
              <w:ind w:left="6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105,000</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shd w:val="clear" w:color="auto" w:fill="D9DCE1"/>
          </w:tcPr>
          <w:p>
            <w:pPr>
              <w:jc w:val="right"/>
              <w:ind w:right="44"/>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138,624</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shd w:val="clear" w:color="auto" w:fill="D9DCE1"/>
          </w:tcPr>
          <w:p>
            <w:pPr>
              <w:jc w:val="right"/>
              <w:ind w:right="9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243,624</w:t>
            </w:r>
          </w:p>
        </w:tc>
        <w:tc>
          <w:tcPr>
            <w:tcW w:w="20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t>
            </w:r>
          </w:p>
        </w:tc>
      </w:tr>
      <w:tr>
        <w:trPr>
          <w:trHeight w:val="250"/>
        </w:trPr>
        <w:tc>
          <w:tcPr>
            <w:tcW w:w="246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Lawrence M. Ziemba</w:t>
            </w:r>
          </w:p>
        </w:tc>
        <w:tc>
          <w:tcPr>
            <w:tcW w:w="660" w:type="dxa"/>
            <w:vAlign w:val="bottom"/>
            <w:tcBorders>
              <w:bottom w:val="single" w:sz="8" w:color="424E6A"/>
              <w:right w:val="single" w:sz="8" w:color="424E6A"/>
            </w:tcBorders>
          </w:tcPr>
          <w:p>
            <w:pPr>
              <w:ind w:left="6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133,750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tcPr>
          <w:p>
            <w:pPr>
              <w:jc w:val="right"/>
              <w:ind w:right="44"/>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138,624</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424E6A"/>
            </w:tcBorders>
          </w:tcPr>
          <w:p>
            <w:pPr>
              <w:jc w:val="right"/>
              <w:ind w:right="9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272,374</w:t>
            </w:r>
          </w:p>
        </w:tc>
        <w:tc>
          <w:tcPr>
            <w:tcW w:w="20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6" w:lineRule="exact"/>
        <w:rPr>
          <w:sz w:val="20"/>
          <w:szCs w:val="20"/>
          <w:color w:val="auto"/>
        </w:rPr>
      </w:pPr>
    </w:p>
    <w:p>
      <w:pPr>
        <w:ind w:left="1620" w:right="539" w:hanging="360"/>
        <w:spacing w:after="0"/>
        <w:tabs>
          <w:tab w:leader="none" w:pos="1620" w:val="left"/>
        </w:tabs>
        <w:numPr>
          <w:ilvl w:val="0"/>
          <w:numId w:val="80"/>
        </w:numPr>
        <w:rPr>
          <w:rFonts w:ascii="Arial" w:cs="Arial" w:eastAsia="Arial" w:hAnsi="Arial"/>
          <w:sz w:val="27"/>
          <w:szCs w:val="27"/>
          <w:color w:val="auto"/>
          <w:vertAlign w:val="superscript"/>
        </w:rPr>
      </w:pPr>
      <w:r>
        <w:rPr>
          <w:rFonts w:ascii="Arial" w:cs="Arial" w:eastAsia="Arial" w:hAnsi="Arial"/>
          <w:sz w:val="18"/>
          <w:szCs w:val="18"/>
          <w:color w:val="auto"/>
        </w:rPr>
        <w:t>The dollar value of long-term incentive awards granted during 2022 is based on the grant date fair value computed in accordance with FASB ASC Topic 718. See Note 18 to our Consolidated Financial Statements included in our 2022 Annual Report for additional discussion regarding the calculation of grant date fair values. In August 2022, each of Messrs. Burk, McCarthy, Petersen, Raymond, Shackouls, Temple and Ziemba, Ms. DeSanctis and Ms. Pruner received an annual long-term incentive award of 11,400 PAGP phantom Class A shares. See “— Long-Term Equity Awards” below for further information regarding long-term incentive awards granted to our non-employee directors. The aggregate number of outstanding long-term incentive awards held by our non-employee directors as of December 31, 2022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544195</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1620" w:type="dxa"/>
        <w:tblCellMar>
          <w:top w:w="0" w:type="dxa"/>
          <w:left w:w="0" w:type="dxa"/>
          <w:bottom w:w="0" w:type="dxa"/>
          <w:right w:w="0" w:type="dxa"/>
        </w:tblCellMar>
      </w:tblPr>
      <w:tr>
        <w:trPr>
          <w:trHeight w:val="322"/>
        </w:trPr>
        <w:tc>
          <w:tcPr>
            <w:tcW w:w="20" w:type="dxa"/>
            <w:vAlign w:val="bottom"/>
          </w:tcPr>
          <w:p>
            <w:pPr>
              <w:spacing w:after="0"/>
              <w:rPr>
                <w:sz w:val="24"/>
                <w:szCs w:val="24"/>
                <w:color w:val="auto"/>
              </w:rPr>
            </w:pPr>
          </w:p>
        </w:tc>
        <w:tc>
          <w:tcPr>
            <w:tcW w:w="140" w:type="dxa"/>
            <w:vAlign w:val="bottom"/>
            <w:shd w:val="clear" w:color="auto" w:fill="424E6A"/>
          </w:tcPr>
          <w:p>
            <w:pPr>
              <w:spacing w:after="0"/>
              <w:rPr>
                <w:sz w:val="20"/>
                <w:szCs w:val="20"/>
                <w:color w:val="auto"/>
              </w:rPr>
            </w:pPr>
            <w:r>
              <w:rPr>
                <w:rFonts w:ascii="Arial" w:cs="Arial" w:eastAsia="Arial" w:hAnsi="Arial"/>
                <w:sz w:val="14"/>
                <w:szCs w:val="14"/>
                <w:b w:val="1"/>
                <w:bCs w:val="1"/>
                <w:color w:val="FFFFFF"/>
                <w:shd w:val="clear" w:color="auto" w:fill="424E6A"/>
              </w:rPr>
              <w:t>​​</w:t>
            </w:r>
          </w:p>
        </w:tc>
        <w:tc>
          <w:tcPr>
            <w:tcW w:w="2120" w:type="dxa"/>
            <w:vAlign w:val="bottom"/>
            <w:shd w:val="clear" w:color="auto" w:fill="424E6A"/>
          </w:tcPr>
          <w:p>
            <w:pPr>
              <w:spacing w:after="0"/>
              <w:rPr>
                <w:sz w:val="24"/>
                <w:szCs w:val="24"/>
                <w:color w:val="auto"/>
              </w:rPr>
            </w:pPr>
          </w:p>
        </w:tc>
        <w:tc>
          <w:tcPr>
            <w:tcW w:w="5200" w:type="dxa"/>
            <w:vAlign w:val="bottom"/>
            <w:gridSpan w:val="9"/>
            <w:shd w:val="clear" w:color="auto" w:fill="424E6A"/>
          </w:tcPr>
          <w:p>
            <w:pPr>
              <w:ind w:left="1220"/>
              <w:spacing w:after="0"/>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 Number of LTIP Awards Held as of December 31, 2022 </w:t>
            </w:r>
            <w:r>
              <w:rPr>
                <w:rFonts w:ascii="Arial" w:cs="Arial" w:eastAsia="Arial" w:hAnsi="Arial"/>
                <w:sz w:val="28"/>
                <w:szCs w:val="28"/>
                <w:b w:val="1"/>
                <w:bCs w:val="1"/>
                <w:color w:val="FFFFFF"/>
                <w:vertAlign w:val="subscript"/>
              </w:rPr>
              <w:t>​</w:t>
            </w:r>
          </w:p>
        </w:tc>
        <w:tc>
          <w:tcPr>
            <w:tcW w:w="20" w:type="dxa"/>
            <w:vAlign w:val="bottom"/>
          </w:tcPr>
          <w:p>
            <w:pPr>
              <w:spacing w:after="0"/>
              <w:rPr>
                <w:sz w:val="24"/>
                <w:szCs w:val="24"/>
                <w:color w:val="auto"/>
              </w:rPr>
            </w:pPr>
          </w:p>
        </w:tc>
      </w:tr>
      <w:tr>
        <w:trPr>
          <w:trHeight w:val="173"/>
        </w:trPr>
        <w:tc>
          <w:tcPr>
            <w:tcW w:w="20" w:type="dxa"/>
            <w:vAlign w:val="bottom"/>
            <w:tcBorders>
              <w:top w:val="single" w:sz="8" w:color="424E6A"/>
            </w:tcBorders>
            <w:shd w:val="clear" w:color="auto" w:fill="424E6A"/>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Borders>
              <w:top w:val="single" w:sz="8" w:color="424E6A"/>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FFFFFF"/>
              </w:rPr>
              <w:t>PAGP</w:t>
            </w:r>
          </w:p>
        </w:tc>
        <w:tc>
          <w:tcPr>
            <w:tcW w:w="3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20" w:type="dxa"/>
            <w:vAlign w:val="bottom"/>
            <w:shd w:val="clear" w:color="auto" w:fill="424E6A"/>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Phantom</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shd w:val="clear" w:color="auto" w:fill="424E6A"/>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Class A</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Borders>
              <w:bottom w:val="single" w:sz="8" w:color="424E6A"/>
            </w:tcBorders>
            <w:shd w:val="clear" w:color="auto" w:fill="424E6A"/>
          </w:tcPr>
          <w:p>
            <w:pPr>
              <w:spacing w:after="0"/>
              <w:rPr>
                <w:sz w:val="17"/>
                <w:szCs w:val="17"/>
                <w:color w:val="auto"/>
              </w:rPr>
            </w:pPr>
          </w:p>
        </w:tc>
        <w:tc>
          <w:tcPr>
            <w:tcW w:w="2260" w:type="dxa"/>
            <w:vAlign w:val="bottom"/>
            <w:gridSpan w:val="2"/>
          </w:tcPr>
          <w:p>
            <w:pPr>
              <w:ind w:left="2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Director Name:</w:t>
            </w:r>
          </w:p>
        </w:tc>
        <w:tc>
          <w:tcPr>
            <w:tcW w:w="1220" w:type="dxa"/>
            <w:vAlign w:val="bottom"/>
          </w:tcPr>
          <w:p>
            <w:pPr>
              <w:spacing w:after="0"/>
              <w:rPr>
                <w:sz w:val="17"/>
                <w:szCs w:val="17"/>
                <w:color w:val="auto"/>
              </w:rPr>
            </w:pPr>
          </w:p>
        </w:tc>
        <w:tc>
          <w:tcPr>
            <w:tcW w:w="420" w:type="dxa"/>
            <w:vAlign w:val="bottom"/>
            <w:tcBorders>
              <w:bottom w:val="single" w:sz="8" w:color="424E6A"/>
            </w:tcBorders>
            <w:gridSpan w:val="2"/>
          </w:tcPr>
          <w:p>
            <w:pPr>
              <w:ind w:left="40"/>
              <w:spacing w:after="0"/>
              <w:rPr>
                <w:sz w:val="20"/>
                <w:szCs w:val="20"/>
                <w:color w:val="auto"/>
              </w:rPr>
            </w:pPr>
            <w:r>
              <w:rPr>
                <w:rFonts w:ascii="Arial" w:cs="Arial" w:eastAsia="Arial" w:hAnsi="Arial"/>
                <w:sz w:val="14"/>
                <w:szCs w:val="14"/>
                <w:b w:val="1"/>
                <w:bCs w:val="1"/>
                <w:color w:val="FFFFFF"/>
              </w:rPr>
              <w:t>​ ​</w:t>
            </w:r>
          </w:p>
        </w:tc>
        <w:tc>
          <w:tcPr>
            <w:tcW w:w="1160" w:type="dxa"/>
            <w:vAlign w:val="bottom"/>
            <w:tcBorders>
              <w:bottom w:val="single" w:sz="8" w:color="424E6A"/>
            </w:tcBorders>
          </w:tcPr>
          <w:p>
            <w:pPr>
              <w:jc w:val="center"/>
              <w:spacing w:after="0"/>
              <w:rPr>
                <w:sz w:val="20"/>
                <w:szCs w:val="20"/>
                <w:color w:val="auto"/>
              </w:rPr>
            </w:pPr>
            <w:r>
              <w:rPr>
                <w:rFonts w:ascii="Arial" w:cs="Arial" w:eastAsia="Arial" w:hAnsi="Arial"/>
                <w:sz w:val="14"/>
                <w:szCs w:val="14"/>
                <w:b w:val="1"/>
                <w:bCs w:val="1"/>
                <w:color w:val="FFFFFF"/>
              </w:rPr>
              <w:t>Shares (#)</w:t>
            </w:r>
          </w:p>
        </w:tc>
        <w:tc>
          <w:tcPr>
            <w:tcW w:w="660" w:type="dxa"/>
            <w:vAlign w:val="bottom"/>
            <w:tcBorders>
              <w:bottom w:val="single" w:sz="8" w:color="424E6A"/>
            </w:tcBorders>
            <w:gridSpan w:val="2"/>
          </w:tcPr>
          <w:p>
            <w:pPr>
              <w:jc w:val="right"/>
              <w:ind w:right="150"/>
              <w:spacing w:after="0"/>
              <w:rPr>
                <w:sz w:val="20"/>
                <w:szCs w:val="20"/>
                <w:color w:val="auto"/>
              </w:rPr>
            </w:pPr>
            <w:r>
              <w:rPr>
                <w:rFonts w:ascii="Arial" w:cs="Arial" w:eastAsia="Arial" w:hAnsi="Arial"/>
                <w:sz w:val="14"/>
                <w:szCs w:val="14"/>
                <w:b w:val="1"/>
                <w:bCs w:val="1"/>
                <w:color w:val="FFFFFF"/>
              </w:rPr>
              <w:t>​ ​</w:t>
            </w:r>
          </w:p>
        </w:tc>
        <w:tc>
          <w:tcPr>
            <w:tcW w:w="1460" w:type="dxa"/>
            <w:vAlign w:val="bottom"/>
            <w:tcBorders>
              <w:bottom w:val="single" w:sz="8" w:color="424E6A"/>
            </w:tcBorders>
          </w:tcPr>
          <w:p>
            <w:pPr>
              <w:jc w:val="center"/>
              <w:spacing w:after="0"/>
              <w:rPr>
                <w:sz w:val="20"/>
                <w:szCs w:val="20"/>
                <w:color w:val="auto"/>
              </w:rPr>
            </w:pPr>
            <w:r>
              <w:rPr>
                <w:rFonts w:ascii="Arial" w:cs="Arial" w:eastAsia="Arial" w:hAnsi="Arial"/>
                <w:sz w:val="14"/>
                <w:szCs w:val="14"/>
                <w:b w:val="1"/>
                <w:bCs w:val="1"/>
                <w:color w:val="FFFFFF"/>
                <w:w w:val="99"/>
              </w:rPr>
              <w:t>Vesting Date</w:t>
            </w:r>
          </w:p>
        </w:tc>
        <w:tc>
          <w:tcPr>
            <w:tcW w:w="280" w:type="dxa"/>
            <w:vAlign w:val="bottom"/>
            <w:tcBorders>
              <w:bottom w:val="single" w:sz="8" w:color="424E6A"/>
            </w:tcBorders>
            <w:gridSpan w:val="2"/>
          </w:tcPr>
          <w:p>
            <w:pPr>
              <w:ind w:left="240"/>
              <w:spacing w:after="0"/>
              <w:rPr>
                <w:sz w:val="20"/>
                <w:szCs w:val="20"/>
                <w:color w:val="auto"/>
              </w:rPr>
            </w:pPr>
            <w:r>
              <w:rPr>
                <w:rFonts w:ascii="Arial" w:cs="Arial" w:eastAsia="Arial" w:hAnsi="Arial"/>
                <w:sz w:val="14"/>
                <w:szCs w:val="14"/>
                <w:b w:val="1"/>
                <w:bCs w:val="1"/>
                <w:color w:val="FFFFFF"/>
              </w:rPr>
              <w:t>​</w:t>
            </w:r>
          </w:p>
        </w:tc>
        <w:tc>
          <w:tcPr>
            <w:tcW w:w="20" w:type="dxa"/>
            <w:vAlign w:val="bottom"/>
          </w:tcPr>
          <w:p>
            <w:pPr>
              <w:spacing w:after="0"/>
              <w:rPr>
                <w:sz w:val="17"/>
                <w:szCs w:val="17"/>
                <w:color w:val="auto"/>
              </w:rPr>
            </w:pPr>
          </w:p>
        </w:tc>
      </w:tr>
      <w:tr>
        <w:trPr>
          <w:trHeight w:val="223"/>
        </w:trPr>
        <w:tc>
          <w:tcPr>
            <w:tcW w:w="20" w:type="dxa"/>
            <w:vAlign w:val="bottom"/>
            <w:tcBorders>
              <w:bottom w:val="single" w:sz="8" w:color="424E6A"/>
            </w:tcBorders>
            <w:shd w:val="clear" w:color="auto" w:fill="424E6A"/>
          </w:tcPr>
          <w:p>
            <w:pPr>
              <w:spacing w:after="0"/>
              <w:rPr>
                <w:sz w:val="19"/>
                <w:szCs w:val="19"/>
                <w:color w:val="auto"/>
              </w:rPr>
            </w:pPr>
          </w:p>
        </w:tc>
        <w:tc>
          <w:tcPr>
            <w:tcW w:w="2260" w:type="dxa"/>
            <w:vAlign w:val="bottom"/>
            <w:tcBorders>
              <w:bottom w:val="single" w:sz="8" w:color="424E6A"/>
            </w:tcBorders>
            <w:gridSpan w:val="2"/>
          </w:tcPr>
          <w:p>
            <w:pPr>
              <w:ind w:left="20"/>
              <w:spacing w:after="0"/>
              <w:rPr>
                <w:sz w:val="20"/>
                <w:szCs w:val="20"/>
                <w:color w:val="auto"/>
              </w:rPr>
            </w:pPr>
            <w:r>
              <w:rPr>
                <w:rFonts w:ascii="Arial" w:cs="Arial" w:eastAsia="Arial" w:hAnsi="Arial"/>
                <w:sz w:val="18"/>
                <w:szCs w:val="18"/>
                <w:color w:val="auto"/>
              </w:rPr>
              <w:t>​Burk</w:t>
            </w:r>
          </w:p>
        </w:tc>
        <w:tc>
          <w:tcPr>
            <w:tcW w:w="1220" w:type="dxa"/>
            <w:vAlign w:val="bottom"/>
            <w:tcBorders>
              <w:bottom w:val="single" w:sz="8" w:color="424E6A"/>
            </w:tcBorders>
          </w:tcPr>
          <w:p>
            <w:pPr>
              <w:spacing w:after="0"/>
              <w:rPr>
                <w:sz w:val="19"/>
                <w:szCs w:val="19"/>
                <w:color w:val="auto"/>
              </w:rPr>
            </w:pPr>
          </w:p>
        </w:tc>
        <w:tc>
          <w:tcPr>
            <w:tcW w:w="12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5,220</w:t>
            </w:r>
          </w:p>
        </w:tc>
        <w:tc>
          <w:tcPr>
            <w:tcW w:w="340" w:type="dxa"/>
            <w:vAlign w:val="bottom"/>
            <w:tcBorders>
              <w:bottom w:val="single" w:sz="8" w:color="424E6A"/>
              <w:right w:val="single" w:sz="8" w:color="424E6A"/>
            </w:tcBorders>
          </w:tcPr>
          <w:p>
            <w:pPr>
              <w:ind w:lef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w w:val="98"/>
              </w:rPr>
              <w:t>August 2023</w:t>
            </w:r>
          </w:p>
        </w:tc>
        <w:tc>
          <w:tcPr>
            <w:tcW w:w="280" w:type="dxa"/>
            <w:vAlign w:val="bottom"/>
            <w:tcBorders>
              <w:bottom w:val="single" w:sz="8" w:color="424E6A"/>
            </w:tcBorders>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9"/>
                <w:szCs w:val="19"/>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15,290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2025</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11,400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2023</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shd w:val="clear" w:color="auto" w:fill="D9DCE1"/>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2120" w:type="dxa"/>
            <w:vAlign w:val="bottom"/>
            <w:tcBorders>
              <w:bottom w:val="single" w:sz="8" w:color="424E6A"/>
            </w:tcBorders>
            <w:shd w:val="clear" w:color="auto" w:fill="D9DCE1"/>
          </w:tcPr>
          <w:p>
            <w:pPr>
              <w:ind w:left="80"/>
              <w:spacing w:after="0" w:line="196"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424E6A"/>
            </w:tcBorders>
            <w:shd w:val="clear" w:color="auto" w:fill="D9DCE1"/>
          </w:tcPr>
          <w:p>
            <w:pPr>
              <w:spacing w:after="0"/>
              <w:rPr>
                <w:sz w:val="17"/>
                <w:szCs w:val="17"/>
                <w:color w:val="auto"/>
              </w:rPr>
            </w:pPr>
          </w:p>
        </w:tc>
        <w:tc>
          <w:tcPr>
            <w:tcW w:w="120" w:type="dxa"/>
            <w:vAlign w:val="bottom"/>
            <w:tcBorders>
              <w:bottom w:val="single" w:sz="8" w:color="424E6A"/>
              <w:right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424E6A"/>
            </w:tcBorders>
            <w:shd w:val="clear" w:color="auto" w:fill="D9DCE1"/>
          </w:tcPr>
          <w:p>
            <w:pPr>
              <w:jc w:val="center"/>
              <w:spacing w:after="0" w:line="196" w:lineRule="exact"/>
              <w:rPr>
                <w:sz w:val="20"/>
                <w:szCs w:val="20"/>
                <w:color w:val="auto"/>
              </w:rPr>
            </w:pPr>
            <w:r>
              <w:rPr>
                <w:rFonts w:ascii="Arial" w:cs="Arial" w:eastAsia="Arial" w:hAnsi="Arial"/>
                <w:sz w:val="18"/>
                <w:szCs w:val="18"/>
                <w:b w:val="1"/>
                <w:bCs w:val="1"/>
                <w:color w:val="auto"/>
              </w:rPr>
              <w:t>​43,810</w:t>
            </w:r>
          </w:p>
        </w:tc>
        <w:tc>
          <w:tcPr>
            <w:tcW w:w="340" w:type="dxa"/>
            <w:vAlign w:val="bottom"/>
            <w:tcBorders>
              <w:bottom w:val="single" w:sz="8" w:color="424E6A"/>
              <w:right w:val="single" w:sz="8" w:color="424E6A"/>
            </w:tcBorders>
            <w:shd w:val="clear" w:color="auto" w:fill="D9DCE1"/>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2260" w:type="dxa"/>
            <w:vAlign w:val="bottom"/>
            <w:tcBorders>
              <w:bottom w:val="single" w:sz="8" w:color="424E6A"/>
            </w:tcBorders>
            <w:gridSpan w:val="2"/>
          </w:tcPr>
          <w:p>
            <w:pPr>
              <w:ind w:left="20"/>
              <w:spacing w:after="0" w:line="196" w:lineRule="exact"/>
              <w:rPr>
                <w:sz w:val="20"/>
                <w:szCs w:val="20"/>
                <w:color w:val="auto"/>
              </w:rPr>
            </w:pPr>
            <w:r>
              <w:rPr>
                <w:rFonts w:ascii="Arial" w:cs="Arial" w:eastAsia="Arial" w:hAnsi="Arial"/>
                <w:sz w:val="18"/>
                <w:szCs w:val="18"/>
                <w:color w:val="auto"/>
              </w:rPr>
              <w:t>​DeSanctis</w:t>
            </w: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11,400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2023</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shd w:val="clear" w:color="auto" w:fill="D9DCE1"/>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2120" w:type="dxa"/>
            <w:vAlign w:val="bottom"/>
            <w:tcBorders>
              <w:bottom w:val="single" w:sz="8" w:color="424E6A"/>
            </w:tcBorders>
            <w:shd w:val="clear" w:color="auto" w:fill="D9DCE1"/>
          </w:tcPr>
          <w:p>
            <w:pPr>
              <w:ind w:left="80"/>
              <w:spacing w:after="0" w:line="196"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424E6A"/>
            </w:tcBorders>
            <w:shd w:val="clear" w:color="auto" w:fill="D9DCE1"/>
          </w:tcPr>
          <w:p>
            <w:pPr>
              <w:spacing w:after="0"/>
              <w:rPr>
                <w:sz w:val="17"/>
                <w:szCs w:val="17"/>
                <w:color w:val="auto"/>
              </w:rPr>
            </w:pPr>
          </w:p>
        </w:tc>
        <w:tc>
          <w:tcPr>
            <w:tcW w:w="120" w:type="dxa"/>
            <w:vAlign w:val="bottom"/>
            <w:tcBorders>
              <w:bottom w:val="single" w:sz="8" w:color="424E6A"/>
              <w:right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424E6A"/>
            </w:tcBorders>
            <w:shd w:val="clear" w:color="auto" w:fill="D9DCE1"/>
          </w:tcPr>
          <w:p>
            <w:pPr>
              <w:jc w:val="center"/>
              <w:spacing w:after="0" w:line="196" w:lineRule="exact"/>
              <w:rPr>
                <w:sz w:val="20"/>
                <w:szCs w:val="20"/>
                <w:color w:val="auto"/>
              </w:rPr>
            </w:pPr>
            <w:r>
              <w:rPr>
                <w:rFonts w:ascii="Arial" w:cs="Arial" w:eastAsia="Arial" w:hAnsi="Arial"/>
                <w:sz w:val="18"/>
                <w:szCs w:val="18"/>
                <w:b w:val="1"/>
                <w:bCs w:val="1"/>
                <w:color w:val="auto"/>
              </w:rPr>
              <w:t>​11,400</w:t>
            </w:r>
          </w:p>
        </w:tc>
        <w:tc>
          <w:tcPr>
            <w:tcW w:w="340" w:type="dxa"/>
            <w:vAlign w:val="bottom"/>
            <w:tcBorders>
              <w:bottom w:val="single" w:sz="8" w:color="424E6A"/>
              <w:right w:val="single" w:sz="8" w:color="424E6A"/>
            </w:tcBorders>
            <w:shd w:val="clear" w:color="auto" w:fill="D9DCE1"/>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2260" w:type="dxa"/>
            <w:vAlign w:val="bottom"/>
            <w:tcBorders>
              <w:bottom w:val="single" w:sz="8" w:color="424E6A"/>
            </w:tcBorders>
            <w:gridSpan w:val="2"/>
          </w:tcPr>
          <w:p>
            <w:pPr>
              <w:ind w:left="20"/>
              <w:spacing w:after="0" w:line="196" w:lineRule="exact"/>
              <w:rPr>
                <w:sz w:val="20"/>
                <w:szCs w:val="20"/>
                <w:color w:val="auto"/>
              </w:rPr>
            </w:pPr>
            <w:r>
              <w:rPr>
                <w:rFonts w:ascii="Arial" w:cs="Arial" w:eastAsia="Arial" w:hAnsi="Arial"/>
                <w:sz w:val="18"/>
                <w:szCs w:val="18"/>
                <w:color w:val="auto"/>
              </w:rPr>
              <w:t>​McCarthy</w:t>
            </w: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10,622</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2025</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11,400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2023</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shd w:val="clear" w:color="auto" w:fill="D9DCE1"/>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2120" w:type="dxa"/>
            <w:vAlign w:val="bottom"/>
            <w:tcBorders>
              <w:bottom w:val="single" w:sz="8" w:color="424E6A"/>
            </w:tcBorders>
            <w:shd w:val="clear" w:color="auto" w:fill="D9DCE1"/>
          </w:tcPr>
          <w:p>
            <w:pPr>
              <w:ind w:left="80"/>
              <w:spacing w:after="0" w:line="196"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424E6A"/>
            </w:tcBorders>
            <w:shd w:val="clear" w:color="auto" w:fill="D9DCE1"/>
          </w:tcPr>
          <w:p>
            <w:pPr>
              <w:spacing w:after="0"/>
              <w:rPr>
                <w:sz w:val="17"/>
                <w:szCs w:val="17"/>
                <w:color w:val="auto"/>
              </w:rPr>
            </w:pPr>
          </w:p>
        </w:tc>
        <w:tc>
          <w:tcPr>
            <w:tcW w:w="120" w:type="dxa"/>
            <w:vAlign w:val="bottom"/>
            <w:tcBorders>
              <w:bottom w:val="single" w:sz="8" w:color="424E6A"/>
              <w:right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424E6A"/>
            </w:tcBorders>
            <w:shd w:val="clear" w:color="auto" w:fill="D9DCE1"/>
          </w:tcPr>
          <w:p>
            <w:pPr>
              <w:jc w:val="center"/>
              <w:spacing w:after="0" w:line="196" w:lineRule="exact"/>
              <w:rPr>
                <w:sz w:val="20"/>
                <w:szCs w:val="20"/>
                <w:color w:val="auto"/>
              </w:rPr>
            </w:pPr>
            <w:r>
              <w:rPr>
                <w:rFonts w:ascii="Arial" w:cs="Arial" w:eastAsia="Arial" w:hAnsi="Arial"/>
                <w:sz w:val="18"/>
                <w:szCs w:val="18"/>
                <w:b w:val="1"/>
                <w:bCs w:val="1"/>
                <w:color w:val="auto"/>
              </w:rPr>
              <w:t>​33,922</w:t>
            </w:r>
          </w:p>
        </w:tc>
        <w:tc>
          <w:tcPr>
            <w:tcW w:w="340" w:type="dxa"/>
            <w:vAlign w:val="bottom"/>
            <w:tcBorders>
              <w:bottom w:val="single" w:sz="8" w:color="424E6A"/>
              <w:right w:val="single" w:sz="8" w:color="424E6A"/>
            </w:tcBorders>
            <w:shd w:val="clear" w:color="auto" w:fill="D9DCE1"/>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2260" w:type="dxa"/>
            <w:vAlign w:val="bottom"/>
            <w:tcBorders>
              <w:bottom w:val="single" w:sz="8" w:color="424E6A"/>
            </w:tcBorders>
            <w:gridSpan w:val="2"/>
          </w:tcPr>
          <w:p>
            <w:pPr>
              <w:ind w:left="20"/>
              <w:spacing w:after="0" w:line="196" w:lineRule="exact"/>
              <w:rPr>
                <w:sz w:val="20"/>
                <w:szCs w:val="20"/>
                <w:color w:val="auto"/>
              </w:rPr>
            </w:pPr>
            <w:r>
              <w:rPr>
                <w:rFonts w:ascii="Arial" w:cs="Arial" w:eastAsia="Arial" w:hAnsi="Arial"/>
                <w:sz w:val="18"/>
                <w:szCs w:val="18"/>
                <w:color w:val="auto"/>
              </w:rPr>
              <w:t>​Petersen</w:t>
            </w: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5,220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2023</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15,290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2025</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11,400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2023</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shd w:val="clear" w:color="auto" w:fill="D9DCE1"/>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2120" w:type="dxa"/>
            <w:vAlign w:val="bottom"/>
            <w:tcBorders>
              <w:bottom w:val="single" w:sz="8" w:color="424E6A"/>
            </w:tcBorders>
            <w:shd w:val="clear" w:color="auto" w:fill="D9DCE1"/>
          </w:tcPr>
          <w:p>
            <w:pPr>
              <w:ind w:left="80"/>
              <w:spacing w:after="0" w:line="196"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424E6A"/>
            </w:tcBorders>
            <w:shd w:val="clear" w:color="auto" w:fill="D9DCE1"/>
          </w:tcPr>
          <w:p>
            <w:pPr>
              <w:spacing w:after="0"/>
              <w:rPr>
                <w:sz w:val="17"/>
                <w:szCs w:val="17"/>
                <w:color w:val="auto"/>
              </w:rPr>
            </w:pPr>
          </w:p>
        </w:tc>
        <w:tc>
          <w:tcPr>
            <w:tcW w:w="120" w:type="dxa"/>
            <w:vAlign w:val="bottom"/>
            <w:tcBorders>
              <w:bottom w:val="single" w:sz="8" w:color="424E6A"/>
              <w:right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424E6A"/>
            </w:tcBorders>
            <w:shd w:val="clear" w:color="auto" w:fill="D9DCE1"/>
          </w:tcPr>
          <w:p>
            <w:pPr>
              <w:jc w:val="center"/>
              <w:spacing w:after="0" w:line="196" w:lineRule="exact"/>
              <w:rPr>
                <w:sz w:val="20"/>
                <w:szCs w:val="20"/>
                <w:color w:val="auto"/>
              </w:rPr>
            </w:pPr>
            <w:r>
              <w:rPr>
                <w:rFonts w:ascii="Arial" w:cs="Arial" w:eastAsia="Arial" w:hAnsi="Arial"/>
                <w:sz w:val="18"/>
                <w:szCs w:val="18"/>
                <w:b w:val="1"/>
                <w:bCs w:val="1"/>
                <w:color w:val="auto"/>
              </w:rPr>
              <w:t>​43,810</w:t>
            </w:r>
          </w:p>
        </w:tc>
        <w:tc>
          <w:tcPr>
            <w:tcW w:w="340" w:type="dxa"/>
            <w:vAlign w:val="bottom"/>
            <w:tcBorders>
              <w:bottom w:val="single" w:sz="8" w:color="424E6A"/>
              <w:right w:val="single" w:sz="8" w:color="424E6A"/>
            </w:tcBorders>
            <w:shd w:val="clear" w:color="auto" w:fill="D9DCE1"/>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2260" w:type="dxa"/>
            <w:vAlign w:val="bottom"/>
            <w:tcBorders>
              <w:bottom w:val="single" w:sz="8" w:color="424E6A"/>
            </w:tcBorders>
            <w:gridSpan w:val="2"/>
          </w:tcPr>
          <w:p>
            <w:pPr>
              <w:ind w:left="20"/>
              <w:spacing w:after="0" w:line="196" w:lineRule="exact"/>
              <w:rPr>
                <w:sz w:val="20"/>
                <w:szCs w:val="20"/>
                <w:color w:val="auto"/>
              </w:rPr>
            </w:pPr>
            <w:r>
              <w:rPr>
                <w:rFonts w:ascii="Arial" w:cs="Arial" w:eastAsia="Arial" w:hAnsi="Arial"/>
                <w:sz w:val="18"/>
                <w:szCs w:val="18"/>
                <w:color w:val="auto"/>
              </w:rPr>
              <w:t>​Pruner</w:t>
            </w: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5,220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2023</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15,290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2025</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11,400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2023</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shd w:val="clear" w:color="auto" w:fill="D9DCE1"/>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2120" w:type="dxa"/>
            <w:vAlign w:val="bottom"/>
            <w:tcBorders>
              <w:bottom w:val="single" w:sz="8" w:color="424E6A"/>
            </w:tcBorders>
            <w:shd w:val="clear" w:color="auto" w:fill="D9DCE1"/>
          </w:tcPr>
          <w:p>
            <w:pPr>
              <w:ind w:left="80"/>
              <w:spacing w:after="0" w:line="196"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424E6A"/>
            </w:tcBorders>
            <w:shd w:val="clear" w:color="auto" w:fill="D9DCE1"/>
          </w:tcPr>
          <w:p>
            <w:pPr>
              <w:spacing w:after="0"/>
              <w:rPr>
                <w:sz w:val="17"/>
                <w:szCs w:val="17"/>
                <w:color w:val="auto"/>
              </w:rPr>
            </w:pPr>
          </w:p>
        </w:tc>
        <w:tc>
          <w:tcPr>
            <w:tcW w:w="120" w:type="dxa"/>
            <w:vAlign w:val="bottom"/>
            <w:tcBorders>
              <w:bottom w:val="single" w:sz="8" w:color="424E6A"/>
              <w:right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424E6A"/>
            </w:tcBorders>
            <w:shd w:val="clear" w:color="auto" w:fill="D9DCE1"/>
          </w:tcPr>
          <w:p>
            <w:pPr>
              <w:jc w:val="center"/>
              <w:spacing w:after="0" w:line="196" w:lineRule="exact"/>
              <w:rPr>
                <w:sz w:val="20"/>
                <w:szCs w:val="20"/>
                <w:color w:val="auto"/>
              </w:rPr>
            </w:pPr>
            <w:r>
              <w:rPr>
                <w:rFonts w:ascii="Arial" w:cs="Arial" w:eastAsia="Arial" w:hAnsi="Arial"/>
                <w:sz w:val="18"/>
                <w:szCs w:val="18"/>
                <w:b w:val="1"/>
                <w:bCs w:val="1"/>
                <w:color w:val="auto"/>
              </w:rPr>
              <w:t>​43,810</w:t>
            </w:r>
          </w:p>
        </w:tc>
        <w:tc>
          <w:tcPr>
            <w:tcW w:w="340" w:type="dxa"/>
            <w:vAlign w:val="bottom"/>
            <w:tcBorders>
              <w:bottom w:val="single" w:sz="8" w:color="424E6A"/>
              <w:right w:val="single" w:sz="8" w:color="424E6A"/>
            </w:tcBorders>
            <w:shd w:val="clear" w:color="auto" w:fill="D9DCE1"/>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2260" w:type="dxa"/>
            <w:vAlign w:val="bottom"/>
            <w:tcBorders>
              <w:bottom w:val="single" w:sz="8" w:color="424E6A"/>
            </w:tcBorders>
            <w:gridSpan w:val="2"/>
          </w:tcPr>
          <w:p>
            <w:pPr>
              <w:ind w:left="20"/>
              <w:spacing w:after="0" w:line="196" w:lineRule="exact"/>
              <w:rPr>
                <w:sz w:val="20"/>
                <w:szCs w:val="20"/>
                <w:color w:val="auto"/>
              </w:rPr>
            </w:pPr>
            <w:r>
              <w:rPr>
                <w:rFonts w:ascii="Arial" w:cs="Arial" w:eastAsia="Arial" w:hAnsi="Arial"/>
                <w:sz w:val="18"/>
                <w:szCs w:val="18"/>
                <w:color w:val="auto"/>
              </w:rPr>
              <w:t>​Raymond</w:t>
            </w: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4,170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2023</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15,290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2025</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11,400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2023</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shd w:val="clear" w:color="auto" w:fill="D9DCE1"/>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2120" w:type="dxa"/>
            <w:vAlign w:val="bottom"/>
            <w:tcBorders>
              <w:bottom w:val="single" w:sz="8" w:color="424E6A"/>
            </w:tcBorders>
            <w:shd w:val="clear" w:color="auto" w:fill="D9DCE1"/>
          </w:tcPr>
          <w:p>
            <w:pPr>
              <w:ind w:left="80"/>
              <w:spacing w:after="0" w:line="196"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424E6A"/>
            </w:tcBorders>
            <w:shd w:val="clear" w:color="auto" w:fill="D9DCE1"/>
          </w:tcPr>
          <w:p>
            <w:pPr>
              <w:spacing w:after="0"/>
              <w:rPr>
                <w:sz w:val="17"/>
                <w:szCs w:val="17"/>
                <w:color w:val="auto"/>
              </w:rPr>
            </w:pPr>
          </w:p>
        </w:tc>
        <w:tc>
          <w:tcPr>
            <w:tcW w:w="120" w:type="dxa"/>
            <w:vAlign w:val="bottom"/>
            <w:tcBorders>
              <w:bottom w:val="single" w:sz="8" w:color="424E6A"/>
              <w:right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424E6A"/>
            </w:tcBorders>
            <w:shd w:val="clear" w:color="auto" w:fill="D9DCE1"/>
          </w:tcPr>
          <w:p>
            <w:pPr>
              <w:jc w:val="center"/>
              <w:spacing w:after="0" w:line="196" w:lineRule="exact"/>
              <w:rPr>
                <w:sz w:val="20"/>
                <w:szCs w:val="20"/>
                <w:color w:val="auto"/>
              </w:rPr>
            </w:pPr>
            <w:r>
              <w:rPr>
                <w:rFonts w:ascii="Arial" w:cs="Arial" w:eastAsia="Arial" w:hAnsi="Arial"/>
                <w:sz w:val="18"/>
                <w:szCs w:val="18"/>
                <w:b w:val="1"/>
                <w:bCs w:val="1"/>
                <w:color w:val="auto"/>
              </w:rPr>
              <w:t>​42,760</w:t>
            </w:r>
          </w:p>
        </w:tc>
        <w:tc>
          <w:tcPr>
            <w:tcW w:w="340" w:type="dxa"/>
            <w:vAlign w:val="bottom"/>
            <w:tcBorders>
              <w:bottom w:val="single" w:sz="8" w:color="424E6A"/>
              <w:right w:val="single" w:sz="8" w:color="424E6A"/>
            </w:tcBorders>
            <w:shd w:val="clear" w:color="auto" w:fill="D9DCE1"/>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2260" w:type="dxa"/>
            <w:vAlign w:val="bottom"/>
            <w:tcBorders>
              <w:bottom w:val="single" w:sz="8" w:color="424E6A"/>
            </w:tcBorders>
            <w:gridSpan w:val="2"/>
          </w:tcPr>
          <w:p>
            <w:pPr>
              <w:ind w:left="20"/>
              <w:spacing w:after="0" w:line="196" w:lineRule="exact"/>
              <w:rPr>
                <w:sz w:val="20"/>
                <w:szCs w:val="20"/>
                <w:color w:val="auto"/>
              </w:rPr>
            </w:pPr>
            <w:r>
              <w:rPr>
                <w:rFonts w:ascii="Arial" w:cs="Arial" w:eastAsia="Arial" w:hAnsi="Arial"/>
                <w:sz w:val="18"/>
                <w:szCs w:val="18"/>
                <w:color w:val="auto"/>
              </w:rPr>
              <w:t>​Shackouls</w:t>
            </w: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5,220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2023</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15,290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2025</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11,400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2023</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shd w:val="clear" w:color="auto" w:fill="D9DCE1"/>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2120" w:type="dxa"/>
            <w:vAlign w:val="bottom"/>
            <w:tcBorders>
              <w:bottom w:val="single" w:sz="8" w:color="424E6A"/>
            </w:tcBorders>
            <w:shd w:val="clear" w:color="auto" w:fill="D9DCE1"/>
          </w:tcPr>
          <w:p>
            <w:pPr>
              <w:ind w:left="80"/>
              <w:spacing w:after="0" w:line="196"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424E6A"/>
            </w:tcBorders>
            <w:shd w:val="clear" w:color="auto" w:fill="D9DCE1"/>
          </w:tcPr>
          <w:p>
            <w:pPr>
              <w:spacing w:after="0"/>
              <w:rPr>
                <w:sz w:val="17"/>
                <w:szCs w:val="17"/>
                <w:color w:val="auto"/>
              </w:rPr>
            </w:pPr>
          </w:p>
        </w:tc>
        <w:tc>
          <w:tcPr>
            <w:tcW w:w="120" w:type="dxa"/>
            <w:vAlign w:val="bottom"/>
            <w:tcBorders>
              <w:bottom w:val="single" w:sz="8" w:color="424E6A"/>
              <w:right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424E6A"/>
            </w:tcBorders>
            <w:shd w:val="clear" w:color="auto" w:fill="D9DCE1"/>
          </w:tcPr>
          <w:p>
            <w:pPr>
              <w:jc w:val="center"/>
              <w:spacing w:after="0" w:line="196" w:lineRule="exact"/>
              <w:rPr>
                <w:sz w:val="20"/>
                <w:szCs w:val="20"/>
                <w:color w:val="auto"/>
              </w:rPr>
            </w:pPr>
            <w:r>
              <w:rPr>
                <w:rFonts w:ascii="Arial" w:cs="Arial" w:eastAsia="Arial" w:hAnsi="Arial"/>
                <w:sz w:val="18"/>
                <w:szCs w:val="18"/>
                <w:b w:val="1"/>
                <w:bCs w:val="1"/>
                <w:color w:val="auto"/>
              </w:rPr>
              <w:t>​43,810</w:t>
            </w:r>
          </w:p>
        </w:tc>
        <w:tc>
          <w:tcPr>
            <w:tcW w:w="340" w:type="dxa"/>
            <w:vAlign w:val="bottom"/>
            <w:tcBorders>
              <w:bottom w:val="single" w:sz="8" w:color="424E6A"/>
              <w:right w:val="single" w:sz="8" w:color="424E6A"/>
            </w:tcBorders>
            <w:shd w:val="clear" w:color="auto" w:fill="D9DCE1"/>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2260" w:type="dxa"/>
            <w:vAlign w:val="bottom"/>
            <w:tcBorders>
              <w:bottom w:val="single" w:sz="8" w:color="424E6A"/>
            </w:tcBorders>
            <w:gridSpan w:val="2"/>
          </w:tcPr>
          <w:p>
            <w:pPr>
              <w:ind w:left="20"/>
              <w:spacing w:after="0" w:line="196" w:lineRule="exact"/>
              <w:rPr>
                <w:sz w:val="20"/>
                <w:szCs w:val="20"/>
                <w:color w:val="auto"/>
              </w:rPr>
            </w:pPr>
            <w:r>
              <w:rPr>
                <w:rFonts w:ascii="Arial" w:cs="Arial" w:eastAsia="Arial" w:hAnsi="Arial"/>
                <w:sz w:val="18"/>
                <w:szCs w:val="18"/>
                <w:color w:val="auto"/>
              </w:rPr>
              <w:t>​Temple</w:t>
            </w: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5,220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2023</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15,290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2025</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11,400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2023</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shd w:val="clear" w:color="auto" w:fill="D9DCE1"/>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2120" w:type="dxa"/>
            <w:vAlign w:val="bottom"/>
            <w:tcBorders>
              <w:bottom w:val="single" w:sz="8" w:color="424E6A"/>
            </w:tcBorders>
            <w:shd w:val="clear" w:color="auto" w:fill="D9DCE1"/>
          </w:tcPr>
          <w:p>
            <w:pPr>
              <w:ind w:left="80"/>
              <w:spacing w:after="0" w:line="196"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424E6A"/>
            </w:tcBorders>
            <w:shd w:val="clear" w:color="auto" w:fill="D9DCE1"/>
          </w:tcPr>
          <w:p>
            <w:pPr>
              <w:spacing w:after="0"/>
              <w:rPr>
                <w:sz w:val="17"/>
                <w:szCs w:val="17"/>
                <w:color w:val="auto"/>
              </w:rPr>
            </w:pPr>
          </w:p>
        </w:tc>
        <w:tc>
          <w:tcPr>
            <w:tcW w:w="120" w:type="dxa"/>
            <w:vAlign w:val="bottom"/>
            <w:tcBorders>
              <w:bottom w:val="single" w:sz="8" w:color="424E6A"/>
              <w:right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424E6A"/>
            </w:tcBorders>
            <w:shd w:val="clear" w:color="auto" w:fill="D9DCE1"/>
          </w:tcPr>
          <w:p>
            <w:pPr>
              <w:jc w:val="center"/>
              <w:spacing w:after="0" w:line="196" w:lineRule="exact"/>
              <w:rPr>
                <w:sz w:val="20"/>
                <w:szCs w:val="20"/>
                <w:color w:val="auto"/>
              </w:rPr>
            </w:pPr>
            <w:r>
              <w:rPr>
                <w:rFonts w:ascii="Arial" w:cs="Arial" w:eastAsia="Arial" w:hAnsi="Arial"/>
                <w:sz w:val="18"/>
                <w:szCs w:val="18"/>
                <w:b w:val="1"/>
                <w:bCs w:val="1"/>
                <w:color w:val="auto"/>
              </w:rPr>
              <w:t>​43,810</w:t>
            </w:r>
          </w:p>
        </w:tc>
        <w:tc>
          <w:tcPr>
            <w:tcW w:w="340" w:type="dxa"/>
            <w:vAlign w:val="bottom"/>
            <w:tcBorders>
              <w:bottom w:val="single" w:sz="8" w:color="424E6A"/>
              <w:right w:val="single" w:sz="8" w:color="424E6A"/>
            </w:tcBorders>
            <w:shd w:val="clear" w:color="auto" w:fill="D9DCE1"/>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2260" w:type="dxa"/>
            <w:vAlign w:val="bottom"/>
            <w:tcBorders>
              <w:bottom w:val="single" w:sz="8" w:color="424E6A"/>
            </w:tcBorders>
            <w:gridSpan w:val="2"/>
          </w:tcPr>
          <w:p>
            <w:pPr>
              <w:ind w:left="20"/>
              <w:spacing w:after="0" w:line="196" w:lineRule="exact"/>
              <w:rPr>
                <w:sz w:val="20"/>
                <w:szCs w:val="20"/>
                <w:color w:val="auto"/>
              </w:rPr>
            </w:pPr>
            <w:r>
              <w:rPr>
                <w:rFonts w:ascii="Arial" w:cs="Arial" w:eastAsia="Arial" w:hAnsi="Arial"/>
                <w:sz w:val="18"/>
                <w:szCs w:val="18"/>
                <w:color w:val="auto"/>
              </w:rPr>
              <w:t>​Ziemba</w:t>
            </w: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6,480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2023</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15,290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2025</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11,400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2023</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shd w:val="clear" w:color="auto" w:fill="D9DCE1"/>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2120" w:type="dxa"/>
            <w:vAlign w:val="bottom"/>
            <w:tcBorders>
              <w:bottom w:val="single" w:sz="8" w:color="424E6A"/>
            </w:tcBorders>
            <w:shd w:val="clear" w:color="auto" w:fill="D9DCE1"/>
          </w:tcPr>
          <w:p>
            <w:pPr>
              <w:ind w:left="80"/>
              <w:spacing w:after="0" w:line="196"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424E6A"/>
            </w:tcBorders>
            <w:shd w:val="clear" w:color="auto" w:fill="D9DCE1"/>
          </w:tcPr>
          <w:p>
            <w:pPr>
              <w:spacing w:after="0"/>
              <w:rPr>
                <w:sz w:val="17"/>
                <w:szCs w:val="17"/>
                <w:color w:val="auto"/>
              </w:rPr>
            </w:pPr>
          </w:p>
        </w:tc>
        <w:tc>
          <w:tcPr>
            <w:tcW w:w="120" w:type="dxa"/>
            <w:vAlign w:val="bottom"/>
            <w:tcBorders>
              <w:bottom w:val="single" w:sz="8" w:color="424E6A"/>
              <w:right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424E6A"/>
            </w:tcBorders>
            <w:shd w:val="clear" w:color="auto" w:fill="D9DCE1"/>
          </w:tcPr>
          <w:p>
            <w:pPr>
              <w:jc w:val="center"/>
              <w:spacing w:after="0" w:line="196" w:lineRule="exact"/>
              <w:rPr>
                <w:sz w:val="20"/>
                <w:szCs w:val="20"/>
                <w:color w:val="auto"/>
              </w:rPr>
            </w:pPr>
            <w:r>
              <w:rPr>
                <w:rFonts w:ascii="Arial" w:cs="Arial" w:eastAsia="Arial" w:hAnsi="Arial"/>
                <w:sz w:val="18"/>
                <w:szCs w:val="18"/>
                <w:b w:val="1"/>
                <w:bCs w:val="1"/>
                <w:color w:val="auto"/>
              </w:rPr>
              <w:t>​45,070</w:t>
            </w:r>
          </w:p>
        </w:tc>
        <w:tc>
          <w:tcPr>
            <w:tcW w:w="340" w:type="dxa"/>
            <w:vAlign w:val="bottom"/>
            <w:tcBorders>
              <w:bottom w:val="single" w:sz="8" w:color="424E6A"/>
              <w:right w:val="single" w:sz="8" w:color="424E6A"/>
            </w:tcBorders>
            <w:shd w:val="clear" w:color="auto" w:fill="D9DCE1"/>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-6102985</wp:posOffset>
            </wp:positionV>
            <wp:extent cx="4740275" cy="6103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40275" cy="6103620"/>
                    </a:xfrm>
                    <a:prstGeom prst="rect">
                      <a:avLst/>
                    </a:prstGeom>
                    <a:noFill/>
                  </pic:spPr>
                </pic:pic>
              </a:graphicData>
            </a:graphic>
          </wp:anchor>
        </w:drawing>
      </w:r>
    </w:p>
    <w:p>
      <w:pPr>
        <w:spacing w:after="0" w:line="56" w:lineRule="exact"/>
        <w:rPr>
          <w:sz w:val="20"/>
          <w:szCs w:val="20"/>
          <w:color w:val="auto"/>
        </w:rPr>
      </w:pPr>
    </w:p>
    <w:p>
      <w:pPr>
        <w:ind w:left="1620" w:right="439" w:hanging="360"/>
        <w:spacing w:after="0" w:line="235" w:lineRule="auto"/>
        <w:tabs>
          <w:tab w:leader="none" w:pos="1620" w:val="left"/>
        </w:tabs>
        <w:numPr>
          <w:ilvl w:val="0"/>
          <w:numId w:val="81"/>
        </w:numPr>
        <w:rPr>
          <w:rFonts w:ascii="Arial" w:cs="Arial" w:eastAsia="Arial" w:hAnsi="Arial"/>
          <w:sz w:val="27"/>
          <w:szCs w:val="27"/>
          <w:color w:val="auto"/>
          <w:vertAlign w:val="superscript"/>
        </w:rPr>
      </w:pPr>
      <w:r>
        <w:rPr>
          <w:rFonts w:ascii="Arial" w:cs="Arial" w:eastAsia="Arial" w:hAnsi="Arial"/>
          <w:sz w:val="18"/>
          <w:szCs w:val="18"/>
          <w:color w:val="auto"/>
        </w:rPr>
        <w:t>Mr. Armstrong served as Senior Advisor to the CEO during 2022 and received a salary of $250,000 and other compensation of $15,840 (comprising 401(k) plan matching contributions and premium payments for group term life insurance) for his services as an employee. Pursuant to his employment agreement, Mr. Armstrong will serve as a director and will also serve as Senior Advisor to the CEO until the date of the 2024 annual meeting and will receive an annual salary of $250,000 for these services. Mr. Armstrong does not hold any LTIP awards.</w:t>
      </w:r>
    </w:p>
    <w:p>
      <w:pPr>
        <w:spacing w:after="0" w:line="59" w:lineRule="exact"/>
        <w:rPr>
          <w:rFonts w:ascii="Arial" w:cs="Arial" w:eastAsia="Arial" w:hAnsi="Arial"/>
          <w:sz w:val="27"/>
          <w:szCs w:val="27"/>
          <w:color w:val="auto"/>
          <w:vertAlign w:val="superscript"/>
        </w:rPr>
      </w:pPr>
    </w:p>
    <w:p>
      <w:pPr>
        <w:ind w:left="1620" w:right="1159" w:hanging="360"/>
        <w:spacing w:after="0" w:line="210" w:lineRule="auto"/>
        <w:tabs>
          <w:tab w:leader="none" w:pos="1620" w:val="left"/>
        </w:tabs>
        <w:numPr>
          <w:ilvl w:val="0"/>
          <w:numId w:val="81"/>
        </w:numPr>
        <w:rPr>
          <w:rFonts w:ascii="Arial" w:cs="Arial" w:eastAsia="Arial" w:hAnsi="Arial"/>
          <w:sz w:val="27"/>
          <w:szCs w:val="27"/>
          <w:color w:val="auto"/>
          <w:vertAlign w:val="superscript"/>
        </w:rPr>
      </w:pPr>
      <w:r>
        <w:rPr>
          <w:rFonts w:ascii="Arial" w:cs="Arial" w:eastAsia="Arial" w:hAnsi="Arial"/>
          <w:sz w:val="18"/>
          <w:szCs w:val="18"/>
          <w:color w:val="auto"/>
        </w:rPr>
        <w:t>Ms. DeSanctis joined the Board in August 2022; amounts shown in the table above reflect compensation for a partial year of service.</w:t>
      </w: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Cash Retainers and Expense Reimbursement</w:t>
      </w:r>
    </w:p>
    <w:p>
      <w:pPr>
        <w:spacing w:after="0" w:line="156"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Our non-employee directors receive an annual retainer fee of $115,000. In addition to their annual retainer, each committee chairman (other than the Audit Committee chairman) receives an additional retainer of $15,000, the Audit Committee chairman receives an additional retainer of $30,000, each other member of the Audit Committee receives an additional retainer of $15,000, and the Lead Director receives an additional retainer of $35,000. The foregoing amounts reflect increases in annual retainer and non-audit committee chair fees that were implemented in the second quarter of 2022 to maintain competitive positioning among peers. Fee payment amounts shown in the table above reflect blended rates.</w:t>
      </w:r>
    </w:p>
    <w:p>
      <w:pPr>
        <w:spacing w:after="0" w:line="117"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8"/>
          <w:szCs w:val="18"/>
          <w:color w:val="auto"/>
        </w:rPr>
        <w:t>Non-employee directors are reimbursed for reasonable travel, lodging and other out-of-pocket expenses related to meeting attendance or otherwise related to service on the Board (including, without limitation, reimbursement for continuing education expenses).</w:t>
      </w:r>
    </w:p>
    <w:p>
      <w:pPr>
        <w:spacing w:after="0" w:line="90" w:lineRule="exact"/>
        <w:rPr>
          <w:sz w:val="20"/>
          <w:szCs w:val="20"/>
          <w:color w:val="auto"/>
        </w:rPr>
      </w:pPr>
    </w:p>
    <w:p>
      <w:pPr>
        <w:ind w:left="1260" w:right="1239" w:firstLine="360"/>
        <w:spacing w:after="0" w:line="318" w:lineRule="auto"/>
        <w:rPr>
          <w:sz w:val="20"/>
          <w:szCs w:val="20"/>
          <w:color w:val="auto"/>
        </w:rPr>
      </w:pPr>
      <w:r>
        <w:rPr>
          <w:rFonts w:ascii="Arial" w:cs="Arial" w:eastAsia="Arial" w:hAnsi="Arial"/>
          <w:sz w:val="17"/>
          <w:szCs w:val="17"/>
          <w:color w:val="auto"/>
        </w:rPr>
        <w:t>Messrs. Armstrong, Chiang and Pefanis are otherwise compensated for their services as employees and therefore receive no separate compensation for their services as directors.</w:t>
      </w:r>
    </w:p>
    <w:p>
      <w:pPr>
        <w:spacing w:after="0" w:line="13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Long-Term Equity Awards</w:t>
      </w:r>
    </w:p>
    <w:p>
      <w:pPr>
        <w:spacing w:after="0" w:line="156" w:lineRule="exact"/>
        <w:rPr>
          <w:sz w:val="20"/>
          <w:szCs w:val="20"/>
          <w:color w:val="auto"/>
        </w:rPr>
      </w:pPr>
    </w:p>
    <w:p>
      <w:pPr>
        <w:ind w:left="1260" w:right="499" w:firstLine="360"/>
        <w:spacing w:after="0" w:line="274" w:lineRule="auto"/>
        <w:rPr>
          <w:sz w:val="20"/>
          <w:szCs w:val="20"/>
          <w:color w:val="auto"/>
        </w:rPr>
      </w:pPr>
      <w:r>
        <w:rPr>
          <w:rFonts w:ascii="Arial" w:cs="Arial" w:eastAsia="Arial" w:hAnsi="Arial"/>
          <w:sz w:val="17"/>
          <w:szCs w:val="17"/>
          <w:color w:val="auto"/>
        </w:rPr>
        <w:t>Our non-employee directors receive annual LTIP awards as part of their compensation. Such LTIP awards consist of PAGP phantom Class A shares having a market value on the date of grant equal to approximately $125,000 (based on a volume weighted average price for the 10-trading day period beginning five days before and ending five days after the ex-dividend date immediately preceding the date of grant). The annual LTIP awards granted in 2022 will vest (become payable in PAGP Class A shares on a one-for-one basis) on the August 2023 distribution date, and include associated DERs. Outstanding director LTIP awards granted prior to 2022 will vest four years after the date of grant.</w:t>
      </w:r>
    </w:p>
    <w:p>
      <w:pPr>
        <w:spacing w:after="0" w:line="9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All director LTIP awards vest in full upon the next following distribution date after the death or disability (as determined in good faith by the Board) of the director. The awards also vest in full if a director (i) retires (no longer with full-time employment and no longer serving as an officer or director of any public company) or (ii) is removed from the Board or is not reelected to the Board, unless such removal is for “Cause,” as defined in the PAGP GP LLC Agreement.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Reimbursement of Expenses of PAA’s General Partner and its Affiliates</w:t>
      </w:r>
    </w:p>
    <w:p>
      <w:pPr>
        <w:spacing w:after="0" w:line="144" w:lineRule="exact"/>
        <w:rPr>
          <w:sz w:val="20"/>
          <w:szCs w:val="20"/>
          <w:color w:val="auto"/>
        </w:rPr>
      </w:pPr>
    </w:p>
    <w:p>
      <w:pPr>
        <w:ind w:left="1260" w:right="499" w:firstLine="360"/>
        <w:spacing w:after="0" w:line="274" w:lineRule="auto"/>
        <w:rPr>
          <w:sz w:val="20"/>
          <w:szCs w:val="20"/>
          <w:color w:val="auto"/>
        </w:rPr>
      </w:pPr>
      <w:r>
        <w:rPr>
          <w:rFonts w:ascii="Arial" w:cs="Arial" w:eastAsia="Arial" w:hAnsi="Arial"/>
          <w:sz w:val="17"/>
          <w:szCs w:val="17"/>
          <w:color w:val="auto"/>
        </w:rPr>
        <w:t>PAA does not pay its general partner a management fee, but it does reimburse its general partner for all direct and indirect costs of services provided to PAA, incurred on PAA’s behalf, including the costs of employee, officer and director compensation and benefits allocable to PAA, as well as all other expenses necessary or appropriate to the conduct of PAA’s business, allocable to PAA. PAA records these costs on the accrual basis in the period in which PAA’s general partner incurs them. PAA’s partnership agreement provides that its general partner will determine the expenses that are allocable to PAA in any reasonable manner determined by its general partner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Plains GP Holdings, L.P.</w:t>
      </w:r>
    </w:p>
    <w:p>
      <w:pPr>
        <w:spacing w:after="0" w:line="158" w:lineRule="exact"/>
        <w:rPr>
          <w:sz w:val="20"/>
          <w:szCs w:val="20"/>
          <w:color w:val="auto"/>
        </w:rPr>
      </w:pPr>
    </w:p>
    <w:p>
      <w:pPr>
        <w:ind w:left="1260" w:right="780" w:firstLine="360"/>
        <w:spacing w:after="0" w:line="255" w:lineRule="auto"/>
        <w:rPr>
          <w:sz w:val="20"/>
          <w:szCs w:val="20"/>
          <w:color w:val="auto"/>
        </w:rPr>
      </w:pPr>
      <w:r>
        <w:rPr>
          <w:rFonts w:ascii="Arial" w:cs="Arial" w:eastAsia="Arial" w:hAnsi="Arial"/>
          <w:sz w:val="18"/>
          <w:szCs w:val="18"/>
          <w:color w:val="auto"/>
        </w:rPr>
        <w:t>Our Class A, Class B and Class C shares outstanding represent 100% of our voting securities. The following table sets forth certain information regarding the beneficial ownership of our Class A, Class B and Class C shares as of March 27, 2023 (unless otherwise noted) by each person who is known to us to beneficially own more than 5% of our Class A shares, each person who is known to us to beneficially own more than 5% of our Class B shares, each person who is known to us to beneficially own more than 5% of our Class C shares, the Named Executive Officers, our directors, and all directors and executive officers as a group. See pages 8-11 for additional information regarding our ownership and voting structure.</w:t>
      </w:r>
    </w:p>
    <w:p>
      <w:pPr>
        <w:spacing w:after="0" w:line="203"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80" w:type="dxa"/>
            <w:vAlign w:val="bottom"/>
            <w:shd w:val="clear" w:color="auto" w:fill="424E6A"/>
          </w:tcPr>
          <w:p>
            <w:pPr>
              <w:spacing w:after="0"/>
              <w:rPr>
                <w:sz w:val="19"/>
                <w:szCs w:val="19"/>
                <w:color w:val="auto"/>
              </w:rPr>
            </w:pPr>
          </w:p>
        </w:tc>
        <w:tc>
          <w:tcPr>
            <w:tcW w:w="2440" w:type="dxa"/>
            <w:vAlign w:val="bottom"/>
            <w:shd w:val="clear" w:color="auto" w:fill="424E6A"/>
          </w:tcPr>
          <w:p>
            <w:pPr>
              <w:spacing w:after="0"/>
              <w:rPr>
                <w:sz w:val="19"/>
                <w:szCs w:val="19"/>
                <w:color w:val="auto"/>
              </w:rPr>
            </w:pPr>
          </w:p>
        </w:tc>
        <w:tc>
          <w:tcPr>
            <w:tcW w:w="280" w:type="dxa"/>
            <w:vAlign w:val="bottom"/>
            <w:shd w:val="clear" w:color="auto" w:fill="424E6A"/>
          </w:tcPr>
          <w:p>
            <w:pPr>
              <w:spacing w:after="0"/>
              <w:rPr>
                <w:sz w:val="19"/>
                <w:szCs w:val="19"/>
                <w:color w:val="auto"/>
              </w:rPr>
            </w:pPr>
          </w:p>
        </w:tc>
        <w:tc>
          <w:tcPr>
            <w:tcW w:w="680" w:type="dxa"/>
            <w:vAlign w:val="bottom"/>
            <w:shd w:val="clear" w:color="auto" w:fill="424E6A"/>
          </w:tcPr>
          <w:p>
            <w:pPr>
              <w:spacing w:after="0"/>
              <w:rPr>
                <w:sz w:val="19"/>
                <w:szCs w:val="19"/>
                <w:color w:val="auto"/>
              </w:rPr>
            </w:pPr>
          </w:p>
        </w:tc>
        <w:tc>
          <w:tcPr>
            <w:tcW w:w="220" w:type="dxa"/>
            <w:vAlign w:val="bottom"/>
            <w:shd w:val="clear" w:color="auto" w:fill="424E6A"/>
          </w:tcPr>
          <w:p>
            <w:pPr>
              <w:spacing w:after="0"/>
              <w:rPr>
                <w:sz w:val="19"/>
                <w:szCs w:val="19"/>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320" w:type="dxa"/>
            <w:vAlign w:val="bottom"/>
            <w:shd w:val="clear" w:color="auto" w:fill="424E6A"/>
          </w:tcPr>
          <w:p>
            <w:pPr>
              <w:spacing w:after="0"/>
              <w:rPr>
                <w:sz w:val="19"/>
                <w:szCs w:val="19"/>
                <w:color w:val="auto"/>
              </w:rPr>
            </w:pPr>
          </w:p>
        </w:tc>
        <w:tc>
          <w:tcPr>
            <w:tcW w:w="900" w:type="dxa"/>
            <w:vAlign w:val="bottom"/>
            <w:shd w:val="clear" w:color="auto" w:fill="424E6A"/>
          </w:tcPr>
          <w:p>
            <w:pPr>
              <w:spacing w:after="0"/>
              <w:rPr>
                <w:sz w:val="19"/>
                <w:szCs w:val="19"/>
                <w:color w:val="auto"/>
              </w:rPr>
            </w:pPr>
          </w:p>
        </w:tc>
        <w:tc>
          <w:tcPr>
            <w:tcW w:w="8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300" w:type="dxa"/>
            <w:vAlign w:val="bottom"/>
            <w:shd w:val="clear" w:color="auto" w:fill="424E6A"/>
          </w:tcPr>
          <w:p>
            <w:pPr>
              <w:spacing w:after="0"/>
              <w:rPr>
                <w:sz w:val="19"/>
                <w:szCs w:val="19"/>
                <w:color w:val="auto"/>
              </w:rPr>
            </w:pPr>
          </w:p>
        </w:tc>
        <w:tc>
          <w:tcPr>
            <w:tcW w:w="940" w:type="dxa"/>
            <w:vAlign w:val="bottom"/>
            <w:shd w:val="clear" w:color="auto" w:fill="424E6A"/>
          </w:tcPr>
          <w:p>
            <w:pPr>
              <w:spacing w:after="0"/>
              <w:rPr>
                <w:sz w:val="19"/>
                <w:szCs w:val="19"/>
                <w:color w:val="auto"/>
              </w:rPr>
            </w:pPr>
          </w:p>
        </w:tc>
        <w:tc>
          <w:tcPr>
            <w:tcW w:w="8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200" w:type="dxa"/>
            <w:vAlign w:val="bottom"/>
            <w:shd w:val="clear" w:color="auto" w:fill="424E6A"/>
          </w:tcPr>
          <w:p>
            <w:pPr>
              <w:spacing w:after="0"/>
              <w:rPr>
                <w:sz w:val="19"/>
                <w:szCs w:val="19"/>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120" w:type="dxa"/>
            <w:vAlign w:val="bottom"/>
            <w:shd w:val="clear" w:color="auto" w:fill="424E6A"/>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424E6A"/>
          </w:tcPr>
          <w:p>
            <w:pPr>
              <w:spacing w:after="0"/>
              <w:rPr>
                <w:sz w:val="14"/>
                <w:szCs w:val="14"/>
                <w:color w:val="auto"/>
              </w:rPr>
            </w:pPr>
          </w:p>
        </w:tc>
        <w:tc>
          <w:tcPr>
            <w:tcW w:w="2440" w:type="dxa"/>
            <w:vAlign w:val="bottom"/>
            <w:shd w:val="clear" w:color="auto" w:fill="424E6A"/>
          </w:tcPr>
          <w:p>
            <w:pPr>
              <w:spacing w:after="0"/>
              <w:rPr>
                <w:sz w:val="14"/>
                <w:szCs w:val="14"/>
                <w:color w:val="auto"/>
              </w:rPr>
            </w:pPr>
          </w:p>
        </w:tc>
        <w:tc>
          <w:tcPr>
            <w:tcW w:w="280" w:type="dxa"/>
            <w:vAlign w:val="bottom"/>
            <w:shd w:val="clear" w:color="auto" w:fill="424E6A"/>
          </w:tcPr>
          <w:p>
            <w:pPr>
              <w:spacing w:after="0"/>
              <w:rPr>
                <w:sz w:val="14"/>
                <w:szCs w:val="14"/>
                <w:color w:val="auto"/>
              </w:rPr>
            </w:pPr>
          </w:p>
        </w:tc>
        <w:tc>
          <w:tcPr>
            <w:tcW w:w="680" w:type="dxa"/>
            <w:vAlign w:val="bottom"/>
            <w:shd w:val="clear" w:color="auto" w:fill="424E6A"/>
          </w:tcPr>
          <w:p>
            <w:pPr>
              <w:jc w:val="center"/>
              <w:ind w:right="8"/>
              <w:spacing w:after="0"/>
              <w:rPr>
                <w:sz w:val="20"/>
                <w:szCs w:val="20"/>
                <w:color w:val="auto"/>
              </w:rPr>
            </w:pPr>
            <w:r>
              <w:rPr>
                <w:rFonts w:ascii="Arial" w:cs="Arial" w:eastAsia="Arial" w:hAnsi="Arial"/>
                <w:sz w:val="14"/>
                <w:szCs w:val="14"/>
                <w:b w:val="1"/>
                <w:bCs w:val="1"/>
                <w:color w:val="FFFFFF"/>
              </w:rPr>
              <w:t>Class A</w:t>
            </w:r>
          </w:p>
        </w:tc>
        <w:tc>
          <w:tcPr>
            <w:tcW w:w="220" w:type="dxa"/>
            <w:vAlign w:val="bottom"/>
            <w:shd w:val="clear" w:color="auto" w:fill="424E6A"/>
          </w:tcPr>
          <w:p>
            <w:pPr>
              <w:spacing w:after="0"/>
              <w:rPr>
                <w:sz w:val="14"/>
                <w:szCs w:val="14"/>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of Class A</w:t>
            </w:r>
          </w:p>
        </w:tc>
        <w:tc>
          <w:tcPr>
            <w:tcW w:w="320" w:type="dxa"/>
            <w:vAlign w:val="bottom"/>
            <w:shd w:val="clear" w:color="auto" w:fill="424E6A"/>
          </w:tcPr>
          <w:p>
            <w:pPr>
              <w:spacing w:after="0"/>
              <w:rPr>
                <w:sz w:val="14"/>
                <w:szCs w:val="14"/>
                <w:color w:val="auto"/>
              </w:rPr>
            </w:pPr>
          </w:p>
        </w:tc>
        <w:tc>
          <w:tcPr>
            <w:tcW w:w="900" w:type="dxa"/>
            <w:vAlign w:val="bottom"/>
            <w:shd w:val="clear" w:color="auto" w:fill="424E6A"/>
          </w:tcPr>
          <w:p>
            <w:pPr>
              <w:jc w:val="center"/>
              <w:ind w:right="270"/>
              <w:spacing w:after="0"/>
              <w:rPr>
                <w:sz w:val="20"/>
                <w:szCs w:val="20"/>
                <w:color w:val="auto"/>
              </w:rPr>
            </w:pPr>
            <w:r>
              <w:rPr>
                <w:rFonts w:ascii="Arial" w:cs="Arial" w:eastAsia="Arial" w:hAnsi="Arial"/>
                <w:sz w:val="14"/>
                <w:szCs w:val="14"/>
                <w:b w:val="1"/>
                <w:bCs w:val="1"/>
                <w:color w:val="FFFFFF"/>
              </w:rPr>
              <w:t>Class B</w:t>
            </w:r>
          </w:p>
        </w:tc>
        <w:tc>
          <w:tcPr>
            <w:tcW w:w="8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of Class B</w:t>
            </w:r>
          </w:p>
        </w:tc>
        <w:tc>
          <w:tcPr>
            <w:tcW w:w="300" w:type="dxa"/>
            <w:vAlign w:val="bottom"/>
            <w:shd w:val="clear" w:color="auto" w:fill="424E6A"/>
          </w:tcPr>
          <w:p>
            <w:pPr>
              <w:spacing w:after="0"/>
              <w:rPr>
                <w:sz w:val="14"/>
                <w:szCs w:val="14"/>
                <w:color w:val="auto"/>
              </w:rPr>
            </w:pPr>
          </w:p>
        </w:tc>
        <w:tc>
          <w:tcPr>
            <w:tcW w:w="940" w:type="dxa"/>
            <w:vAlign w:val="bottom"/>
            <w:shd w:val="clear" w:color="auto" w:fill="424E6A"/>
          </w:tcPr>
          <w:p>
            <w:pPr>
              <w:jc w:val="center"/>
              <w:ind w:right="228"/>
              <w:spacing w:after="0"/>
              <w:rPr>
                <w:sz w:val="20"/>
                <w:szCs w:val="20"/>
                <w:color w:val="auto"/>
              </w:rPr>
            </w:pPr>
            <w:r>
              <w:rPr>
                <w:rFonts w:ascii="Arial" w:cs="Arial" w:eastAsia="Arial" w:hAnsi="Arial"/>
                <w:sz w:val="14"/>
                <w:szCs w:val="14"/>
                <w:b w:val="1"/>
                <w:bCs w:val="1"/>
                <w:color w:val="FFFFFF"/>
              </w:rPr>
              <w:t>Class C</w:t>
            </w:r>
          </w:p>
        </w:tc>
        <w:tc>
          <w:tcPr>
            <w:tcW w:w="8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of Class C</w:t>
            </w:r>
          </w:p>
        </w:tc>
        <w:tc>
          <w:tcPr>
            <w:tcW w:w="200" w:type="dxa"/>
            <w:vAlign w:val="bottom"/>
            <w:shd w:val="clear" w:color="auto" w:fill="424E6A"/>
          </w:tcPr>
          <w:p>
            <w:pPr>
              <w:spacing w:after="0"/>
              <w:rPr>
                <w:sz w:val="14"/>
                <w:szCs w:val="14"/>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of Class A,</w:t>
            </w:r>
          </w:p>
        </w:tc>
        <w:tc>
          <w:tcPr>
            <w:tcW w:w="120" w:type="dxa"/>
            <w:vAlign w:val="bottom"/>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424E6A"/>
          </w:tcPr>
          <w:p>
            <w:pPr>
              <w:spacing w:after="0"/>
              <w:rPr>
                <w:sz w:val="14"/>
                <w:szCs w:val="14"/>
                <w:color w:val="auto"/>
              </w:rPr>
            </w:pPr>
          </w:p>
        </w:tc>
        <w:tc>
          <w:tcPr>
            <w:tcW w:w="2440" w:type="dxa"/>
            <w:vAlign w:val="bottom"/>
            <w:shd w:val="clear" w:color="auto" w:fill="424E6A"/>
          </w:tcPr>
          <w:p>
            <w:pPr>
              <w:spacing w:after="0"/>
              <w:rPr>
                <w:sz w:val="20"/>
                <w:szCs w:val="20"/>
                <w:color w:val="auto"/>
              </w:rPr>
            </w:pPr>
            <w:r>
              <w:rPr>
                <w:rFonts w:ascii="Arial" w:cs="Arial" w:eastAsia="Arial" w:hAnsi="Arial"/>
                <w:sz w:val="14"/>
                <w:szCs w:val="14"/>
                <w:b w:val="1"/>
                <w:bCs w:val="1"/>
                <w:color w:val="FFFFFF"/>
              </w:rPr>
              <w:t>Name of Beneficial Owner and</w:t>
            </w:r>
          </w:p>
        </w:tc>
        <w:tc>
          <w:tcPr>
            <w:tcW w:w="280" w:type="dxa"/>
            <w:vAlign w:val="bottom"/>
            <w:shd w:val="clear" w:color="auto" w:fill="424E6A"/>
          </w:tcPr>
          <w:p>
            <w:pPr>
              <w:spacing w:after="0"/>
              <w:rPr>
                <w:sz w:val="14"/>
                <w:szCs w:val="14"/>
                <w:color w:val="auto"/>
              </w:rPr>
            </w:pPr>
          </w:p>
        </w:tc>
        <w:tc>
          <w:tcPr>
            <w:tcW w:w="680" w:type="dxa"/>
            <w:vAlign w:val="bottom"/>
            <w:shd w:val="clear" w:color="auto" w:fill="424E6A"/>
          </w:tcPr>
          <w:p>
            <w:pPr>
              <w:jc w:val="center"/>
              <w:ind w:right="8"/>
              <w:spacing w:after="0"/>
              <w:rPr>
                <w:sz w:val="20"/>
                <w:szCs w:val="20"/>
                <w:color w:val="auto"/>
              </w:rPr>
            </w:pPr>
            <w:r>
              <w:rPr>
                <w:rFonts w:ascii="Arial" w:cs="Arial" w:eastAsia="Arial" w:hAnsi="Arial"/>
                <w:sz w:val="14"/>
                <w:szCs w:val="14"/>
                <w:b w:val="1"/>
                <w:bCs w:val="1"/>
                <w:color w:val="FFFFFF"/>
              </w:rPr>
              <w:t>Shares</w:t>
            </w:r>
          </w:p>
        </w:tc>
        <w:tc>
          <w:tcPr>
            <w:tcW w:w="220" w:type="dxa"/>
            <w:vAlign w:val="bottom"/>
            <w:shd w:val="clear" w:color="auto" w:fill="424E6A"/>
          </w:tcPr>
          <w:p>
            <w:pPr>
              <w:spacing w:after="0"/>
              <w:rPr>
                <w:sz w:val="14"/>
                <w:szCs w:val="14"/>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Shares</w:t>
            </w:r>
          </w:p>
        </w:tc>
        <w:tc>
          <w:tcPr>
            <w:tcW w:w="320" w:type="dxa"/>
            <w:vAlign w:val="bottom"/>
            <w:shd w:val="clear" w:color="auto" w:fill="424E6A"/>
          </w:tcPr>
          <w:p>
            <w:pPr>
              <w:spacing w:after="0"/>
              <w:rPr>
                <w:sz w:val="14"/>
                <w:szCs w:val="14"/>
                <w:color w:val="auto"/>
              </w:rPr>
            </w:pPr>
          </w:p>
        </w:tc>
        <w:tc>
          <w:tcPr>
            <w:tcW w:w="900" w:type="dxa"/>
            <w:vAlign w:val="bottom"/>
            <w:shd w:val="clear" w:color="auto" w:fill="424E6A"/>
          </w:tcPr>
          <w:p>
            <w:pPr>
              <w:jc w:val="center"/>
              <w:ind w:right="270"/>
              <w:spacing w:after="0"/>
              <w:rPr>
                <w:sz w:val="20"/>
                <w:szCs w:val="20"/>
                <w:color w:val="auto"/>
              </w:rPr>
            </w:pPr>
            <w:r>
              <w:rPr>
                <w:rFonts w:ascii="Arial" w:cs="Arial" w:eastAsia="Arial" w:hAnsi="Arial"/>
                <w:sz w:val="14"/>
                <w:szCs w:val="14"/>
                <w:b w:val="1"/>
                <w:bCs w:val="1"/>
                <w:color w:val="FFFFFF"/>
              </w:rPr>
              <w:t>Shares</w:t>
            </w:r>
          </w:p>
        </w:tc>
        <w:tc>
          <w:tcPr>
            <w:tcW w:w="8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Shares</w:t>
            </w:r>
          </w:p>
        </w:tc>
        <w:tc>
          <w:tcPr>
            <w:tcW w:w="300" w:type="dxa"/>
            <w:vAlign w:val="bottom"/>
            <w:shd w:val="clear" w:color="auto" w:fill="424E6A"/>
          </w:tcPr>
          <w:p>
            <w:pPr>
              <w:spacing w:after="0"/>
              <w:rPr>
                <w:sz w:val="14"/>
                <w:szCs w:val="14"/>
                <w:color w:val="auto"/>
              </w:rPr>
            </w:pPr>
          </w:p>
        </w:tc>
        <w:tc>
          <w:tcPr>
            <w:tcW w:w="940" w:type="dxa"/>
            <w:vAlign w:val="bottom"/>
            <w:shd w:val="clear" w:color="auto" w:fill="424E6A"/>
          </w:tcPr>
          <w:p>
            <w:pPr>
              <w:jc w:val="center"/>
              <w:ind w:right="228"/>
              <w:spacing w:after="0"/>
              <w:rPr>
                <w:sz w:val="20"/>
                <w:szCs w:val="20"/>
                <w:color w:val="auto"/>
              </w:rPr>
            </w:pPr>
            <w:r>
              <w:rPr>
                <w:rFonts w:ascii="Arial" w:cs="Arial" w:eastAsia="Arial" w:hAnsi="Arial"/>
                <w:sz w:val="14"/>
                <w:szCs w:val="14"/>
                <w:b w:val="1"/>
                <w:bCs w:val="1"/>
                <w:color w:val="FFFFFF"/>
              </w:rPr>
              <w:t>Shares</w:t>
            </w:r>
          </w:p>
        </w:tc>
        <w:tc>
          <w:tcPr>
            <w:tcW w:w="8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Shares</w:t>
            </w:r>
          </w:p>
        </w:tc>
        <w:tc>
          <w:tcPr>
            <w:tcW w:w="200" w:type="dxa"/>
            <w:vAlign w:val="bottom"/>
            <w:shd w:val="clear" w:color="auto" w:fill="424E6A"/>
          </w:tcPr>
          <w:p>
            <w:pPr>
              <w:spacing w:after="0"/>
              <w:rPr>
                <w:sz w:val="14"/>
                <w:szCs w:val="14"/>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B and C</w:t>
            </w:r>
          </w:p>
        </w:tc>
        <w:tc>
          <w:tcPr>
            <w:tcW w:w="120" w:type="dxa"/>
            <w:vAlign w:val="bottom"/>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424E6A"/>
          </w:tcPr>
          <w:p>
            <w:pPr>
              <w:spacing w:after="0"/>
              <w:rPr>
                <w:sz w:val="14"/>
                <w:szCs w:val="14"/>
                <w:color w:val="auto"/>
              </w:rPr>
            </w:pPr>
          </w:p>
        </w:tc>
        <w:tc>
          <w:tcPr>
            <w:tcW w:w="2440" w:type="dxa"/>
            <w:vAlign w:val="bottom"/>
            <w:shd w:val="clear" w:color="auto" w:fill="424E6A"/>
          </w:tcPr>
          <w:p>
            <w:pPr>
              <w:spacing w:after="0"/>
              <w:rPr>
                <w:sz w:val="20"/>
                <w:szCs w:val="20"/>
                <w:color w:val="auto"/>
              </w:rPr>
            </w:pPr>
            <w:r>
              <w:rPr>
                <w:rFonts w:ascii="Arial" w:cs="Arial" w:eastAsia="Arial" w:hAnsi="Arial"/>
                <w:sz w:val="14"/>
                <w:szCs w:val="14"/>
                <w:b w:val="1"/>
                <w:bCs w:val="1"/>
                <w:color w:val="FFFFFF"/>
              </w:rPr>
              <w:t>Address (in the case</w:t>
            </w:r>
          </w:p>
        </w:tc>
        <w:tc>
          <w:tcPr>
            <w:tcW w:w="118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Beneficially</w:t>
            </w: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Beneficially</w:t>
            </w:r>
          </w:p>
        </w:tc>
        <w:tc>
          <w:tcPr>
            <w:tcW w:w="12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Beneficially</w:t>
            </w:r>
          </w:p>
        </w:tc>
        <w:tc>
          <w:tcPr>
            <w:tcW w:w="8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Beneficially</w:t>
            </w: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Beneficially</w:t>
            </w:r>
          </w:p>
        </w:tc>
        <w:tc>
          <w:tcPr>
            <w:tcW w:w="8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Beneficially</w:t>
            </w:r>
          </w:p>
        </w:tc>
        <w:tc>
          <w:tcPr>
            <w:tcW w:w="200" w:type="dxa"/>
            <w:vAlign w:val="bottom"/>
            <w:shd w:val="clear" w:color="auto" w:fill="424E6A"/>
          </w:tcPr>
          <w:p>
            <w:pPr>
              <w:spacing w:after="0"/>
              <w:rPr>
                <w:sz w:val="14"/>
                <w:szCs w:val="14"/>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Shares</w:t>
            </w:r>
          </w:p>
        </w:tc>
        <w:tc>
          <w:tcPr>
            <w:tcW w:w="120" w:type="dxa"/>
            <w:vAlign w:val="bottom"/>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520" w:type="dxa"/>
            <w:vAlign w:val="bottom"/>
            <w:gridSpan w:val="2"/>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of Owners of more than 5%)</w:t>
            </w:r>
          </w:p>
        </w:tc>
        <w:tc>
          <w:tcPr>
            <w:tcW w:w="280" w:type="dxa"/>
            <w:vAlign w:val="bottom"/>
            <w:shd w:val="clear" w:color="auto" w:fill="424E6A"/>
          </w:tcPr>
          <w:p>
            <w:pPr>
              <w:ind w:left="60"/>
              <w:spacing w:after="0"/>
              <w:rPr>
                <w:sz w:val="20"/>
                <w:szCs w:val="20"/>
                <w:color w:val="auto"/>
              </w:rPr>
            </w:pPr>
            <w:r>
              <w:rPr>
                <w:rFonts w:ascii="Arial" w:cs="Arial" w:eastAsia="Arial" w:hAnsi="Arial"/>
                <w:sz w:val="14"/>
                <w:szCs w:val="14"/>
                <w:b w:val="1"/>
                <w:bCs w:val="1"/>
                <w:color w:val="FFFFFF"/>
              </w:rPr>
              <w:t>​ ​</w:t>
            </w:r>
          </w:p>
        </w:tc>
        <w:tc>
          <w:tcPr>
            <w:tcW w:w="6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5"/>
              </w:rPr>
              <w:t>Owned</w:t>
            </w:r>
            <w:r>
              <w:rPr>
                <w:rFonts w:ascii="Arial" w:cs="Arial" w:eastAsia="Arial" w:hAnsi="Arial"/>
                <w:sz w:val="17"/>
                <w:szCs w:val="17"/>
                <w:b w:val="1"/>
                <w:bCs w:val="1"/>
                <w:color w:val="FFFFFF"/>
                <w:w w:val="95"/>
                <w:vertAlign w:val="superscript"/>
              </w:rPr>
              <w:t>(1)</w:t>
            </w:r>
          </w:p>
        </w:tc>
        <w:tc>
          <w:tcPr>
            <w:tcW w:w="220" w:type="dxa"/>
            <w:vAlign w:val="bottom"/>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Owned</w:t>
            </w:r>
          </w:p>
        </w:tc>
        <w:tc>
          <w:tcPr>
            <w:tcW w:w="3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 ​</w:t>
            </w:r>
          </w:p>
        </w:tc>
        <w:tc>
          <w:tcPr>
            <w:tcW w:w="900" w:type="dxa"/>
            <w:vAlign w:val="bottom"/>
            <w:shd w:val="clear" w:color="auto" w:fill="424E6A"/>
          </w:tcPr>
          <w:p>
            <w:pPr>
              <w:jc w:val="right"/>
              <w:spacing w:after="0" w:line="199" w:lineRule="exact"/>
              <w:rPr>
                <w:sz w:val="20"/>
                <w:szCs w:val="20"/>
                <w:color w:val="auto"/>
              </w:rPr>
            </w:pPr>
            <w:r>
              <w:rPr>
                <w:rFonts w:ascii="Arial" w:cs="Arial" w:eastAsia="Arial" w:hAnsi="Arial"/>
                <w:sz w:val="12"/>
                <w:szCs w:val="12"/>
                <w:b w:val="1"/>
                <w:bCs w:val="1"/>
                <w:color w:val="FFFFFF"/>
              </w:rPr>
              <w:t>Owned</w:t>
            </w:r>
            <w:r>
              <w:rPr>
                <w:rFonts w:ascii="Arial" w:cs="Arial" w:eastAsia="Arial" w:hAnsi="Arial"/>
                <w:sz w:val="14"/>
                <w:szCs w:val="14"/>
                <w:b w:val="1"/>
                <w:bCs w:val="1"/>
                <w:color w:val="FFFFFF"/>
                <w:vertAlign w:val="superscript"/>
              </w:rPr>
              <w:t>(1)</w:t>
            </w:r>
            <w:r>
              <w:rPr>
                <w:rFonts w:ascii="Arial" w:cs="Arial" w:eastAsia="Arial" w:hAnsi="Arial"/>
                <w:sz w:val="12"/>
                <w:szCs w:val="12"/>
                <w:b w:val="1"/>
                <w:bCs w:val="1"/>
                <w:color w:val="FFFFFF"/>
              </w:rPr>
              <w:t xml:space="preserve">    </w:t>
            </w:r>
            <w:r>
              <w:rPr>
                <w:rFonts w:ascii="Arial" w:cs="Arial" w:eastAsia="Arial" w:hAnsi="Arial"/>
                <w:sz w:val="22"/>
                <w:szCs w:val="22"/>
                <w:b w:val="1"/>
                <w:bCs w:val="1"/>
                <w:color w:val="FFFFFF"/>
                <w:vertAlign w:val="subscript"/>
              </w:rPr>
              <w:t>​ ​</w:t>
            </w:r>
          </w:p>
        </w:tc>
        <w:tc>
          <w:tcPr>
            <w:tcW w:w="8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Owned</w:t>
            </w:r>
          </w:p>
        </w:tc>
        <w:tc>
          <w:tcPr>
            <w:tcW w:w="3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 ​</w:t>
            </w:r>
          </w:p>
        </w:tc>
        <w:tc>
          <w:tcPr>
            <w:tcW w:w="940" w:type="dxa"/>
            <w:vAlign w:val="bottom"/>
            <w:shd w:val="clear" w:color="auto" w:fill="424E6A"/>
          </w:tcPr>
          <w:p>
            <w:pPr>
              <w:jc w:val="right"/>
              <w:spacing w:after="0" w:line="199" w:lineRule="exact"/>
              <w:rPr>
                <w:sz w:val="20"/>
                <w:szCs w:val="20"/>
                <w:color w:val="auto"/>
              </w:rPr>
            </w:pPr>
            <w:r>
              <w:rPr>
                <w:rFonts w:ascii="Arial" w:cs="Arial" w:eastAsia="Arial" w:hAnsi="Arial"/>
                <w:sz w:val="12"/>
                <w:szCs w:val="12"/>
                <w:b w:val="1"/>
                <w:bCs w:val="1"/>
                <w:color w:val="FFFFFF"/>
              </w:rPr>
              <w:t>Owned</w:t>
            </w:r>
            <w:r>
              <w:rPr>
                <w:rFonts w:ascii="Arial" w:cs="Arial" w:eastAsia="Arial" w:hAnsi="Arial"/>
                <w:sz w:val="14"/>
                <w:szCs w:val="14"/>
                <w:b w:val="1"/>
                <w:bCs w:val="1"/>
                <w:color w:val="FFFFFF"/>
                <w:vertAlign w:val="superscript"/>
              </w:rPr>
              <w:t>(2)</w:t>
            </w:r>
            <w:r>
              <w:rPr>
                <w:rFonts w:ascii="Arial" w:cs="Arial" w:eastAsia="Arial" w:hAnsi="Arial"/>
                <w:sz w:val="12"/>
                <w:szCs w:val="12"/>
                <w:b w:val="1"/>
                <w:bCs w:val="1"/>
                <w:color w:val="FFFFFF"/>
              </w:rPr>
              <w:t xml:space="preserve">    </w:t>
            </w:r>
            <w:r>
              <w:rPr>
                <w:rFonts w:ascii="Arial" w:cs="Arial" w:eastAsia="Arial" w:hAnsi="Arial"/>
                <w:sz w:val="22"/>
                <w:szCs w:val="22"/>
                <w:b w:val="1"/>
                <w:bCs w:val="1"/>
                <w:color w:val="FFFFFF"/>
                <w:vertAlign w:val="subscript"/>
              </w:rPr>
              <w:t>​ ​</w:t>
            </w:r>
          </w:p>
        </w:tc>
        <w:tc>
          <w:tcPr>
            <w:tcW w:w="8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Owned</w:t>
            </w:r>
          </w:p>
        </w:tc>
        <w:tc>
          <w:tcPr>
            <w:tcW w:w="1000" w:type="dxa"/>
            <w:vAlign w:val="bottom"/>
            <w:gridSpan w:val="3"/>
            <w:shd w:val="clear" w:color="auto" w:fill="424E6A"/>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Combined</w:t>
            </w:r>
          </w:p>
        </w:tc>
        <w:tc>
          <w:tcPr>
            <w:tcW w:w="120" w:type="dxa"/>
            <w:vAlign w:val="bottom"/>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3"/>
        </w:trPr>
        <w:tc>
          <w:tcPr>
            <w:tcW w:w="80" w:type="dxa"/>
            <w:vAlign w:val="bottom"/>
            <w:shd w:val="clear" w:color="auto" w:fill="D9DCE1"/>
          </w:tcPr>
          <w:p>
            <w:pPr>
              <w:spacing w:after="0"/>
              <w:rPr>
                <w:sz w:val="17"/>
                <w:szCs w:val="17"/>
                <w:color w:val="auto"/>
              </w:rPr>
            </w:pPr>
          </w:p>
        </w:tc>
        <w:tc>
          <w:tcPr>
            <w:tcW w:w="2440" w:type="dxa"/>
            <w:vAlign w:val="bottom"/>
            <w:shd w:val="clear" w:color="auto" w:fill="D9DCE1"/>
          </w:tcPr>
          <w:p>
            <w:pPr>
              <w:spacing w:after="0"/>
              <w:rPr>
                <w:sz w:val="20"/>
                <w:szCs w:val="20"/>
                <w:color w:val="auto"/>
              </w:rPr>
            </w:pPr>
            <w:r>
              <w:rPr>
                <w:rFonts w:ascii="Arial" w:cs="Arial" w:eastAsia="Arial" w:hAnsi="Arial"/>
                <w:sz w:val="14"/>
                <w:szCs w:val="14"/>
                <w:color w:val="auto"/>
              </w:rPr>
              <w:t>Massachusetts Financial Services</w:t>
            </w:r>
          </w:p>
        </w:tc>
        <w:tc>
          <w:tcPr>
            <w:tcW w:w="280" w:type="dxa"/>
            <w:vAlign w:val="bottom"/>
            <w:shd w:val="clear" w:color="auto" w:fill="D9DCE1"/>
          </w:tcPr>
          <w:p>
            <w:pPr>
              <w:spacing w:after="0"/>
              <w:rPr>
                <w:sz w:val="17"/>
                <w:szCs w:val="17"/>
                <w:color w:val="auto"/>
              </w:rPr>
            </w:pPr>
          </w:p>
        </w:tc>
        <w:tc>
          <w:tcPr>
            <w:tcW w:w="680" w:type="dxa"/>
            <w:vAlign w:val="bottom"/>
            <w:shd w:val="clear" w:color="auto" w:fill="D9DCE1"/>
          </w:tcPr>
          <w:p>
            <w:pPr>
              <w:spacing w:after="0"/>
              <w:rPr>
                <w:sz w:val="17"/>
                <w:szCs w:val="17"/>
                <w:color w:val="auto"/>
              </w:rPr>
            </w:pPr>
          </w:p>
        </w:tc>
        <w:tc>
          <w:tcPr>
            <w:tcW w:w="220" w:type="dxa"/>
            <w:vAlign w:val="bottom"/>
            <w:shd w:val="clear" w:color="auto" w:fill="D9DCE1"/>
          </w:tcPr>
          <w:p>
            <w:pPr>
              <w:spacing w:after="0"/>
              <w:rPr>
                <w:sz w:val="17"/>
                <w:szCs w:val="17"/>
                <w:color w:val="auto"/>
              </w:rPr>
            </w:pPr>
          </w:p>
        </w:tc>
        <w:tc>
          <w:tcPr>
            <w:tcW w:w="400" w:type="dxa"/>
            <w:vAlign w:val="bottom"/>
            <w:shd w:val="clear" w:color="auto" w:fill="D9DCE1"/>
          </w:tcPr>
          <w:p>
            <w:pPr>
              <w:spacing w:after="0"/>
              <w:rPr>
                <w:sz w:val="17"/>
                <w:szCs w:val="17"/>
                <w:color w:val="auto"/>
              </w:rPr>
            </w:pPr>
          </w:p>
        </w:tc>
        <w:tc>
          <w:tcPr>
            <w:tcW w:w="400" w:type="dxa"/>
            <w:vAlign w:val="bottom"/>
            <w:shd w:val="clear" w:color="auto" w:fill="D9DCE1"/>
          </w:tcPr>
          <w:p>
            <w:pPr>
              <w:spacing w:after="0"/>
              <w:rPr>
                <w:sz w:val="17"/>
                <w:szCs w:val="17"/>
                <w:color w:val="auto"/>
              </w:rPr>
            </w:pPr>
          </w:p>
        </w:tc>
        <w:tc>
          <w:tcPr>
            <w:tcW w:w="320" w:type="dxa"/>
            <w:vAlign w:val="bottom"/>
            <w:shd w:val="clear" w:color="auto" w:fill="D9DCE1"/>
          </w:tcPr>
          <w:p>
            <w:pPr>
              <w:spacing w:after="0"/>
              <w:rPr>
                <w:sz w:val="17"/>
                <w:szCs w:val="17"/>
                <w:color w:val="auto"/>
              </w:rPr>
            </w:pPr>
          </w:p>
        </w:tc>
        <w:tc>
          <w:tcPr>
            <w:tcW w:w="900" w:type="dxa"/>
            <w:vAlign w:val="bottom"/>
            <w:shd w:val="clear" w:color="auto" w:fill="D9DCE1"/>
          </w:tcPr>
          <w:p>
            <w:pPr>
              <w:spacing w:after="0"/>
              <w:rPr>
                <w:sz w:val="17"/>
                <w:szCs w:val="17"/>
                <w:color w:val="auto"/>
              </w:rPr>
            </w:pPr>
          </w:p>
        </w:tc>
        <w:tc>
          <w:tcPr>
            <w:tcW w:w="380" w:type="dxa"/>
            <w:vAlign w:val="bottom"/>
            <w:shd w:val="clear" w:color="auto" w:fill="D9DCE1"/>
          </w:tcPr>
          <w:p>
            <w:pPr>
              <w:spacing w:after="0"/>
              <w:rPr>
                <w:sz w:val="17"/>
                <w:szCs w:val="17"/>
                <w:color w:val="auto"/>
              </w:rPr>
            </w:pPr>
          </w:p>
        </w:tc>
        <w:tc>
          <w:tcPr>
            <w:tcW w:w="440" w:type="dxa"/>
            <w:vAlign w:val="bottom"/>
            <w:shd w:val="clear" w:color="auto" w:fill="D9DCE1"/>
          </w:tcPr>
          <w:p>
            <w:pPr>
              <w:spacing w:after="0"/>
              <w:rPr>
                <w:sz w:val="17"/>
                <w:szCs w:val="17"/>
                <w:color w:val="auto"/>
              </w:rPr>
            </w:pPr>
          </w:p>
        </w:tc>
        <w:tc>
          <w:tcPr>
            <w:tcW w:w="300" w:type="dxa"/>
            <w:vAlign w:val="bottom"/>
            <w:shd w:val="clear" w:color="auto" w:fill="D9DCE1"/>
          </w:tcPr>
          <w:p>
            <w:pPr>
              <w:spacing w:after="0"/>
              <w:rPr>
                <w:sz w:val="17"/>
                <w:szCs w:val="17"/>
                <w:color w:val="auto"/>
              </w:rPr>
            </w:pPr>
          </w:p>
        </w:tc>
        <w:tc>
          <w:tcPr>
            <w:tcW w:w="940" w:type="dxa"/>
            <w:vAlign w:val="bottom"/>
            <w:shd w:val="clear" w:color="auto" w:fill="D9DCE1"/>
          </w:tcPr>
          <w:p>
            <w:pPr>
              <w:spacing w:after="0"/>
              <w:rPr>
                <w:sz w:val="17"/>
                <w:szCs w:val="17"/>
                <w:color w:val="auto"/>
              </w:rPr>
            </w:pPr>
          </w:p>
        </w:tc>
        <w:tc>
          <w:tcPr>
            <w:tcW w:w="360" w:type="dxa"/>
            <w:vAlign w:val="bottom"/>
            <w:shd w:val="clear" w:color="auto" w:fill="D9DCE1"/>
          </w:tcPr>
          <w:p>
            <w:pPr>
              <w:spacing w:after="0"/>
              <w:rPr>
                <w:sz w:val="17"/>
                <w:szCs w:val="17"/>
                <w:color w:val="auto"/>
              </w:rPr>
            </w:pPr>
          </w:p>
        </w:tc>
        <w:tc>
          <w:tcPr>
            <w:tcW w:w="460" w:type="dxa"/>
            <w:vAlign w:val="bottom"/>
            <w:shd w:val="clear" w:color="auto" w:fill="D9DCE1"/>
          </w:tcPr>
          <w:p>
            <w:pPr>
              <w:spacing w:after="0"/>
              <w:rPr>
                <w:sz w:val="17"/>
                <w:szCs w:val="17"/>
                <w:color w:val="auto"/>
              </w:rPr>
            </w:pPr>
          </w:p>
        </w:tc>
        <w:tc>
          <w:tcPr>
            <w:tcW w:w="200" w:type="dxa"/>
            <w:vAlign w:val="bottom"/>
            <w:shd w:val="clear" w:color="auto" w:fill="D9DCE1"/>
          </w:tcPr>
          <w:p>
            <w:pPr>
              <w:spacing w:after="0"/>
              <w:rPr>
                <w:sz w:val="17"/>
                <w:szCs w:val="17"/>
                <w:color w:val="auto"/>
              </w:rPr>
            </w:pPr>
          </w:p>
        </w:tc>
        <w:tc>
          <w:tcPr>
            <w:tcW w:w="340" w:type="dxa"/>
            <w:vAlign w:val="bottom"/>
            <w:shd w:val="clear" w:color="auto" w:fill="D9DCE1"/>
          </w:tcPr>
          <w:p>
            <w:pPr>
              <w:spacing w:after="0"/>
              <w:rPr>
                <w:sz w:val="17"/>
                <w:szCs w:val="17"/>
                <w:color w:val="auto"/>
              </w:rPr>
            </w:pPr>
          </w:p>
        </w:tc>
        <w:tc>
          <w:tcPr>
            <w:tcW w:w="460" w:type="dxa"/>
            <w:vAlign w:val="bottom"/>
            <w:shd w:val="clear" w:color="auto" w:fill="D9DCE1"/>
          </w:tcPr>
          <w:p>
            <w:pPr>
              <w:spacing w:after="0"/>
              <w:rPr>
                <w:sz w:val="17"/>
                <w:szCs w:val="17"/>
                <w:color w:val="auto"/>
              </w:rPr>
            </w:pPr>
          </w:p>
        </w:tc>
        <w:tc>
          <w:tcPr>
            <w:tcW w:w="120" w:type="dxa"/>
            <w:vAlign w:val="bottom"/>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440" w:type="dxa"/>
            <w:vAlign w:val="bottom"/>
            <w:shd w:val="clear" w:color="auto" w:fill="D9DCE1"/>
          </w:tcPr>
          <w:p>
            <w:pPr>
              <w:ind w:left="140"/>
              <w:spacing w:after="0" w:line="189" w:lineRule="exact"/>
              <w:rPr>
                <w:sz w:val="20"/>
                <w:szCs w:val="20"/>
                <w:color w:val="auto"/>
              </w:rPr>
            </w:pPr>
            <w:r>
              <w:rPr>
                <w:rFonts w:ascii="Arial" w:cs="Arial" w:eastAsia="Arial" w:hAnsi="Arial"/>
                <w:sz w:val="14"/>
                <w:szCs w:val="14"/>
                <w:color w:val="auto"/>
              </w:rPr>
              <w:t>Company</w:t>
            </w:r>
            <w:r>
              <w:rPr>
                <w:rFonts w:ascii="Arial" w:cs="Arial" w:eastAsia="Arial" w:hAnsi="Arial"/>
                <w:sz w:val="17"/>
                <w:szCs w:val="17"/>
                <w:color w:val="auto"/>
                <w:vertAlign w:val="superscript"/>
              </w:rPr>
              <w:t>(3)</w:t>
            </w:r>
          </w:p>
        </w:tc>
        <w:tc>
          <w:tcPr>
            <w:tcW w:w="1180" w:type="dxa"/>
            <w:vAlign w:val="bottom"/>
            <w:gridSpan w:val="3"/>
            <w:shd w:val="clear" w:color="auto" w:fill="D9DCE1"/>
          </w:tcPr>
          <w:p>
            <w:pPr>
              <w:jc w:val="right"/>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color w:val="auto"/>
              </w:rPr>
              <w:t>13,037,071 ​​ ​</w:t>
            </w:r>
          </w:p>
        </w:tc>
        <w:tc>
          <w:tcPr>
            <w:tcW w:w="800" w:type="dxa"/>
            <w:vAlign w:val="bottom"/>
            <w:gridSpan w:val="2"/>
            <w:shd w:val="clear" w:color="auto" w:fill="D9DCE1"/>
          </w:tcPr>
          <w:p>
            <w:pPr>
              <w:ind w:left="3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6.7%</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 ​</w:t>
            </w:r>
          </w:p>
        </w:tc>
        <w:tc>
          <w:tcPr>
            <w:tcW w:w="38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111 Huntington Avenue</w:t>
            </w:r>
          </w:p>
        </w:tc>
        <w:tc>
          <w:tcPr>
            <w:tcW w:w="280" w:type="dxa"/>
            <w:vAlign w:val="bottom"/>
            <w:vMerge w:val="restart"/>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68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4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80" w:type="dxa"/>
            <w:vAlign w:val="bottom"/>
            <w:vMerge w:val="continue"/>
          </w:tcPr>
          <w:p>
            <w:pPr>
              <w:spacing w:after="0"/>
              <w:rPr>
                <w:sz w:val="13"/>
                <w:szCs w:val="13"/>
                <w:color w:val="auto"/>
              </w:rPr>
            </w:pPr>
          </w:p>
        </w:tc>
        <w:tc>
          <w:tcPr>
            <w:tcW w:w="2440" w:type="dxa"/>
            <w:vAlign w:val="bottom"/>
          </w:tcPr>
          <w:p>
            <w:pPr>
              <w:ind w:left="140"/>
              <w:spacing w:after="0" w:line="158" w:lineRule="exact"/>
              <w:rPr>
                <w:sz w:val="20"/>
                <w:szCs w:val="20"/>
                <w:color w:val="auto"/>
              </w:rPr>
            </w:pPr>
            <w:r>
              <w:rPr>
                <w:rFonts w:ascii="Arial" w:cs="Arial" w:eastAsia="Arial" w:hAnsi="Arial"/>
                <w:sz w:val="14"/>
                <w:szCs w:val="14"/>
                <w:color w:val="auto"/>
              </w:rPr>
              <w:t>Boston, MA 02199</w:t>
            </w:r>
          </w:p>
        </w:tc>
        <w:tc>
          <w:tcPr>
            <w:tcW w:w="28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520" w:type="dxa"/>
            <w:vAlign w:val="bottom"/>
            <w:gridSpan w:val="2"/>
            <w:shd w:val="clear" w:color="auto" w:fill="D9DCE1"/>
          </w:tcPr>
          <w:p>
            <w:pPr>
              <w:ind w:left="4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Tortoise Capital Advisors, L.L.C.</w:t>
            </w:r>
            <w:r>
              <w:rPr>
                <w:rFonts w:ascii="Arial" w:cs="Arial" w:eastAsia="Arial" w:hAnsi="Arial"/>
                <w:sz w:val="17"/>
                <w:szCs w:val="17"/>
                <w:color w:val="auto"/>
                <w:vertAlign w:val="superscript"/>
              </w:rPr>
              <w:t>(4)</w:t>
            </w:r>
          </w:p>
        </w:tc>
        <w:tc>
          <w:tcPr>
            <w:tcW w:w="1180" w:type="dxa"/>
            <w:vAlign w:val="bottom"/>
            <w:gridSpan w:val="3"/>
            <w:shd w:val="clear" w:color="auto" w:fill="D9DCE1"/>
          </w:tcPr>
          <w:p>
            <w:pPr>
              <w:jc w:val="right"/>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color w:val="auto"/>
              </w:rPr>
              <w:t>12,780,537 ​​ ​</w:t>
            </w:r>
          </w:p>
        </w:tc>
        <w:tc>
          <w:tcPr>
            <w:tcW w:w="800" w:type="dxa"/>
            <w:vAlign w:val="bottom"/>
            <w:gridSpan w:val="2"/>
            <w:shd w:val="clear" w:color="auto" w:fill="D9DCE1"/>
          </w:tcPr>
          <w:p>
            <w:pPr>
              <w:ind w:left="3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6.6%</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 ​</w:t>
            </w:r>
          </w:p>
        </w:tc>
        <w:tc>
          <w:tcPr>
            <w:tcW w:w="38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6363 College Blvd., Suite 100A</w:t>
            </w:r>
          </w:p>
        </w:tc>
        <w:tc>
          <w:tcPr>
            <w:tcW w:w="280" w:type="dxa"/>
            <w:vAlign w:val="bottom"/>
            <w:vMerge w:val="restart"/>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68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4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520" w:type="dxa"/>
            <w:vAlign w:val="bottom"/>
            <w:gridSpan w:val="2"/>
          </w:tcPr>
          <w:p>
            <w:pPr>
              <w:ind w:left="40"/>
              <w:spacing w:after="0"/>
              <w:rPr>
                <w:sz w:val="20"/>
                <w:szCs w:val="20"/>
                <w:color w:val="auto"/>
              </w:rPr>
            </w:pPr>
            <w:r>
              <w:rPr>
                <w:rFonts w:ascii="Arial" w:cs="Arial" w:eastAsia="Arial" w:hAnsi="Arial"/>
                <w:sz w:val="14"/>
                <w:szCs w:val="14"/>
                <w:color w:val="auto"/>
              </w:rPr>
              <w:t>​  Overland Park, KS 66211</w:t>
            </w:r>
          </w:p>
        </w:tc>
        <w:tc>
          <w:tcPr>
            <w:tcW w:w="2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520" w:type="dxa"/>
            <w:vAlign w:val="bottom"/>
            <w:gridSpan w:val="2"/>
            <w:shd w:val="clear" w:color="auto" w:fill="D9DCE1"/>
          </w:tcPr>
          <w:p>
            <w:pPr>
              <w:ind w:left="4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Energy Income Partners, LLC et al</w:t>
            </w:r>
            <w:r>
              <w:rPr>
                <w:rFonts w:ascii="Arial" w:cs="Arial" w:eastAsia="Arial" w:hAnsi="Arial"/>
                <w:sz w:val="17"/>
                <w:szCs w:val="17"/>
                <w:color w:val="auto"/>
                <w:vertAlign w:val="superscript"/>
              </w:rPr>
              <w:t>(5)</w:t>
            </w:r>
          </w:p>
        </w:tc>
        <w:tc>
          <w:tcPr>
            <w:tcW w:w="1180" w:type="dxa"/>
            <w:vAlign w:val="bottom"/>
            <w:gridSpan w:val="3"/>
            <w:shd w:val="clear" w:color="auto" w:fill="D9DCE1"/>
          </w:tcPr>
          <w:p>
            <w:pPr>
              <w:jc w:val="right"/>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color w:val="auto"/>
              </w:rPr>
              <w:t>10,874,422 ​​ ​</w:t>
            </w:r>
          </w:p>
        </w:tc>
        <w:tc>
          <w:tcPr>
            <w:tcW w:w="800" w:type="dxa"/>
            <w:vAlign w:val="bottom"/>
            <w:gridSpan w:val="2"/>
            <w:shd w:val="clear" w:color="auto" w:fill="D9DCE1"/>
          </w:tcPr>
          <w:p>
            <w:pPr>
              <w:ind w:left="3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5.6%</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 ​</w:t>
            </w:r>
          </w:p>
        </w:tc>
        <w:tc>
          <w:tcPr>
            <w:tcW w:w="38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10 Wright Street</w:t>
            </w:r>
          </w:p>
        </w:tc>
        <w:tc>
          <w:tcPr>
            <w:tcW w:w="280" w:type="dxa"/>
            <w:vAlign w:val="bottom"/>
            <w:vMerge w:val="restart"/>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68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4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80" w:type="dxa"/>
            <w:vAlign w:val="bottom"/>
            <w:vMerge w:val="continue"/>
          </w:tcPr>
          <w:p>
            <w:pPr>
              <w:spacing w:after="0"/>
              <w:rPr>
                <w:sz w:val="13"/>
                <w:szCs w:val="13"/>
                <w:color w:val="auto"/>
              </w:rPr>
            </w:pPr>
          </w:p>
        </w:tc>
        <w:tc>
          <w:tcPr>
            <w:tcW w:w="2440" w:type="dxa"/>
            <w:vAlign w:val="bottom"/>
          </w:tcPr>
          <w:p>
            <w:pPr>
              <w:ind w:left="140"/>
              <w:spacing w:after="0" w:line="158" w:lineRule="exact"/>
              <w:rPr>
                <w:sz w:val="20"/>
                <w:szCs w:val="20"/>
                <w:color w:val="auto"/>
              </w:rPr>
            </w:pPr>
            <w:r>
              <w:rPr>
                <w:rFonts w:ascii="Arial" w:cs="Arial" w:eastAsia="Arial" w:hAnsi="Arial"/>
                <w:sz w:val="14"/>
                <w:szCs w:val="14"/>
                <w:color w:val="auto"/>
              </w:rPr>
              <w:t>Westport, CT 06880</w:t>
            </w:r>
          </w:p>
        </w:tc>
        <w:tc>
          <w:tcPr>
            <w:tcW w:w="28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D9DCE1"/>
          </w:tcPr>
          <w:p>
            <w:pPr>
              <w:ind w:left="40"/>
              <w:spacing w:after="0"/>
              <w:rPr>
                <w:sz w:val="20"/>
                <w:szCs w:val="20"/>
                <w:color w:val="auto"/>
              </w:rPr>
            </w:pPr>
            <w:r>
              <w:rPr>
                <w:rFonts w:ascii="Arial" w:cs="Arial" w:eastAsia="Arial" w:hAnsi="Arial"/>
                <w:sz w:val="14"/>
                <w:szCs w:val="14"/>
                <w:color w:val="auto"/>
              </w:rPr>
              <w:t>​KAFU Holdings (QP), L.P. et al</w:t>
            </w:r>
          </w:p>
        </w:tc>
        <w:tc>
          <w:tcPr>
            <w:tcW w:w="280" w:type="dxa"/>
            <w:vAlign w:val="bottom"/>
            <w:shd w:val="clear" w:color="auto" w:fill="D9DCE1"/>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gridSpan w:val="2"/>
            <w:shd w:val="clear" w:color="auto" w:fill="D9DCE1"/>
          </w:tcPr>
          <w:p>
            <w:pPr>
              <w:jc w:val="right"/>
              <w:spacing w:after="0"/>
              <w:rPr>
                <w:sz w:val="20"/>
                <w:szCs w:val="20"/>
                <w:color w:val="auto"/>
              </w:rPr>
            </w:pPr>
            <w:r>
              <w:rPr>
                <w:rFonts w:ascii="Arial" w:cs="Arial" w:eastAsia="Arial" w:hAnsi="Arial"/>
                <w:sz w:val="14"/>
                <w:szCs w:val="14"/>
                <w:color w:val="auto"/>
              </w:rPr>
              <w:t>— ​​ ​</w:t>
            </w:r>
          </w:p>
        </w:tc>
        <w:tc>
          <w:tcPr>
            <w:tcW w:w="800" w:type="dxa"/>
            <w:vAlign w:val="bottom"/>
            <w:gridSpan w:val="2"/>
            <w:shd w:val="clear" w:color="auto" w:fill="D9DCE1"/>
          </w:tcPr>
          <w:p>
            <w:pPr>
              <w:ind w:left="3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1220" w:type="dxa"/>
            <w:vAlign w:val="bottom"/>
            <w:gridSpan w:val="2"/>
            <w:shd w:val="clear" w:color="auto" w:fill="D9DCE1"/>
          </w:tcPr>
          <w:p>
            <w:pPr>
              <w:jc w:val="right"/>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color w:val="auto"/>
              </w:rPr>
              <w:t>13,964,505 ​​ ​</w:t>
            </w:r>
          </w:p>
        </w:tc>
        <w:tc>
          <w:tcPr>
            <w:tcW w:w="820" w:type="dxa"/>
            <w:vAlign w:val="bottom"/>
            <w:gridSpan w:val="2"/>
            <w:shd w:val="clear" w:color="auto" w:fill="D9DCE1"/>
          </w:tcPr>
          <w:p>
            <w:pPr>
              <w:ind w:left="2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30.0%</w:t>
            </w:r>
          </w:p>
        </w:tc>
        <w:tc>
          <w:tcPr>
            <w:tcW w:w="30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1800 Avenue of the Stars, 3rd Floor</w:t>
            </w:r>
          </w:p>
        </w:tc>
        <w:tc>
          <w:tcPr>
            <w:tcW w:w="280" w:type="dxa"/>
            <w:vAlign w:val="bottom"/>
            <w:vMerge w:val="restart"/>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68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4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520" w:type="dxa"/>
            <w:vAlign w:val="bottom"/>
            <w:gridSpan w:val="2"/>
          </w:tcPr>
          <w:p>
            <w:pPr>
              <w:ind w:left="40"/>
              <w:spacing w:after="0"/>
              <w:rPr>
                <w:sz w:val="20"/>
                <w:szCs w:val="20"/>
                <w:color w:val="auto"/>
              </w:rPr>
            </w:pPr>
            <w:r>
              <w:rPr>
                <w:rFonts w:ascii="Arial" w:cs="Arial" w:eastAsia="Arial" w:hAnsi="Arial"/>
                <w:sz w:val="14"/>
                <w:szCs w:val="14"/>
                <w:color w:val="auto"/>
              </w:rPr>
              <w:t>​  Los Angeles, CA 90067</w:t>
            </w:r>
          </w:p>
        </w:tc>
        <w:tc>
          <w:tcPr>
            <w:tcW w:w="2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520" w:type="dxa"/>
            <w:vAlign w:val="bottom"/>
            <w:gridSpan w:val="2"/>
            <w:shd w:val="clear" w:color="auto" w:fill="D9DCE1"/>
          </w:tcPr>
          <w:p>
            <w:pPr>
              <w:ind w:left="40"/>
              <w:spacing w:after="0" w:line="25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Plains All American Pipeline, L.P.</w:t>
            </w:r>
            <w:r>
              <w:rPr>
                <w:rFonts w:ascii="Arial" w:cs="Arial" w:eastAsia="Arial" w:hAnsi="Arial"/>
                <w:sz w:val="17"/>
                <w:szCs w:val="17"/>
                <w:color w:val="auto"/>
                <w:vertAlign w:val="superscript"/>
              </w:rPr>
              <w:t>(2)</w:t>
            </w:r>
          </w:p>
        </w:tc>
        <w:tc>
          <w:tcPr>
            <w:tcW w:w="280" w:type="dxa"/>
            <w:vAlign w:val="bottom"/>
            <w:shd w:val="clear" w:color="auto" w:fill="D9DCE1"/>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gridSpan w:val="2"/>
            <w:shd w:val="clear" w:color="auto" w:fill="D9DCE1"/>
          </w:tcPr>
          <w:p>
            <w:pPr>
              <w:jc w:val="right"/>
              <w:spacing w:after="0"/>
              <w:rPr>
                <w:sz w:val="20"/>
                <w:szCs w:val="20"/>
                <w:color w:val="auto"/>
              </w:rPr>
            </w:pPr>
            <w:r>
              <w:rPr>
                <w:rFonts w:ascii="Arial" w:cs="Arial" w:eastAsia="Arial" w:hAnsi="Arial"/>
                <w:sz w:val="14"/>
                <w:szCs w:val="14"/>
                <w:color w:val="auto"/>
              </w:rPr>
              <w:t>— ​​ ​</w:t>
            </w:r>
          </w:p>
        </w:tc>
        <w:tc>
          <w:tcPr>
            <w:tcW w:w="800" w:type="dxa"/>
            <w:vAlign w:val="bottom"/>
            <w:gridSpan w:val="2"/>
            <w:shd w:val="clear" w:color="auto" w:fill="D9DCE1"/>
          </w:tcPr>
          <w:p>
            <w:pPr>
              <w:ind w:left="3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 ​</w:t>
            </w:r>
          </w:p>
        </w:tc>
        <w:tc>
          <w:tcPr>
            <w:tcW w:w="38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D9DCE1"/>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528,478,046​​ ​</w:t>
            </w:r>
          </w:p>
        </w:tc>
        <w:tc>
          <w:tcPr>
            <w:tcW w:w="820" w:type="dxa"/>
            <w:vAlign w:val="bottom"/>
            <w:gridSpan w:val="2"/>
            <w:shd w:val="clear" w:color="auto" w:fill="D9DCE1"/>
          </w:tcPr>
          <w:p>
            <w:pPr>
              <w:ind w:left="2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100%</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800" w:type="dxa"/>
            <w:vAlign w:val="bottom"/>
            <w:gridSpan w:val="2"/>
            <w:shd w:val="clear" w:color="auto" w:fill="D9DCE1"/>
          </w:tcPr>
          <w:p>
            <w:pPr>
              <w:ind w:left="2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68.7%</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440" w:type="dxa"/>
            <w:vAlign w:val="bottom"/>
          </w:tcPr>
          <w:p>
            <w:pPr>
              <w:ind w:left="140"/>
              <w:spacing w:after="0"/>
              <w:rPr>
                <w:sz w:val="20"/>
                <w:szCs w:val="20"/>
                <w:color w:val="auto"/>
              </w:rPr>
            </w:pPr>
            <w:r>
              <w:rPr>
                <w:rFonts w:ascii="Arial" w:cs="Arial" w:eastAsia="Arial" w:hAnsi="Arial"/>
                <w:sz w:val="14"/>
                <w:szCs w:val="14"/>
                <w:color w:val="auto"/>
              </w:rPr>
              <w:t>333 Clay Street, Suite 1600</w:t>
            </w:r>
          </w:p>
        </w:tc>
        <w:tc>
          <w:tcPr>
            <w:tcW w:w="280" w:type="dxa"/>
            <w:vAlign w:val="bottom"/>
            <w:vMerge w:val="restart"/>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68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4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80" w:type="dxa"/>
            <w:vAlign w:val="bottom"/>
            <w:vMerge w:val="continue"/>
          </w:tcPr>
          <w:p>
            <w:pPr>
              <w:spacing w:after="0"/>
              <w:rPr>
                <w:sz w:val="13"/>
                <w:szCs w:val="13"/>
                <w:color w:val="auto"/>
              </w:rPr>
            </w:pPr>
          </w:p>
        </w:tc>
        <w:tc>
          <w:tcPr>
            <w:tcW w:w="2440" w:type="dxa"/>
            <w:vAlign w:val="bottom"/>
          </w:tcPr>
          <w:p>
            <w:pPr>
              <w:ind w:left="140"/>
              <w:spacing w:after="0" w:line="158" w:lineRule="exact"/>
              <w:rPr>
                <w:sz w:val="20"/>
                <w:szCs w:val="20"/>
                <w:color w:val="auto"/>
              </w:rPr>
            </w:pPr>
            <w:r>
              <w:rPr>
                <w:rFonts w:ascii="Arial" w:cs="Arial" w:eastAsia="Arial" w:hAnsi="Arial"/>
                <w:sz w:val="14"/>
                <w:szCs w:val="14"/>
                <w:color w:val="auto"/>
              </w:rPr>
              <w:t>Houston, TX 77002</w:t>
            </w:r>
          </w:p>
        </w:tc>
        <w:tc>
          <w:tcPr>
            <w:tcW w:w="28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D9DCE1"/>
          </w:tcPr>
          <w:p>
            <w:pPr>
              <w:ind w:left="40"/>
              <w:spacing w:after="0"/>
              <w:rPr>
                <w:sz w:val="20"/>
                <w:szCs w:val="20"/>
                <w:color w:val="auto"/>
              </w:rPr>
            </w:pPr>
            <w:r>
              <w:rPr>
                <w:rFonts w:ascii="Arial" w:cs="Arial" w:eastAsia="Arial" w:hAnsi="Arial"/>
                <w:sz w:val="14"/>
                <w:szCs w:val="14"/>
                <w:color w:val="auto"/>
              </w:rPr>
              <w:t>​Willie Chiang</w:t>
            </w:r>
          </w:p>
        </w:tc>
        <w:tc>
          <w:tcPr>
            <w:tcW w:w="280" w:type="dxa"/>
            <w:vAlign w:val="bottom"/>
            <w:shd w:val="clear" w:color="auto" w:fill="D9DCE1"/>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680" w:type="dxa"/>
            <w:vAlign w:val="bottom"/>
            <w:shd w:val="clear" w:color="auto" w:fill="D9DCE1"/>
          </w:tcPr>
          <w:p>
            <w:pPr>
              <w:jc w:val="right"/>
              <w:spacing w:after="0"/>
              <w:rPr>
                <w:sz w:val="20"/>
                <w:szCs w:val="20"/>
                <w:color w:val="auto"/>
              </w:rPr>
            </w:pPr>
            <w:r>
              <w:rPr>
                <w:rFonts w:ascii="Arial" w:cs="Arial" w:eastAsia="Arial" w:hAnsi="Arial"/>
                <w:sz w:val="14"/>
                <w:szCs w:val="14"/>
                <w:color w:val="auto"/>
              </w:rPr>
              <w:t>241,704</w:t>
            </w:r>
          </w:p>
        </w:tc>
        <w:tc>
          <w:tcPr>
            <w:tcW w:w="2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400" w:type="dxa"/>
            <w:vAlign w:val="bottom"/>
            <w:shd w:val="clear" w:color="auto" w:fill="D9DCE1"/>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shd w:val="clear" w:color="auto" w:fill="D9DCE1"/>
          </w:tcPr>
          <w:p>
            <w:pPr>
              <w:jc w:val="right"/>
              <w:spacing w:after="0"/>
              <w:rPr>
                <w:sz w:val="20"/>
                <w:szCs w:val="20"/>
                <w:color w:val="auto"/>
              </w:rPr>
            </w:pPr>
            <w:r>
              <w:rPr>
                <w:rFonts w:ascii="Arial" w:cs="Arial" w:eastAsia="Arial" w:hAnsi="Arial"/>
                <w:sz w:val="14"/>
                <w:szCs w:val="14"/>
                <w:color w:val="auto"/>
              </w:rPr>
              <w:t>353,489 ​​ ​</w:t>
            </w:r>
          </w:p>
        </w:tc>
        <w:tc>
          <w:tcPr>
            <w:tcW w:w="38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shd w:val="clear" w:color="auto" w:fill="D9DCE1"/>
          </w:tcPr>
          <w:p>
            <w:pPr>
              <w:jc w:val="right"/>
              <w:spacing w:after="0"/>
              <w:rPr>
                <w:sz w:val="20"/>
                <w:szCs w:val="20"/>
                <w:color w:val="auto"/>
              </w:rPr>
            </w:pPr>
            <w:r>
              <w:rPr>
                <w:rFonts w:ascii="Arial" w:cs="Arial" w:eastAsia="Arial" w:hAnsi="Arial"/>
                <w:sz w:val="14"/>
                <w:szCs w:val="14"/>
                <w:color w:val="auto"/>
              </w:rPr>
              <w:t>331,784​​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520" w:type="dxa"/>
            <w:vAlign w:val="bottom"/>
            <w:gridSpan w:val="2"/>
          </w:tcPr>
          <w:p>
            <w:pPr>
              <w:ind w:left="40"/>
              <w:spacing w:after="0"/>
              <w:rPr>
                <w:sz w:val="20"/>
                <w:szCs w:val="20"/>
                <w:color w:val="auto"/>
              </w:rPr>
            </w:pPr>
            <w:r>
              <w:rPr>
                <w:rFonts w:ascii="Arial" w:cs="Arial" w:eastAsia="Arial" w:hAnsi="Arial"/>
                <w:sz w:val="14"/>
                <w:szCs w:val="14"/>
                <w:color w:val="auto"/>
              </w:rPr>
              <w:t>​Harry N. Pefanis</w:t>
            </w:r>
          </w:p>
        </w:tc>
        <w:tc>
          <w:tcPr>
            <w:tcW w:w="280" w:type="dxa"/>
            <w:vAlign w:val="bottom"/>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1,108,653</w:t>
            </w:r>
          </w:p>
        </w:tc>
        <w:tc>
          <w:tcPr>
            <w:tcW w:w="220" w:type="dxa"/>
            <w:vAlign w:val="bottom"/>
          </w:tcPr>
          <w:p>
            <w:pPr>
              <w:jc w:val="right"/>
              <w:spacing w:after="0"/>
              <w:rPr>
                <w:sz w:val="20"/>
                <w:szCs w:val="20"/>
                <w:color w:val="auto"/>
              </w:rPr>
            </w:pPr>
            <w:r>
              <w:rPr>
                <w:rFonts w:ascii="Arial" w:cs="Arial" w:eastAsia="Arial" w:hAnsi="Arial"/>
                <w:sz w:val="14"/>
                <w:szCs w:val="14"/>
                <w:color w:val="auto"/>
              </w:rPr>
              <w:t>​​ ​</w:t>
            </w:r>
          </w:p>
        </w:tc>
        <w:tc>
          <w:tcPr>
            <w:tcW w:w="40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color w:val="auto"/>
              </w:rPr>
              <w:t xml:space="preserve"> 2,268,988 ​​ ​</w:t>
            </w:r>
          </w:p>
        </w:tc>
        <w:tc>
          <w:tcPr>
            <w:tcW w:w="820" w:type="dxa"/>
            <w:vAlign w:val="bottom"/>
            <w:gridSpan w:val="2"/>
          </w:tcPr>
          <w:p>
            <w:pPr>
              <w:ind w:left="2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4.9%</w:t>
            </w:r>
          </w:p>
        </w:tc>
        <w:tc>
          <w:tcPr>
            <w:tcW w:w="300" w:type="dxa"/>
            <w:vAlign w:val="bottom"/>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420,194​​ ​</w:t>
            </w:r>
          </w:p>
        </w:tc>
        <w:tc>
          <w:tcPr>
            <w:tcW w:w="36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 ​ ​</w:t>
            </w:r>
          </w:p>
        </w:tc>
        <w:tc>
          <w:tcPr>
            <w:tcW w:w="34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D9DCE1"/>
          </w:tcPr>
          <w:p>
            <w:pPr>
              <w:ind w:left="40"/>
              <w:spacing w:after="0"/>
              <w:rPr>
                <w:sz w:val="20"/>
                <w:szCs w:val="20"/>
                <w:color w:val="auto"/>
              </w:rPr>
            </w:pPr>
            <w:r>
              <w:rPr>
                <w:rFonts w:ascii="Arial" w:cs="Arial" w:eastAsia="Arial" w:hAnsi="Arial"/>
                <w:sz w:val="14"/>
                <w:szCs w:val="14"/>
                <w:color w:val="auto"/>
              </w:rPr>
              <w:t>​Al Swanson</w:t>
            </w:r>
          </w:p>
        </w:tc>
        <w:tc>
          <w:tcPr>
            <w:tcW w:w="280" w:type="dxa"/>
            <w:vAlign w:val="bottom"/>
            <w:shd w:val="clear" w:color="auto" w:fill="D9DCE1"/>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680" w:type="dxa"/>
            <w:vAlign w:val="bottom"/>
            <w:shd w:val="clear" w:color="auto" w:fill="D9DCE1"/>
          </w:tcPr>
          <w:p>
            <w:pPr>
              <w:jc w:val="right"/>
              <w:spacing w:after="0"/>
              <w:rPr>
                <w:sz w:val="20"/>
                <w:szCs w:val="20"/>
                <w:color w:val="auto"/>
              </w:rPr>
            </w:pPr>
            <w:r>
              <w:rPr>
                <w:rFonts w:ascii="Arial" w:cs="Arial" w:eastAsia="Arial" w:hAnsi="Arial"/>
                <w:sz w:val="14"/>
                <w:szCs w:val="14"/>
                <w:color w:val="auto"/>
              </w:rPr>
              <w:t>1,351,839</w:t>
            </w:r>
          </w:p>
        </w:tc>
        <w:tc>
          <w:tcPr>
            <w:tcW w:w="2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400" w:type="dxa"/>
            <w:vAlign w:val="bottom"/>
            <w:shd w:val="clear" w:color="auto" w:fill="D9DCE1"/>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 ​</w:t>
            </w:r>
          </w:p>
        </w:tc>
        <w:tc>
          <w:tcPr>
            <w:tcW w:w="38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shd w:val="clear" w:color="auto" w:fill="D9DCE1"/>
          </w:tcPr>
          <w:p>
            <w:pPr>
              <w:jc w:val="right"/>
              <w:spacing w:after="0"/>
              <w:rPr>
                <w:sz w:val="20"/>
                <w:szCs w:val="20"/>
                <w:color w:val="auto"/>
              </w:rPr>
            </w:pPr>
            <w:r>
              <w:rPr>
                <w:rFonts w:ascii="Arial" w:cs="Arial" w:eastAsia="Arial" w:hAnsi="Arial"/>
                <w:sz w:val="14"/>
                <w:szCs w:val="14"/>
                <w:color w:val="auto"/>
              </w:rPr>
              <w:t>288,855​​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520" w:type="dxa"/>
            <w:vAlign w:val="bottom"/>
            <w:gridSpan w:val="2"/>
          </w:tcPr>
          <w:p>
            <w:pPr>
              <w:ind w:left="40"/>
              <w:spacing w:after="0"/>
              <w:rPr>
                <w:sz w:val="20"/>
                <w:szCs w:val="20"/>
                <w:color w:val="auto"/>
              </w:rPr>
            </w:pPr>
            <w:r>
              <w:rPr>
                <w:rFonts w:ascii="Arial" w:cs="Arial" w:eastAsia="Arial" w:hAnsi="Arial"/>
                <w:sz w:val="14"/>
                <w:szCs w:val="14"/>
                <w:color w:val="auto"/>
              </w:rPr>
              <w:t>​Richard McGee</w:t>
            </w:r>
          </w:p>
        </w:tc>
        <w:tc>
          <w:tcPr>
            <w:tcW w:w="280" w:type="dxa"/>
            <w:vAlign w:val="bottom"/>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800" w:type="dxa"/>
            <w:vAlign w:val="bottom"/>
            <w:gridSpan w:val="2"/>
          </w:tcPr>
          <w:p>
            <w:pPr>
              <w:ind w:left="3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320" w:type="dxa"/>
            <w:vAlign w:val="bottom"/>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429,346 ​​ ​</w:t>
            </w:r>
          </w:p>
        </w:tc>
        <w:tc>
          <w:tcPr>
            <w:tcW w:w="38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293,307​​ ​</w:t>
            </w:r>
          </w:p>
        </w:tc>
        <w:tc>
          <w:tcPr>
            <w:tcW w:w="36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 ​ ​</w:t>
            </w:r>
          </w:p>
        </w:tc>
        <w:tc>
          <w:tcPr>
            <w:tcW w:w="34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D9DCE1"/>
          </w:tcPr>
          <w:p>
            <w:pPr>
              <w:ind w:left="40"/>
              <w:spacing w:after="0"/>
              <w:rPr>
                <w:sz w:val="20"/>
                <w:szCs w:val="20"/>
                <w:color w:val="auto"/>
              </w:rPr>
            </w:pPr>
            <w:r>
              <w:rPr>
                <w:rFonts w:ascii="Arial" w:cs="Arial" w:eastAsia="Arial" w:hAnsi="Arial"/>
                <w:sz w:val="14"/>
                <w:szCs w:val="14"/>
                <w:color w:val="auto"/>
              </w:rPr>
              <w:t>​Chris Chandler</w:t>
            </w:r>
          </w:p>
        </w:tc>
        <w:tc>
          <w:tcPr>
            <w:tcW w:w="280" w:type="dxa"/>
            <w:vAlign w:val="bottom"/>
            <w:shd w:val="clear" w:color="auto" w:fill="D9DCE1"/>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gridSpan w:val="2"/>
            <w:shd w:val="clear" w:color="auto" w:fill="D9DCE1"/>
          </w:tcPr>
          <w:p>
            <w:pPr>
              <w:jc w:val="right"/>
              <w:spacing w:after="0"/>
              <w:rPr>
                <w:sz w:val="20"/>
                <w:szCs w:val="20"/>
                <w:color w:val="auto"/>
              </w:rPr>
            </w:pPr>
            <w:r>
              <w:rPr>
                <w:rFonts w:ascii="Arial" w:cs="Arial" w:eastAsia="Arial" w:hAnsi="Arial"/>
                <w:sz w:val="14"/>
                <w:szCs w:val="14"/>
                <w:color w:val="auto"/>
              </w:rPr>
              <w:t>— ​​ ​</w:t>
            </w:r>
          </w:p>
        </w:tc>
        <w:tc>
          <w:tcPr>
            <w:tcW w:w="800" w:type="dxa"/>
            <w:vAlign w:val="bottom"/>
            <w:gridSpan w:val="2"/>
            <w:shd w:val="clear" w:color="auto" w:fill="D9DCE1"/>
          </w:tcPr>
          <w:p>
            <w:pPr>
              <w:ind w:left="3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 ​</w:t>
            </w:r>
          </w:p>
        </w:tc>
        <w:tc>
          <w:tcPr>
            <w:tcW w:w="38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shd w:val="clear" w:color="auto" w:fill="D9DCE1"/>
          </w:tcPr>
          <w:p>
            <w:pPr>
              <w:jc w:val="right"/>
              <w:spacing w:after="0"/>
              <w:rPr>
                <w:sz w:val="20"/>
                <w:szCs w:val="20"/>
                <w:color w:val="auto"/>
              </w:rPr>
            </w:pPr>
            <w:r>
              <w:rPr>
                <w:rFonts w:ascii="Arial" w:cs="Arial" w:eastAsia="Arial" w:hAnsi="Arial"/>
                <w:sz w:val="14"/>
                <w:szCs w:val="14"/>
                <w:color w:val="auto"/>
              </w:rPr>
              <w:t>149,846​​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520" w:type="dxa"/>
            <w:vAlign w:val="bottom"/>
            <w:gridSpan w:val="2"/>
          </w:tcPr>
          <w:p>
            <w:pPr>
              <w:ind w:left="40"/>
              <w:spacing w:after="0"/>
              <w:rPr>
                <w:sz w:val="20"/>
                <w:szCs w:val="20"/>
                <w:color w:val="auto"/>
              </w:rPr>
            </w:pPr>
            <w:r>
              <w:rPr>
                <w:rFonts w:ascii="Arial" w:cs="Arial" w:eastAsia="Arial" w:hAnsi="Arial"/>
                <w:sz w:val="14"/>
                <w:szCs w:val="14"/>
                <w:color w:val="auto"/>
              </w:rPr>
              <w:t>​Jeremy Goebel</w:t>
            </w:r>
          </w:p>
        </w:tc>
        <w:tc>
          <w:tcPr>
            <w:tcW w:w="280" w:type="dxa"/>
            <w:vAlign w:val="bottom"/>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1,314</w:t>
            </w:r>
          </w:p>
        </w:tc>
        <w:tc>
          <w:tcPr>
            <w:tcW w:w="220" w:type="dxa"/>
            <w:vAlign w:val="bottom"/>
          </w:tcPr>
          <w:p>
            <w:pPr>
              <w:jc w:val="right"/>
              <w:spacing w:after="0"/>
              <w:rPr>
                <w:sz w:val="20"/>
                <w:szCs w:val="20"/>
                <w:color w:val="auto"/>
              </w:rPr>
            </w:pPr>
            <w:r>
              <w:rPr>
                <w:rFonts w:ascii="Arial" w:cs="Arial" w:eastAsia="Arial" w:hAnsi="Arial"/>
                <w:sz w:val="14"/>
                <w:szCs w:val="14"/>
                <w:color w:val="auto"/>
              </w:rPr>
              <w:t>​​ ​</w:t>
            </w:r>
          </w:p>
        </w:tc>
        <w:tc>
          <w:tcPr>
            <w:tcW w:w="40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320" w:type="dxa"/>
            <w:vAlign w:val="bottom"/>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35,350 ​​ ​</w:t>
            </w:r>
          </w:p>
        </w:tc>
        <w:tc>
          <w:tcPr>
            <w:tcW w:w="38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209,878​​ ​</w:t>
            </w:r>
          </w:p>
        </w:tc>
        <w:tc>
          <w:tcPr>
            <w:tcW w:w="36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 ​ ​</w:t>
            </w:r>
          </w:p>
        </w:tc>
        <w:tc>
          <w:tcPr>
            <w:tcW w:w="34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D9DCE1"/>
          </w:tcPr>
          <w:p>
            <w:pPr>
              <w:ind w:left="40"/>
              <w:spacing w:after="0"/>
              <w:rPr>
                <w:sz w:val="20"/>
                <w:szCs w:val="20"/>
                <w:color w:val="auto"/>
              </w:rPr>
            </w:pPr>
            <w:r>
              <w:rPr>
                <w:rFonts w:ascii="Arial" w:cs="Arial" w:eastAsia="Arial" w:hAnsi="Arial"/>
                <w:sz w:val="14"/>
                <w:szCs w:val="14"/>
                <w:color w:val="auto"/>
              </w:rPr>
              <w:t>​Greg L. Armstrong</w:t>
            </w:r>
          </w:p>
        </w:tc>
        <w:tc>
          <w:tcPr>
            <w:tcW w:w="280" w:type="dxa"/>
            <w:vAlign w:val="bottom"/>
            <w:shd w:val="clear" w:color="auto" w:fill="D9DCE1"/>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680" w:type="dxa"/>
            <w:vAlign w:val="bottom"/>
            <w:shd w:val="clear" w:color="auto" w:fill="D9DCE1"/>
          </w:tcPr>
          <w:p>
            <w:pPr>
              <w:jc w:val="right"/>
              <w:spacing w:after="0"/>
              <w:rPr>
                <w:sz w:val="20"/>
                <w:szCs w:val="20"/>
                <w:color w:val="auto"/>
              </w:rPr>
            </w:pPr>
            <w:r>
              <w:rPr>
                <w:rFonts w:ascii="Arial" w:cs="Arial" w:eastAsia="Arial" w:hAnsi="Arial"/>
                <w:sz w:val="14"/>
                <w:szCs w:val="14"/>
                <w:color w:val="auto"/>
              </w:rPr>
              <w:t>1,865,812</w:t>
            </w:r>
          </w:p>
        </w:tc>
        <w:tc>
          <w:tcPr>
            <w:tcW w:w="2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400" w:type="dxa"/>
            <w:vAlign w:val="bottom"/>
            <w:shd w:val="clear" w:color="auto" w:fill="D9DCE1"/>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shd w:val="clear" w:color="auto" w:fill="D9DCE1"/>
          </w:tcPr>
          <w:p>
            <w:pPr>
              <w:jc w:val="right"/>
              <w:spacing w:after="0"/>
              <w:rPr>
                <w:sz w:val="20"/>
                <w:szCs w:val="20"/>
                <w:color w:val="auto"/>
              </w:rPr>
            </w:pPr>
            <w:r>
              <w:rPr>
                <w:rFonts w:ascii="Arial" w:cs="Arial" w:eastAsia="Arial" w:hAnsi="Arial"/>
                <w:sz w:val="14"/>
                <w:szCs w:val="14"/>
                <w:color w:val="auto"/>
              </w:rPr>
              <w:t>4,492,268 ​​ ​</w:t>
            </w:r>
          </w:p>
        </w:tc>
        <w:tc>
          <w:tcPr>
            <w:tcW w:w="820" w:type="dxa"/>
            <w:vAlign w:val="bottom"/>
            <w:gridSpan w:val="2"/>
            <w:shd w:val="clear" w:color="auto" w:fill="D9DCE1"/>
          </w:tcPr>
          <w:p>
            <w:pPr>
              <w:ind w:left="2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9.6%</w:t>
            </w:r>
          </w:p>
        </w:tc>
        <w:tc>
          <w:tcPr>
            <w:tcW w:w="30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shd w:val="clear" w:color="auto" w:fill="D9DCE1"/>
          </w:tcPr>
          <w:p>
            <w:pPr>
              <w:jc w:val="right"/>
              <w:spacing w:after="0"/>
              <w:rPr>
                <w:sz w:val="20"/>
                <w:szCs w:val="20"/>
                <w:color w:val="auto"/>
              </w:rPr>
            </w:pPr>
            <w:r>
              <w:rPr>
                <w:rFonts w:ascii="Arial" w:cs="Arial" w:eastAsia="Arial" w:hAnsi="Arial"/>
                <w:sz w:val="14"/>
                <w:szCs w:val="14"/>
                <w:color w:val="auto"/>
              </w:rPr>
              <w:t>1,508,418​​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520" w:type="dxa"/>
            <w:vAlign w:val="bottom"/>
            <w:gridSpan w:val="2"/>
            <w:vMerge w:val="restart"/>
          </w:tcPr>
          <w:p>
            <w:pPr>
              <w:ind w:left="40"/>
              <w:spacing w:after="0"/>
              <w:rPr>
                <w:sz w:val="20"/>
                <w:szCs w:val="20"/>
                <w:color w:val="auto"/>
              </w:rPr>
            </w:pPr>
            <w:r>
              <w:rPr>
                <w:rFonts w:ascii="Arial" w:cs="Arial" w:eastAsia="Arial" w:hAnsi="Arial"/>
                <w:sz w:val="14"/>
                <w:szCs w:val="14"/>
                <w:color w:val="auto"/>
              </w:rPr>
              <w:t>​Victor Burk</w:t>
            </w:r>
          </w:p>
        </w:tc>
        <w:tc>
          <w:tcPr>
            <w:tcW w:w="280" w:type="dxa"/>
            <w:vAlign w:val="bottom"/>
            <w:vMerge w:val="restart"/>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12,013</w:t>
            </w:r>
          </w:p>
        </w:tc>
        <w:tc>
          <w:tcPr>
            <w:tcW w:w="220" w:type="dxa"/>
            <w:vAlign w:val="bottom"/>
          </w:tcPr>
          <w:p>
            <w:pPr>
              <w:jc w:val="right"/>
              <w:ind w:right="63"/>
              <w:spacing w:after="0"/>
              <w:rPr>
                <w:sz w:val="20"/>
                <w:szCs w:val="20"/>
                <w:color w:val="auto"/>
              </w:rPr>
            </w:pPr>
            <w:r>
              <w:rPr>
                <w:rFonts w:ascii="Arial" w:cs="Arial" w:eastAsia="Arial" w:hAnsi="Arial"/>
                <w:sz w:val="9"/>
                <w:szCs w:val="9"/>
                <w:color w:val="auto"/>
                <w:w w:val="72"/>
              </w:rPr>
              <w:t>(6)</w:t>
            </w:r>
          </w:p>
        </w:tc>
        <w:tc>
          <w:tcPr>
            <w:tcW w:w="4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3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37,043​​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4"/>
        </w:trPr>
        <w:tc>
          <w:tcPr>
            <w:tcW w:w="252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jc w:val="right"/>
              <w:spacing w:after="0" w:line="95" w:lineRule="exact"/>
              <w:rPr>
                <w:sz w:val="20"/>
                <w:szCs w:val="20"/>
                <w:color w:val="auto"/>
              </w:rPr>
            </w:pPr>
            <w:r>
              <w:rPr>
                <w:rFonts w:ascii="Arial" w:cs="Arial" w:eastAsia="Arial" w:hAnsi="Arial"/>
                <w:sz w:val="10"/>
                <w:szCs w:val="10"/>
                <w:color w:val="auto"/>
              </w:rPr>
              <w:t>​​ ​</w:t>
            </w:r>
          </w:p>
        </w:tc>
        <w:tc>
          <w:tcPr>
            <w:tcW w:w="40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520" w:type="dxa"/>
            <w:vAlign w:val="bottom"/>
            <w:gridSpan w:val="2"/>
            <w:vMerge w:val="restart"/>
            <w:shd w:val="clear" w:color="auto" w:fill="D9DCE1"/>
          </w:tcPr>
          <w:p>
            <w:pPr>
              <w:ind w:left="40"/>
              <w:spacing w:after="0"/>
              <w:rPr>
                <w:sz w:val="20"/>
                <w:szCs w:val="20"/>
                <w:color w:val="auto"/>
              </w:rPr>
            </w:pPr>
            <w:r>
              <w:rPr>
                <w:rFonts w:ascii="Arial" w:cs="Arial" w:eastAsia="Arial" w:hAnsi="Arial"/>
                <w:sz w:val="14"/>
                <w:szCs w:val="14"/>
                <w:color w:val="auto"/>
              </w:rPr>
              <w:t>​Ellen DeSanctis</w:t>
            </w:r>
          </w:p>
        </w:tc>
        <w:tc>
          <w:tcPr>
            <w:tcW w:w="280" w:type="dxa"/>
            <w:vAlign w:val="bottom"/>
            <w:vMerge w:val="restart"/>
            <w:shd w:val="clear" w:color="auto" w:fill="D9DCE1"/>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68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10,000</w:t>
            </w:r>
          </w:p>
        </w:tc>
        <w:tc>
          <w:tcPr>
            <w:tcW w:w="220" w:type="dxa"/>
            <w:vAlign w:val="bottom"/>
            <w:shd w:val="clear" w:color="auto" w:fill="D9DCE1"/>
          </w:tcPr>
          <w:p>
            <w:pPr>
              <w:jc w:val="right"/>
              <w:ind w:right="63"/>
              <w:spacing w:after="0"/>
              <w:rPr>
                <w:sz w:val="20"/>
                <w:szCs w:val="20"/>
                <w:color w:val="auto"/>
              </w:rPr>
            </w:pPr>
            <w:r>
              <w:rPr>
                <w:rFonts w:ascii="Arial" w:cs="Arial" w:eastAsia="Arial" w:hAnsi="Arial"/>
                <w:sz w:val="9"/>
                <w:szCs w:val="9"/>
                <w:color w:val="auto"/>
                <w:w w:val="72"/>
              </w:rPr>
              <w:t>(6)</w:t>
            </w:r>
          </w:p>
        </w:tc>
        <w:tc>
          <w:tcPr>
            <w:tcW w:w="400" w:type="dxa"/>
            <w:vAlign w:val="bottom"/>
            <w:vMerge w:val="restart"/>
            <w:shd w:val="clear" w:color="auto" w:fill="D9DCE1"/>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D9DCE1"/>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 ​​ ​</w:t>
            </w:r>
          </w:p>
        </w:tc>
        <w:tc>
          <w:tcPr>
            <w:tcW w:w="380" w:type="dxa"/>
            <w:vAlign w:val="bottom"/>
            <w:vMerge w:val="restart"/>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shd w:val="clear" w:color="auto" w:fill="D9DCE1"/>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60" w:type="dxa"/>
            <w:vAlign w:val="bottom"/>
            <w:vMerge w:val="restart"/>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shd w:val="clear" w:color="auto" w:fill="D9DCE1"/>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520" w:type="dxa"/>
            <w:vAlign w:val="bottom"/>
            <w:gridSpan w:val="2"/>
            <w:vMerge w:val="continue"/>
            <w:shd w:val="clear" w:color="auto" w:fill="D9DCE1"/>
          </w:tcPr>
          <w:p>
            <w:pPr>
              <w:spacing w:after="0"/>
              <w:rPr>
                <w:sz w:val="8"/>
                <w:szCs w:val="8"/>
                <w:color w:val="auto"/>
              </w:rPr>
            </w:pPr>
          </w:p>
        </w:tc>
        <w:tc>
          <w:tcPr>
            <w:tcW w:w="280" w:type="dxa"/>
            <w:vAlign w:val="bottom"/>
            <w:vMerge w:val="continue"/>
            <w:shd w:val="clear" w:color="auto" w:fill="D9DCE1"/>
          </w:tcPr>
          <w:p>
            <w:pPr>
              <w:spacing w:after="0"/>
              <w:rPr>
                <w:sz w:val="8"/>
                <w:szCs w:val="8"/>
                <w:color w:val="auto"/>
              </w:rPr>
            </w:pPr>
          </w:p>
        </w:tc>
        <w:tc>
          <w:tcPr>
            <w:tcW w:w="680" w:type="dxa"/>
            <w:vAlign w:val="bottom"/>
            <w:vMerge w:val="continue"/>
            <w:shd w:val="clear" w:color="auto" w:fill="D9DCE1"/>
          </w:tcPr>
          <w:p>
            <w:pPr>
              <w:spacing w:after="0"/>
              <w:rPr>
                <w:sz w:val="8"/>
                <w:szCs w:val="8"/>
                <w:color w:val="auto"/>
              </w:rPr>
            </w:pPr>
          </w:p>
        </w:tc>
        <w:tc>
          <w:tcPr>
            <w:tcW w:w="220" w:type="dxa"/>
            <w:vAlign w:val="bottom"/>
            <w:shd w:val="clear" w:color="auto" w:fill="D9DCE1"/>
          </w:tcPr>
          <w:p>
            <w:pPr>
              <w:jc w:val="right"/>
              <w:spacing w:after="0" w:line="95" w:lineRule="exact"/>
              <w:rPr>
                <w:sz w:val="20"/>
                <w:szCs w:val="20"/>
                <w:color w:val="auto"/>
              </w:rPr>
            </w:pPr>
            <w:r>
              <w:rPr>
                <w:rFonts w:ascii="Arial" w:cs="Arial" w:eastAsia="Arial" w:hAnsi="Arial"/>
                <w:sz w:val="10"/>
                <w:szCs w:val="10"/>
                <w:color w:val="auto"/>
              </w:rPr>
              <w:t>​​ ​</w:t>
            </w:r>
          </w:p>
        </w:tc>
        <w:tc>
          <w:tcPr>
            <w:tcW w:w="400" w:type="dxa"/>
            <w:vAlign w:val="bottom"/>
            <w:vMerge w:val="continue"/>
            <w:shd w:val="clear" w:color="auto" w:fill="D9DCE1"/>
          </w:tcPr>
          <w:p>
            <w:pPr>
              <w:spacing w:after="0"/>
              <w:rPr>
                <w:sz w:val="8"/>
                <w:szCs w:val="8"/>
                <w:color w:val="auto"/>
              </w:rPr>
            </w:pPr>
          </w:p>
        </w:tc>
        <w:tc>
          <w:tcPr>
            <w:tcW w:w="400" w:type="dxa"/>
            <w:vAlign w:val="bottom"/>
            <w:vMerge w:val="continue"/>
            <w:shd w:val="clear" w:color="auto" w:fill="D9DCE1"/>
          </w:tcPr>
          <w:p>
            <w:pPr>
              <w:spacing w:after="0"/>
              <w:rPr>
                <w:sz w:val="8"/>
                <w:szCs w:val="8"/>
                <w:color w:val="auto"/>
              </w:rPr>
            </w:pPr>
          </w:p>
        </w:tc>
        <w:tc>
          <w:tcPr>
            <w:tcW w:w="320" w:type="dxa"/>
            <w:vAlign w:val="bottom"/>
            <w:vMerge w:val="continue"/>
            <w:shd w:val="clear" w:color="auto" w:fill="D9DCE1"/>
          </w:tcPr>
          <w:p>
            <w:pPr>
              <w:spacing w:after="0"/>
              <w:rPr>
                <w:sz w:val="8"/>
                <w:szCs w:val="8"/>
                <w:color w:val="auto"/>
              </w:rPr>
            </w:pPr>
          </w:p>
        </w:tc>
        <w:tc>
          <w:tcPr>
            <w:tcW w:w="900" w:type="dxa"/>
            <w:vAlign w:val="bottom"/>
            <w:vMerge w:val="continue"/>
            <w:shd w:val="clear" w:color="auto" w:fill="D9DCE1"/>
          </w:tcPr>
          <w:p>
            <w:pPr>
              <w:spacing w:after="0"/>
              <w:rPr>
                <w:sz w:val="8"/>
                <w:szCs w:val="8"/>
                <w:color w:val="auto"/>
              </w:rPr>
            </w:pPr>
          </w:p>
        </w:tc>
        <w:tc>
          <w:tcPr>
            <w:tcW w:w="380" w:type="dxa"/>
            <w:vAlign w:val="bottom"/>
            <w:vMerge w:val="continue"/>
            <w:shd w:val="clear" w:color="auto" w:fill="D9DCE1"/>
          </w:tcPr>
          <w:p>
            <w:pPr>
              <w:spacing w:after="0"/>
              <w:rPr>
                <w:sz w:val="8"/>
                <w:szCs w:val="8"/>
                <w:color w:val="auto"/>
              </w:rPr>
            </w:pPr>
          </w:p>
        </w:tc>
        <w:tc>
          <w:tcPr>
            <w:tcW w:w="440" w:type="dxa"/>
            <w:vAlign w:val="bottom"/>
            <w:vMerge w:val="continue"/>
            <w:shd w:val="clear" w:color="auto" w:fill="D9DCE1"/>
          </w:tcPr>
          <w:p>
            <w:pPr>
              <w:spacing w:after="0"/>
              <w:rPr>
                <w:sz w:val="8"/>
                <w:szCs w:val="8"/>
                <w:color w:val="auto"/>
              </w:rPr>
            </w:pPr>
          </w:p>
        </w:tc>
        <w:tc>
          <w:tcPr>
            <w:tcW w:w="300" w:type="dxa"/>
            <w:vAlign w:val="bottom"/>
            <w:vMerge w:val="continue"/>
            <w:shd w:val="clear" w:color="auto" w:fill="D9DCE1"/>
          </w:tcPr>
          <w:p>
            <w:pPr>
              <w:spacing w:after="0"/>
              <w:rPr>
                <w:sz w:val="8"/>
                <w:szCs w:val="8"/>
                <w:color w:val="auto"/>
              </w:rPr>
            </w:pPr>
          </w:p>
        </w:tc>
        <w:tc>
          <w:tcPr>
            <w:tcW w:w="940" w:type="dxa"/>
            <w:vAlign w:val="bottom"/>
            <w:vMerge w:val="continue"/>
            <w:shd w:val="clear" w:color="auto" w:fill="D9DCE1"/>
          </w:tcPr>
          <w:p>
            <w:pPr>
              <w:spacing w:after="0"/>
              <w:rPr>
                <w:sz w:val="8"/>
                <w:szCs w:val="8"/>
                <w:color w:val="auto"/>
              </w:rPr>
            </w:pPr>
          </w:p>
        </w:tc>
        <w:tc>
          <w:tcPr>
            <w:tcW w:w="360" w:type="dxa"/>
            <w:vAlign w:val="bottom"/>
            <w:vMerge w:val="continue"/>
            <w:shd w:val="clear" w:color="auto" w:fill="D9DCE1"/>
          </w:tcPr>
          <w:p>
            <w:pPr>
              <w:spacing w:after="0"/>
              <w:rPr>
                <w:sz w:val="8"/>
                <w:szCs w:val="8"/>
                <w:color w:val="auto"/>
              </w:rPr>
            </w:pPr>
          </w:p>
        </w:tc>
        <w:tc>
          <w:tcPr>
            <w:tcW w:w="460" w:type="dxa"/>
            <w:vAlign w:val="bottom"/>
            <w:vMerge w:val="continue"/>
            <w:shd w:val="clear" w:color="auto" w:fill="D9DCE1"/>
          </w:tcPr>
          <w:p>
            <w:pPr>
              <w:spacing w:after="0"/>
              <w:rPr>
                <w:sz w:val="8"/>
                <w:szCs w:val="8"/>
                <w:color w:val="auto"/>
              </w:rPr>
            </w:pPr>
          </w:p>
        </w:tc>
        <w:tc>
          <w:tcPr>
            <w:tcW w:w="200" w:type="dxa"/>
            <w:vAlign w:val="bottom"/>
            <w:vMerge w:val="continue"/>
            <w:shd w:val="clear" w:color="auto" w:fill="D9DCE1"/>
          </w:tcPr>
          <w:p>
            <w:pPr>
              <w:spacing w:after="0"/>
              <w:rPr>
                <w:sz w:val="8"/>
                <w:szCs w:val="8"/>
                <w:color w:val="auto"/>
              </w:rPr>
            </w:pPr>
          </w:p>
        </w:tc>
        <w:tc>
          <w:tcPr>
            <w:tcW w:w="340" w:type="dxa"/>
            <w:vAlign w:val="bottom"/>
            <w:vMerge w:val="continue"/>
            <w:shd w:val="clear" w:color="auto" w:fill="D9DCE1"/>
          </w:tcPr>
          <w:p>
            <w:pPr>
              <w:spacing w:after="0"/>
              <w:rPr>
                <w:sz w:val="8"/>
                <w:szCs w:val="8"/>
                <w:color w:val="auto"/>
              </w:rPr>
            </w:pPr>
          </w:p>
        </w:tc>
        <w:tc>
          <w:tcPr>
            <w:tcW w:w="460" w:type="dxa"/>
            <w:vAlign w:val="bottom"/>
            <w:vMerge w:val="continue"/>
            <w:shd w:val="clear" w:color="auto" w:fill="D9DCE1"/>
          </w:tcPr>
          <w:p>
            <w:pPr>
              <w:spacing w:after="0"/>
              <w:rPr>
                <w:sz w:val="8"/>
                <w:szCs w:val="8"/>
                <w:color w:val="auto"/>
              </w:rPr>
            </w:pPr>
          </w:p>
        </w:tc>
        <w:tc>
          <w:tcPr>
            <w:tcW w:w="120" w:type="dxa"/>
            <w:vAlign w:val="bottom"/>
            <w:vMerge w:val="continue"/>
            <w:shd w:val="clear" w:color="auto" w:fill="D9DCE1"/>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520" w:type="dxa"/>
            <w:vAlign w:val="bottom"/>
            <w:gridSpan w:val="2"/>
            <w:vMerge w:val="restart"/>
          </w:tcPr>
          <w:p>
            <w:pPr>
              <w:ind w:left="40"/>
              <w:spacing w:after="0"/>
              <w:rPr>
                <w:sz w:val="20"/>
                <w:szCs w:val="20"/>
                <w:color w:val="auto"/>
              </w:rPr>
            </w:pPr>
            <w:r>
              <w:rPr>
                <w:rFonts w:ascii="Arial" w:cs="Arial" w:eastAsia="Arial" w:hAnsi="Arial"/>
                <w:sz w:val="14"/>
                <w:szCs w:val="14"/>
                <w:color w:val="auto"/>
              </w:rPr>
              <w:t>​Kevin S. McCarthy</w:t>
            </w:r>
          </w:p>
        </w:tc>
        <w:tc>
          <w:tcPr>
            <w:tcW w:w="280" w:type="dxa"/>
            <w:vAlign w:val="bottom"/>
            <w:vMerge w:val="restart"/>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99,069</w:t>
            </w:r>
          </w:p>
        </w:tc>
        <w:tc>
          <w:tcPr>
            <w:tcW w:w="220" w:type="dxa"/>
            <w:vAlign w:val="bottom"/>
          </w:tcPr>
          <w:p>
            <w:pPr>
              <w:jc w:val="right"/>
              <w:ind w:right="63"/>
              <w:spacing w:after="0"/>
              <w:rPr>
                <w:sz w:val="20"/>
                <w:szCs w:val="20"/>
                <w:color w:val="auto"/>
              </w:rPr>
            </w:pPr>
            <w:r>
              <w:rPr>
                <w:rFonts w:ascii="Arial" w:cs="Arial" w:eastAsia="Arial" w:hAnsi="Arial"/>
                <w:sz w:val="9"/>
                <w:szCs w:val="9"/>
                <w:color w:val="auto"/>
                <w:w w:val="72"/>
              </w:rPr>
              <w:t>(6)</w:t>
            </w:r>
          </w:p>
        </w:tc>
        <w:tc>
          <w:tcPr>
            <w:tcW w:w="4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3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200,000​​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52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jc w:val="right"/>
              <w:spacing w:after="0" w:line="95" w:lineRule="exact"/>
              <w:rPr>
                <w:sz w:val="20"/>
                <w:szCs w:val="20"/>
                <w:color w:val="auto"/>
              </w:rPr>
            </w:pPr>
            <w:r>
              <w:rPr>
                <w:rFonts w:ascii="Arial" w:cs="Arial" w:eastAsia="Arial" w:hAnsi="Arial"/>
                <w:sz w:val="10"/>
                <w:szCs w:val="10"/>
                <w:color w:val="auto"/>
              </w:rPr>
              <w:t>​​ ​</w:t>
            </w:r>
          </w:p>
        </w:tc>
        <w:tc>
          <w:tcPr>
            <w:tcW w:w="40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520" w:type="dxa"/>
            <w:vAlign w:val="bottom"/>
            <w:gridSpan w:val="2"/>
            <w:vMerge w:val="restart"/>
            <w:shd w:val="clear" w:color="auto" w:fill="D9DCE1"/>
          </w:tcPr>
          <w:p>
            <w:pPr>
              <w:ind w:left="40"/>
              <w:spacing w:after="0"/>
              <w:rPr>
                <w:sz w:val="20"/>
                <w:szCs w:val="20"/>
                <w:color w:val="auto"/>
              </w:rPr>
            </w:pPr>
            <w:r>
              <w:rPr>
                <w:rFonts w:ascii="Arial" w:cs="Arial" w:eastAsia="Arial" w:hAnsi="Arial"/>
                <w:sz w:val="14"/>
                <w:szCs w:val="14"/>
                <w:color w:val="auto"/>
              </w:rPr>
              <w:t>​Gary R. Petersen</w:t>
            </w:r>
          </w:p>
        </w:tc>
        <w:tc>
          <w:tcPr>
            <w:tcW w:w="280" w:type="dxa"/>
            <w:vAlign w:val="bottom"/>
            <w:vMerge w:val="restart"/>
            <w:shd w:val="clear" w:color="auto" w:fill="D9DCE1"/>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68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8,634</w:t>
            </w:r>
          </w:p>
        </w:tc>
        <w:tc>
          <w:tcPr>
            <w:tcW w:w="220" w:type="dxa"/>
            <w:vAlign w:val="bottom"/>
            <w:shd w:val="clear" w:color="auto" w:fill="D9DCE1"/>
          </w:tcPr>
          <w:p>
            <w:pPr>
              <w:jc w:val="right"/>
              <w:ind w:right="63"/>
              <w:spacing w:after="0"/>
              <w:rPr>
                <w:sz w:val="20"/>
                <w:szCs w:val="20"/>
                <w:color w:val="auto"/>
              </w:rPr>
            </w:pPr>
            <w:r>
              <w:rPr>
                <w:rFonts w:ascii="Arial" w:cs="Arial" w:eastAsia="Arial" w:hAnsi="Arial"/>
                <w:sz w:val="9"/>
                <w:szCs w:val="9"/>
                <w:color w:val="auto"/>
                <w:w w:val="72"/>
              </w:rPr>
              <w:t>(6)</w:t>
            </w:r>
          </w:p>
        </w:tc>
        <w:tc>
          <w:tcPr>
            <w:tcW w:w="400" w:type="dxa"/>
            <w:vAlign w:val="bottom"/>
            <w:vMerge w:val="restart"/>
            <w:shd w:val="clear" w:color="auto" w:fill="D9DCE1"/>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D9DCE1"/>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 ​​ ​</w:t>
            </w:r>
          </w:p>
        </w:tc>
        <w:tc>
          <w:tcPr>
            <w:tcW w:w="380" w:type="dxa"/>
            <w:vAlign w:val="bottom"/>
            <w:vMerge w:val="restart"/>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shd w:val="clear" w:color="auto" w:fill="D9DCE1"/>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25,425,320​​ ​</w:t>
            </w:r>
          </w:p>
        </w:tc>
        <w:tc>
          <w:tcPr>
            <w:tcW w:w="820" w:type="dxa"/>
            <w:vAlign w:val="bottom"/>
            <w:gridSpan w:val="2"/>
            <w:vMerge w:val="restart"/>
            <w:shd w:val="clear" w:color="auto" w:fill="D9DCE1"/>
          </w:tcPr>
          <w:p>
            <w:pPr>
              <w:ind w:left="2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4.8%</w:t>
            </w:r>
          </w:p>
        </w:tc>
        <w:tc>
          <w:tcPr>
            <w:tcW w:w="200" w:type="dxa"/>
            <w:vAlign w:val="bottom"/>
            <w:vMerge w:val="restart"/>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shd w:val="clear" w:color="auto" w:fill="D9DCE1"/>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520" w:type="dxa"/>
            <w:vAlign w:val="bottom"/>
            <w:gridSpan w:val="2"/>
            <w:vMerge w:val="continue"/>
            <w:shd w:val="clear" w:color="auto" w:fill="D9DCE1"/>
          </w:tcPr>
          <w:p>
            <w:pPr>
              <w:spacing w:after="0"/>
              <w:rPr>
                <w:sz w:val="8"/>
                <w:szCs w:val="8"/>
                <w:color w:val="auto"/>
              </w:rPr>
            </w:pPr>
          </w:p>
        </w:tc>
        <w:tc>
          <w:tcPr>
            <w:tcW w:w="280" w:type="dxa"/>
            <w:vAlign w:val="bottom"/>
            <w:vMerge w:val="continue"/>
            <w:shd w:val="clear" w:color="auto" w:fill="D9DCE1"/>
          </w:tcPr>
          <w:p>
            <w:pPr>
              <w:spacing w:after="0"/>
              <w:rPr>
                <w:sz w:val="8"/>
                <w:szCs w:val="8"/>
                <w:color w:val="auto"/>
              </w:rPr>
            </w:pPr>
          </w:p>
        </w:tc>
        <w:tc>
          <w:tcPr>
            <w:tcW w:w="680" w:type="dxa"/>
            <w:vAlign w:val="bottom"/>
            <w:vMerge w:val="continue"/>
            <w:shd w:val="clear" w:color="auto" w:fill="D9DCE1"/>
          </w:tcPr>
          <w:p>
            <w:pPr>
              <w:spacing w:after="0"/>
              <w:rPr>
                <w:sz w:val="8"/>
                <w:szCs w:val="8"/>
                <w:color w:val="auto"/>
              </w:rPr>
            </w:pPr>
          </w:p>
        </w:tc>
        <w:tc>
          <w:tcPr>
            <w:tcW w:w="220" w:type="dxa"/>
            <w:vAlign w:val="bottom"/>
            <w:shd w:val="clear" w:color="auto" w:fill="D9DCE1"/>
          </w:tcPr>
          <w:p>
            <w:pPr>
              <w:jc w:val="right"/>
              <w:spacing w:after="0" w:line="95" w:lineRule="exact"/>
              <w:rPr>
                <w:sz w:val="20"/>
                <w:szCs w:val="20"/>
                <w:color w:val="auto"/>
              </w:rPr>
            </w:pPr>
            <w:r>
              <w:rPr>
                <w:rFonts w:ascii="Arial" w:cs="Arial" w:eastAsia="Arial" w:hAnsi="Arial"/>
                <w:sz w:val="10"/>
                <w:szCs w:val="10"/>
                <w:color w:val="auto"/>
              </w:rPr>
              <w:t>​​ ​</w:t>
            </w:r>
          </w:p>
        </w:tc>
        <w:tc>
          <w:tcPr>
            <w:tcW w:w="400" w:type="dxa"/>
            <w:vAlign w:val="bottom"/>
            <w:vMerge w:val="continue"/>
            <w:shd w:val="clear" w:color="auto" w:fill="D9DCE1"/>
          </w:tcPr>
          <w:p>
            <w:pPr>
              <w:spacing w:after="0"/>
              <w:rPr>
                <w:sz w:val="8"/>
                <w:szCs w:val="8"/>
                <w:color w:val="auto"/>
              </w:rPr>
            </w:pPr>
          </w:p>
        </w:tc>
        <w:tc>
          <w:tcPr>
            <w:tcW w:w="400" w:type="dxa"/>
            <w:vAlign w:val="bottom"/>
            <w:vMerge w:val="continue"/>
            <w:shd w:val="clear" w:color="auto" w:fill="D9DCE1"/>
          </w:tcPr>
          <w:p>
            <w:pPr>
              <w:spacing w:after="0"/>
              <w:rPr>
                <w:sz w:val="8"/>
                <w:szCs w:val="8"/>
                <w:color w:val="auto"/>
              </w:rPr>
            </w:pPr>
          </w:p>
        </w:tc>
        <w:tc>
          <w:tcPr>
            <w:tcW w:w="320" w:type="dxa"/>
            <w:vAlign w:val="bottom"/>
            <w:vMerge w:val="continue"/>
            <w:shd w:val="clear" w:color="auto" w:fill="D9DCE1"/>
          </w:tcPr>
          <w:p>
            <w:pPr>
              <w:spacing w:after="0"/>
              <w:rPr>
                <w:sz w:val="8"/>
                <w:szCs w:val="8"/>
                <w:color w:val="auto"/>
              </w:rPr>
            </w:pPr>
          </w:p>
        </w:tc>
        <w:tc>
          <w:tcPr>
            <w:tcW w:w="900" w:type="dxa"/>
            <w:vAlign w:val="bottom"/>
            <w:vMerge w:val="continue"/>
            <w:shd w:val="clear" w:color="auto" w:fill="D9DCE1"/>
          </w:tcPr>
          <w:p>
            <w:pPr>
              <w:spacing w:after="0"/>
              <w:rPr>
                <w:sz w:val="8"/>
                <w:szCs w:val="8"/>
                <w:color w:val="auto"/>
              </w:rPr>
            </w:pPr>
          </w:p>
        </w:tc>
        <w:tc>
          <w:tcPr>
            <w:tcW w:w="380" w:type="dxa"/>
            <w:vAlign w:val="bottom"/>
            <w:vMerge w:val="continue"/>
            <w:shd w:val="clear" w:color="auto" w:fill="D9DCE1"/>
          </w:tcPr>
          <w:p>
            <w:pPr>
              <w:spacing w:after="0"/>
              <w:rPr>
                <w:sz w:val="8"/>
                <w:szCs w:val="8"/>
                <w:color w:val="auto"/>
              </w:rPr>
            </w:pPr>
          </w:p>
        </w:tc>
        <w:tc>
          <w:tcPr>
            <w:tcW w:w="440" w:type="dxa"/>
            <w:vAlign w:val="bottom"/>
            <w:vMerge w:val="continue"/>
            <w:shd w:val="clear" w:color="auto" w:fill="D9DCE1"/>
          </w:tcPr>
          <w:p>
            <w:pPr>
              <w:spacing w:after="0"/>
              <w:rPr>
                <w:sz w:val="8"/>
                <w:szCs w:val="8"/>
                <w:color w:val="auto"/>
              </w:rPr>
            </w:pPr>
          </w:p>
        </w:tc>
        <w:tc>
          <w:tcPr>
            <w:tcW w:w="300" w:type="dxa"/>
            <w:vAlign w:val="bottom"/>
            <w:vMerge w:val="continue"/>
            <w:shd w:val="clear" w:color="auto" w:fill="D9DCE1"/>
          </w:tcPr>
          <w:p>
            <w:pPr>
              <w:spacing w:after="0"/>
              <w:rPr>
                <w:sz w:val="8"/>
                <w:szCs w:val="8"/>
                <w:color w:val="auto"/>
              </w:rPr>
            </w:pPr>
          </w:p>
        </w:tc>
        <w:tc>
          <w:tcPr>
            <w:tcW w:w="940" w:type="dxa"/>
            <w:vAlign w:val="bottom"/>
            <w:vMerge w:val="continue"/>
            <w:shd w:val="clear" w:color="auto" w:fill="D9DCE1"/>
          </w:tcPr>
          <w:p>
            <w:pPr>
              <w:spacing w:after="0"/>
              <w:rPr>
                <w:sz w:val="8"/>
                <w:szCs w:val="8"/>
                <w:color w:val="auto"/>
              </w:rPr>
            </w:pPr>
          </w:p>
        </w:tc>
        <w:tc>
          <w:tcPr>
            <w:tcW w:w="820" w:type="dxa"/>
            <w:vAlign w:val="bottom"/>
            <w:gridSpan w:val="2"/>
            <w:vMerge w:val="continue"/>
            <w:shd w:val="clear" w:color="auto" w:fill="D9DCE1"/>
          </w:tcPr>
          <w:p>
            <w:pPr>
              <w:spacing w:after="0"/>
              <w:rPr>
                <w:sz w:val="8"/>
                <w:szCs w:val="8"/>
                <w:color w:val="auto"/>
              </w:rPr>
            </w:pPr>
          </w:p>
        </w:tc>
        <w:tc>
          <w:tcPr>
            <w:tcW w:w="200" w:type="dxa"/>
            <w:vAlign w:val="bottom"/>
            <w:vMerge w:val="continue"/>
            <w:shd w:val="clear" w:color="auto" w:fill="D9DCE1"/>
          </w:tcPr>
          <w:p>
            <w:pPr>
              <w:spacing w:after="0"/>
              <w:rPr>
                <w:sz w:val="8"/>
                <w:szCs w:val="8"/>
                <w:color w:val="auto"/>
              </w:rPr>
            </w:pPr>
          </w:p>
        </w:tc>
        <w:tc>
          <w:tcPr>
            <w:tcW w:w="340" w:type="dxa"/>
            <w:vAlign w:val="bottom"/>
            <w:vMerge w:val="continue"/>
            <w:shd w:val="clear" w:color="auto" w:fill="D9DCE1"/>
          </w:tcPr>
          <w:p>
            <w:pPr>
              <w:spacing w:after="0"/>
              <w:rPr>
                <w:sz w:val="8"/>
                <w:szCs w:val="8"/>
                <w:color w:val="auto"/>
              </w:rPr>
            </w:pPr>
          </w:p>
        </w:tc>
        <w:tc>
          <w:tcPr>
            <w:tcW w:w="460" w:type="dxa"/>
            <w:vAlign w:val="bottom"/>
            <w:vMerge w:val="continue"/>
            <w:shd w:val="clear" w:color="auto" w:fill="D9DCE1"/>
          </w:tcPr>
          <w:p>
            <w:pPr>
              <w:spacing w:after="0"/>
              <w:rPr>
                <w:sz w:val="8"/>
                <w:szCs w:val="8"/>
                <w:color w:val="auto"/>
              </w:rPr>
            </w:pPr>
          </w:p>
        </w:tc>
        <w:tc>
          <w:tcPr>
            <w:tcW w:w="120" w:type="dxa"/>
            <w:vAlign w:val="bottom"/>
            <w:vMerge w:val="continue"/>
            <w:shd w:val="clear" w:color="auto" w:fill="D9DCE1"/>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520" w:type="dxa"/>
            <w:vAlign w:val="bottom"/>
            <w:gridSpan w:val="2"/>
            <w:vMerge w:val="restart"/>
          </w:tcPr>
          <w:p>
            <w:pPr>
              <w:ind w:left="40"/>
              <w:spacing w:after="0"/>
              <w:rPr>
                <w:sz w:val="20"/>
                <w:szCs w:val="20"/>
                <w:color w:val="auto"/>
              </w:rPr>
            </w:pPr>
            <w:r>
              <w:rPr>
                <w:rFonts w:ascii="Arial" w:cs="Arial" w:eastAsia="Arial" w:hAnsi="Arial"/>
                <w:sz w:val="14"/>
                <w:szCs w:val="14"/>
                <w:color w:val="auto"/>
              </w:rPr>
              <w:t>​Alexandra D. Pruner</w:t>
            </w:r>
          </w:p>
        </w:tc>
        <w:tc>
          <w:tcPr>
            <w:tcW w:w="280" w:type="dxa"/>
            <w:vAlign w:val="bottom"/>
            <w:vMerge w:val="restart"/>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21,384</w:t>
            </w:r>
          </w:p>
        </w:tc>
        <w:tc>
          <w:tcPr>
            <w:tcW w:w="220" w:type="dxa"/>
            <w:vAlign w:val="bottom"/>
          </w:tcPr>
          <w:p>
            <w:pPr>
              <w:jc w:val="right"/>
              <w:ind w:right="63"/>
              <w:spacing w:after="0"/>
              <w:rPr>
                <w:sz w:val="20"/>
                <w:szCs w:val="20"/>
                <w:color w:val="auto"/>
              </w:rPr>
            </w:pPr>
            <w:r>
              <w:rPr>
                <w:rFonts w:ascii="Arial" w:cs="Arial" w:eastAsia="Arial" w:hAnsi="Arial"/>
                <w:sz w:val="9"/>
                <w:szCs w:val="9"/>
                <w:color w:val="auto"/>
                <w:w w:val="72"/>
              </w:rPr>
              <w:t>(6)</w:t>
            </w:r>
          </w:p>
        </w:tc>
        <w:tc>
          <w:tcPr>
            <w:tcW w:w="4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3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4"/>
        </w:trPr>
        <w:tc>
          <w:tcPr>
            <w:tcW w:w="252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jc w:val="right"/>
              <w:spacing w:after="0" w:line="95" w:lineRule="exact"/>
              <w:rPr>
                <w:sz w:val="20"/>
                <w:szCs w:val="20"/>
                <w:color w:val="auto"/>
              </w:rPr>
            </w:pPr>
            <w:r>
              <w:rPr>
                <w:rFonts w:ascii="Arial" w:cs="Arial" w:eastAsia="Arial" w:hAnsi="Arial"/>
                <w:sz w:val="10"/>
                <w:szCs w:val="10"/>
                <w:color w:val="auto"/>
              </w:rPr>
              <w:t>​​ ​</w:t>
            </w:r>
          </w:p>
        </w:tc>
        <w:tc>
          <w:tcPr>
            <w:tcW w:w="40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520" w:type="dxa"/>
            <w:vAlign w:val="bottom"/>
            <w:gridSpan w:val="2"/>
            <w:vMerge w:val="restart"/>
            <w:shd w:val="clear" w:color="auto" w:fill="D9DCE1"/>
          </w:tcPr>
          <w:p>
            <w:pPr>
              <w:ind w:left="40"/>
              <w:spacing w:after="0"/>
              <w:rPr>
                <w:sz w:val="20"/>
                <w:szCs w:val="20"/>
                <w:color w:val="auto"/>
              </w:rPr>
            </w:pPr>
            <w:r>
              <w:rPr>
                <w:rFonts w:ascii="Arial" w:cs="Arial" w:eastAsia="Arial" w:hAnsi="Arial"/>
                <w:sz w:val="14"/>
                <w:szCs w:val="14"/>
                <w:color w:val="auto"/>
              </w:rPr>
              <w:t>​John T. Raymond</w:t>
            </w:r>
          </w:p>
        </w:tc>
        <w:tc>
          <w:tcPr>
            <w:tcW w:w="280" w:type="dxa"/>
            <w:vAlign w:val="bottom"/>
            <w:vMerge w:val="restart"/>
            <w:shd w:val="clear" w:color="auto" w:fill="D9DCE1"/>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68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256,934</w:t>
            </w:r>
          </w:p>
        </w:tc>
        <w:tc>
          <w:tcPr>
            <w:tcW w:w="220" w:type="dxa"/>
            <w:vAlign w:val="bottom"/>
            <w:shd w:val="clear" w:color="auto" w:fill="D9DCE1"/>
          </w:tcPr>
          <w:p>
            <w:pPr>
              <w:jc w:val="right"/>
              <w:ind w:right="63"/>
              <w:spacing w:after="0"/>
              <w:rPr>
                <w:sz w:val="20"/>
                <w:szCs w:val="20"/>
                <w:color w:val="auto"/>
              </w:rPr>
            </w:pPr>
            <w:r>
              <w:rPr>
                <w:rFonts w:ascii="Arial" w:cs="Arial" w:eastAsia="Arial" w:hAnsi="Arial"/>
                <w:sz w:val="9"/>
                <w:szCs w:val="9"/>
                <w:color w:val="auto"/>
                <w:w w:val="72"/>
              </w:rPr>
              <w:t>(6)</w:t>
            </w:r>
          </w:p>
        </w:tc>
        <w:tc>
          <w:tcPr>
            <w:tcW w:w="400" w:type="dxa"/>
            <w:vAlign w:val="bottom"/>
            <w:vMerge w:val="restart"/>
            <w:shd w:val="clear" w:color="auto" w:fill="D9DCE1"/>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320" w:type="dxa"/>
            <w:vAlign w:val="bottom"/>
            <w:shd w:val="clear" w:color="auto" w:fill="D9DCE1"/>
          </w:tcPr>
          <w:p>
            <w:pPr>
              <w:spacing w:after="0"/>
              <w:rPr>
                <w:sz w:val="11"/>
                <w:szCs w:val="11"/>
                <w:color w:val="auto"/>
              </w:rPr>
            </w:pPr>
          </w:p>
        </w:tc>
        <w:tc>
          <w:tcPr>
            <w:tcW w:w="900" w:type="dxa"/>
            <w:vAlign w:val="bottom"/>
            <w:shd w:val="clear" w:color="auto" w:fill="D9DCE1"/>
          </w:tcPr>
          <w:p>
            <w:pPr>
              <w:jc w:val="right"/>
              <w:ind w:right="50"/>
              <w:spacing w:after="0"/>
              <w:rPr>
                <w:sz w:val="20"/>
                <w:szCs w:val="20"/>
                <w:color w:val="auto"/>
              </w:rPr>
            </w:pPr>
            <w:r>
              <w:rPr>
                <w:rFonts w:ascii="Arial" w:cs="Arial" w:eastAsia="Arial" w:hAnsi="Arial"/>
                <w:sz w:val="9"/>
                <w:szCs w:val="9"/>
                <w:color w:val="auto"/>
              </w:rPr>
              <w:t>(7)</w:t>
            </w:r>
          </w:p>
        </w:tc>
        <w:tc>
          <w:tcPr>
            <w:tcW w:w="820" w:type="dxa"/>
            <w:vAlign w:val="bottom"/>
            <w:gridSpan w:val="2"/>
            <w:vMerge w:val="restart"/>
            <w:shd w:val="clear" w:color="auto" w:fill="D9DCE1"/>
          </w:tcPr>
          <w:p>
            <w:pPr>
              <w:ind w:left="2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24.6%</w:t>
            </w:r>
          </w:p>
        </w:tc>
        <w:tc>
          <w:tcPr>
            <w:tcW w:w="300" w:type="dxa"/>
            <w:vAlign w:val="bottom"/>
            <w:vMerge w:val="restart"/>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21,978,875​​ ​</w:t>
            </w:r>
          </w:p>
        </w:tc>
        <w:tc>
          <w:tcPr>
            <w:tcW w:w="820" w:type="dxa"/>
            <w:vAlign w:val="bottom"/>
            <w:gridSpan w:val="2"/>
            <w:vMerge w:val="restart"/>
            <w:shd w:val="clear" w:color="auto" w:fill="D9DCE1"/>
          </w:tcPr>
          <w:p>
            <w:pPr>
              <w:ind w:left="2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4.2%</w:t>
            </w:r>
          </w:p>
        </w:tc>
        <w:tc>
          <w:tcPr>
            <w:tcW w:w="200" w:type="dxa"/>
            <w:vAlign w:val="bottom"/>
            <w:vMerge w:val="restart"/>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shd w:val="clear" w:color="auto" w:fill="D9DCE1"/>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520" w:type="dxa"/>
            <w:vAlign w:val="bottom"/>
            <w:gridSpan w:val="2"/>
            <w:vMerge w:val="continue"/>
            <w:shd w:val="clear" w:color="auto" w:fill="D9DCE1"/>
          </w:tcPr>
          <w:p>
            <w:pPr>
              <w:spacing w:after="0"/>
              <w:rPr>
                <w:sz w:val="8"/>
                <w:szCs w:val="8"/>
                <w:color w:val="auto"/>
              </w:rPr>
            </w:pPr>
          </w:p>
        </w:tc>
        <w:tc>
          <w:tcPr>
            <w:tcW w:w="280" w:type="dxa"/>
            <w:vAlign w:val="bottom"/>
            <w:vMerge w:val="continue"/>
            <w:shd w:val="clear" w:color="auto" w:fill="D9DCE1"/>
          </w:tcPr>
          <w:p>
            <w:pPr>
              <w:spacing w:after="0"/>
              <w:rPr>
                <w:sz w:val="8"/>
                <w:szCs w:val="8"/>
                <w:color w:val="auto"/>
              </w:rPr>
            </w:pPr>
          </w:p>
        </w:tc>
        <w:tc>
          <w:tcPr>
            <w:tcW w:w="680" w:type="dxa"/>
            <w:vAlign w:val="bottom"/>
            <w:vMerge w:val="continue"/>
            <w:shd w:val="clear" w:color="auto" w:fill="D9DCE1"/>
          </w:tcPr>
          <w:p>
            <w:pPr>
              <w:spacing w:after="0"/>
              <w:rPr>
                <w:sz w:val="8"/>
                <w:szCs w:val="8"/>
                <w:color w:val="auto"/>
              </w:rPr>
            </w:pPr>
          </w:p>
        </w:tc>
        <w:tc>
          <w:tcPr>
            <w:tcW w:w="220" w:type="dxa"/>
            <w:vAlign w:val="bottom"/>
            <w:shd w:val="clear" w:color="auto" w:fill="D9DCE1"/>
          </w:tcPr>
          <w:p>
            <w:pPr>
              <w:jc w:val="right"/>
              <w:spacing w:after="0" w:line="95" w:lineRule="exact"/>
              <w:rPr>
                <w:sz w:val="20"/>
                <w:szCs w:val="20"/>
                <w:color w:val="auto"/>
              </w:rPr>
            </w:pPr>
            <w:r>
              <w:rPr>
                <w:rFonts w:ascii="Arial" w:cs="Arial" w:eastAsia="Arial" w:hAnsi="Arial"/>
                <w:sz w:val="10"/>
                <w:szCs w:val="10"/>
                <w:color w:val="auto"/>
              </w:rPr>
              <w:t>​​ ​</w:t>
            </w:r>
          </w:p>
        </w:tc>
        <w:tc>
          <w:tcPr>
            <w:tcW w:w="400" w:type="dxa"/>
            <w:vAlign w:val="bottom"/>
            <w:vMerge w:val="continue"/>
            <w:shd w:val="clear" w:color="auto" w:fill="D9DCE1"/>
          </w:tcPr>
          <w:p>
            <w:pPr>
              <w:spacing w:after="0"/>
              <w:rPr>
                <w:sz w:val="8"/>
                <w:szCs w:val="8"/>
                <w:color w:val="auto"/>
              </w:rPr>
            </w:pPr>
          </w:p>
        </w:tc>
        <w:tc>
          <w:tcPr>
            <w:tcW w:w="400" w:type="dxa"/>
            <w:vAlign w:val="bottom"/>
            <w:vMerge w:val="continue"/>
            <w:shd w:val="clear" w:color="auto" w:fill="D9DCE1"/>
          </w:tcPr>
          <w:p>
            <w:pPr>
              <w:spacing w:after="0"/>
              <w:rPr>
                <w:sz w:val="8"/>
                <w:szCs w:val="8"/>
                <w:color w:val="auto"/>
              </w:rPr>
            </w:pPr>
          </w:p>
        </w:tc>
        <w:tc>
          <w:tcPr>
            <w:tcW w:w="1220" w:type="dxa"/>
            <w:vAlign w:val="bottom"/>
            <w:gridSpan w:val="2"/>
            <w:shd w:val="clear" w:color="auto" w:fill="D9DCE1"/>
          </w:tcPr>
          <w:p>
            <w:pPr>
              <w:jc w:val="right"/>
              <w:spacing w:after="0" w:line="95" w:lineRule="exact"/>
              <w:rPr>
                <w:sz w:val="20"/>
                <w:szCs w:val="20"/>
                <w:color w:val="auto"/>
              </w:rPr>
            </w:pPr>
            <w:r>
              <w:rPr>
                <w:rFonts w:ascii="Arial" w:cs="Arial" w:eastAsia="Arial" w:hAnsi="Arial"/>
                <w:sz w:val="10"/>
                <w:szCs w:val="10"/>
                <w:color w:val="auto"/>
              </w:rPr>
              <w:t xml:space="preserve">​​ ​ </w:t>
            </w:r>
            <w:r>
              <w:rPr>
                <w:rFonts w:ascii="Arial" w:cs="Arial" w:eastAsia="Arial" w:hAnsi="Arial"/>
                <w:sz w:val="10"/>
                <w:szCs w:val="10"/>
                <w:b w:val="1"/>
                <w:bCs w:val="1"/>
                <w:color w:val="auto"/>
              </w:rPr>
              <w:t>​</w:t>
            </w:r>
            <w:r>
              <w:rPr>
                <w:rFonts w:ascii="Arial" w:cs="Arial" w:eastAsia="Arial" w:hAnsi="Arial"/>
                <w:sz w:val="10"/>
                <w:szCs w:val="10"/>
                <w:color w:val="auto"/>
              </w:rPr>
              <w:t>11,458,736 ​​ ​</w:t>
            </w:r>
          </w:p>
        </w:tc>
        <w:tc>
          <w:tcPr>
            <w:tcW w:w="820" w:type="dxa"/>
            <w:vAlign w:val="bottom"/>
            <w:gridSpan w:val="2"/>
            <w:vMerge w:val="continue"/>
            <w:shd w:val="clear" w:color="auto" w:fill="D9DCE1"/>
          </w:tcPr>
          <w:p>
            <w:pPr>
              <w:spacing w:after="0"/>
              <w:rPr>
                <w:sz w:val="8"/>
                <w:szCs w:val="8"/>
                <w:color w:val="auto"/>
              </w:rPr>
            </w:pPr>
          </w:p>
        </w:tc>
        <w:tc>
          <w:tcPr>
            <w:tcW w:w="300" w:type="dxa"/>
            <w:vAlign w:val="bottom"/>
            <w:vMerge w:val="continue"/>
            <w:shd w:val="clear" w:color="auto" w:fill="D9DCE1"/>
          </w:tcPr>
          <w:p>
            <w:pPr>
              <w:spacing w:after="0"/>
              <w:rPr>
                <w:sz w:val="8"/>
                <w:szCs w:val="8"/>
                <w:color w:val="auto"/>
              </w:rPr>
            </w:pPr>
          </w:p>
        </w:tc>
        <w:tc>
          <w:tcPr>
            <w:tcW w:w="940" w:type="dxa"/>
            <w:vAlign w:val="bottom"/>
            <w:vMerge w:val="continue"/>
            <w:shd w:val="clear" w:color="auto" w:fill="D9DCE1"/>
          </w:tcPr>
          <w:p>
            <w:pPr>
              <w:spacing w:after="0"/>
              <w:rPr>
                <w:sz w:val="8"/>
                <w:szCs w:val="8"/>
                <w:color w:val="auto"/>
              </w:rPr>
            </w:pPr>
          </w:p>
        </w:tc>
        <w:tc>
          <w:tcPr>
            <w:tcW w:w="820" w:type="dxa"/>
            <w:vAlign w:val="bottom"/>
            <w:gridSpan w:val="2"/>
            <w:vMerge w:val="continue"/>
            <w:shd w:val="clear" w:color="auto" w:fill="D9DCE1"/>
          </w:tcPr>
          <w:p>
            <w:pPr>
              <w:spacing w:after="0"/>
              <w:rPr>
                <w:sz w:val="8"/>
                <w:szCs w:val="8"/>
                <w:color w:val="auto"/>
              </w:rPr>
            </w:pPr>
          </w:p>
        </w:tc>
        <w:tc>
          <w:tcPr>
            <w:tcW w:w="200" w:type="dxa"/>
            <w:vAlign w:val="bottom"/>
            <w:vMerge w:val="continue"/>
            <w:shd w:val="clear" w:color="auto" w:fill="D9DCE1"/>
          </w:tcPr>
          <w:p>
            <w:pPr>
              <w:spacing w:after="0"/>
              <w:rPr>
                <w:sz w:val="8"/>
                <w:szCs w:val="8"/>
                <w:color w:val="auto"/>
              </w:rPr>
            </w:pPr>
          </w:p>
        </w:tc>
        <w:tc>
          <w:tcPr>
            <w:tcW w:w="340" w:type="dxa"/>
            <w:vAlign w:val="bottom"/>
            <w:vMerge w:val="continue"/>
            <w:shd w:val="clear" w:color="auto" w:fill="D9DCE1"/>
          </w:tcPr>
          <w:p>
            <w:pPr>
              <w:spacing w:after="0"/>
              <w:rPr>
                <w:sz w:val="8"/>
                <w:szCs w:val="8"/>
                <w:color w:val="auto"/>
              </w:rPr>
            </w:pPr>
          </w:p>
        </w:tc>
        <w:tc>
          <w:tcPr>
            <w:tcW w:w="460" w:type="dxa"/>
            <w:vAlign w:val="bottom"/>
            <w:vMerge w:val="continue"/>
            <w:shd w:val="clear" w:color="auto" w:fill="D9DCE1"/>
          </w:tcPr>
          <w:p>
            <w:pPr>
              <w:spacing w:after="0"/>
              <w:rPr>
                <w:sz w:val="8"/>
                <w:szCs w:val="8"/>
                <w:color w:val="auto"/>
              </w:rPr>
            </w:pPr>
          </w:p>
        </w:tc>
        <w:tc>
          <w:tcPr>
            <w:tcW w:w="120" w:type="dxa"/>
            <w:vAlign w:val="bottom"/>
            <w:vMerge w:val="continue"/>
            <w:shd w:val="clear" w:color="auto" w:fill="D9DCE1"/>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520" w:type="dxa"/>
            <w:vAlign w:val="bottom"/>
            <w:gridSpan w:val="2"/>
            <w:vMerge w:val="restart"/>
          </w:tcPr>
          <w:p>
            <w:pPr>
              <w:ind w:left="40"/>
              <w:spacing w:after="0"/>
              <w:rPr>
                <w:sz w:val="20"/>
                <w:szCs w:val="20"/>
                <w:color w:val="auto"/>
              </w:rPr>
            </w:pPr>
            <w:r>
              <w:rPr>
                <w:rFonts w:ascii="Arial" w:cs="Arial" w:eastAsia="Arial" w:hAnsi="Arial"/>
                <w:sz w:val="14"/>
                <w:szCs w:val="14"/>
                <w:color w:val="auto"/>
              </w:rPr>
              <w:t>​Bobby S. Shackouls</w:t>
            </w:r>
          </w:p>
        </w:tc>
        <w:tc>
          <w:tcPr>
            <w:tcW w:w="280" w:type="dxa"/>
            <w:vAlign w:val="bottom"/>
            <w:vMerge w:val="restart"/>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13,891</w:t>
            </w:r>
          </w:p>
        </w:tc>
        <w:tc>
          <w:tcPr>
            <w:tcW w:w="220" w:type="dxa"/>
            <w:vAlign w:val="bottom"/>
          </w:tcPr>
          <w:p>
            <w:pPr>
              <w:jc w:val="right"/>
              <w:ind w:right="63"/>
              <w:spacing w:after="0"/>
              <w:rPr>
                <w:sz w:val="20"/>
                <w:szCs w:val="20"/>
                <w:color w:val="auto"/>
              </w:rPr>
            </w:pPr>
            <w:r>
              <w:rPr>
                <w:rFonts w:ascii="Arial" w:cs="Arial" w:eastAsia="Arial" w:hAnsi="Arial"/>
                <w:sz w:val="9"/>
                <w:szCs w:val="9"/>
                <w:color w:val="auto"/>
                <w:w w:val="72"/>
              </w:rPr>
              <w:t>(6)</w:t>
            </w:r>
          </w:p>
        </w:tc>
        <w:tc>
          <w:tcPr>
            <w:tcW w:w="4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3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35,033​​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4"/>
        </w:trPr>
        <w:tc>
          <w:tcPr>
            <w:tcW w:w="252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jc w:val="right"/>
              <w:spacing w:after="0" w:line="95" w:lineRule="exact"/>
              <w:rPr>
                <w:sz w:val="20"/>
                <w:szCs w:val="20"/>
                <w:color w:val="auto"/>
              </w:rPr>
            </w:pPr>
            <w:r>
              <w:rPr>
                <w:rFonts w:ascii="Arial" w:cs="Arial" w:eastAsia="Arial" w:hAnsi="Arial"/>
                <w:sz w:val="10"/>
                <w:szCs w:val="10"/>
                <w:color w:val="auto"/>
              </w:rPr>
              <w:t>​​ ​</w:t>
            </w:r>
          </w:p>
        </w:tc>
        <w:tc>
          <w:tcPr>
            <w:tcW w:w="40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520" w:type="dxa"/>
            <w:vAlign w:val="bottom"/>
            <w:gridSpan w:val="2"/>
            <w:vMerge w:val="restart"/>
            <w:shd w:val="clear" w:color="auto" w:fill="D9DCE1"/>
          </w:tcPr>
          <w:p>
            <w:pPr>
              <w:ind w:left="40"/>
              <w:spacing w:after="0"/>
              <w:rPr>
                <w:sz w:val="20"/>
                <w:szCs w:val="20"/>
                <w:color w:val="auto"/>
              </w:rPr>
            </w:pPr>
            <w:r>
              <w:rPr>
                <w:rFonts w:ascii="Arial" w:cs="Arial" w:eastAsia="Arial" w:hAnsi="Arial"/>
                <w:sz w:val="14"/>
                <w:szCs w:val="14"/>
                <w:color w:val="auto"/>
              </w:rPr>
              <w:t>​Christopher M. Temple</w:t>
            </w:r>
          </w:p>
        </w:tc>
        <w:tc>
          <w:tcPr>
            <w:tcW w:w="280" w:type="dxa"/>
            <w:vAlign w:val="bottom"/>
            <w:vMerge w:val="restart"/>
            <w:shd w:val="clear" w:color="auto" w:fill="D9DCE1"/>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68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23,629</w:t>
            </w:r>
          </w:p>
        </w:tc>
        <w:tc>
          <w:tcPr>
            <w:tcW w:w="220" w:type="dxa"/>
            <w:vAlign w:val="bottom"/>
            <w:shd w:val="clear" w:color="auto" w:fill="D9DCE1"/>
          </w:tcPr>
          <w:p>
            <w:pPr>
              <w:jc w:val="right"/>
              <w:ind w:right="63"/>
              <w:spacing w:after="0"/>
              <w:rPr>
                <w:sz w:val="20"/>
                <w:szCs w:val="20"/>
                <w:color w:val="auto"/>
              </w:rPr>
            </w:pPr>
            <w:r>
              <w:rPr>
                <w:rFonts w:ascii="Arial" w:cs="Arial" w:eastAsia="Arial" w:hAnsi="Arial"/>
                <w:sz w:val="9"/>
                <w:szCs w:val="9"/>
                <w:color w:val="auto"/>
                <w:w w:val="72"/>
              </w:rPr>
              <w:t>(6)</w:t>
            </w:r>
          </w:p>
        </w:tc>
        <w:tc>
          <w:tcPr>
            <w:tcW w:w="400" w:type="dxa"/>
            <w:vAlign w:val="bottom"/>
            <w:vMerge w:val="restart"/>
            <w:shd w:val="clear" w:color="auto" w:fill="D9DCE1"/>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D9DCE1"/>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 ​​ ​</w:t>
            </w:r>
          </w:p>
        </w:tc>
        <w:tc>
          <w:tcPr>
            <w:tcW w:w="380" w:type="dxa"/>
            <w:vAlign w:val="bottom"/>
            <w:vMerge w:val="restart"/>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shd w:val="clear" w:color="auto" w:fill="D9DCE1"/>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60" w:type="dxa"/>
            <w:vAlign w:val="bottom"/>
            <w:vMerge w:val="restart"/>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shd w:val="clear" w:color="auto" w:fill="D9DCE1"/>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4"/>
        </w:trPr>
        <w:tc>
          <w:tcPr>
            <w:tcW w:w="2520" w:type="dxa"/>
            <w:vAlign w:val="bottom"/>
            <w:gridSpan w:val="2"/>
            <w:vMerge w:val="continue"/>
            <w:shd w:val="clear" w:color="auto" w:fill="D9DCE1"/>
          </w:tcPr>
          <w:p>
            <w:pPr>
              <w:spacing w:after="0"/>
              <w:rPr>
                <w:sz w:val="8"/>
                <w:szCs w:val="8"/>
                <w:color w:val="auto"/>
              </w:rPr>
            </w:pPr>
          </w:p>
        </w:tc>
        <w:tc>
          <w:tcPr>
            <w:tcW w:w="280" w:type="dxa"/>
            <w:vAlign w:val="bottom"/>
            <w:vMerge w:val="continue"/>
            <w:shd w:val="clear" w:color="auto" w:fill="D9DCE1"/>
          </w:tcPr>
          <w:p>
            <w:pPr>
              <w:spacing w:after="0"/>
              <w:rPr>
                <w:sz w:val="8"/>
                <w:szCs w:val="8"/>
                <w:color w:val="auto"/>
              </w:rPr>
            </w:pPr>
          </w:p>
        </w:tc>
        <w:tc>
          <w:tcPr>
            <w:tcW w:w="680" w:type="dxa"/>
            <w:vAlign w:val="bottom"/>
            <w:vMerge w:val="continue"/>
            <w:shd w:val="clear" w:color="auto" w:fill="D9DCE1"/>
          </w:tcPr>
          <w:p>
            <w:pPr>
              <w:spacing w:after="0"/>
              <w:rPr>
                <w:sz w:val="8"/>
                <w:szCs w:val="8"/>
                <w:color w:val="auto"/>
              </w:rPr>
            </w:pPr>
          </w:p>
        </w:tc>
        <w:tc>
          <w:tcPr>
            <w:tcW w:w="220" w:type="dxa"/>
            <w:vAlign w:val="bottom"/>
            <w:shd w:val="clear" w:color="auto" w:fill="D9DCE1"/>
          </w:tcPr>
          <w:p>
            <w:pPr>
              <w:jc w:val="right"/>
              <w:spacing w:after="0" w:line="95" w:lineRule="exact"/>
              <w:rPr>
                <w:sz w:val="20"/>
                <w:szCs w:val="20"/>
                <w:color w:val="auto"/>
              </w:rPr>
            </w:pPr>
            <w:r>
              <w:rPr>
                <w:rFonts w:ascii="Arial" w:cs="Arial" w:eastAsia="Arial" w:hAnsi="Arial"/>
                <w:sz w:val="10"/>
                <w:szCs w:val="10"/>
                <w:color w:val="auto"/>
              </w:rPr>
              <w:t>​​ ​</w:t>
            </w:r>
          </w:p>
        </w:tc>
        <w:tc>
          <w:tcPr>
            <w:tcW w:w="400" w:type="dxa"/>
            <w:vAlign w:val="bottom"/>
            <w:vMerge w:val="continue"/>
            <w:shd w:val="clear" w:color="auto" w:fill="D9DCE1"/>
          </w:tcPr>
          <w:p>
            <w:pPr>
              <w:spacing w:after="0"/>
              <w:rPr>
                <w:sz w:val="8"/>
                <w:szCs w:val="8"/>
                <w:color w:val="auto"/>
              </w:rPr>
            </w:pPr>
          </w:p>
        </w:tc>
        <w:tc>
          <w:tcPr>
            <w:tcW w:w="400" w:type="dxa"/>
            <w:vAlign w:val="bottom"/>
            <w:vMerge w:val="continue"/>
            <w:shd w:val="clear" w:color="auto" w:fill="D9DCE1"/>
          </w:tcPr>
          <w:p>
            <w:pPr>
              <w:spacing w:after="0"/>
              <w:rPr>
                <w:sz w:val="8"/>
                <w:szCs w:val="8"/>
                <w:color w:val="auto"/>
              </w:rPr>
            </w:pPr>
          </w:p>
        </w:tc>
        <w:tc>
          <w:tcPr>
            <w:tcW w:w="320" w:type="dxa"/>
            <w:vAlign w:val="bottom"/>
            <w:vMerge w:val="continue"/>
            <w:shd w:val="clear" w:color="auto" w:fill="D9DCE1"/>
          </w:tcPr>
          <w:p>
            <w:pPr>
              <w:spacing w:after="0"/>
              <w:rPr>
                <w:sz w:val="8"/>
                <w:szCs w:val="8"/>
                <w:color w:val="auto"/>
              </w:rPr>
            </w:pPr>
          </w:p>
        </w:tc>
        <w:tc>
          <w:tcPr>
            <w:tcW w:w="900" w:type="dxa"/>
            <w:vAlign w:val="bottom"/>
            <w:vMerge w:val="continue"/>
            <w:shd w:val="clear" w:color="auto" w:fill="D9DCE1"/>
          </w:tcPr>
          <w:p>
            <w:pPr>
              <w:spacing w:after="0"/>
              <w:rPr>
                <w:sz w:val="8"/>
                <w:szCs w:val="8"/>
                <w:color w:val="auto"/>
              </w:rPr>
            </w:pPr>
          </w:p>
        </w:tc>
        <w:tc>
          <w:tcPr>
            <w:tcW w:w="380" w:type="dxa"/>
            <w:vAlign w:val="bottom"/>
            <w:vMerge w:val="continue"/>
            <w:shd w:val="clear" w:color="auto" w:fill="D9DCE1"/>
          </w:tcPr>
          <w:p>
            <w:pPr>
              <w:spacing w:after="0"/>
              <w:rPr>
                <w:sz w:val="8"/>
                <w:szCs w:val="8"/>
                <w:color w:val="auto"/>
              </w:rPr>
            </w:pPr>
          </w:p>
        </w:tc>
        <w:tc>
          <w:tcPr>
            <w:tcW w:w="440" w:type="dxa"/>
            <w:vAlign w:val="bottom"/>
            <w:vMerge w:val="continue"/>
            <w:shd w:val="clear" w:color="auto" w:fill="D9DCE1"/>
          </w:tcPr>
          <w:p>
            <w:pPr>
              <w:spacing w:after="0"/>
              <w:rPr>
                <w:sz w:val="8"/>
                <w:szCs w:val="8"/>
                <w:color w:val="auto"/>
              </w:rPr>
            </w:pPr>
          </w:p>
        </w:tc>
        <w:tc>
          <w:tcPr>
            <w:tcW w:w="300" w:type="dxa"/>
            <w:vAlign w:val="bottom"/>
            <w:vMerge w:val="continue"/>
            <w:shd w:val="clear" w:color="auto" w:fill="D9DCE1"/>
          </w:tcPr>
          <w:p>
            <w:pPr>
              <w:spacing w:after="0"/>
              <w:rPr>
                <w:sz w:val="8"/>
                <w:szCs w:val="8"/>
                <w:color w:val="auto"/>
              </w:rPr>
            </w:pPr>
          </w:p>
        </w:tc>
        <w:tc>
          <w:tcPr>
            <w:tcW w:w="940" w:type="dxa"/>
            <w:vAlign w:val="bottom"/>
            <w:vMerge w:val="continue"/>
            <w:shd w:val="clear" w:color="auto" w:fill="D9DCE1"/>
          </w:tcPr>
          <w:p>
            <w:pPr>
              <w:spacing w:after="0"/>
              <w:rPr>
                <w:sz w:val="8"/>
                <w:szCs w:val="8"/>
                <w:color w:val="auto"/>
              </w:rPr>
            </w:pPr>
          </w:p>
        </w:tc>
        <w:tc>
          <w:tcPr>
            <w:tcW w:w="360" w:type="dxa"/>
            <w:vAlign w:val="bottom"/>
            <w:vMerge w:val="continue"/>
            <w:shd w:val="clear" w:color="auto" w:fill="D9DCE1"/>
          </w:tcPr>
          <w:p>
            <w:pPr>
              <w:spacing w:after="0"/>
              <w:rPr>
                <w:sz w:val="8"/>
                <w:szCs w:val="8"/>
                <w:color w:val="auto"/>
              </w:rPr>
            </w:pPr>
          </w:p>
        </w:tc>
        <w:tc>
          <w:tcPr>
            <w:tcW w:w="460" w:type="dxa"/>
            <w:vAlign w:val="bottom"/>
            <w:vMerge w:val="continue"/>
            <w:shd w:val="clear" w:color="auto" w:fill="D9DCE1"/>
          </w:tcPr>
          <w:p>
            <w:pPr>
              <w:spacing w:after="0"/>
              <w:rPr>
                <w:sz w:val="8"/>
                <w:szCs w:val="8"/>
                <w:color w:val="auto"/>
              </w:rPr>
            </w:pPr>
          </w:p>
        </w:tc>
        <w:tc>
          <w:tcPr>
            <w:tcW w:w="200" w:type="dxa"/>
            <w:vAlign w:val="bottom"/>
            <w:vMerge w:val="continue"/>
            <w:shd w:val="clear" w:color="auto" w:fill="D9DCE1"/>
          </w:tcPr>
          <w:p>
            <w:pPr>
              <w:spacing w:after="0"/>
              <w:rPr>
                <w:sz w:val="8"/>
                <w:szCs w:val="8"/>
                <w:color w:val="auto"/>
              </w:rPr>
            </w:pPr>
          </w:p>
        </w:tc>
        <w:tc>
          <w:tcPr>
            <w:tcW w:w="340" w:type="dxa"/>
            <w:vAlign w:val="bottom"/>
            <w:vMerge w:val="continue"/>
            <w:shd w:val="clear" w:color="auto" w:fill="D9DCE1"/>
          </w:tcPr>
          <w:p>
            <w:pPr>
              <w:spacing w:after="0"/>
              <w:rPr>
                <w:sz w:val="8"/>
                <w:szCs w:val="8"/>
                <w:color w:val="auto"/>
              </w:rPr>
            </w:pPr>
          </w:p>
        </w:tc>
        <w:tc>
          <w:tcPr>
            <w:tcW w:w="460" w:type="dxa"/>
            <w:vAlign w:val="bottom"/>
            <w:vMerge w:val="continue"/>
            <w:shd w:val="clear" w:color="auto" w:fill="D9DCE1"/>
          </w:tcPr>
          <w:p>
            <w:pPr>
              <w:spacing w:after="0"/>
              <w:rPr>
                <w:sz w:val="8"/>
                <w:szCs w:val="8"/>
                <w:color w:val="auto"/>
              </w:rPr>
            </w:pPr>
          </w:p>
        </w:tc>
        <w:tc>
          <w:tcPr>
            <w:tcW w:w="120" w:type="dxa"/>
            <w:vAlign w:val="bottom"/>
            <w:vMerge w:val="continue"/>
            <w:shd w:val="clear" w:color="auto" w:fill="D9DCE1"/>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520" w:type="dxa"/>
            <w:vAlign w:val="bottom"/>
            <w:gridSpan w:val="2"/>
            <w:vMerge w:val="restart"/>
          </w:tcPr>
          <w:p>
            <w:pPr>
              <w:ind w:left="40"/>
              <w:spacing w:after="0"/>
              <w:rPr>
                <w:sz w:val="20"/>
                <w:szCs w:val="20"/>
                <w:color w:val="auto"/>
              </w:rPr>
            </w:pPr>
            <w:r>
              <w:rPr>
                <w:rFonts w:ascii="Arial" w:cs="Arial" w:eastAsia="Arial" w:hAnsi="Arial"/>
                <w:sz w:val="14"/>
                <w:szCs w:val="14"/>
                <w:color w:val="auto"/>
              </w:rPr>
              <w:t>​Lawrence M. Ziemba</w:t>
            </w:r>
          </w:p>
        </w:tc>
        <w:tc>
          <w:tcPr>
            <w:tcW w:w="280" w:type="dxa"/>
            <w:vAlign w:val="bottom"/>
            <w:vMerge w:val="restart"/>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27,010</w:t>
            </w:r>
          </w:p>
        </w:tc>
        <w:tc>
          <w:tcPr>
            <w:tcW w:w="220" w:type="dxa"/>
            <w:vAlign w:val="bottom"/>
          </w:tcPr>
          <w:p>
            <w:pPr>
              <w:jc w:val="right"/>
              <w:ind w:right="63"/>
              <w:spacing w:after="0"/>
              <w:rPr>
                <w:sz w:val="20"/>
                <w:szCs w:val="20"/>
                <w:color w:val="auto"/>
              </w:rPr>
            </w:pPr>
            <w:r>
              <w:rPr>
                <w:rFonts w:ascii="Arial" w:cs="Arial" w:eastAsia="Arial" w:hAnsi="Arial"/>
                <w:sz w:val="9"/>
                <w:szCs w:val="9"/>
                <w:color w:val="auto"/>
                <w:w w:val="72"/>
              </w:rPr>
              <w:t>(6)</w:t>
            </w:r>
          </w:p>
        </w:tc>
        <w:tc>
          <w:tcPr>
            <w:tcW w:w="4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 ​</w:t>
            </w:r>
          </w:p>
        </w:tc>
        <w:tc>
          <w:tcPr>
            <w:tcW w:w="3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2,346​​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52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jc w:val="right"/>
              <w:spacing w:after="0" w:line="95" w:lineRule="exact"/>
              <w:rPr>
                <w:sz w:val="20"/>
                <w:szCs w:val="20"/>
                <w:color w:val="auto"/>
              </w:rPr>
            </w:pPr>
            <w:r>
              <w:rPr>
                <w:rFonts w:ascii="Arial" w:cs="Arial" w:eastAsia="Arial" w:hAnsi="Arial"/>
                <w:sz w:val="10"/>
                <w:szCs w:val="10"/>
                <w:color w:val="auto"/>
              </w:rPr>
              <w:t>​​ ​</w:t>
            </w:r>
          </w:p>
        </w:tc>
        <w:tc>
          <w:tcPr>
            <w:tcW w:w="40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80" w:type="dxa"/>
            <w:vAlign w:val="bottom"/>
            <w:shd w:val="clear" w:color="auto" w:fill="D9DCE1"/>
          </w:tcPr>
          <w:p>
            <w:pPr>
              <w:spacing w:after="0"/>
              <w:rPr>
                <w:sz w:val="24"/>
                <w:szCs w:val="24"/>
                <w:color w:val="auto"/>
              </w:rPr>
            </w:pPr>
          </w:p>
        </w:tc>
        <w:tc>
          <w:tcPr>
            <w:tcW w:w="2440" w:type="dxa"/>
            <w:vAlign w:val="bottom"/>
            <w:shd w:val="clear" w:color="auto" w:fill="D9DCE1"/>
          </w:tcPr>
          <w:p>
            <w:pPr>
              <w:spacing w:after="0"/>
              <w:rPr>
                <w:sz w:val="20"/>
                <w:szCs w:val="20"/>
                <w:color w:val="auto"/>
              </w:rPr>
            </w:pPr>
            <w:r>
              <w:rPr>
                <w:rFonts w:ascii="Arial" w:cs="Arial" w:eastAsia="Arial" w:hAnsi="Arial"/>
                <w:sz w:val="14"/>
                <w:szCs w:val="14"/>
                <w:color w:val="auto"/>
              </w:rPr>
              <w:t>All directors and executive officers as</w:t>
            </w:r>
          </w:p>
        </w:tc>
        <w:tc>
          <w:tcPr>
            <w:tcW w:w="280" w:type="dxa"/>
            <w:vAlign w:val="bottom"/>
            <w:vMerge w:val="restart"/>
            <w:shd w:val="clear" w:color="auto" w:fill="D9DCE1"/>
          </w:tcPr>
          <w:p>
            <w:pPr>
              <w:ind w:left="6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68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5,041,886</w:t>
            </w:r>
          </w:p>
        </w:tc>
        <w:tc>
          <w:tcPr>
            <w:tcW w:w="220" w:type="dxa"/>
            <w:vAlign w:val="bottom"/>
            <w:shd w:val="clear" w:color="auto" w:fill="D9DCE1"/>
          </w:tcPr>
          <w:p>
            <w:pPr>
              <w:jc w:val="right"/>
              <w:spacing w:after="0"/>
              <w:rPr>
                <w:sz w:val="20"/>
                <w:szCs w:val="20"/>
                <w:color w:val="auto"/>
              </w:rPr>
            </w:pPr>
            <w:r>
              <w:rPr>
                <w:rFonts w:ascii="Arial" w:cs="Arial" w:eastAsia="Arial" w:hAnsi="Arial"/>
                <w:sz w:val="9"/>
                <w:szCs w:val="9"/>
                <w:color w:val="auto"/>
                <w:w w:val="90"/>
              </w:rPr>
              <w:t>(6)(8)</w:t>
            </w:r>
          </w:p>
        </w:tc>
        <w:tc>
          <w:tcPr>
            <w:tcW w:w="800" w:type="dxa"/>
            <w:vAlign w:val="bottom"/>
            <w:gridSpan w:val="2"/>
            <w:vMerge w:val="restart"/>
            <w:shd w:val="clear" w:color="auto" w:fill="D9DCE1"/>
          </w:tcPr>
          <w:p>
            <w:pPr>
              <w:ind w:left="3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2.6%</w:t>
            </w:r>
          </w:p>
        </w:tc>
        <w:tc>
          <w:tcPr>
            <w:tcW w:w="320" w:type="dxa"/>
            <w:vAlign w:val="bottom"/>
            <w:shd w:val="clear" w:color="auto" w:fill="D9DCE1"/>
          </w:tcPr>
          <w:p>
            <w:pPr>
              <w:spacing w:after="0"/>
              <w:rPr>
                <w:sz w:val="24"/>
                <w:szCs w:val="24"/>
                <w:color w:val="auto"/>
              </w:rPr>
            </w:pPr>
          </w:p>
        </w:tc>
        <w:tc>
          <w:tcPr>
            <w:tcW w:w="900" w:type="dxa"/>
            <w:vAlign w:val="bottom"/>
            <w:shd w:val="clear" w:color="auto" w:fill="D9DCE1"/>
          </w:tcPr>
          <w:p>
            <w:pPr>
              <w:jc w:val="right"/>
              <w:ind w:right="50"/>
              <w:spacing w:after="0"/>
              <w:rPr>
                <w:sz w:val="20"/>
                <w:szCs w:val="20"/>
                <w:color w:val="auto"/>
              </w:rPr>
            </w:pPr>
            <w:r>
              <w:rPr>
                <w:rFonts w:ascii="Arial" w:cs="Arial" w:eastAsia="Arial" w:hAnsi="Arial"/>
                <w:sz w:val="9"/>
                <w:szCs w:val="9"/>
                <w:color w:val="auto"/>
              </w:rPr>
              <w:t>(8)</w:t>
            </w:r>
          </w:p>
        </w:tc>
        <w:tc>
          <w:tcPr>
            <w:tcW w:w="820" w:type="dxa"/>
            <w:vAlign w:val="bottom"/>
            <w:gridSpan w:val="2"/>
            <w:vMerge w:val="restart"/>
            <w:shd w:val="clear" w:color="auto" w:fill="D9DCE1"/>
          </w:tcPr>
          <w:p>
            <w:pPr>
              <w:ind w:left="2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41.2%</w:t>
            </w:r>
          </w:p>
        </w:tc>
        <w:tc>
          <w:tcPr>
            <w:tcW w:w="300" w:type="dxa"/>
            <w:vAlign w:val="bottom"/>
            <w:vMerge w:val="restart"/>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4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50,964,383​​ ​</w:t>
            </w:r>
          </w:p>
        </w:tc>
        <w:tc>
          <w:tcPr>
            <w:tcW w:w="820" w:type="dxa"/>
            <w:vAlign w:val="bottom"/>
            <w:gridSpan w:val="2"/>
            <w:vMerge w:val="restart"/>
            <w:shd w:val="clear" w:color="auto" w:fill="D9DCE1"/>
          </w:tcPr>
          <w:p>
            <w:pPr>
              <w:ind w:left="2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9.6%</w:t>
            </w:r>
          </w:p>
        </w:tc>
        <w:tc>
          <w:tcPr>
            <w:tcW w:w="200" w:type="dxa"/>
            <w:vAlign w:val="bottom"/>
            <w:vMerge w:val="restart"/>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shd w:val="clear" w:color="auto" w:fill="D9DCE1"/>
          </w:tcPr>
          <w:p>
            <w:pPr>
              <w:jc w:val="right"/>
              <w:ind w:right="28"/>
              <w:spacing w:after="0"/>
              <w:rPr>
                <w:sz w:val="20"/>
                <w:szCs w:val="20"/>
                <w:color w:val="auto"/>
              </w:rPr>
            </w:pPr>
            <w:r>
              <w:rPr>
                <w:rFonts w:ascii="Arial" w:cs="Arial" w:eastAsia="Arial" w:hAnsi="Arial"/>
                <w:sz w:val="14"/>
                <w:szCs w:val="14"/>
                <w:color w:val="auto"/>
              </w:rPr>
              <w:t>9.8%</w:t>
            </w:r>
          </w:p>
        </w:tc>
        <w:tc>
          <w:tcPr>
            <w:tcW w:w="12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520" w:type="dxa"/>
            <w:vAlign w:val="bottom"/>
            <w:gridSpan w:val="2"/>
            <w:shd w:val="clear" w:color="auto" w:fill="D9DCE1"/>
          </w:tcPr>
          <w:p>
            <w:pPr>
              <w:ind w:left="40"/>
              <w:spacing w:after="0" w:line="95" w:lineRule="exact"/>
              <w:rPr>
                <w:sz w:val="20"/>
                <w:szCs w:val="20"/>
                <w:color w:val="auto"/>
              </w:rPr>
            </w:pPr>
            <w:r>
              <w:rPr>
                <w:rFonts w:ascii="Arial" w:cs="Arial" w:eastAsia="Arial" w:hAnsi="Arial"/>
                <w:sz w:val="10"/>
                <w:szCs w:val="10"/>
                <w:color w:val="auto"/>
              </w:rPr>
              <w:t>​  a group (17 persons)</w:t>
            </w:r>
          </w:p>
        </w:tc>
        <w:tc>
          <w:tcPr>
            <w:tcW w:w="280" w:type="dxa"/>
            <w:vAlign w:val="bottom"/>
            <w:vMerge w:val="continue"/>
            <w:shd w:val="clear" w:color="auto" w:fill="D9DCE1"/>
          </w:tcPr>
          <w:p>
            <w:pPr>
              <w:spacing w:after="0"/>
              <w:rPr>
                <w:sz w:val="8"/>
                <w:szCs w:val="8"/>
                <w:color w:val="auto"/>
              </w:rPr>
            </w:pPr>
          </w:p>
        </w:tc>
        <w:tc>
          <w:tcPr>
            <w:tcW w:w="680" w:type="dxa"/>
            <w:vAlign w:val="bottom"/>
            <w:vMerge w:val="continue"/>
            <w:shd w:val="clear" w:color="auto" w:fill="D9DCE1"/>
          </w:tcPr>
          <w:p>
            <w:pPr>
              <w:spacing w:after="0"/>
              <w:rPr>
                <w:sz w:val="8"/>
                <w:szCs w:val="8"/>
                <w:color w:val="auto"/>
              </w:rPr>
            </w:pPr>
          </w:p>
        </w:tc>
        <w:tc>
          <w:tcPr>
            <w:tcW w:w="220" w:type="dxa"/>
            <w:vAlign w:val="bottom"/>
            <w:shd w:val="clear" w:color="auto" w:fill="D9DCE1"/>
          </w:tcPr>
          <w:p>
            <w:pPr>
              <w:jc w:val="right"/>
              <w:spacing w:after="0" w:line="95" w:lineRule="exact"/>
              <w:rPr>
                <w:sz w:val="20"/>
                <w:szCs w:val="20"/>
                <w:color w:val="auto"/>
              </w:rPr>
            </w:pPr>
            <w:r>
              <w:rPr>
                <w:rFonts w:ascii="Arial" w:cs="Arial" w:eastAsia="Arial" w:hAnsi="Arial"/>
                <w:sz w:val="10"/>
                <w:szCs w:val="10"/>
                <w:color w:val="auto"/>
              </w:rPr>
              <w:t>​​ ​</w:t>
            </w:r>
          </w:p>
        </w:tc>
        <w:tc>
          <w:tcPr>
            <w:tcW w:w="800" w:type="dxa"/>
            <w:vAlign w:val="bottom"/>
            <w:gridSpan w:val="2"/>
            <w:vMerge w:val="continue"/>
            <w:shd w:val="clear" w:color="auto" w:fill="D9DCE1"/>
          </w:tcPr>
          <w:p>
            <w:pPr>
              <w:spacing w:after="0"/>
              <w:rPr>
                <w:sz w:val="8"/>
                <w:szCs w:val="8"/>
                <w:color w:val="auto"/>
              </w:rPr>
            </w:pPr>
          </w:p>
        </w:tc>
        <w:tc>
          <w:tcPr>
            <w:tcW w:w="1220" w:type="dxa"/>
            <w:vAlign w:val="bottom"/>
            <w:gridSpan w:val="2"/>
            <w:shd w:val="clear" w:color="auto" w:fill="D9DCE1"/>
          </w:tcPr>
          <w:p>
            <w:pPr>
              <w:jc w:val="right"/>
              <w:spacing w:after="0" w:line="95" w:lineRule="exact"/>
              <w:rPr>
                <w:sz w:val="20"/>
                <w:szCs w:val="20"/>
                <w:color w:val="auto"/>
              </w:rPr>
            </w:pPr>
            <w:r>
              <w:rPr>
                <w:rFonts w:ascii="Arial" w:cs="Arial" w:eastAsia="Arial" w:hAnsi="Arial"/>
                <w:sz w:val="10"/>
                <w:szCs w:val="10"/>
                <w:color w:val="auto"/>
              </w:rPr>
              <w:t xml:space="preserve">​​ ​ </w:t>
            </w:r>
            <w:r>
              <w:rPr>
                <w:rFonts w:ascii="Arial" w:cs="Arial" w:eastAsia="Arial" w:hAnsi="Arial"/>
                <w:sz w:val="10"/>
                <w:szCs w:val="10"/>
                <w:b w:val="1"/>
                <w:bCs w:val="1"/>
                <w:color w:val="auto"/>
              </w:rPr>
              <w:t>​</w:t>
            </w:r>
            <w:r>
              <w:rPr>
                <w:rFonts w:ascii="Arial" w:cs="Arial" w:eastAsia="Arial" w:hAnsi="Arial"/>
                <w:sz w:val="10"/>
                <w:szCs w:val="10"/>
                <w:color w:val="auto"/>
              </w:rPr>
              <w:t>19,184,581 ​​ ​</w:t>
            </w:r>
          </w:p>
        </w:tc>
        <w:tc>
          <w:tcPr>
            <w:tcW w:w="820" w:type="dxa"/>
            <w:vAlign w:val="bottom"/>
            <w:gridSpan w:val="2"/>
            <w:vMerge w:val="continue"/>
            <w:shd w:val="clear" w:color="auto" w:fill="D9DCE1"/>
          </w:tcPr>
          <w:p>
            <w:pPr>
              <w:spacing w:after="0"/>
              <w:rPr>
                <w:sz w:val="8"/>
                <w:szCs w:val="8"/>
                <w:color w:val="auto"/>
              </w:rPr>
            </w:pPr>
          </w:p>
        </w:tc>
        <w:tc>
          <w:tcPr>
            <w:tcW w:w="300" w:type="dxa"/>
            <w:vAlign w:val="bottom"/>
            <w:vMerge w:val="continue"/>
            <w:shd w:val="clear" w:color="auto" w:fill="D9DCE1"/>
          </w:tcPr>
          <w:p>
            <w:pPr>
              <w:spacing w:after="0"/>
              <w:rPr>
                <w:sz w:val="8"/>
                <w:szCs w:val="8"/>
                <w:color w:val="auto"/>
              </w:rPr>
            </w:pPr>
          </w:p>
        </w:tc>
        <w:tc>
          <w:tcPr>
            <w:tcW w:w="940" w:type="dxa"/>
            <w:vAlign w:val="bottom"/>
            <w:vMerge w:val="continue"/>
            <w:shd w:val="clear" w:color="auto" w:fill="D9DCE1"/>
          </w:tcPr>
          <w:p>
            <w:pPr>
              <w:spacing w:after="0"/>
              <w:rPr>
                <w:sz w:val="8"/>
                <w:szCs w:val="8"/>
                <w:color w:val="auto"/>
              </w:rPr>
            </w:pPr>
          </w:p>
        </w:tc>
        <w:tc>
          <w:tcPr>
            <w:tcW w:w="820" w:type="dxa"/>
            <w:vAlign w:val="bottom"/>
            <w:gridSpan w:val="2"/>
            <w:vMerge w:val="continue"/>
            <w:shd w:val="clear" w:color="auto" w:fill="D9DCE1"/>
          </w:tcPr>
          <w:p>
            <w:pPr>
              <w:spacing w:after="0"/>
              <w:rPr>
                <w:sz w:val="8"/>
                <w:szCs w:val="8"/>
                <w:color w:val="auto"/>
              </w:rPr>
            </w:pPr>
          </w:p>
        </w:tc>
        <w:tc>
          <w:tcPr>
            <w:tcW w:w="200" w:type="dxa"/>
            <w:vAlign w:val="bottom"/>
            <w:vMerge w:val="continue"/>
            <w:shd w:val="clear" w:color="auto" w:fill="D9DCE1"/>
          </w:tcPr>
          <w:p>
            <w:pPr>
              <w:spacing w:after="0"/>
              <w:rPr>
                <w:sz w:val="8"/>
                <w:szCs w:val="8"/>
                <w:color w:val="auto"/>
              </w:rPr>
            </w:pPr>
          </w:p>
        </w:tc>
        <w:tc>
          <w:tcPr>
            <w:tcW w:w="340" w:type="dxa"/>
            <w:vAlign w:val="bottom"/>
            <w:vMerge w:val="continue"/>
            <w:shd w:val="clear" w:color="auto" w:fill="D9DCE1"/>
          </w:tcPr>
          <w:p>
            <w:pPr>
              <w:spacing w:after="0"/>
              <w:rPr>
                <w:sz w:val="8"/>
                <w:szCs w:val="8"/>
                <w:color w:val="auto"/>
              </w:rPr>
            </w:pPr>
          </w:p>
        </w:tc>
        <w:tc>
          <w:tcPr>
            <w:tcW w:w="460" w:type="dxa"/>
            <w:vAlign w:val="bottom"/>
            <w:vMerge w:val="continue"/>
            <w:shd w:val="clear" w:color="auto" w:fill="D9DCE1"/>
          </w:tcPr>
          <w:p>
            <w:pPr>
              <w:spacing w:after="0"/>
              <w:rPr>
                <w:sz w:val="8"/>
                <w:szCs w:val="8"/>
                <w:color w:val="auto"/>
              </w:rPr>
            </w:pPr>
          </w:p>
        </w:tc>
        <w:tc>
          <w:tcPr>
            <w:tcW w:w="120" w:type="dxa"/>
            <w:vAlign w:val="bottom"/>
            <w:vMerge w:val="continue"/>
            <w:shd w:val="clear" w:color="auto" w:fill="D9DCE1"/>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39" w:lineRule="exact"/>
        <w:rPr>
          <w:sz w:val="20"/>
          <w:szCs w:val="20"/>
          <w:color w:val="auto"/>
        </w:rPr>
      </w:pPr>
    </w:p>
    <w:p>
      <w:pPr>
        <w:ind w:left="1620" w:hanging="360"/>
        <w:spacing w:after="0"/>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19" w:hanging="360"/>
        <w:spacing w:after="0" w:line="237" w:lineRule="auto"/>
        <w:tabs>
          <w:tab w:leader="none" w:pos="1620" w:val="left"/>
        </w:tabs>
        <w:numPr>
          <w:ilvl w:val="0"/>
          <w:numId w:val="83"/>
        </w:numPr>
        <w:rPr>
          <w:rFonts w:ascii="Arial" w:cs="Arial" w:eastAsia="Arial" w:hAnsi="Arial"/>
          <w:sz w:val="27"/>
          <w:szCs w:val="27"/>
          <w:color w:val="auto"/>
          <w:vertAlign w:val="superscript"/>
        </w:rPr>
      </w:pPr>
      <w:r>
        <w:rPr>
          <w:rFonts w:ascii="Arial" w:cs="Arial" w:eastAsia="Arial" w:hAnsi="Arial"/>
          <w:sz w:val="18"/>
          <w:szCs w:val="18"/>
          <w:color w:val="auto"/>
        </w:rPr>
        <w:t>Class A shares beneficially owned do not include any Class A shares issuable in connection with the exchange of any Class B shares. Although holders of our Class B shares have the right, at any time and from time to time, to immediately exchange (the “Exchange Right”) their Class B shares, together with a like number of AAP units and general partner units, for our Class A shares on a one-for-one basis, the fact that such Exchange Right may be settled in cash at AAP’s option results in such Class A shares not being deemed to be beneficially owned by the holders of our Class B shares.</w:t>
      </w:r>
    </w:p>
    <w:p>
      <w:pPr>
        <w:spacing w:after="0" w:line="60" w:lineRule="exact"/>
        <w:rPr>
          <w:rFonts w:ascii="Arial" w:cs="Arial" w:eastAsia="Arial" w:hAnsi="Arial"/>
          <w:sz w:val="27"/>
          <w:szCs w:val="27"/>
          <w:color w:val="auto"/>
          <w:vertAlign w:val="superscript"/>
        </w:rPr>
      </w:pPr>
    </w:p>
    <w:p>
      <w:pPr>
        <w:ind w:left="1620" w:right="439" w:hanging="360"/>
        <w:spacing w:after="0" w:line="242" w:lineRule="auto"/>
        <w:tabs>
          <w:tab w:leader="none" w:pos="1620" w:val="left"/>
        </w:tabs>
        <w:numPr>
          <w:ilvl w:val="0"/>
          <w:numId w:val="83"/>
        </w:numPr>
        <w:rPr>
          <w:rFonts w:ascii="Arial" w:cs="Arial" w:eastAsia="Arial" w:hAnsi="Arial"/>
          <w:sz w:val="27"/>
          <w:szCs w:val="27"/>
          <w:color w:val="auto"/>
          <w:vertAlign w:val="superscript"/>
        </w:rPr>
      </w:pPr>
      <w:r>
        <w:rPr>
          <w:rFonts w:ascii="Arial" w:cs="Arial" w:eastAsia="Arial" w:hAnsi="Arial"/>
          <w:sz w:val="18"/>
          <w:szCs w:val="18"/>
          <w:color w:val="auto"/>
        </w:rPr>
        <w:t>Each Class C share represents a non-economic limited partner interest in PAGP. The Class C shares function as a “pass-through” voting mechanism through which PAA votes at the direction of and as proxy for holders of PAA common units (other than Plains AAP) and holders of PAA Series A preferred units on the election of directors. The number of Class C shares owned by PAA is equal to the number of outstanding PAA common units and PAA Series A preferred units that are entitled to vote, pro rata with the holders of PAGP Class A and Class B shares, for the election of PAGP GP directors. Holders of our Class A shares and Class B shares who also directly or indirectly beneficially own PAA common units and/or Series A preferred units will, in addition to voting their Class A and Class B shares, be able to direct PAA how to vote their pro rata share of the Class C shares owned by PAA. Numbers in the column for holders other than PAA represent PAA common units and/or PAA Series A preferred units directly or indirectly beneficially owned by such holders.</w:t>
      </w:r>
    </w:p>
    <w:p>
      <w:pPr>
        <w:spacing w:after="0" w:line="50" w:lineRule="exact"/>
        <w:rPr>
          <w:rFonts w:ascii="Arial" w:cs="Arial" w:eastAsia="Arial" w:hAnsi="Arial"/>
          <w:sz w:val="27"/>
          <w:szCs w:val="27"/>
          <w:color w:val="auto"/>
          <w:vertAlign w:val="superscript"/>
        </w:rPr>
      </w:pPr>
    </w:p>
    <w:p>
      <w:pPr>
        <w:ind w:left="1620" w:right="659" w:hanging="360"/>
        <w:spacing w:after="0" w:line="210" w:lineRule="auto"/>
        <w:tabs>
          <w:tab w:leader="none" w:pos="1620" w:val="left"/>
        </w:tabs>
        <w:numPr>
          <w:ilvl w:val="0"/>
          <w:numId w:val="83"/>
        </w:numPr>
        <w:rPr>
          <w:rFonts w:ascii="Arial" w:cs="Arial" w:eastAsia="Arial" w:hAnsi="Arial"/>
          <w:sz w:val="27"/>
          <w:szCs w:val="27"/>
          <w:color w:val="auto"/>
          <w:vertAlign w:val="superscript"/>
        </w:rPr>
      </w:pPr>
      <w:r>
        <w:rPr>
          <w:rFonts w:ascii="Arial" w:cs="Arial" w:eastAsia="Arial" w:hAnsi="Arial"/>
          <w:sz w:val="18"/>
          <w:szCs w:val="18"/>
          <w:color w:val="auto"/>
        </w:rPr>
        <w:t>Reflects beneficial ownership as of December 31, 2022 as reported in a Schedule 13G filed with the SEC on February 8, 2023.</w:t>
      </w:r>
    </w:p>
    <w:p>
      <w:pPr>
        <w:spacing w:after="0" w:line="46" w:lineRule="exact"/>
        <w:rPr>
          <w:rFonts w:ascii="Arial" w:cs="Arial" w:eastAsia="Arial" w:hAnsi="Arial"/>
          <w:sz w:val="27"/>
          <w:szCs w:val="27"/>
          <w:color w:val="auto"/>
          <w:vertAlign w:val="superscript"/>
        </w:rPr>
      </w:pPr>
    </w:p>
    <w:p>
      <w:pPr>
        <w:ind w:left="1620" w:right="659" w:hanging="360"/>
        <w:spacing w:after="0" w:line="210" w:lineRule="auto"/>
        <w:tabs>
          <w:tab w:leader="none" w:pos="1620" w:val="left"/>
        </w:tabs>
        <w:numPr>
          <w:ilvl w:val="0"/>
          <w:numId w:val="83"/>
        </w:numPr>
        <w:rPr>
          <w:rFonts w:ascii="Arial" w:cs="Arial" w:eastAsia="Arial" w:hAnsi="Arial"/>
          <w:sz w:val="27"/>
          <w:szCs w:val="27"/>
          <w:color w:val="auto"/>
          <w:vertAlign w:val="superscript"/>
        </w:rPr>
      </w:pPr>
      <w:r>
        <w:rPr>
          <w:rFonts w:ascii="Arial" w:cs="Arial" w:eastAsia="Arial" w:hAnsi="Arial"/>
          <w:sz w:val="18"/>
          <w:szCs w:val="18"/>
          <w:color w:val="auto"/>
        </w:rPr>
        <w:t>Reflects beneficial ownership as of December 31, 2022 as reported in a Schedule 13G filed with the SEC on February 14, 2023.</w:t>
      </w:r>
    </w:p>
    <w:p>
      <w:pPr>
        <w:spacing w:after="0" w:line="60" w:lineRule="exact"/>
        <w:rPr>
          <w:rFonts w:ascii="Arial" w:cs="Arial" w:eastAsia="Arial" w:hAnsi="Arial"/>
          <w:sz w:val="27"/>
          <w:szCs w:val="27"/>
          <w:color w:val="auto"/>
          <w:vertAlign w:val="superscript"/>
        </w:rPr>
      </w:pPr>
    </w:p>
    <w:p>
      <w:pPr>
        <w:ind w:left="1620" w:right="659" w:hanging="360"/>
        <w:spacing w:after="0" w:line="210" w:lineRule="auto"/>
        <w:tabs>
          <w:tab w:leader="none" w:pos="1620" w:val="left"/>
        </w:tabs>
        <w:numPr>
          <w:ilvl w:val="0"/>
          <w:numId w:val="83"/>
        </w:numPr>
        <w:rPr>
          <w:rFonts w:ascii="Arial" w:cs="Arial" w:eastAsia="Arial" w:hAnsi="Arial"/>
          <w:sz w:val="27"/>
          <w:szCs w:val="27"/>
          <w:color w:val="auto"/>
          <w:vertAlign w:val="superscript"/>
        </w:rPr>
      </w:pPr>
      <w:r>
        <w:rPr>
          <w:rFonts w:ascii="Arial" w:cs="Arial" w:eastAsia="Arial" w:hAnsi="Arial"/>
          <w:sz w:val="18"/>
          <w:szCs w:val="18"/>
          <w:color w:val="auto"/>
        </w:rPr>
        <w:t>Reflects beneficial ownership as of December 31, 2022 as reported in a Schedule 13G filed with the SEC on February 14, 2023.</w:t>
      </w:r>
    </w:p>
    <w:p>
      <w:pPr>
        <w:spacing w:after="0" w:line="46" w:lineRule="exact"/>
        <w:rPr>
          <w:rFonts w:ascii="Arial" w:cs="Arial" w:eastAsia="Arial" w:hAnsi="Arial"/>
          <w:sz w:val="27"/>
          <w:szCs w:val="27"/>
          <w:color w:val="auto"/>
          <w:vertAlign w:val="superscript"/>
        </w:rPr>
      </w:pPr>
    </w:p>
    <w:p>
      <w:pPr>
        <w:ind w:left="1620" w:right="559" w:hanging="360"/>
        <w:spacing w:after="0" w:line="210" w:lineRule="auto"/>
        <w:tabs>
          <w:tab w:leader="none" w:pos="1620" w:val="left"/>
        </w:tabs>
        <w:numPr>
          <w:ilvl w:val="0"/>
          <w:numId w:val="83"/>
        </w:numPr>
        <w:rPr>
          <w:rFonts w:ascii="Arial" w:cs="Arial" w:eastAsia="Arial" w:hAnsi="Arial"/>
          <w:sz w:val="27"/>
          <w:szCs w:val="27"/>
          <w:color w:val="auto"/>
          <w:vertAlign w:val="superscript"/>
        </w:rPr>
      </w:pPr>
      <w:r>
        <w:rPr>
          <w:rFonts w:ascii="Arial" w:cs="Arial" w:eastAsia="Arial" w:hAnsi="Arial"/>
          <w:sz w:val="18"/>
          <w:szCs w:val="18"/>
          <w:color w:val="auto"/>
        </w:rPr>
        <w:t>Does not include unvested phantom Class A shares granted under our Long-Term Incentive Plan. See “Director Compensation.”</w:t>
      </w:r>
    </w:p>
    <w:p>
      <w:pPr>
        <w:spacing w:after="0" w:line="46" w:lineRule="exact"/>
        <w:rPr>
          <w:rFonts w:ascii="Arial" w:cs="Arial" w:eastAsia="Arial" w:hAnsi="Arial"/>
          <w:sz w:val="27"/>
          <w:szCs w:val="27"/>
          <w:color w:val="auto"/>
          <w:vertAlign w:val="superscript"/>
        </w:rPr>
      </w:pPr>
    </w:p>
    <w:p>
      <w:pPr>
        <w:ind w:left="1620" w:right="719" w:hanging="360"/>
        <w:spacing w:after="0" w:line="222" w:lineRule="auto"/>
        <w:tabs>
          <w:tab w:leader="none" w:pos="1620" w:val="left"/>
        </w:tabs>
        <w:numPr>
          <w:ilvl w:val="0"/>
          <w:numId w:val="83"/>
        </w:numPr>
        <w:rPr>
          <w:rFonts w:ascii="Arial" w:cs="Arial" w:eastAsia="Arial" w:hAnsi="Arial"/>
          <w:sz w:val="27"/>
          <w:szCs w:val="27"/>
          <w:color w:val="auto"/>
          <w:vertAlign w:val="superscript"/>
        </w:rPr>
      </w:pPr>
      <w:r>
        <w:rPr>
          <w:rFonts w:ascii="Arial" w:cs="Arial" w:eastAsia="Arial" w:hAnsi="Arial"/>
          <w:sz w:val="18"/>
          <w:szCs w:val="18"/>
          <w:color w:val="auto"/>
        </w:rPr>
        <w:t>Mr. Raymond is the sole member of Lynx Holdings I, LLC, which entity owns 3,183,216 Class B shares. As such, Mr. Raymond has sole voting and dispositive power over the Class B shares owned by Lynx Holdings I, LLC.</w:t>
      </w:r>
    </w:p>
    <w:p>
      <w:pPr>
        <w:spacing w:after="0" w:line="58" w:lineRule="exact"/>
        <w:rPr>
          <w:rFonts w:ascii="Arial" w:cs="Arial" w:eastAsia="Arial" w:hAnsi="Arial"/>
          <w:sz w:val="27"/>
          <w:szCs w:val="27"/>
          <w:color w:val="auto"/>
          <w:vertAlign w:val="superscript"/>
        </w:rPr>
      </w:pPr>
    </w:p>
    <w:p>
      <w:pPr>
        <w:ind w:left="1620" w:right="739" w:hanging="360"/>
        <w:spacing w:after="0" w:line="222" w:lineRule="auto"/>
        <w:tabs>
          <w:tab w:leader="none" w:pos="1620" w:val="left"/>
        </w:tabs>
        <w:numPr>
          <w:ilvl w:val="0"/>
          <w:numId w:val="83"/>
        </w:numPr>
        <w:rPr>
          <w:rFonts w:ascii="Arial" w:cs="Arial" w:eastAsia="Arial" w:hAnsi="Arial"/>
          <w:sz w:val="27"/>
          <w:szCs w:val="27"/>
          <w:color w:val="auto"/>
          <w:vertAlign w:val="superscript"/>
        </w:rPr>
      </w:pPr>
      <w:r>
        <w:rPr>
          <w:rFonts w:ascii="Arial" w:cs="Arial" w:eastAsia="Arial" w:hAnsi="Arial"/>
          <w:sz w:val="18"/>
          <w:szCs w:val="18"/>
          <w:color w:val="auto"/>
        </w:rPr>
        <w:t>Consistent with our policies that prohibit pledging of company securities, to our knowledge, no Class A shares or Class B shares were pledged by directors or Named Executive Officers as of March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Beneficial Ownership of Plains AAP, L.P.</w:t>
      </w:r>
    </w:p>
    <w:p>
      <w:pPr>
        <w:spacing w:after="0" w:line="158"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8"/>
          <w:szCs w:val="18"/>
          <w:color w:val="auto"/>
        </w:rPr>
        <w:t>The following table sets forth the percentage ownership of the Class A limited partners of Plains AAP, including certain of our directors and Named Executive Officers, as of March 27, 2023:</w:t>
      </w:r>
    </w:p>
    <w:p>
      <w:pPr>
        <w:spacing w:after="0" w:line="131" w:lineRule="exact"/>
        <w:rPr>
          <w:sz w:val="20"/>
          <w:szCs w:val="20"/>
          <w:color w:val="auto"/>
        </w:rPr>
      </w:pPr>
    </w:p>
    <w:tbl>
      <w:tblPr>
        <w:tblLayout w:type="fixed"/>
        <w:tblInd w:w="1630" w:type="dxa"/>
        <w:tblCellMar>
          <w:top w:w="0" w:type="dxa"/>
          <w:left w:w="0" w:type="dxa"/>
          <w:bottom w:w="0" w:type="dxa"/>
          <w:right w:w="0" w:type="dxa"/>
        </w:tblCellMar>
      </w:tblPr>
      <w:tr>
        <w:trPr>
          <w:trHeight w:val="207"/>
        </w:trPr>
        <w:tc>
          <w:tcPr>
            <w:tcW w:w="60" w:type="dxa"/>
            <w:vAlign w:val="bottom"/>
            <w:tcBorders>
              <w:lef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5280" w:type="dxa"/>
            <w:vAlign w:val="bottom"/>
            <w:shd w:val="clear" w:color="auto" w:fill="424E6A"/>
          </w:tcPr>
          <w:p>
            <w:pPr>
              <w:spacing w:after="0"/>
              <w:rPr>
                <w:sz w:val="17"/>
                <w:szCs w:val="17"/>
                <w:color w:val="auto"/>
              </w:rPr>
            </w:pPr>
          </w:p>
        </w:tc>
        <w:tc>
          <w:tcPr>
            <w:tcW w:w="76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10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100" w:type="dxa"/>
            <w:vAlign w:val="bottom"/>
            <w:tcBorders>
              <w:right w:val="single" w:sz="8" w:color="424E6A"/>
            </w:tcBorders>
            <w:shd w:val="clear" w:color="auto" w:fill="424E6A"/>
          </w:tcPr>
          <w:p>
            <w:pPr>
              <w:spacing w:after="0"/>
              <w:rPr>
                <w:sz w:val="17"/>
                <w:szCs w:val="17"/>
                <w:color w:val="auto"/>
              </w:rPr>
            </w:pPr>
          </w:p>
        </w:tc>
      </w:tr>
      <w:tr>
        <w:trPr>
          <w:trHeight w:val="162"/>
        </w:trPr>
        <w:tc>
          <w:tcPr>
            <w:tcW w:w="60" w:type="dxa"/>
            <w:vAlign w:val="bottom"/>
            <w:tcBorders>
              <w:lef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5280" w:type="dxa"/>
            <w:vAlign w:val="bottom"/>
            <w:shd w:val="clear" w:color="auto" w:fill="424E6A"/>
          </w:tcPr>
          <w:p>
            <w:pPr>
              <w:spacing w:after="0"/>
              <w:rPr>
                <w:sz w:val="14"/>
                <w:szCs w:val="14"/>
                <w:color w:val="auto"/>
              </w:rPr>
            </w:pPr>
          </w:p>
        </w:tc>
        <w:tc>
          <w:tcPr>
            <w:tcW w:w="76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Ownership of</w:t>
            </w:r>
          </w:p>
        </w:tc>
        <w:tc>
          <w:tcPr>
            <w:tcW w:w="100" w:type="dxa"/>
            <w:vAlign w:val="bottom"/>
            <w:tcBorders>
              <w:right w:val="single" w:sz="8" w:color="424E6A"/>
            </w:tcBorders>
            <w:shd w:val="clear" w:color="auto" w:fill="424E6A"/>
          </w:tcPr>
          <w:p>
            <w:pPr>
              <w:spacing w:after="0"/>
              <w:rPr>
                <w:sz w:val="14"/>
                <w:szCs w:val="14"/>
                <w:color w:val="auto"/>
              </w:rPr>
            </w:pPr>
          </w:p>
        </w:tc>
      </w:tr>
      <w:tr>
        <w:trPr>
          <w:trHeight w:val="162"/>
        </w:trPr>
        <w:tc>
          <w:tcPr>
            <w:tcW w:w="60" w:type="dxa"/>
            <w:vAlign w:val="bottom"/>
            <w:tcBorders>
              <w:lef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5280" w:type="dxa"/>
            <w:vAlign w:val="bottom"/>
            <w:shd w:val="clear" w:color="auto" w:fill="424E6A"/>
          </w:tcPr>
          <w:p>
            <w:pPr>
              <w:spacing w:after="0"/>
              <w:rPr>
                <w:sz w:val="14"/>
                <w:szCs w:val="14"/>
                <w:color w:val="auto"/>
              </w:rPr>
            </w:pPr>
          </w:p>
        </w:tc>
        <w:tc>
          <w:tcPr>
            <w:tcW w:w="76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7"/>
              </w:rPr>
              <w:t>Plains AAP, L.P.</w:t>
            </w:r>
          </w:p>
        </w:tc>
        <w:tc>
          <w:tcPr>
            <w:tcW w:w="100" w:type="dxa"/>
            <w:vAlign w:val="bottom"/>
            <w:tcBorders>
              <w:right w:val="single" w:sz="8" w:color="424E6A"/>
            </w:tcBorders>
            <w:shd w:val="clear" w:color="auto" w:fill="424E6A"/>
          </w:tcPr>
          <w:p>
            <w:pPr>
              <w:spacing w:after="0"/>
              <w:rPr>
                <w:sz w:val="14"/>
                <w:szCs w:val="14"/>
                <w:color w:val="auto"/>
              </w:rPr>
            </w:pPr>
          </w:p>
        </w:tc>
      </w:tr>
      <w:tr>
        <w:trPr>
          <w:trHeight w:val="162"/>
        </w:trPr>
        <w:tc>
          <w:tcPr>
            <w:tcW w:w="60" w:type="dxa"/>
            <w:vAlign w:val="bottom"/>
            <w:tcBorders>
              <w:lef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5280" w:type="dxa"/>
            <w:vAlign w:val="bottom"/>
            <w:shd w:val="clear" w:color="auto" w:fill="424E6A"/>
          </w:tcPr>
          <w:p>
            <w:pPr>
              <w:spacing w:after="0"/>
              <w:rPr>
                <w:sz w:val="14"/>
                <w:szCs w:val="14"/>
                <w:color w:val="auto"/>
              </w:rPr>
            </w:pPr>
          </w:p>
        </w:tc>
        <w:tc>
          <w:tcPr>
            <w:tcW w:w="76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Class A LP</w:t>
            </w:r>
          </w:p>
        </w:tc>
        <w:tc>
          <w:tcPr>
            <w:tcW w:w="100" w:type="dxa"/>
            <w:vAlign w:val="bottom"/>
            <w:tcBorders>
              <w:right w:val="single" w:sz="8" w:color="424E6A"/>
            </w:tcBorders>
            <w:shd w:val="clear" w:color="auto" w:fill="424E6A"/>
          </w:tcPr>
          <w:p>
            <w:pPr>
              <w:spacing w:after="0"/>
              <w:rPr>
                <w:sz w:val="14"/>
                <w:szCs w:val="14"/>
                <w:color w:val="auto"/>
              </w:rPr>
            </w:pPr>
          </w:p>
        </w:tc>
      </w:tr>
      <w:tr>
        <w:trPr>
          <w:trHeight w:val="198"/>
        </w:trPr>
        <w:tc>
          <w:tcPr>
            <w:tcW w:w="60" w:type="dxa"/>
            <w:vAlign w:val="bottom"/>
            <w:tcBorders>
              <w:lef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w:t>
            </w:r>
          </w:p>
        </w:tc>
        <w:tc>
          <w:tcPr>
            <w:tcW w:w="5380" w:type="dxa"/>
            <w:vAlign w:val="bottom"/>
            <w:gridSpan w:val="2"/>
            <w:shd w:val="clear" w:color="auto" w:fill="424E6A"/>
          </w:tcPr>
          <w:p>
            <w:pPr>
              <w:spacing w:after="0"/>
              <w:rPr>
                <w:sz w:val="20"/>
                <w:szCs w:val="20"/>
                <w:color w:val="auto"/>
              </w:rPr>
            </w:pPr>
            <w:r>
              <w:rPr>
                <w:rFonts w:ascii="Arial" w:cs="Arial" w:eastAsia="Arial" w:hAnsi="Arial"/>
                <w:sz w:val="14"/>
                <w:szCs w:val="14"/>
                <w:b w:val="1"/>
                <w:bCs w:val="1"/>
                <w:color w:val="FFFFFF"/>
              </w:rPr>
              <w:t>Name of Owner and Address (in the case of Owners of more than 5%)</w:t>
            </w:r>
          </w:p>
        </w:tc>
        <w:tc>
          <w:tcPr>
            <w:tcW w:w="860" w:type="dxa"/>
            <w:vAlign w:val="bottom"/>
            <w:gridSpan w:val="2"/>
            <w:shd w:val="clear" w:color="auto" w:fill="424E6A"/>
          </w:tcPr>
          <w:p>
            <w:pPr>
              <w:jc w:val="center"/>
              <w:ind w:left="491"/>
              <w:spacing w:after="0"/>
              <w:rPr>
                <w:sz w:val="20"/>
                <w:szCs w:val="20"/>
                <w:color w:val="auto"/>
              </w:rPr>
            </w:pPr>
            <w:r>
              <w:rPr>
                <w:rFonts w:ascii="Arial" w:cs="Arial" w:eastAsia="Arial" w:hAnsi="Arial"/>
                <w:sz w:val="14"/>
                <w:szCs w:val="14"/>
                <w:b w:val="1"/>
                <w:bCs w:val="1"/>
                <w:color w:val="FFFFFF"/>
              </w:rPr>
              <w:t>​ ​</w:t>
            </w:r>
          </w:p>
        </w:tc>
        <w:tc>
          <w:tcPr>
            <w:tcW w:w="10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6"/>
              </w:rPr>
              <w:t>Interest</w:t>
            </w:r>
            <w:r>
              <w:rPr>
                <w:rFonts w:ascii="Arial" w:cs="Arial" w:eastAsia="Arial" w:hAnsi="Arial"/>
                <w:sz w:val="17"/>
                <w:szCs w:val="17"/>
                <w:b w:val="1"/>
                <w:bCs w:val="1"/>
                <w:color w:val="FFFFFF"/>
                <w:w w:val="96"/>
                <w:vertAlign w:val="superscript"/>
              </w:rPr>
              <w:t>(1)</w:t>
            </w:r>
          </w:p>
        </w:tc>
        <w:tc>
          <w:tcPr>
            <w:tcW w:w="10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r>
      <w:tr>
        <w:trPr>
          <w:trHeight w:val="256"/>
        </w:trPr>
        <w:tc>
          <w:tcPr>
            <w:tcW w:w="5440" w:type="dxa"/>
            <w:vAlign w:val="bottom"/>
            <w:tcBorders>
              <w:left w:val="single" w:sz="8" w:color="424E6A"/>
              <w:bottom w:val="single" w:sz="8" w:color="424E6A"/>
            </w:tcBorders>
            <w:gridSpan w:val="3"/>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Plains GP Holdings, L.P.</w:t>
            </w:r>
          </w:p>
        </w:tc>
        <w:tc>
          <w:tcPr>
            <w:tcW w:w="760" w:type="dxa"/>
            <w:vAlign w:val="bottom"/>
            <w:tcBorders>
              <w:bottom w:val="single" w:sz="8" w:color="424E6A"/>
              <w:right w:val="single" w:sz="8" w:color="424E6A"/>
            </w:tcBorders>
            <w:shd w:val="clear" w:color="auto" w:fill="D9DCE1"/>
          </w:tcPr>
          <w:p>
            <w:pPr>
              <w:jc w:val="center"/>
              <w:ind w:left="59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shd w:val="clear" w:color="auto" w:fill="D9DCE1"/>
          </w:tcPr>
          <w:p>
            <w:pPr>
              <w:ind w:left="30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​80.67%</w:t>
            </w:r>
          </w:p>
        </w:tc>
        <w:tc>
          <w:tcPr>
            <w:tcW w:w="10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r>
      <w:tr>
        <w:trPr>
          <w:trHeight w:val="250"/>
        </w:trPr>
        <w:tc>
          <w:tcPr>
            <w:tcW w:w="16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w:t>
            </w:r>
          </w:p>
        </w:tc>
        <w:tc>
          <w:tcPr>
            <w:tcW w:w="52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333 Clay Street, Suite 1600</w:t>
            </w:r>
          </w:p>
        </w:tc>
        <w:tc>
          <w:tcPr>
            <w:tcW w:w="760" w:type="dxa"/>
            <w:vAlign w:val="bottom"/>
            <w:tcBorders>
              <w:bottom w:val="single" w:sz="8" w:color="424E6A"/>
              <w:right w:val="single" w:sz="8" w:color="424E6A"/>
            </w:tcBorders>
          </w:tcPr>
          <w:p>
            <w:pPr>
              <w:jc w:val="center"/>
              <w:ind w:left="59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424E6A"/>
            </w:tcBorders>
          </w:tcPr>
          <w:p>
            <w:pPr>
              <w:ind w:left="3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60" w:type="dxa"/>
            <w:vAlign w:val="bottom"/>
            <w:tcBorders>
              <w:bottom w:val="single" w:sz="8" w:color="424E6A"/>
            </w:tcBorders>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r>
      <w:tr>
        <w:trPr>
          <w:trHeight w:val="250"/>
        </w:trPr>
        <w:tc>
          <w:tcPr>
            <w:tcW w:w="16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w:t>
            </w:r>
          </w:p>
        </w:tc>
        <w:tc>
          <w:tcPr>
            <w:tcW w:w="52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Houston, TX 77002</w:t>
            </w:r>
          </w:p>
        </w:tc>
        <w:tc>
          <w:tcPr>
            <w:tcW w:w="760" w:type="dxa"/>
            <w:vAlign w:val="bottom"/>
            <w:tcBorders>
              <w:bottom w:val="single" w:sz="8" w:color="424E6A"/>
              <w:right w:val="single" w:sz="8" w:color="424E6A"/>
            </w:tcBorders>
          </w:tcPr>
          <w:p>
            <w:pPr>
              <w:jc w:val="center"/>
              <w:ind w:left="59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424E6A"/>
            </w:tcBorders>
          </w:tcPr>
          <w:p>
            <w:pPr>
              <w:ind w:left="3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60" w:type="dxa"/>
            <w:vAlign w:val="bottom"/>
            <w:tcBorders>
              <w:bottom w:val="single" w:sz="8" w:color="424E6A"/>
            </w:tcBorders>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KAFU Holdings (QP), L.P. and Affiliates</w:t>
            </w:r>
          </w:p>
        </w:tc>
        <w:tc>
          <w:tcPr>
            <w:tcW w:w="760" w:type="dxa"/>
            <w:vAlign w:val="bottom"/>
            <w:tcBorders>
              <w:bottom w:val="single" w:sz="8" w:color="424E6A"/>
              <w:right w:val="single" w:sz="8" w:color="424E6A"/>
            </w:tcBorders>
            <w:shd w:val="clear" w:color="auto" w:fill="D9DCE1"/>
          </w:tcPr>
          <w:p>
            <w:pPr>
              <w:jc w:val="center"/>
              <w:ind w:left="59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shd w:val="clear" w:color="auto" w:fill="D9DCE1"/>
          </w:tcPr>
          <w:p>
            <w:pPr>
              <w:ind w:left="3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5.79%</w:t>
            </w:r>
          </w:p>
        </w:tc>
        <w:tc>
          <w:tcPr>
            <w:tcW w:w="10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r>
      <w:tr>
        <w:trPr>
          <w:trHeight w:val="250"/>
        </w:trPr>
        <w:tc>
          <w:tcPr>
            <w:tcW w:w="16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w:t>
            </w:r>
          </w:p>
        </w:tc>
        <w:tc>
          <w:tcPr>
            <w:tcW w:w="52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1800 Avenue of the Stars, 3rd Floor</w:t>
            </w:r>
          </w:p>
        </w:tc>
        <w:tc>
          <w:tcPr>
            <w:tcW w:w="760" w:type="dxa"/>
            <w:vAlign w:val="bottom"/>
            <w:tcBorders>
              <w:bottom w:val="single" w:sz="8" w:color="424E6A"/>
              <w:right w:val="single" w:sz="8" w:color="424E6A"/>
            </w:tcBorders>
          </w:tcPr>
          <w:p>
            <w:pPr>
              <w:jc w:val="center"/>
              <w:ind w:left="59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424E6A"/>
            </w:tcBorders>
          </w:tcPr>
          <w:p>
            <w:pPr>
              <w:ind w:left="3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60" w:type="dxa"/>
            <w:vAlign w:val="bottom"/>
            <w:tcBorders>
              <w:bottom w:val="single" w:sz="8" w:color="424E6A"/>
            </w:tcBorders>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r>
      <w:tr>
        <w:trPr>
          <w:trHeight w:val="250"/>
        </w:trPr>
        <w:tc>
          <w:tcPr>
            <w:tcW w:w="16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w:t>
            </w:r>
          </w:p>
        </w:tc>
        <w:tc>
          <w:tcPr>
            <w:tcW w:w="52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Los Angeles, CA 90067</w:t>
            </w:r>
          </w:p>
        </w:tc>
        <w:tc>
          <w:tcPr>
            <w:tcW w:w="760" w:type="dxa"/>
            <w:vAlign w:val="bottom"/>
            <w:tcBorders>
              <w:bottom w:val="single" w:sz="8" w:color="424E6A"/>
              <w:right w:val="single" w:sz="8" w:color="424E6A"/>
            </w:tcBorders>
          </w:tcPr>
          <w:p>
            <w:pPr>
              <w:jc w:val="center"/>
              <w:ind w:left="59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424E6A"/>
            </w:tcBorders>
          </w:tcPr>
          <w:p>
            <w:pPr>
              <w:ind w:left="3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60" w:type="dxa"/>
            <w:vAlign w:val="bottom"/>
            <w:tcBorders>
              <w:bottom w:val="single" w:sz="8" w:color="424E6A"/>
            </w:tcBorders>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Lynx Holdings I, LLC</w:t>
            </w:r>
          </w:p>
        </w:tc>
        <w:tc>
          <w:tcPr>
            <w:tcW w:w="760" w:type="dxa"/>
            <w:vAlign w:val="bottom"/>
            <w:tcBorders>
              <w:bottom w:val="single" w:sz="8" w:color="424E6A"/>
              <w:right w:val="single" w:sz="8" w:color="424E6A"/>
            </w:tcBorders>
            <w:shd w:val="clear" w:color="auto" w:fill="D9DCE1"/>
          </w:tcPr>
          <w:p>
            <w:pPr>
              <w:jc w:val="center"/>
              <w:ind w:left="59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shd w:val="clear" w:color="auto" w:fill="D9DCE1"/>
          </w:tcPr>
          <w:p>
            <w:pPr>
              <w:ind w:left="3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1.32%</w:t>
            </w:r>
          </w:p>
        </w:tc>
        <w:tc>
          <w:tcPr>
            <w:tcW w:w="10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John T. Raymond</w:t>
            </w:r>
          </w:p>
        </w:tc>
        <w:tc>
          <w:tcPr>
            <w:tcW w:w="760" w:type="dxa"/>
            <w:vAlign w:val="bottom"/>
            <w:tcBorders>
              <w:bottom w:val="single" w:sz="8" w:color="424E6A"/>
              <w:right w:val="single" w:sz="8" w:color="424E6A"/>
            </w:tcBorders>
          </w:tcPr>
          <w:p>
            <w:pPr>
              <w:jc w:val="center"/>
              <w:ind w:left="59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tcPr>
          <w:p>
            <w:pPr>
              <w:ind w:left="3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3.43%</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Greg L. Armstrong</w:t>
            </w:r>
          </w:p>
        </w:tc>
        <w:tc>
          <w:tcPr>
            <w:tcW w:w="760" w:type="dxa"/>
            <w:vAlign w:val="bottom"/>
            <w:tcBorders>
              <w:bottom w:val="single" w:sz="8" w:color="424E6A"/>
              <w:right w:val="single" w:sz="8" w:color="424E6A"/>
            </w:tcBorders>
            <w:shd w:val="clear" w:color="auto" w:fill="D9DCE1"/>
          </w:tcPr>
          <w:p>
            <w:pPr>
              <w:jc w:val="center"/>
              <w:ind w:left="59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shd w:val="clear" w:color="auto" w:fill="D9DCE1"/>
          </w:tcPr>
          <w:p>
            <w:pPr>
              <w:ind w:left="3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1.86%</w:t>
            </w:r>
          </w:p>
        </w:tc>
        <w:tc>
          <w:tcPr>
            <w:tcW w:w="10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Willie Chiang</w:t>
            </w:r>
          </w:p>
        </w:tc>
        <w:tc>
          <w:tcPr>
            <w:tcW w:w="760" w:type="dxa"/>
            <w:vAlign w:val="bottom"/>
            <w:tcBorders>
              <w:bottom w:val="single" w:sz="8" w:color="424E6A"/>
              <w:right w:val="single" w:sz="8" w:color="424E6A"/>
            </w:tcBorders>
          </w:tcPr>
          <w:p>
            <w:pPr>
              <w:jc w:val="center"/>
              <w:ind w:left="59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424E6A"/>
            </w:tcBorders>
          </w:tcPr>
          <w:p>
            <w:pPr>
              <w:ind w:left="3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60" w:type="dxa"/>
            <w:vAlign w:val="bottom"/>
            <w:tcBorders>
              <w:bottom w:val="single" w:sz="8" w:color="424E6A"/>
            </w:tcBorders>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Harry N. Pefanis</w:t>
            </w:r>
          </w:p>
        </w:tc>
        <w:tc>
          <w:tcPr>
            <w:tcW w:w="760" w:type="dxa"/>
            <w:vAlign w:val="bottom"/>
            <w:tcBorders>
              <w:bottom w:val="single" w:sz="8" w:color="424E6A"/>
              <w:right w:val="single" w:sz="8" w:color="424E6A"/>
            </w:tcBorders>
            <w:shd w:val="clear" w:color="auto" w:fill="D9DCE1"/>
          </w:tcPr>
          <w:p>
            <w:pPr>
              <w:jc w:val="center"/>
              <w:ind w:left="59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424E6A"/>
            </w:tcBorders>
            <w:shd w:val="clear" w:color="auto" w:fill="D9DCE1"/>
          </w:tcPr>
          <w:p>
            <w:pPr>
              <w:ind w:left="3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60" w:type="dxa"/>
            <w:vAlign w:val="bottom"/>
            <w:tcBorders>
              <w:bottom w:val="single" w:sz="8" w:color="424E6A"/>
            </w:tcBorders>
            <w:shd w:val="clear" w:color="auto" w:fill="D9DCE1"/>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Richard McGee</w:t>
            </w:r>
          </w:p>
        </w:tc>
        <w:tc>
          <w:tcPr>
            <w:tcW w:w="760" w:type="dxa"/>
            <w:vAlign w:val="bottom"/>
            <w:tcBorders>
              <w:bottom w:val="single" w:sz="8" w:color="424E6A"/>
              <w:right w:val="single" w:sz="8" w:color="424E6A"/>
            </w:tcBorders>
          </w:tcPr>
          <w:p>
            <w:pPr>
              <w:jc w:val="center"/>
              <w:ind w:left="59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424E6A"/>
            </w:tcBorders>
          </w:tcPr>
          <w:p>
            <w:pPr>
              <w:ind w:left="3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60" w:type="dxa"/>
            <w:vAlign w:val="bottom"/>
            <w:tcBorders>
              <w:bottom w:val="single" w:sz="8" w:color="424E6A"/>
            </w:tcBorders>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Jeremy Goebel</w:t>
            </w:r>
          </w:p>
        </w:tc>
        <w:tc>
          <w:tcPr>
            <w:tcW w:w="760" w:type="dxa"/>
            <w:vAlign w:val="bottom"/>
            <w:tcBorders>
              <w:bottom w:val="single" w:sz="8" w:color="424E6A"/>
              <w:right w:val="single" w:sz="8" w:color="424E6A"/>
            </w:tcBorders>
            <w:shd w:val="clear" w:color="auto" w:fill="D9DCE1"/>
          </w:tcPr>
          <w:p>
            <w:pPr>
              <w:jc w:val="center"/>
              <w:ind w:left="59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424E6A"/>
            </w:tcBorders>
            <w:shd w:val="clear" w:color="auto" w:fill="D9DCE1"/>
          </w:tcPr>
          <w:p>
            <w:pPr>
              <w:ind w:left="3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60" w:type="dxa"/>
            <w:vAlign w:val="bottom"/>
            <w:tcBorders>
              <w:bottom w:val="single" w:sz="8" w:color="424E6A"/>
            </w:tcBorders>
            <w:shd w:val="clear" w:color="auto" w:fill="D9DCE1"/>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Various Individual and Other Investors</w:t>
            </w:r>
          </w:p>
        </w:tc>
        <w:tc>
          <w:tcPr>
            <w:tcW w:w="760" w:type="dxa"/>
            <w:vAlign w:val="bottom"/>
            <w:tcBorders>
              <w:bottom w:val="single" w:sz="8" w:color="424E6A"/>
              <w:right w:val="single" w:sz="8" w:color="424E6A"/>
            </w:tcBorders>
          </w:tcPr>
          <w:p>
            <w:pPr>
              <w:jc w:val="center"/>
              <w:ind w:left="59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tcPr>
          <w:p>
            <w:pPr>
              <w:ind w:left="3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5.64%</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6" w:lineRule="exact"/>
        <w:rPr>
          <w:sz w:val="20"/>
          <w:szCs w:val="20"/>
          <w:color w:val="auto"/>
        </w:rPr>
      </w:pPr>
    </w:p>
    <w:p>
      <w:pPr>
        <w:ind w:left="1620" w:hanging="360"/>
        <w:spacing w:after="0"/>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1620" w:right="579" w:hanging="360"/>
        <w:spacing w:after="0" w:line="210" w:lineRule="auto"/>
        <w:tabs>
          <w:tab w:leader="none" w:pos="1620" w:val="left"/>
        </w:tabs>
        <w:numPr>
          <w:ilvl w:val="0"/>
          <w:numId w:val="85"/>
        </w:numPr>
        <w:rPr>
          <w:rFonts w:ascii="Arial" w:cs="Arial" w:eastAsia="Arial" w:hAnsi="Arial"/>
          <w:sz w:val="27"/>
          <w:szCs w:val="27"/>
          <w:color w:val="auto"/>
          <w:vertAlign w:val="superscript"/>
        </w:rPr>
      </w:pPr>
      <w:r>
        <w:rPr>
          <w:rFonts w:ascii="Arial" w:cs="Arial" w:eastAsia="Arial" w:hAnsi="Arial"/>
          <w:sz w:val="18"/>
          <w:szCs w:val="18"/>
          <w:color w:val="auto"/>
        </w:rPr>
        <w:t>Plains AAP owns approximately 241.0 million PAA common units and a 100% member interest in PAA GP LLC, which owns PAA’s non-economic general partner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EQUITY COMPENSATION PLAN INFORMATION TABLE</w:t>
      </w:r>
    </w:p>
    <w:p>
      <w:pPr>
        <w:spacing w:after="0" w:line="15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8"/>
          <w:szCs w:val="18"/>
          <w:color w:val="auto"/>
        </w:rPr>
        <w:t>The following table sets forth certain information with respect to our equity compensation plan as of December 31, 2022. For a description of this plan, see “Certain Relationships and Related Transactions — Plains GP Holdings, L.P.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94615</wp:posOffset>
            </wp:positionV>
            <wp:extent cx="34290" cy="8743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874395"/>
                    </a:xfrm>
                    <a:prstGeom prst="rect">
                      <a:avLst/>
                    </a:prstGeom>
                    <a:noFill/>
                  </pic:spPr>
                </pic:pic>
              </a:graphicData>
            </a:graphic>
          </wp:anchor>
        </w:drawing>
      </w:r>
    </w:p>
    <w:p>
      <w:pPr>
        <w:spacing w:after="0" w:line="10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0" w:type="dxa"/>
            <w:vAlign w:val="bottom"/>
            <w:tcBorders>
              <w:top w:val="single" w:sz="8" w:color="424E6A"/>
            </w:tcBorders>
          </w:tcPr>
          <w:p>
            <w:pPr>
              <w:spacing w:after="0"/>
              <w:rPr>
                <w:sz w:val="17"/>
                <w:szCs w:val="17"/>
                <w:color w:val="auto"/>
              </w:rPr>
            </w:pPr>
          </w:p>
        </w:tc>
        <w:tc>
          <w:tcPr>
            <w:tcW w:w="140" w:type="dxa"/>
            <w:vAlign w:val="bottom"/>
            <w:tcBorders>
              <w:top w:val="single" w:sz="8" w:color="424E6A"/>
            </w:tcBorders>
            <w:shd w:val="clear" w:color="auto" w:fill="424E6A"/>
          </w:tcPr>
          <w:p>
            <w:pPr>
              <w:spacing w:after="0"/>
              <w:rPr>
                <w:sz w:val="17"/>
                <w:szCs w:val="17"/>
                <w:color w:val="auto"/>
              </w:rPr>
            </w:pPr>
          </w:p>
        </w:tc>
        <w:tc>
          <w:tcPr>
            <w:tcW w:w="3460" w:type="dxa"/>
            <w:vAlign w:val="bottom"/>
            <w:tcBorders>
              <w:top w:val="single" w:sz="8" w:color="424E6A"/>
            </w:tcBorders>
            <w:shd w:val="clear" w:color="auto" w:fill="424E6A"/>
          </w:tcPr>
          <w:p>
            <w:pPr>
              <w:spacing w:after="0"/>
              <w:rPr>
                <w:sz w:val="17"/>
                <w:szCs w:val="17"/>
                <w:color w:val="auto"/>
              </w:rPr>
            </w:pPr>
          </w:p>
        </w:tc>
        <w:tc>
          <w:tcPr>
            <w:tcW w:w="180" w:type="dxa"/>
            <w:vAlign w:val="bottom"/>
            <w:tcBorders>
              <w:top w:val="single" w:sz="8" w:color="424E6A"/>
              <w:right w:val="single" w:sz="8" w:color="424E6A"/>
            </w:tcBorders>
            <w:shd w:val="clear" w:color="auto" w:fill="424E6A"/>
          </w:tcPr>
          <w:p>
            <w:pPr>
              <w:spacing w:after="0"/>
              <w:rPr>
                <w:sz w:val="17"/>
                <w:szCs w:val="17"/>
                <w:color w:val="auto"/>
              </w:rPr>
            </w:pPr>
          </w:p>
        </w:tc>
        <w:tc>
          <w:tcPr>
            <w:tcW w:w="100" w:type="dxa"/>
            <w:vAlign w:val="bottom"/>
            <w:tcBorders>
              <w:top w:val="single" w:sz="8" w:color="424E6A"/>
            </w:tcBorders>
            <w:shd w:val="clear" w:color="auto" w:fill="424E6A"/>
          </w:tcPr>
          <w:p>
            <w:pPr>
              <w:spacing w:after="0"/>
              <w:rPr>
                <w:sz w:val="17"/>
                <w:szCs w:val="17"/>
                <w:color w:val="auto"/>
              </w:rPr>
            </w:pPr>
          </w:p>
        </w:tc>
        <w:tc>
          <w:tcPr>
            <w:tcW w:w="1240" w:type="dxa"/>
            <w:vAlign w:val="bottom"/>
            <w:tcBorders>
              <w:top w:val="single" w:sz="8" w:color="424E6A"/>
            </w:tcBorders>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40" w:type="dxa"/>
            <w:vAlign w:val="bottom"/>
            <w:tcBorders>
              <w:top w:val="single" w:sz="8" w:color="424E6A"/>
              <w:right w:val="single" w:sz="8" w:color="424E6A"/>
            </w:tcBorders>
            <w:shd w:val="clear" w:color="auto" w:fill="424E6A"/>
          </w:tcPr>
          <w:p>
            <w:pPr>
              <w:spacing w:after="0"/>
              <w:rPr>
                <w:sz w:val="17"/>
                <w:szCs w:val="17"/>
                <w:color w:val="auto"/>
              </w:rPr>
            </w:pPr>
          </w:p>
        </w:tc>
        <w:tc>
          <w:tcPr>
            <w:tcW w:w="120" w:type="dxa"/>
            <w:vAlign w:val="bottom"/>
            <w:tcBorders>
              <w:top w:val="single" w:sz="8" w:color="424E6A"/>
            </w:tcBorders>
            <w:shd w:val="clear" w:color="auto" w:fill="424E6A"/>
          </w:tcPr>
          <w:p>
            <w:pPr>
              <w:spacing w:after="0"/>
              <w:rPr>
                <w:sz w:val="17"/>
                <w:szCs w:val="17"/>
                <w:color w:val="auto"/>
              </w:rPr>
            </w:pPr>
          </w:p>
        </w:tc>
        <w:tc>
          <w:tcPr>
            <w:tcW w:w="1220" w:type="dxa"/>
            <w:vAlign w:val="bottom"/>
            <w:tcBorders>
              <w:top w:val="single" w:sz="8" w:color="424E6A"/>
            </w:tcBorders>
            <w:shd w:val="clear" w:color="auto" w:fill="424E6A"/>
          </w:tcPr>
          <w:p>
            <w:pPr>
              <w:spacing w:after="0"/>
              <w:rPr>
                <w:sz w:val="17"/>
                <w:szCs w:val="17"/>
                <w:color w:val="auto"/>
              </w:rPr>
            </w:pPr>
          </w:p>
        </w:tc>
        <w:tc>
          <w:tcPr>
            <w:tcW w:w="140" w:type="dxa"/>
            <w:vAlign w:val="bottom"/>
            <w:tcBorders>
              <w:top w:val="single" w:sz="8" w:color="424E6A"/>
              <w:right w:val="single" w:sz="8" w:color="424E6A"/>
            </w:tcBorders>
            <w:shd w:val="clear" w:color="auto" w:fill="424E6A"/>
          </w:tcPr>
          <w:p>
            <w:pPr>
              <w:spacing w:after="0"/>
              <w:rPr>
                <w:sz w:val="17"/>
                <w:szCs w:val="17"/>
                <w:color w:val="auto"/>
              </w:rPr>
            </w:pPr>
          </w:p>
        </w:tc>
        <w:tc>
          <w:tcPr>
            <w:tcW w:w="100" w:type="dxa"/>
            <w:vAlign w:val="bottom"/>
            <w:tcBorders>
              <w:top w:val="single" w:sz="8" w:color="424E6A"/>
            </w:tcBorders>
            <w:shd w:val="clear" w:color="auto" w:fill="424E6A"/>
          </w:tcPr>
          <w:p>
            <w:pPr>
              <w:spacing w:after="0"/>
              <w:rPr>
                <w:sz w:val="17"/>
                <w:szCs w:val="17"/>
                <w:color w:val="auto"/>
              </w:rPr>
            </w:pPr>
          </w:p>
        </w:tc>
        <w:tc>
          <w:tcPr>
            <w:tcW w:w="1260" w:type="dxa"/>
            <w:vAlign w:val="bottom"/>
            <w:tcBorders>
              <w:top w:val="single" w:sz="8" w:color="424E6A"/>
            </w:tcBorders>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00" w:type="dxa"/>
            <w:vAlign w:val="bottom"/>
            <w:tcBorders>
              <w:top w:val="single" w:sz="8" w:color="424E6A"/>
              <w:right w:val="single" w:sz="8" w:color="424E6A"/>
            </w:tcBorders>
            <w:shd w:val="clear" w:color="auto" w:fill="424E6A"/>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34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to be Issued upon</w:t>
            </w:r>
          </w:p>
        </w:tc>
        <w:tc>
          <w:tcPr>
            <w:tcW w:w="140" w:type="dxa"/>
            <w:vAlign w:val="bottom"/>
            <w:tcBorders>
              <w:right w:val="single" w:sz="8" w:color="424E6A"/>
            </w:tcBorders>
            <w:shd w:val="clear" w:color="auto" w:fill="424E6A"/>
          </w:tcPr>
          <w:p>
            <w:pPr>
              <w:spacing w:after="0"/>
              <w:rPr>
                <w:sz w:val="14"/>
                <w:szCs w:val="14"/>
                <w:color w:val="auto"/>
              </w:rPr>
            </w:pPr>
          </w:p>
        </w:tc>
        <w:tc>
          <w:tcPr>
            <w:tcW w:w="1340" w:type="dxa"/>
            <w:vAlign w:val="bottom"/>
            <w:gridSpan w:val="2"/>
            <w:shd w:val="clear" w:color="auto" w:fill="424E6A"/>
          </w:tcPr>
          <w:p>
            <w:pPr>
              <w:jc w:val="center"/>
              <w:ind w:left="15"/>
              <w:spacing w:after="0"/>
              <w:rPr>
                <w:sz w:val="20"/>
                <w:szCs w:val="20"/>
                <w:color w:val="auto"/>
              </w:rPr>
            </w:pPr>
            <w:r>
              <w:rPr>
                <w:rFonts w:ascii="Arial" w:cs="Arial" w:eastAsia="Arial" w:hAnsi="Arial"/>
                <w:sz w:val="14"/>
                <w:szCs w:val="14"/>
                <w:b w:val="1"/>
                <w:bCs w:val="1"/>
                <w:color w:val="FFFFFF"/>
              </w:rPr>
              <w:t>Weighted Average</w:t>
            </w:r>
          </w:p>
        </w:tc>
        <w:tc>
          <w:tcPr>
            <w:tcW w:w="1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Remaining</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34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Exercise/Vesting</w:t>
            </w:r>
          </w:p>
        </w:tc>
        <w:tc>
          <w:tcPr>
            <w:tcW w:w="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1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Available for</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34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of Outstanding</w:t>
            </w:r>
          </w:p>
        </w:tc>
        <w:tc>
          <w:tcPr>
            <w:tcW w:w="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Outstanding</w:t>
            </w:r>
          </w:p>
        </w:tc>
        <w:tc>
          <w:tcPr>
            <w:tcW w:w="1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Future Issuance</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34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Options,</w:t>
            </w:r>
          </w:p>
        </w:tc>
        <w:tc>
          <w:tcPr>
            <w:tcW w:w="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Options,</w:t>
            </w:r>
          </w:p>
        </w:tc>
        <w:tc>
          <w:tcPr>
            <w:tcW w:w="1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under Equity</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34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Warrants and</w:t>
            </w:r>
          </w:p>
        </w:tc>
        <w:tc>
          <w:tcPr>
            <w:tcW w:w="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Warrants and</w:t>
            </w:r>
          </w:p>
        </w:tc>
        <w:tc>
          <w:tcPr>
            <w:tcW w:w="1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2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Compensation</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34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36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302"/>
              <w:spacing w:after="0"/>
              <w:rPr>
                <w:sz w:val="20"/>
                <w:szCs w:val="20"/>
                <w:color w:val="auto"/>
              </w:rPr>
            </w:pPr>
            <w:r>
              <w:rPr>
                <w:rFonts w:ascii="Arial" w:cs="Arial" w:eastAsia="Arial" w:hAnsi="Arial"/>
                <w:sz w:val="14"/>
                <w:szCs w:val="14"/>
                <w:b w:val="1"/>
                <w:bCs w:val="1"/>
                <w:color w:val="FFFFFF"/>
              </w:rPr>
              <w:t>Rights</w:t>
            </w:r>
          </w:p>
        </w:tc>
        <w:tc>
          <w:tcPr>
            <w:tcW w:w="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Rights</w:t>
            </w:r>
          </w:p>
        </w:tc>
        <w:tc>
          <w:tcPr>
            <w:tcW w:w="1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360" w:type="dxa"/>
            <w:vAlign w:val="bottom"/>
            <w:shd w:val="clear" w:color="auto" w:fill="424E6A"/>
          </w:tcPr>
          <w:p>
            <w:pPr>
              <w:spacing w:after="0"/>
              <w:rPr>
                <w:sz w:val="14"/>
                <w:szCs w:val="14"/>
                <w:color w:val="auto"/>
              </w:rPr>
            </w:pPr>
          </w:p>
        </w:tc>
        <w:tc>
          <w:tcPr>
            <w:tcW w:w="900" w:type="dxa"/>
            <w:vAlign w:val="bottom"/>
            <w:shd w:val="clear" w:color="auto" w:fill="424E6A"/>
          </w:tcPr>
          <w:p>
            <w:pPr>
              <w:jc w:val="center"/>
              <w:ind w:right="302"/>
              <w:spacing w:after="0"/>
              <w:rPr>
                <w:sz w:val="20"/>
                <w:szCs w:val="20"/>
                <w:color w:val="auto"/>
              </w:rPr>
            </w:pPr>
            <w:r>
              <w:rPr>
                <w:rFonts w:ascii="Arial" w:cs="Arial" w:eastAsia="Arial" w:hAnsi="Arial"/>
                <w:sz w:val="14"/>
                <w:szCs w:val="14"/>
                <w:b w:val="1"/>
                <w:bCs w:val="1"/>
                <w:color w:val="FFFFFF"/>
              </w:rPr>
              <w:t>Plans</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gridSpan w:val="2"/>
            <w:shd w:val="clear" w:color="auto" w:fill="424E6A"/>
          </w:tcPr>
          <w:p>
            <w:pPr>
              <w:ind w:left="2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Plan Category</w:t>
            </w:r>
          </w:p>
        </w:tc>
        <w:tc>
          <w:tcPr>
            <w:tcW w:w="280" w:type="dxa"/>
            <w:vAlign w:val="bottom"/>
            <w:gridSpan w:val="2"/>
            <w:shd w:val="clear" w:color="auto" w:fill="424E6A"/>
          </w:tcPr>
          <w:p>
            <w:pPr>
              <w:ind w:left="120"/>
              <w:spacing w:after="0"/>
              <w:rPr>
                <w:sz w:val="20"/>
                <w:szCs w:val="20"/>
                <w:color w:val="auto"/>
              </w:rPr>
            </w:pPr>
            <w:r>
              <w:rPr>
                <w:rFonts w:ascii="Arial" w:cs="Arial" w:eastAsia="Arial" w:hAnsi="Arial"/>
                <w:sz w:val="14"/>
                <w:szCs w:val="14"/>
                <w:b w:val="1"/>
                <w:bCs w:val="1"/>
                <w:color w:val="FFFFFF"/>
              </w:rPr>
              <w:t>​ ​</w:t>
            </w:r>
          </w:p>
        </w:tc>
        <w:tc>
          <w:tcPr>
            <w:tcW w:w="360" w:type="dxa"/>
            <w:vAlign w:val="bottom"/>
            <w:shd w:val="clear" w:color="auto" w:fill="424E6A"/>
          </w:tcPr>
          <w:p>
            <w:pPr>
              <w:spacing w:after="0"/>
              <w:rPr>
                <w:sz w:val="17"/>
                <w:szCs w:val="17"/>
                <w:color w:val="auto"/>
              </w:rPr>
            </w:pPr>
          </w:p>
        </w:tc>
        <w:tc>
          <w:tcPr>
            <w:tcW w:w="880" w:type="dxa"/>
            <w:vAlign w:val="bottom"/>
            <w:shd w:val="clear" w:color="auto" w:fill="424E6A"/>
          </w:tcPr>
          <w:p>
            <w:pPr>
              <w:jc w:val="center"/>
              <w:ind w:right="262"/>
              <w:spacing w:after="0"/>
              <w:rPr>
                <w:sz w:val="20"/>
                <w:szCs w:val="20"/>
                <w:color w:val="auto"/>
              </w:rPr>
            </w:pPr>
            <w:r>
              <w:rPr>
                <w:rFonts w:ascii="Arial" w:cs="Arial" w:eastAsia="Arial" w:hAnsi="Arial"/>
                <w:sz w:val="14"/>
                <w:szCs w:val="14"/>
                <w:b w:val="1"/>
                <w:bCs w:val="1"/>
                <w:color w:val="FFFFFF"/>
              </w:rPr>
              <w:t>(a)</w:t>
            </w:r>
          </w:p>
        </w:tc>
        <w:tc>
          <w:tcPr>
            <w:tcW w:w="26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(b)</w:t>
            </w:r>
          </w:p>
        </w:tc>
        <w:tc>
          <w:tcPr>
            <w:tcW w:w="24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360" w:type="dxa"/>
            <w:vAlign w:val="bottom"/>
            <w:shd w:val="clear" w:color="auto" w:fill="424E6A"/>
          </w:tcPr>
          <w:p>
            <w:pPr>
              <w:spacing w:after="0"/>
              <w:rPr>
                <w:sz w:val="17"/>
                <w:szCs w:val="17"/>
                <w:color w:val="auto"/>
              </w:rPr>
            </w:pPr>
          </w:p>
        </w:tc>
        <w:tc>
          <w:tcPr>
            <w:tcW w:w="900" w:type="dxa"/>
            <w:vAlign w:val="bottom"/>
            <w:shd w:val="clear" w:color="auto" w:fill="424E6A"/>
          </w:tcPr>
          <w:p>
            <w:pPr>
              <w:jc w:val="center"/>
              <w:ind w:right="262"/>
              <w:spacing w:after="0"/>
              <w:rPr>
                <w:sz w:val="20"/>
                <w:szCs w:val="20"/>
                <w:color w:val="auto"/>
              </w:rPr>
            </w:pPr>
            <w:r>
              <w:rPr>
                <w:rFonts w:ascii="Arial" w:cs="Arial" w:eastAsia="Arial" w:hAnsi="Arial"/>
                <w:sz w:val="14"/>
                <w:szCs w:val="14"/>
                <w:b w:val="1"/>
                <w:bCs w:val="1"/>
                <w:color w:val="FFFFFF"/>
                <w:w w:val="93"/>
              </w:rPr>
              <w:t>(c)</w:t>
            </w:r>
          </w:p>
        </w:tc>
        <w:tc>
          <w:tcPr>
            <w:tcW w:w="100" w:type="dxa"/>
            <w:vAlign w:val="bottom"/>
            <w:tcBorders>
              <w:right w:val="single" w:sz="8" w:color="424E6A"/>
            </w:tcBorders>
            <w:shd w:val="clear" w:color="auto" w:fill="424E6A"/>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424E6A"/>
          </w:tcPr>
          <w:p>
            <w:pPr>
              <w:spacing w:after="0"/>
              <w:rPr>
                <w:sz w:val="18"/>
                <w:szCs w:val="18"/>
                <w:color w:val="auto"/>
              </w:rPr>
            </w:pPr>
          </w:p>
        </w:tc>
        <w:tc>
          <w:tcPr>
            <w:tcW w:w="3600" w:type="dxa"/>
            <w:vAlign w:val="bottom"/>
            <w:gridSpan w:val="2"/>
            <w:shd w:val="clear" w:color="auto" w:fill="D9DCE1"/>
          </w:tcPr>
          <w:p>
            <w:pPr>
              <w:ind w:left="40"/>
              <w:spacing w:after="0"/>
              <w:rPr>
                <w:sz w:val="20"/>
                <w:szCs w:val="20"/>
                <w:color w:val="auto"/>
              </w:rPr>
            </w:pPr>
            <w:r>
              <w:rPr>
                <w:rFonts w:ascii="Arial" w:cs="Arial" w:eastAsia="Arial" w:hAnsi="Arial"/>
                <w:sz w:val="18"/>
                <w:szCs w:val="18"/>
                <w:color w:val="auto"/>
              </w:rPr>
              <w:t>Equity compensation plans approved by</w:t>
            </w:r>
          </w:p>
        </w:tc>
        <w:tc>
          <w:tcPr>
            <w:tcW w:w="180" w:type="dxa"/>
            <w:vAlign w:val="bottom"/>
            <w:tcBorders>
              <w:right w:val="single" w:sz="8" w:color="424E6A"/>
            </w:tcBorders>
            <w:shd w:val="clear" w:color="auto" w:fill="D9DCE1"/>
          </w:tcPr>
          <w:p>
            <w:pPr>
              <w:spacing w:after="0"/>
              <w:rPr>
                <w:sz w:val="18"/>
                <w:szCs w:val="18"/>
                <w:color w:val="auto"/>
              </w:rPr>
            </w:pPr>
          </w:p>
        </w:tc>
        <w:tc>
          <w:tcPr>
            <w:tcW w:w="100" w:type="dxa"/>
            <w:vAlign w:val="bottom"/>
            <w:shd w:val="clear" w:color="auto" w:fill="D9DCE1"/>
          </w:tcPr>
          <w:p>
            <w:pPr>
              <w:spacing w:after="0"/>
              <w:rPr>
                <w:sz w:val="18"/>
                <w:szCs w:val="18"/>
                <w:color w:val="auto"/>
              </w:rPr>
            </w:pPr>
          </w:p>
        </w:tc>
        <w:tc>
          <w:tcPr>
            <w:tcW w:w="360" w:type="dxa"/>
            <w:vAlign w:val="bottom"/>
            <w:shd w:val="clear" w:color="auto" w:fill="D9DCE1"/>
          </w:tcPr>
          <w:p>
            <w:pPr>
              <w:spacing w:after="0"/>
              <w:rPr>
                <w:sz w:val="18"/>
                <w:szCs w:val="18"/>
                <w:color w:val="auto"/>
              </w:rPr>
            </w:pPr>
          </w:p>
        </w:tc>
        <w:tc>
          <w:tcPr>
            <w:tcW w:w="880" w:type="dxa"/>
            <w:vAlign w:val="bottom"/>
            <w:shd w:val="clear" w:color="auto" w:fill="D9DCE1"/>
          </w:tcPr>
          <w:p>
            <w:pPr>
              <w:spacing w:after="0"/>
              <w:rPr>
                <w:sz w:val="18"/>
                <w:szCs w:val="18"/>
                <w:color w:val="auto"/>
              </w:rPr>
            </w:pPr>
          </w:p>
        </w:tc>
        <w:tc>
          <w:tcPr>
            <w:tcW w:w="140" w:type="dxa"/>
            <w:vAlign w:val="bottom"/>
            <w:tcBorders>
              <w:right w:val="single" w:sz="8" w:color="424E6A"/>
            </w:tcBorders>
            <w:shd w:val="clear" w:color="auto" w:fill="D9DCE1"/>
          </w:tcPr>
          <w:p>
            <w:pPr>
              <w:spacing w:after="0"/>
              <w:rPr>
                <w:sz w:val="18"/>
                <w:szCs w:val="18"/>
                <w:color w:val="auto"/>
              </w:rPr>
            </w:pPr>
          </w:p>
        </w:tc>
        <w:tc>
          <w:tcPr>
            <w:tcW w:w="120" w:type="dxa"/>
            <w:vAlign w:val="bottom"/>
            <w:shd w:val="clear" w:color="auto" w:fill="D9DCE1"/>
          </w:tcPr>
          <w:p>
            <w:pPr>
              <w:spacing w:after="0"/>
              <w:rPr>
                <w:sz w:val="18"/>
                <w:szCs w:val="18"/>
                <w:color w:val="auto"/>
              </w:rPr>
            </w:pPr>
          </w:p>
        </w:tc>
        <w:tc>
          <w:tcPr>
            <w:tcW w:w="1220" w:type="dxa"/>
            <w:vAlign w:val="bottom"/>
            <w:shd w:val="clear" w:color="auto" w:fill="D9DCE1"/>
          </w:tcPr>
          <w:p>
            <w:pPr>
              <w:spacing w:after="0"/>
              <w:rPr>
                <w:sz w:val="18"/>
                <w:szCs w:val="18"/>
                <w:color w:val="auto"/>
              </w:rPr>
            </w:pPr>
          </w:p>
        </w:tc>
        <w:tc>
          <w:tcPr>
            <w:tcW w:w="140" w:type="dxa"/>
            <w:vAlign w:val="bottom"/>
            <w:tcBorders>
              <w:right w:val="single" w:sz="8" w:color="424E6A"/>
            </w:tcBorders>
            <w:shd w:val="clear" w:color="auto" w:fill="D9DCE1"/>
          </w:tcPr>
          <w:p>
            <w:pPr>
              <w:spacing w:after="0"/>
              <w:rPr>
                <w:sz w:val="18"/>
                <w:szCs w:val="18"/>
                <w:color w:val="auto"/>
              </w:rPr>
            </w:pPr>
          </w:p>
        </w:tc>
        <w:tc>
          <w:tcPr>
            <w:tcW w:w="100" w:type="dxa"/>
            <w:vAlign w:val="bottom"/>
            <w:shd w:val="clear" w:color="auto" w:fill="D9DCE1"/>
          </w:tcPr>
          <w:p>
            <w:pPr>
              <w:spacing w:after="0"/>
              <w:rPr>
                <w:sz w:val="18"/>
                <w:szCs w:val="18"/>
                <w:color w:val="auto"/>
              </w:rPr>
            </w:pPr>
          </w:p>
        </w:tc>
        <w:tc>
          <w:tcPr>
            <w:tcW w:w="360" w:type="dxa"/>
            <w:vAlign w:val="bottom"/>
            <w:shd w:val="clear" w:color="auto" w:fill="D9DCE1"/>
          </w:tcPr>
          <w:p>
            <w:pPr>
              <w:spacing w:after="0"/>
              <w:rPr>
                <w:sz w:val="18"/>
                <w:szCs w:val="18"/>
                <w:color w:val="auto"/>
              </w:rPr>
            </w:pPr>
          </w:p>
        </w:tc>
        <w:tc>
          <w:tcPr>
            <w:tcW w:w="900" w:type="dxa"/>
            <w:vAlign w:val="bottom"/>
            <w:shd w:val="clear" w:color="auto" w:fill="D9DCE1"/>
          </w:tcPr>
          <w:p>
            <w:pPr>
              <w:spacing w:after="0"/>
              <w:rPr>
                <w:sz w:val="18"/>
                <w:szCs w:val="18"/>
                <w:color w:val="auto"/>
              </w:rPr>
            </w:pPr>
          </w:p>
        </w:tc>
        <w:tc>
          <w:tcPr>
            <w:tcW w:w="100" w:type="dxa"/>
            <w:vAlign w:val="bottom"/>
            <w:tcBorders>
              <w:right w:val="single" w:sz="8" w:color="424E6A"/>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Borders>
              <w:bottom w:val="single" w:sz="8" w:color="424E6A"/>
            </w:tcBorders>
            <w:shd w:val="clear" w:color="auto" w:fill="424E6A"/>
          </w:tcPr>
          <w:p>
            <w:pPr>
              <w:spacing w:after="0"/>
              <w:rPr>
                <w:sz w:val="22"/>
                <w:szCs w:val="22"/>
                <w:color w:val="auto"/>
              </w:rPr>
            </w:pP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46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shareholders:</w:t>
            </w:r>
          </w:p>
        </w:tc>
        <w:tc>
          <w:tcPr>
            <w:tcW w:w="18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24E6A"/>
            </w:tcBorders>
            <w:shd w:val="clear" w:color="auto" w:fill="D9DCE1"/>
          </w:tcPr>
          <w:p>
            <w:pPr>
              <w:ind w:left="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24E6A"/>
            </w:tcBorders>
            <w:shd w:val="clear" w:color="auto" w:fill="D9DCE1"/>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24E6A"/>
            </w:tcBorders>
            <w:shd w:val="clear" w:color="auto" w:fill="D9DCE1"/>
          </w:tcPr>
          <w:p>
            <w:pPr>
              <w:ind w:lef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shd w:val="clear" w:color="auto" w:fill="D9DCE1"/>
          </w:tcPr>
          <w:p>
            <w:pPr>
              <w:spacing w:after="0"/>
              <w:rPr>
                <w:sz w:val="22"/>
                <w:szCs w:val="22"/>
                <w:color w:val="auto"/>
              </w:rPr>
            </w:pPr>
          </w:p>
        </w:tc>
        <w:tc>
          <w:tcPr>
            <w:tcW w:w="10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 w:type="dxa"/>
            <w:vAlign w:val="bottom"/>
            <w:shd w:val="clear" w:color="auto" w:fill="424E6A"/>
          </w:tcPr>
          <w:p>
            <w:pPr>
              <w:spacing w:after="0"/>
              <w:rPr>
                <w:sz w:val="15"/>
                <w:szCs w:val="15"/>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460" w:type="dxa"/>
            <w:vAlign w:val="bottom"/>
          </w:tcPr>
          <w:p>
            <w:pPr>
              <w:ind w:left="80"/>
              <w:spacing w:after="0" w:line="182" w:lineRule="exact"/>
              <w:rPr>
                <w:sz w:val="20"/>
                <w:szCs w:val="20"/>
                <w:color w:val="auto"/>
              </w:rPr>
            </w:pPr>
            <w:r>
              <w:rPr>
                <w:rFonts w:ascii="Arial" w:cs="Arial" w:eastAsia="Arial" w:hAnsi="Arial"/>
                <w:sz w:val="18"/>
                <w:szCs w:val="18"/>
                <w:color w:val="auto"/>
              </w:rPr>
              <w:t>Long Term Incentive Plan</w:t>
            </w:r>
          </w:p>
        </w:tc>
        <w:tc>
          <w:tcPr>
            <w:tcW w:w="180" w:type="dxa"/>
            <w:vAlign w:val="bottom"/>
            <w:tcBorders>
              <w:right w:val="single" w:sz="8" w:color="424E6A"/>
            </w:tcBorders>
            <w:vMerge w:val="restart"/>
          </w:tcPr>
          <w:p>
            <w:pPr>
              <w:ind w:left="1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300"/>
              <w:spacing w:after="0" w:line="183" w:lineRule="exact"/>
              <w:rPr>
                <w:sz w:val="20"/>
                <w:szCs w:val="20"/>
                <w:color w:val="auto"/>
              </w:rPr>
            </w:pPr>
            <w:r>
              <w:rPr>
                <w:rFonts w:ascii="Arial" w:cs="Arial" w:eastAsia="Arial" w:hAnsi="Arial"/>
                <w:sz w:val="17"/>
                <w:szCs w:val="17"/>
                <w:color w:val="auto"/>
              </w:rPr>
              <w:t>352,202</w:t>
            </w:r>
            <w:r>
              <w:rPr>
                <w:rFonts w:ascii="Arial" w:cs="Arial" w:eastAsia="Arial" w:hAnsi="Arial"/>
                <w:sz w:val="21"/>
                <w:szCs w:val="21"/>
                <w:color w:val="auto"/>
                <w:vertAlign w:val="superscript"/>
              </w:rPr>
              <w:t>(1)</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center"/>
              <w:spacing w:after="0" w:line="182" w:lineRule="exact"/>
              <w:rPr>
                <w:sz w:val="20"/>
                <w:szCs w:val="20"/>
                <w:color w:val="auto"/>
              </w:rPr>
            </w:pPr>
            <w:r>
              <w:rPr>
                <w:rFonts w:ascii="Arial" w:cs="Arial" w:eastAsia="Arial" w:hAnsi="Arial"/>
                <w:sz w:val="18"/>
                <w:szCs w:val="18"/>
                <w:color w:val="auto"/>
                <w:w w:val="99"/>
              </w:rPr>
              <w:t>N/A</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240"/>
              <w:spacing w:after="0" w:line="183" w:lineRule="exact"/>
              <w:rPr>
                <w:sz w:val="20"/>
                <w:szCs w:val="20"/>
                <w:color w:val="auto"/>
              </w:rPr>
            </w:pPr>
            <w:r>
              <w:rPr>
                <w:rFonts w:ascii="Arial" w:cs="Arial" w:eastAsia="Arial" w:hAnsi="Arial"/>
                <w:sz w:val="17"/>
                <w:szCs w:val="17"/>
                <w:color w:val="auto"/>
              </w:rPr>
              <w:t>3,233,241</w:t>
            </w:r>
            <w:r>
              <w:rPr>
                <w:rFonts w:ascii="Arial" w:cs="Arial" w:eastAsia="Arial" w:hAnsi="Arial"/>
                <w:sz w:val="21"/>
                <w:szCs w:val="21"/>
                <w:color w:val="auto"/>
                <w:vertAlign w:val="superscript"/>
              </w:rPr>
              <w:t>(1)</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0" w:type="dxa"/>
            <w:vAlign w:val="bottom"/>
            <w:tcBorders>
              <w:bottom w:val="single" w:sz="8" w:color="424E6A"/>
            </w:tcBorders>
            <w:shd w:val="clear" w:color="auto" w:fill="424E6A"/>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3460" w:type="dxa"/>
            <w:vAlign w:val="bottom"/>
            <w:tcBorders>
              <w:bottom w:val="single" w:sz="8" w:color="424E6A"/>
            </w:tcBorders>
          </w:tcPr>
          <w:p>
            <w:pPr>
              <w:spacing w:after="0"/>
              <w:rPr>
                <w:sz w:val="5"/>
                <w:szCs w:val="5"/>
                <w:color w:val="auto"/>
              </w:rPr>
            </w:pPr>
          </w:p>
        </w:tc>
        <w:tc>
          <w:tcPr>
            <w:tcW w:w="180" w:type="dxa"/>
            <w:vAlign w:val="bottom"/>
            <w:tcBorders>
              <w:bottom w:val="single" w:sz="8" w:color="424E6A"/>
              <w:right w:val="single" w:sz="8" w:color="424E6A"/>
            </w:tcBorders>
            <w:vMerge w:val="continue"/>
          </w:tcPr>
          <w:p>
            <w:pPr>
              <w:spacing w:after="0"/>
              <w:rPr>
                <w:sz w:val="5"/>
                <w:szCs w:val="5"/>
                <w:color w:val="auto"/>
              </w:rPr>
            </w:pPr>
          </w:p>
        </w:tc>
        <w:tc>
          <w:tcPr>
            <w:tcW w:w="100" w:type="dxa"/>
            <w:vAlign w:val="bottom"/>
            <w:tcBorders>
              <w:bottom w:val="single" w:sz="8" w:color="424E6A"/>
            </w:tcBorders>
            <w:vMerge w:val="continue"/>
          </w:tcPr>
          <w:p>
            <w:pPr>
              <w:spacing w:after="0"/>
              <w:rPr>
                <w:sz w:val="5"/>
                <w:szCs w:val="5"/>
                <w:color w:val="auto"/>
              </w:rPr>
            </w:pPr>
          </w:p>
        </w:tc>
        <w:tc>
          <w:tcPr>
            <w:tcW w:w="360" w:type="dxa"/>
            <w:vAlign w:val="bottom"/>
            <w:tcBorders>
              <w:bottom w:val="single" w:sz="8" w:color="424E6A"/>
            </w:tcBorders>
          </w:tcPr>
          <w:p>
            <w:pPr>
              <w:ind w:left="300"/>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120" w:type="dxa"/>
            <w:vAlign w:val="bottom"/>
            <w:tcBorders>
              <w:bottom w:val="single" w:sz="8" w:color="424E6A"/>
            </w:tcBorders>
            <w:vMerge w:val="continue"/>
          </w:tcPr>
          <w:p>
            <w:pPr>
              <w:spacing w:after="0"/>
              <w:rPr>
                <w:sz w:val="5"/>
                <w:szCs w:val="5"/>
                <w:color w:val="auto"/>
              </w:rPr>
            </w:pPr>
          </w:p>
        </w:tc>
        <w:tc>
          <w:tcPr>
            <w:tcW w:w="1220" w:type="dxa"/>
            <w:vAlign w:val="bottom"/>
            <w:tcBorders>
              <w:bottom w:val="single" w:sz="8" w:color="424E6A"/>
            </w:tcBorders>
          </w:tcPr>
          <w:p>
            <w:pPr>
              <w:ind w:left="44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100" w:type="dxa"/>
            <w:vAlign w:val="bottom"/>
            <w:tcBorders>
              <w:bottom w:val="single" w:sz="8" w:color="424E6A"/>
            </w:tcBorders>
            <w:vMerge w:val="continue"/>
          </w:tcPr>
          <w:p>
            <w:pPr>
              <w:spacing w:after="0"/>
              <w:rPr>
                <w:sz w:val="5"/>
                <w:szCs w:val="5"/>
                <w:color w:val="auto"/>
              </w:rPr>
            </w:pPr>
          </w:p>
        </w:tc>
        <w:tc>
          <w:tcPr>
            <w:tcW w:w="360" w:type="dxa"/>
            <w:vAlign w:val="bottom"/>
            <w:tcBorders>
              <w:bottom w:val="single" w:sz="8" w:color="424E6A"/>
            </w:tcBorders>
          </w:tcPr>
          <w:p>
            <w:pPr>
              <w:ind w:left="220"/>
              <w:spacing w:after="0" w:line="68" w:lineRule="exact"/>
              <w:rPr>
                <w:sz w:val="20"/>
                <w:szCs w:val="20"/>
                <w:color w:val="auto"/>
              </w:rPr>
            </w:pPr>
            <w:r>
              <w:rPr>
                <w:rFonts w:ascii="Arial" w:cs="Arial" w:eastAsia="Arial" w:hAnsi="Arial"/>
                <w:sz w:val="7"/>
                <w:szCs w:val="7"/>
                <w:color w:val="auto"/>
              </w:rPr>
              <w:t>​</w:t>
            </w:r>
          </w:p>
        </w:tc>
        <w:tc>
          <w:tcPr>
            <w:tcW w:w="90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424E6A"/>
          </w:tcPr>
          <w:p>
            <w:pPr>
              <w:spacing w:after="0"/>
              <w:rPr>
                <w:sz w:val="17"/>
                <w:szCs w:val="17"/>
                <w:color w:val="auto"/>
              </w:rPr>
            </w:pPr>
          </w:p>
        </w:tc>
        <w:tc>
          <w:tcPr>
            <w:tcW w:w="3600" w:type="dxa"/>
            <w:vAlign w:val="bottom"/>
            <w:gridSpan w:val="2"/>
            <w:shd w:val="clear" w:color="auto" w:fill="D9DCE1"/>
          </w:tcPr>
          <w:p>
            <w:pPr>
              <w:ind w:left="40"/>
              <w:spacing w:after="0" w:line="204" w:lineRule="exact"/>
              <w:rPr>
                <w:sz w:val="20"/>
                <w:szCs w:val="20"/>
                <w:color w:val="auto"/>
              </w:rPr>
            </w:pPr>
            <w:r>
              <w:rPr>
                <w:rFonts w:ascii="Arial" w:cs="Arial" w:eastAsia="Arial" w:hAnsi="Arial"/>
                <w:sz w:val="18"/>
                <w:szCs w:val="18"/>
                <w:color w:val="auto"/>
              </w:rPr>
              <w:t>Equity compensation plans not approved by</w:t>
            </w:r>
          </w:p>
        </w:tc>
        <w:tc>
          <w:tcPr>
            <w:tcW w:w="180" w:type="dxa"/>
            <w:vAlign w:val="bottom"/>
            <w:tcBorders>
              <w:right w:val="single" w:sz="8" w:color="424E6A"/>
            </w:tcBorders>
            <w:shd w:val="clear" w:color="auto" w:fill="D9DCE1"/>
          </w:tcPr>
          <w:p>
            <w:pPr>
              <w:spacing w:after="0"/>
              <w:rPr>
                <w:sz w:val="17"/>
                <w:szCs w:val="17"/>
                <w:color w:val="auto"/>
              </w:rPr>
            </w:pPr>
          </w:p>
        </w:tc>
        <w:tc>
          <w:tcPr>
            <w:tcW w:w="100" w:type="dxa"/>
            <w:vAlign w:val="bottom"/>
            <w:shd w:val="clear" w:color="auto" w:fill="D9DCE1"/>
          </w:tcPr>
          <w:p>
            <w:pPr>
              <w:spacing w:after="0"/>
              <w:rPr>
                <w:sz w:val="17"/>
                <w:szCs w:val="17"/>
                <w:color w:val="auto"/>
              </w:rPr>
            </w:pPr>
          </w:p>
        </w:tc>
        <w:tc>
          <w:tcPr>
            <w:tcW w:w="360" w:type="dxa"/>
            <w:vAlign w:val="bottom"/>
            <w:shd w:val="clear" w:color="auto" w:fill="D9DCE1"/>
          </w:tcPr>
          <w:p>
            <w:pPr>
              <w:spacing w:after="0"/>
              <w:rPr>
                <w:sz w:val="17"/>
                <w:szCs w:val="17"/>
                <w:color w:val="auto"/>
              </w:rPr>
            </w:pPr>
          </w:p>
        </w:tc>
        <w:tc>
          <w:tcPr>
            <w:tcW w:w="880" w:type="dxa"/>
            <w:vAlign w:val="bottom"/>
            <w:shd w:val="clear" w:color="auto" w:fill="D9DCE1"/>
          </w:tcPr>
          <w:p>
            <w:pPr>
              <w:spacing w:after="0"/>
              <w:rPr>
                <w:sz w:val="17"/>
                <w:szCs w:val="17"/>
                <w:color w:val="auto"/>
              </w:rPr>
            </w:pPr>
          </w:p>
        </w:tc>
        <w:tc>
          <w:tcPr>
            <w:tcW w:w="140" w:type="dxa"/>
            <w:vAlign w:val="bottom"/>
            <w:tcBorders>
              <w:right w:val="single" w:sz="8" w:color="424E6A"/>
            </w:tcBorders>
            <w:shd w:val="clear" w:color="auto" w:fill="D9DCE1"/>
          </w:tcPr>
          <w:p>
            <w:pPr>
              <w:spacing w:after="0"/>
              <w:rPr>
                <w:sz w:val="17"/>
                <w:szCs w:val="17"/>
                <w:color w:val="auto"/>
              </w:rPr>
            </w:pPr>
          </w:p>
        </w:tc>
        <w:tc>
          <w:tcPr>
            <w:tcW w:w="120" w:type="dxa"/>
            <w:vAlign w:val="bottom"/>
            <w:shd w:val="clear" w:color="auto" w:fill="D9DCE1"/>
          </w:tcPr>
          <w:p>
            <w:pPr>
              <w:spacing w:after="0"/>
              <w:rPr>
                <w:sz w:val="17"/>
                <w:szCs w:val="17"/>
                <w:color w:val="auto"/>
              </w:rPr>
            </w:pPr>
          </w:p>
        </w:tc>
        <w:tc>
          <w:tcPr>
            <w:tcW w:w="1220" w:type="dxa"/>
            <w:vAlign w:val="bottom"/>
            <w:shd w:val="clear" w:color="auto" w:fill="D9DCE1"/>
          </w:tcPr>
          <w:p>
            <w:pPr>
              <w:spacing w:after="0"/>
              <w:rPr>
                <w:sz w:val="17"/>
                <w:szCs w:val="17"/>
                <w:color w:val="auto"/>
              </w:rPr>
            </w:pPr>
          </w:p>
        </w:tc>
        <w:tc>
          <w:tcPr>
            <w:tcW w:w="140" w:type="dxa"/>
            <w:vAlign w:val="bottom"/>
            <w:tcBorders>
              <w:right w:val="single" w:sz="8" w:color="424E6A"/>
            </w:tcBorders>
            <w:shd w:val="clear" w:color="auto" w:fill="D9DCE1"/>
          </w:tcPr>
          <w:p>
            <w:pPr>
              <w:spacing w:after="0"/>
              <w:rPr>
                <w:sz w:val="17"/>
                <w:szCs w:val="17"/>
                <w:color w:val="auto"/>
              </w:rPr>
            </w:pPr>
          </w:p>
        </w:tc>
        <w:tc>
          <w:tcPr>
            <w:tcW w:w="100" w:type="dxa"/>
            <w:vAlign w:val="bottom"/>
            <w:shd w:val="clear" w:color="auto" w:fill="D9DCE1"/>
          </w:tcPr>
          <w:p>
            <w:pPr>
              <w:spacing w:after="0"/>
              <w:rPr>
                <w:sz w:val="17"/>
                <w:szCs w:val="17"/>
                <w:color w:val="auto"/>
              </w:rPr>
            </w:pPr>
          </w:p>
        </w:tc>
        <w:tc>
          <w:tcPr>
            <w:tcW w:w="360" w:type="dxa"/>
            <w:vAlign w:val="bottom"/>
            <w:shd w:val="clear" w:color="auto" w:fill="D9DCE1"/>
          </w:tcPr>
          <w:p>
            <w:pPr>
              <w:spacing w:after="0"/>
              <w:rPr>
                <w:sz w:val="17"/>
                <w:szCs w:val="17"/>
                <w:color w:val="auto"/>
              </w:rPr>
            </w:pPr>
          </w:p>
        </w:tc>
        <w:tc>
          <w:tcPr>
            <w:tcW w:w="900" w:type="dxa"/>
            <w:vAlign w:val="bottom"/>
            <w:shd w:val="clear" w:color="auto" w:fill="D9DCE1"/>
          </w:tcPr>
          <w:p>
            <w:pPr>
              <w:spacing w:after="0"/>
              <w:rPr>
                <w:sz w:val="17"/>
                <w:szCs w:val="17"/>
                <w:color w:val="auto"/>
              </w:rPr>
            </w:pPr>
          </w:p>
        </w:tc>
        <w:tc>
          <w:tcPr>
            <w:tcW w:w="100" w:type="dxa"/>
            <w:vAlign w:val="bottom"/>
            <w:tcBorders>
              <w:right w:val="single" w:sz="8" w:color="424E6A"/>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Borders>
              <w:bottom w:val="single" w:sz="8" w:color="424E6A"/>
            </w:tcBorders>
            <w:shd w:val="clear" w:color="auto" w:fill="424E6A"/>
          </w:tcPr>
          <w:p>
            <w:pPr>
              <w:spacing w:after="0"/>
              <w:rPr>
                <w:sz w:val="23"/>
                <w:szCs w:val="23"/>
                <w:color w:val="auto"/>
              </w:rPr>
            </w:pP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46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shareholders:</w:t>
            </w:r>
          </w:p>
        </w:tc>
        <w:tc>
          <w:tcPr>
            <w:tcW w:w="18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24E6A"/>
            </w:tcBorders>
            <w:shd w:val="clear" w:color="auto" w:fill="D9DCE1"/>
          </w:tcPr>
          <w:p>
            <w:pPr>
              <w:ind w:left="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shd w:val="clear" w:color="auto" w:fill="D9DCE1"/>
          </w:tcPr>
          <w:p>
            <w:pPr>
              <w:ind w:left="30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24E6A"/>
            </w:tcBorders>
            <w:shd w:val="clear" w:color="auto" w:fill="D9DCE1"/>
          </w:tcPr>
          <w:p>
            <w:pPr>
              <w:jc w:val="center"/>
              <w:spacing w:after="0" w:line="275"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N/A</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24E6A"/>
            </w:tcBorders>
            <w:shd w:val="clear" w:color="auto" w:fill="D9DCE1"/>
          </w:tcPr>
          <w:p>
            <w:pPr>
              <w:ind w:lef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shd w:val="clear" w:color="auto" w:fill="D9DCE1"/>
          </w:tcPr>
          <w:p>
            <w:pPr>
              <w:ind w:left="38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6" w:lineRule="exact"/>
        <w:rPr>
          <w:sz w:val="20"/>
          <w:szCs w:val="20"/>
          <w:color w:val="auto"/>
        </w:rPr>
      </w:pPr>
    </w:p>
    <w:p>
      <w:pPr>
        <w:ind w:left="1620" w:right="639" w:hanging="360"/>
        <w:spacing w:after="0" w:line="243" w:lineRule="auto"/>
        <w:tabs>
          <w:tab w:leader="none" w:pos="1620" w:val="left"/>
        </w:tabs>
        <w:numPr>
          <w:ilvl w:val="0"/>
          <w:numId w:val="86"/>
        </w:numPr>
        <w:rPr>
          <w:rFonts w:ascii="Arial" w:cs="Arial" w:eastAsia="Arial" w:hAnsi="Arial"/>
          <w:sz w:val="26"/>
          <w:szCs w:val="26"/>
          <w:color w:val="auto"/>
          <w:vertAlign w:val="superscript"/>
        </w:rPr>
      </w:pPr>
      <w:r>
        <w:rPr>
          <w:rFonts w:ascii="Arial" w:cs="Arial" w:eastAsia="Arial" w:hAnsi="Arial"/>
          <w:sz w:val="17"/>
          <w:szCs w:val="17"/>
          <w:color w:val="auto"/>
        </w:rPr>
        <w:t>The Plains GP Holdings, L.P. Long Term Incentive Plan (the “PAGP Plan”) was adopted by our general partner in connection with our initial public offering in October 2013. The PAGP Plan contemplates the issuance or delivery of up to 3,755,208 Class A shares to satisfy awards under the PAGP Plan. In accordance with Item 201(d) of Regulation S-K, column (c) excludes the securities disclosed in column (a). However, any phantom Class A shares represented in column</w:t>
      </w:r>
    </w:p>
    <w:p>
      <w:pPr>
        <w:spacing w:after="0" w:line="3" w:lineRule="exact"/>
        <w:rPr>
          <w:rFonts w:ascii="Arial" w:cs="Arial" w:eastAsia="Arial" w:hAnsi="Arial"/>
          <w:sz w:val="26"/>
          <w:szCs w:val="26"/>
          <w:color w:val="auto"/>
          <w:vertAlign w:val="superscript"/>
        </w:rPr>
      </w:pPr>
    </w:p>
    <w:p>
      <w:pPr>
        <w:ind w:left="1620"/>
        <w:spacing w:after="0"/>
        <w:rPr>
          <w:rFonts w:ascii="Arial" w:cs="Arial" w:eastAsia="Arial" w:hAnsi="Arial"/>
          <w:sz w:val="26"/>
          <w:szCs w:val="26"/>
          <w:color w:val="auto"/>
          <w:vertAlign w:val="superscript"/>
        </w:rPr>
      </w:pPr>
      <w:r>
        <w:rPr>
          <w:rFonts w:ascii="Arial" w:cs="Arial" w:eastAsia="Arial" w:hAnsi="Arial"/>
          <w:sz w:val="18"/>
          <w:szCs w:val="18"/>
          <w:color w:val="auto"/>
        </w:rPr>
        <w:t>(a) that are not satisfied by the issuance of Class A shares become “available for future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General Partner</w:t>
      </w:r>
    </w:p>
    <w:p>
      <w:pPr>
        <w:spacing w:after="0" w:line="158" w:lineRule="exact"/>
        <w:rPr>
          <w:sz w:val="20"/>
          <w:szCs w:val="20"/>
          <w:color w:val="auto"/>
        </w:rPr>
      </w:pPr>
    </w:p>
    <w:p>
      <w:pPr>
        <w:ind w:left="1260" w:right="459" w:firstLine="360"/>
        <w:spacing w:after="0" w:line="244" w:lineRule="auto"/>
        <w:rPr>
          <w:sz w:val="20"/>
          <w:szCs w:val="20"/>
          <w:color w:val="auto"/>
        </w:rPr>
      </w:pPr>
      <w:r>
        <w:rPr>
          <w:rFonts w:ascii="Arial" w:cs="Arial" w:eastAsia="Arial" w:hAnsi="Arial"/>
          <w:sz w:val="18"/>
          <w:szCs w:val="18"/>
          <w:color w:val="auto"/>
        </w:rPr>
        <w:t>Our general partner manages our operations and activities. We and our general partner have no employees. All of our officers and other personnel necessary for our business to function (to the extent not outsourced) are employed by GP LLC. Pursuant to the Omnibus Agreement described below under “— Omnibus Agreement,” all of our direct or indirect expenses, other than income taxes, if any, will be paid by PAA. These direct or indirect expenses include, but are not limited to (i) compensation and expense reimbursements for the non-employee directors of PAGP GP, (ii) director and officer liability insurance, (iii) listing exchange fees, (iv) investor relations expenses, and (v) fees related to legal, tax, financial advisory and accounting services.</w:t>
      </w:r>
    </w:p>
    <w:p>
      <w:pPr>
        <w:spacing w:after="0" w:line="112" w:lineRule="exact"/>
        <w:rPr>
          <w:sz w:val="20"/>
          <w:szCs w:val="20"/>
          <w:color w:val="auto"/>
        </w:rPr>
      </w:pPr>
    </w:p>
    <w:p>
      <w:pPr>
        <w:ind w:left="1260" w:right="419" w:firstLine="360"/>
        <w:spacing w:after="0" w:line="287" w:lineRule="auto"/>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 We own a portion of the membership interest in our general partner.</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Plains GP Holdings, L.P. Long Term Incentive Plan</w:t>
      </w:r>
    </w:p>
    <w:p>
      <w:pPr>
        <w:spacing w:after="0" w:line="158"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7"/>
          <w:szCs w:val="17"/>
          <w:color w:val="auto"/>
        </w:rPr>
        <w:t>In connection with our initial public offering, our general partner adopted the PAGP Plan on our behalf for (i) the employees of our general partner and its affiliates who perform services for us and</w:t>
      </w:r>
    </w:p>
    <w:p>
      <w:pPr>
        <w:spacing w:after="0" w:line="1" w:lineRule="exact"/>
        <w:rPr>
          <w:sz w:val="20"/>
          <w:szCs w:val="20"/>
          <w:color w:val="auto"/>
        </w:rPr>
      </w:pPr>
    </w:p>
    <w:p>
      <w:pPr>
        <w:ind w:left="1260" w:right="479"/>
        <w:spacing w:after="0" w:line="259" w:lineRule="auto"/>
        <w:tabs>
          <w:tab w:leader="none" w:pos="1508"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non-employee directors of our general partner. Awards that may be granted under the PAGP Plan include restricted shares, phantom shares, options and share appreciation rights. The PAGP Plan limits the number of shares that may be delivered pursuant to awards to 3,755,208 Class A shares (subject to any adjustment due to recapitalization, reorganization or a similar event permitted under the PAGP Plan). Shares (other than restricted shares) that are forfeited or withheld to satisfy exercise price or tax withholding obligations are available for delivery pursuant to other awards. As of December 31, 2022, grants of 352,202 unvested phantom Class A shares were outstanding under the PAGP Plan.</w:t>
      </w:r>
    </w:p>
    <w:p>
      <w:pPr>
        <w:spacing w:after="0" w:line="98"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The PAGP Plan is administered by the Compensation Committee or other Board committee appointed to administer the Plan, or by the Board. The Board and the Compensation Committee have the right to terminate or amend the PAGP Plan or any part of the PAGP Plan from time to time, including increasing the number of shares that may be granted, subject to shareholder approval as may be required by the exchange upon which the Class A shares are listed at that time, if any. No change may be made in any outstanding grant that would materially reduce the benefits of the participant without the consent of the participant. The PAGP Plan will expire upon the earlier of the termination of the PAGP Plan by the Board or the Compensation Committee or on the date that no shares remain available under the PAGP Plan for awards. Upon termination of the PAGP Plan, awards then outstanding will continue pursuant to the terms of their grants.</w:t>
      </w:r>
    </w:p>
    <w:p>
      <w:pPr>
        <w:spacing w:after="0" w:line="110"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8"/>
          <w:szCs w:val="18"/>
          <w:color w:val="auto"/>
        </w:rPr>
        <w:t>Class A shares to be delivered in settlement of awards under the PAGP Plan may be newly issued Class A shares, Class A shares acquired in the open market, Class A shares acquired from any other person, or any combination of the foregoing.</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Awards</w:t>
      </w:r>
    </w:p>
    <w:p>
      <w:pPr>
        <w:spacing w:after="0" w:line="156"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A restricted share is a Class A share that vests over a period of time and that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such time is subject to forfeiture. The Board or the Compensation Committee will determine the period over which restricted shares granted to participants will vest. The Board or the Compensation Committee, in its discretion, may base its determination upon the achievement of performance metrics. Distributions made on restricted shares may be subjected to the same vesting provisions as the restricted share. If a grantee’s employment or membership on the Board terminates for any reason, the grantee’s restricted shares will be automatically forfeited unless, and to the extent, the Board or the Compensation Committee or the terms of the award agreement provide otherwise.</w:t>
      </w:r>
    </w:p>
    <w:p>
      <w:pPr>
        <w:spacing w:after="0" w:line="104" w:lineRule="exact"/>
        <w:rPr>
          <w:sz w:val="20"/>
          <w:szCs w:val="20"/>
          <w:color w:val="auto"/>
        </w:rPr>
      </w:pPr>
    </w:p>
    <w:p>
      <w:pPr>
        <w:ind w:left="1260" w:right="1059" w:firstLine="360"/>
        <w:spacing w:after="0" w:line="262" w:lineRule="auto"/>
        <w:rPr>
          <w:sz w:val="20"/>
          <w:szCs w:val="20"/>
          <w:color w:val="auto"/>
        </w:rPr>
      </w:pPr>
      <w:r>
        <w:rPr>
          <w:rFonts w:ascii="Arial" w:cs="Arial" w:eastAsia="Arial" w:hAnsi="Arial"/>
          <w:sz w:val="18"/>
          <w:szCs w:val="18"/>
          <w:color w:val="auto"/>
        </w:rPr>
        <w:t>We intend the restricted shares under the PAGP Plan to serve as a means of incentive compensation for performance and not primarily as an opportunity to participate in the equity appreciation of our Class A shares. Therefore, participants will not pay any consideration for the Class A shares they receive, and we will receive no remuneration for the shares.</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i w:val="1"/>
          <w:iCs w:val="1"/>
          <w:color w:val="auto"/>
        </w:rPr>
        <w:t xml:space="preserve">Phantom Shares. </w:t>
      </w:r>
      <w:r>
        <w:rPr>
          <w:rFonts w:ascii="Arial" w:cs="Arial" w:eastAsia="Arial" w:hAnsi="Arial"/>
          <w:sz w:val="18"/>
          <w:szCs w:val="18"/>
          <w:color w:val="auto"/>
        </w:rPr>
        <w:t>A phantom share entitles the grantee to receive a Class A share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of the phantom share or, in the discretion of the Board or the Compensation Committee, cash equivalent to the value of a Class A share. The Board or the Compensation Committee will determine the period over which phantom shares granted to participants will vest. The Board or the Compensation Committee, in its discretion, may base its determination upon the achievement of performance metrics. If a grantee’s employment or membership on the Board terminates for any reason, the grantee’s phantom shares will be automatically forfeited unless, and to the extent, the Board or the Compensation Committee or the terms of the award agreement provide otherwise.</w:t>
      </w:r>
    </w:p>
    <w:p>
      <w:pPr>
        <w:spacing w:after="0" w:line="117"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The Board or the Compensation Committee, in its discretion, may grant DERs with respect to a phantom share. DERs entitle the grantee to receive an amount in cash equal to the cash distributions paid on a Class A share during the period the related award is outstanding. The Board or the Compensation Committee will establish whether the DERs are paid currently, when the tandem phantom share vests or on some other basis.</w:t>
      </w:r>
    </w:p>
    <w:p>
      <w:pPr>
        <w:spacing w:after="0" w:line="112"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We intend the issuance of any Class A shares upon vesting of the phantom shares under the PAGP Plan to serve as a means of incentive compensation for performance and not primarily as an opportunity to participate in the equity appreciation of our Class A shares. Therefore, plan participants will not pay any consideration for the Class A shares they receive, and we will receive no remuneration for the shares.</w:t>
      </w:r>
    </w:p>
    <w:p>
      <w:pPr>
        <w:spacing w:after="0" w:line="98"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An option provides a participant with the option to acquire Class A shares at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price. The exercise price of each option granted under the PAGP Plan will be stated in the option agreement and may vary between participants; provided, however, that the exercise price for an option must not be less than 100% of the fair market value per Class A share as of the date of grant of the option. Options may be exercised in the manner and at such times as the Board or the Compensation Committee determines for each option. The Board or the Compensation Committee will determine the methods and form of payment for the exercise price of an option and the methods and forms in which Class A shares will be delivered to a participant. The Board or the Compensation Committee, in its discretion, may grant DERs with respect to an option.</w:t>
      </w:r>
    </w:p>
    <w:p>
      <w:pPr>
        <w:spacing w:after="0" w:line="113"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i w:val="1"/>
          <w:iCs w:val="1"/>
          <w:color w:val="auto"/>
        </w:rPr>
        <w:t xml:space="preserve">Share Appreciation Rights. </w:t>
      </w:r>
      <w:r>
        <w:rPr>
          <w:rFonts w:ascii="Arial" w:cs="Arial" w:eastAsia="Arial" w:hAnsi="Arial"/>
          <w:sz w:val="18"/>
          <w:szCs w:val="18"/>
          <w:color w:val="auto"/>
        </w:rPr>
        <w:t>A share appreciation right is an award that, upon exercise, entitles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to receive the excess, if any, of the fair market value of a Class A share on the exercise date over the grant price of the share appreciation right. The excess may be paid in cash and/or in Class A shares, as determined by the Board or the Compensation Committee in its discretion. The Board or the Compensation Committee will have the authority to determine to whom share appreciation rights will be granted, the number of Class A shares to be covered by each grant, and the conditions and limitations applicable to the exercise of the share appreciation right. The grant price per share appreciation right will be determined by the Board or the Compensation Committee at the time the share appreciation right is granted, but each share appreciation right must have an exercise price that is not less than the fair market value of the Class A shares on the date of grant. The Board or the Compensation Committee will determine the time or times at which a share appreciation right may be exercised in whole or in part. Unless otherwise waived by the Board or the Compensation Committee, or set forth in an award agreement, outstanding share appreciation rights awarded to a participant will be automatically forfeited upon a termination of the individual’s employment or membership on the Board terminates for any reason. The Board or the Compensation Committee, in its discretion, may grant DERs with respect to a share appreciation right.</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PAGP Plan Provisions</w:t>
      </w:r>
    </w:p>
    <w:p>
      <w:pPr>
        <w:spacing w:after="0" w:line="156" w:lineRule="exact"/>
        <w:rPr>
          <w:sz w:val="20"/>
          <w:szCs w:val="20"/>
          <w:color w:val="auto"/>
        </w:rPr>
      </w:pPr>
    </w:p>
    <w:p>
      <w:pPr>
        <w:ind w:left="1260" w:right="479" w:firstLine="360"/>
        <w:spacing w:after="0" w:line="274" w:lineRule="auto"/>
        <w:rPr>
          <w:sz w:val="20"/>
          <w:szCs w:val="20"/>
          <w:color w:val="auto"/>
        </w:rPr>
      </w:pPr>
      <w:r>
        <w:rPr>
          <w:rFonts w:ascii="Arial" w:cs="Arial" w:eastAsia="Arial" w:hAnsi="Arial"/>
          <w:sz w:val="17"/>
          <w:szCs w:val="17"/>
          <w:i w:val="1"/>
          <w:iCs w:val="1"/>
          <w:color w:val="auto"/>
        </w:rPr>
        <w:t xml:space="preserve">Tax Withholding. </w:t>
      </w:r>
      <w:r>
        <w:rPr>
          <w:rFonts w:ascii="Arial" w:cs="Arial" w:eastAsia="Arial" w:hAnsi="Arial"/>
          <w:sz w:val="17"/>
          <w:szCs w:val="17"/>
          <w:color w:val="auto"/>
        </w:rPr>
        <w:t>Unless other arrangements are made, our general partner and its affiliates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to withhold from any award, from any payment due under any award, or from any compensation or other amount owing to a participant the amount (in cash, shares, shares that would otherwise be issued pursuant to such award, or other property) of any applicable taxes payable with respect to the grant of an award, its settlement, its exercise, the lapse of restrictions applicable to an award or in connection with any payment relating to an award or the transfer of an award and to take such other actions as may be necessary to satisfy the withholding obligations with respect to an award.</w:t>
      </w:r>
    </w:p>
    <w:p>
      <w:pPr>
        <w:sectPr>
          <w:pgSz w:w="11900" w:h="16838" w:orient="portrait"/>
          <w:cols w:equalWidth="0" w:num="1">
            <w:col w:w="9879"/>
          </w:cols>
          <w:pgMar w:left="580" w:top="97"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i w:val="1"/>
          <w:iCs w:val="1"/>
          <w:color w:val="auto"/>
        </w:rPr>
        <w:t xml:space="preserve">Anti-Dilution Adjustments. </w:t>
      </w:r>
      <w:r>
        <w:rPr>
          <w:rFonts w:ascii="Arial" w:cs="Arial" w:eastAsia="Arial" w:hAnsi="Arial"/>
          <w:sz w:val="18"/>
          <w:szCs w:val="18"/>
          <w:color w:val="auto"/>
        </w:rPr>
        <w:t>Upon the occurrence of any “equity restructuring” event that could result</w:t>
      </w:r>
      <w:r>
        <w:rPr>
          <w:rFonts w:ascii="Arial" w:cs="Arial" w:eastAsia="Arial" w:hAnsi="Arial"/>
          <w:sz w:val="18"/>
          <w:szCs w:val="18"/>
          <w:i w:val="1"/>
          <w:iCs w:val="1"/>
          <w:color w:val="auto"/>
        </w:rPr>
        <w:t xml:space="preserve"> </w:t>
      </w:r>
      <w:r>
        <w:rPr>
          <w:rFonts w:ascii="Arial" w:cs="Arial" w:eastAsia="Arial" w:hAnsi="Arial"/>
          <w:sz w:val="18"/>
          <w:szCs w:val="18"/>
          <w:color w:val="auto"/>
        </w:rPr>
        <w:t>in an additional compensation expense under FASB ASC Topic 718 if adjustments to awards with respect to such event were discretionary, the Board or the Compensation Committee will equitably adjust the number and type of shares covered by each outstanding award and the terms and conditions of such award to equitably reflect the restructuring event, and the Board or the Compensation Committee will adjust the number and type of shares with respect to which future awards may be granted. With respect to a similar event that would not result in a FASB ASC Topic 718 accounting charge if adjustment to awards were discretionary, the Board or the Compensation Committee shall have complete discretion to adjust awards in the manner it deems appropriate.</w:t>
      </w:r>
    </w:p>
    <w:p>
      <w:pPr>
        <w:spacing w:after="0" w:line="113"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If specifically provided in an award agreement, upon a change of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the award agreement), the award may automatically vest and be payable or become exercisable in full, as the case may be.</w:t>
      </w:r>
    </w:p>
    <w:p>
      <w:pPr>
        <w:spacing w:after="0" w:line="103"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Options and share appreciation rights are only exercisable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during the participant’s lifetime, or by the person to whom the participant’s rights pass by will or the laws of descent and distribution. No award or right granted under the PAGP Plan may be assigned, alienated, pledged, attached, sold or otherwise transferred or encumbered and any such purported transfer shall be void and unenforceable. Notwithstanding the foregoing, the Board or the Compensation Committee may, in its discretion, allow a participant to transfer an option or a share appreciation right without consideration to an immediate family member or a related family trust, limited partnership, or similar entity on the terms and conditions established by the Board or the Compensation Committee from time to time.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Omnibus Agreement</w:t>
      </w:r>
    </w:p>
    <w:p>
      <w:pPr>
        <w:spacing w:after="0" w:line="144"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In connection with the Simplification Transactions completed in November 2016, we entered into an omnibus agreement (the “Omnibus Agreement”) with PAA, PAGP GP, Plains AAP, PAA GP LLC and GP LLC (collectively with us, the “Plains Entities”), which provides, among other things, that all direct or indirect expenses of any of the Plains Entities will be paid by PAA, other than income taxes, if any, of PAGP GP, PAGP, GP LLC, Plains AAP and PAA GP LLC. Such direct or indirect expenses include, but are not limited to (i) compensation and expense reimbursements for the directors of PAGP GP,</w:t>
      </w:r>
    </w:p>
    <w:p>
      <w:pPr>
        <w:spacing w:after="0" w:line="4" w:lineRule="exact"/>
        <w:rPr>
          <w:sz w:val="20"/>
          <w:szCs w:val="20"/>
          <w:color w:val="auto"/>
        </w:rPr>
      </w:pPr>
    </w:p>
    <w:p>
      <w:pPr>
        <w:ind w:left="1500" w:hanging="240"/>
        <w:spacing w:after="0"/>
        <w:tabs>
          <w:tab w:leader="none" w:pos="15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director and officer liability insurance, (iii) listing exchange fees, (iv) investor relations expenses, and</w:t>
      </w:r>
    </w:p>
    <w:p>
      <w:pPr>
        <w:spacing w:after="0" w:line="20" w:lineRule="exact"/>
        <w:rPr>
          <w:rFonts w:ascii="Arial" w:cs="Arial" w:eastAsia="Arial" w:hAnsi="Arial"/>
          <w:sz w:val="17"/>
          <w:szCs w:val="17"/>
          <w:color w:val="auto"/>
        </w:rPr>
      </w:pPr>
    </w:p>
    <w:p>
      <w:pPr>
        <w:ind w:left="1260" w:right="599"/>
        <w:spacing w:after="0" w:line="266" w:lineRule="auto"/>
        <w:tabs>
          <w:tab w:leader="none" w:pos="1518" w:val="left"/>
        </w:tabs>
        <w:numPr>
          <w:ilvl w:val="0"/>
          <w:numId w:val="89"/>
        </w:numPr>
        <w:rPr>
          <w:rFonts w:ascii="Arial" w:cs="Arial" w:eastAsia="Arial" w:hAnsi="Arial"/>
          <w:sz w:val="18"/>
          <w:szCs w:val="18"/>
          <w:color w:val="auto"/>
        </w:rPr>
      </w:pPr>
      <w:r>
        <w:rPr>
          <w:rFonts w:ascii="Arial" w:cs="Arial" w:eastAsia="Arial" w:hAnsi="Arial"/>
          <w:sz w:val="18"/>
          <w:szCs w:val="18"/>
          <w:color w:val="auto"/>
        </w:rPr>
        <w:t>fees related to legal, tax, financial advisory and accounting services. PAA paid $4.4 million of such expenses in 2022.</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w:t>
      </w:r>
    </w:p>
    <w:p>
      <w:pPr>
        <w:spacing w:after="0" w:line="158" w:lineRule="exact"/>
        <w:rPr>
          <w:sz w:val="20"/>
          <w:szCs w:val="20"/>
          <w:color w:val="auto"/>
        </w:rPr>
      </w:pPr>
    </w:p>
    <w:p>
      <w:pPr>
        <w:ind w:left="1260" w:right="459" w:firstLine="360"/>
        <w:spacing w:after="0" w:line="282" w:lineRule="auto"/>
        <w:rPr>
          <w:sz w:val="20"/>
          <w:szCs w:val="20"/>
          <w:color w:val="auto"/>
        </w:rPr>
      </w:pPr>
      <w:r>
        <w:rPr>
          <w:rFonts w:ascii="Arial" w:cs="Arial" w:eastAsia="Arial" w:hAnsi="Arial"/>
          <w:sz w:val="17"/>
          <w:szCs w:val="17"/>
          <w:color w:val="auto"/>
        </w:rPr>
        <w:t>During 2022, we purchased approximately $8.2 million of petroleum products from companies affiliated with EMG. These ordinary course transactions were conducted at prices that we believe approximate market. Based on our knowledge, the amounts received during 2022 from PAA by companies affiliated with EMG ($8.2 million) did not exceed 5% of EMG’s consolidated gross revenues.</w:t>
      </w:r>
    </w:p>
    <w:p>
      <w:pPr>
        <w:spacing w:after="0" w:line="94"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During 2022, we purchased approximately $65 million of petroleum products from companies affiliated with EnCap. These ordinary course transactions were conducted at prices that we believe approximate market. Based on our knowledge, the amounts received during 2022 from PAA by companies affiliated with EnCap ($65 million) did not exceed 5% of EnCap’s consolidated gross revenues.</w:t>
      </w:r>
    </w:p>
    <w:p>
      <w:pPr>
        <w:spacing w:after="0" w:line="98"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8"/>
          <w:szCs w:val="18"/>
          <w:color w:val="auto"/>
        </w:rPr>
        <w:t>An employee in PAA’s marketing department, who has been with PAA for approximately 15 years, is the daughter of Willie Chiang, our Chief Executive Officer. Mr. Chiang’s daughter’s total compensation for 2022 was approximately $200,000.</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58" w:lineRule="exact"/>
        <w:rPr>
          <w:sz w:val="20"/>
          <w:szCs w:val="20"/>
          <w:color w:val="auto"/>
        </w:rPr>
      </w:pPr>
    </w:p>
    <w:p>
      <w:pPr>
        <w:ind w:left="1260" w:right="499" w:firstLine="360"/>
        <w:spacing w:after="0" w:line="262" w:lineRule="auto"/>
        <w:rPr>
          <w:sz w:val="20"/>
          <w:szCs w:val="20"/>
          <w:color w:val="auto"/>
        </w:rPr>
      </w:pPr>
      <w:r>
        <w:rPr>
          <w:rFonts w:ascii="Arial" w:cs="Arial" w:eastAsia="Arial" w:hAnsi="Arial"/>
          <w:sz w:val="18"/>
          <w:szCs w:val="18"/>
          <w:color w:val="auto"/>
        </w:rPr>
        <w:t>Pursuant to our Governance Guidelines, a director is expected to bring to the attention of the CEO or the Board any conflict or potential conflict of interest that may arise between the director or any affiliate of the director, on the one hand, and PAGP GP, PAA, PAGP or their respective affiliates, on the other.</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39"/>
        <w:spacing w:after="0" w:line="287" w:lineRule="auto"/>
        <w:rPr>
          <w:sz w:val="20"/>
          <w:szCs w:val="20"/>
          <w:color w:val="auto"/>
        </w:rPr>
      </w:pPr>
      <w:r>
        <w:rPr>
          <w:rFonts w:ascii="Arial" w:cs="Arial" w:eastAsia="Arial" w:hAnsi="Arial"/>
          <w:sz w:val="18"/>
          <w:szCs w:val="18"/>
          <w:color w:val="auto"/>
        </w:rPr>
        <w:t>The resolution of any such conflict or potential conflict should, at the discretion of the Board in light of the circumstances, be determined by a majority of the disinterested directors.</w:t>
      </w:r>
    </w:p>
    <w:p>
      <w:pPr>
        <w:spacing w:after="0" w:line="85"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If a conflict or potential conflict of interest arises between PAGP and its limited partners, on the one hand, and PAGP GP and its owners and affiliates, on the other, the resolution of any such conflict or potential conflict should be addressed by the Board in accordance with the applicable provisions of the PAGP Partnership Agreement. If a conflict or potential conflict of interest arises between PAA and its limited partners, on the one hand, and the general partner of PAA and its owners and affiliates, on the other, the resolution of any such conflict or potential conflict should be addressed by the Board in accordance with the applicable provisions of the PAA Partnership Agreement. At the discretion of the Board in light of the circumstances, the resolution may be determined by the Board or by a “conflicts committee” meeting the definitional requirements for such a committee under the applicable partnership agreement.</w:t>
      </w:r>
    </w:p>
    <w:p>
      <w:pPr>
        <w:spacing w:after="0" w:line="118" w:lineRule="exact"/>
        <w:rPr>
          <w:sz w:val="20"/>
          <w:szCs w:val="20"/>
          <w:color w:val="auto"/>
        </w:rPr>
      </w:pPr>
    </w:p>
    <w:p>
      <w:pPr>
        <w:ind w:left="1260" w:right="699" w:firstLine="360"/>
        <w:spacing w:after="0" w:line="287" w:lineRule="auto"/>
        <w:rPr>
          <w:sz w:val="20"/>
          <w:szCs w:val="20"/>
          <w:color w:val="auto"/>
        </w:rPr>
      </w:pPr>
      <w:r>
        <w:rPr>
          <w:rFonts w:ascii="Arial" w:cs="Arial" w:eastAsia="Arial" w:hAnsi="Arial"/>
          <w:sz w:val="18"/>
          <w:szCs w:val="18"/>
          <w:color w:val="auto"/>
        </w:rPr>
        <w:t>Pursuant to our Code of Business Conduct, any executive officer must avoid conflicts of interest unless approved by the Board.</w:t>
      </w:r>
    </w:p>
    <w:p>
      <w:pPr>
        <w:spacing w:after="0" w:line="7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In the case of any sale of equity by the Partnership in which an owner or affiliate of an owner of our general partner participates, our practice would be to obtain Board approval for the transaction. The Board typically delegates authority to set the specific terms to a pricing committee, consisting of the CEO and one independent director. Actions by the pricing committee require unanimous approval of such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REPORT OF THE AUDIT COMMITTEE</w:t>
      </w:r>
    </w:p>
    <w:p>
      <w:pPr>
        <w:spacing w:after="0" w:line="158" w:lineRule="exact"/>
        <w:rPr>
          <w:sz w:val="20"/>
          <w:szCs w:val="20"/>
          <w:color w:val="auto"/>
        </w:rPr>
      </w:pPr>
    </w:p>
    <w:p>
      <w:pPr>
        <w:jc w:val="both"/>
        <w:ind w:left="1260" w:right="459" w:firstLine="360"/>
        <w:spacing w:after="0" w:line="268" w:lineRule="auto"/>
        <w:rPr>
          <w:sz w:val="20"/>
          <w:szCs w:val="20"/>
          <w:color w:val="auto"/>
        </w:rPr>
      </w:pPr>
      <w:r>
        <w:rPr>
          <w:rFonts w:ascii="Arial" w:cs="Arial" w:eastAsia="Arial" w:hAnsi="Arial"/>
          <w:sz w:val="18"/>
          <w:szCs w:val="18"/>
          <w:color w:val="auto"/>
        </w:rPr>
        <w:t>The Audit Committee of our Board oversees the Partnership’s financial reporting process on behalf of the Board. Management has the primary responsibility for the financial statements and the reporting process, including the systems of internal controls.</w:t>
      </w:r>
    </w:p>
    <w:p>
      <w:pPr>
        <w:spacing w:after="0" w:line="103" w:lineRule="exact"/>
        <w:rPr>
          <w:sz w:val="20"/>
          <w:szCs w:val="20"/>
          <w:color w:val="auto"/>
        </w:rPr>
      </w:pPr>
    </w:p>
    <w:p>
      <w:pPr>
        <w:ind w:left="1260" w:right="799" w:firstLine="360"/>
        <w:spacing w:after="0" w:line="268"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the audited financial statements contained in our Annual Report on Form 10-K for the year ended December 31, 2022.</w:t>
      </w:r>
    </w:p>
    <w:p>
      <w:pPr>
        <w:spacing w:after="0" w:line="90"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15" w:lineRule="exact"/>
        <w:rPr>
          <w:sz w:val="20"/>
          <w:szCs w:val="20"/>
          <w:color w:val="auto"/>
        </w:rPr>
      </w:pPr>
    </w:p>
    <w:p>
      <w:pPr>
        <w:ind w:left="1260" w:right="579" w:firstLine="360"/>
        <w:spacing w:after="0" w:line="256" w:lineRule="auto"/>
        <w:rPr>
          <w:sz w:val="20"/>
          <w:szCs w:val="20"/>
          <w:color w:val="auto"/>
        </w:rPr>
      </w:pPr>
      <w:r>
        <w:rPr>
          <w:rFonts w:ascii="Arial" w:cs="Arial" w:eastAsia="Arial" w:hAnsi="Arial"/>
          <w:sz w:val="18"/>
          <w:szCs w:val="18"/>
          <w:color w:val="auto"/>
        </w:rPr>
        <w:t>The Audit Committee discussed with PricewaterhouseCoopers LLP the matters required to be discussed under applicable requirements of the Public Company Accounting Oversight Board (“PCAOB”). The Audit Committee received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from management and the Partnership.</w:t>
      </w:r>
    </w:p>
    <w:p>
      <w:pPr>
        <w:spacing w:after="0" w:line="115" w:lineRule="exact"/>
        <w:rPr>
          <w:sz w:val="20"/>
          <w:szCs w:val="20"/>
          <w:color w:val="auto"/>
        </w:rPr>
      </w:pPr>
    </w:p>
    <w:p>
      <w:pPr>
        <w:ind w:left="1260" w:right="579" w:firstLine="360"/>
        <w:spacing w:after="0" w:line="268"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that the audited financial statements be included in the Annual Report on Form 10-K for the year ended December 31, 2022 for filing with the SEC.</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Victor Burk, </w:t>
      </w:r>
      <w:r>
        <w:rPr>
          <w:rFonts w:ascii="Arial" w:cs="Arial" w:eastAsia="Arial" w:hAnsi="Arial"/>
          <w:sz w:val="18"/>
          <w:szCs w:val="18"/>
          <w:i w:val="1"/>
          <w:iCs w:val="1"/>
          <w:color w:val="auto"/>
        </w:rPr>
        <w:t>Chair</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Ellen R. DeSanctis</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Alexandra D. Pruner</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Lawrence M. Ziemba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and Non-Audit Fees</w:t>
      </w:r>
    </w:p>
    <w:p>
      <w:pPr>
        <w:spacing w:after="0" w:line="158" w:lineRule="exact"/>
        <w:rPr>
          <w:sz w:val="20"/>
          <w:szCs w:val="20"/>
          <w:color w:val="auto"/>
        </w:rPr>
      </w:pPr>
    </w:p>
    <w:p>
      <w:pPr>
        <w:ind w:left="1260" w:right="899" w:firstLine="360"/>
        <w:spacing w:after="0" w:line="287" w:lineRule="auto"/>
        <w:rPr>
          <w:sz w:val="20"/>
          <w:szCs w:val="20"/>
          <w:color w:val="auto"/>
        </w:rPr>
      </w:pPr>
      <w:r>
        <w:rPr>
          <w:rFonts w:ascii="Arial" w:cs="Arial" w:eastAsia="Arial" w:hAnsi="Arial"/>
          <w:sz w:val="18"/>
          <w:szCs w:val="18"/>
          <w:color w:val="auto"/>
        </w:rPr>
        <w:t>The following table details the aggregate fees billed for professional services rendered by our independent auditor for services provided to us and to our subsidiaries (in millions):</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00" w:type="dxa"/>
            <w:vAlign w:val="bottom"/>
            <w:shd w:val="clear" w:color="auto" w:fill="424E6A"/>
          </w:tcPr>
          <w:p>
            <w:pPr>
              <w:spacing w:after="0"/>
              <w:rPr>
                <w:sz w:val="19"/>
                <w:szCs w:val="19"/>
                <w:color w:val="auto"/>
              </w:rPr>
            </w:pPr>
          </w:p>
        </w:tc>
        <w:tc>
          <w:tcPr>
            <w:tcW w:w="3880" w:type="dxa"/>
            <w:vAlign w:val="bottom"/>
            <w:shd w:val="clear" w:color="auto" w:fill="424E6A"/>
          </w:tcPr>
          <w:p>
            <w:pPr>
              <w:spacing w:after="0"/>
              <w:rPr>
                <w:sz w:val="19"/>
                <w:szCs w:val="19"/>
                <w:color w:val="auto"/>
              </w:rPr>
            </w:pPr>
          </w:p>
        </w:tc>
        <w:tc>
          <w:tcPr>
            <w:tcW w:w="4100" w:type="dxa"/>
            <w:vAlign w:val="bottom"/>
            <w:gridSpan w:val="7"/>
            <w:shd w:val="clear" w:color="auto" w:fill="424E6A"/>
          </w:tcPr>
          <w:p>
            <w:pPr>
              <w:ind w:left="2340"/>
              <w:spacing w:after="0"/>
              <w:rPr>
                <w:sz w:val="20"/>
                <w:szCs w:val="20"/>
                <w:color w:val="auto"/>
              </w:rPr>
            </w:pPr>
            <w:r>
              <w:rPr>
                <w:rFonts w:ascii="Arial" w:cs="Arial" w:eastAsia="Arial" w:hAnsi="Arial"/>
                <w:sz w:val="14"/>
                <w:szCs w:val="14"/>
                <w:b w:val="1"/>
                <w:bCs w:val="1"/>
                <w:color w:val="FFFFFF"/>
              </w:rPr>
              <w:t>Year Ended December 31,</w:t>
            </w:r>
          </w:p>
        </w:tc>
        <w:tc>
          <w:tcPr>
            <w:tcW w:w="120" w:type="dxa"/>
            <w:vAlign w:val="bottom"/>
            <w:shd w:val="clear" w:color="auto" w:fill="424E6A"/>
          </w:tcPr>
          <w:p>
            <w:pPr>
              <w:spacing w:after="0"/>
              <w:rPr>
                <w:sz w:val="19"/>
                <w:szCs w:val="19"/>
                <w:color w:val="auto"/>
              </w:rPr>
            </w:pPr>
          </w:p>
        </w:tc>
      </w:tr>
      <w:tr>
        <w:trPr>
          <w:trHeight w:val="259"/>
        </w:trPr>
        <w:tc>
          <w:tcPr>
            <w:tcW w:w="10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3880" w:type="dxa"/>
            <w:vAlign w:val="bottom"/>
            <w:shd w:val="clear" w:color="auto" w:fill="424E6A"/>
          </w:tcPr>
          <w:p>
            <w:pPr>
              <w:spacing w:after="0"/>
              <w:rPr>
                <w:sz w:val="22"/>
                <w:szCs w:val="22"/>
                <w:color w:val="auto"/>
              </w:rPr>
            </w:pPr>
          </w:p>
        </w:tc>
        <w:tc>
          <w:tcPr>
            <w:tcW w:w="2900" w:type="dxa"/>
            <w:vAlign w:val="bottom"/>
            <w:gridSpan w:val="2"/>
            <w:shd w:val="clear" w:color="auto" w:fill="424E6A"/>
          </w:tcPr>
          <w:p>
            <w:pPr>
              <w:jc w:val="center"/>
              <w:ind w:left="2439"/>
              <w:spacing w:after="0"/>
              <w:rPr>
                <w:sz w:val="20"/>
                <w:szCs w:val="20"/>
                <w:color w:val="auto"/>
              </w:rPr>
            </w:pPr>
            <w:r>
              <w:rPr>
                <w:rFonts w:ascii="Arial" w:cs="Arial" w:eastAsia="Arial" w:hAnsi="Arial"/>
                <w:sz w:val="14"/>
                <w:szCs w:val="14"/>
                <w:b w:val="1"/>
                <w:bCs w:val="1"/>
                <w:color w:val="FFFFFF"/>
                <w:w w:val="96"/>
              </w:rPr>
              <w:t>2022</w:t>
            </w:r>
          </w:p>
        </w:tc>
        <w:tc>
          <w:tcPr>
            <w:tcW w:w="100" w:type="dxa"/>
            <w:vAlign w:val="bottom"/>
            <w:shd w:val="clear" w:color="auto" w:fill="424E6A"/>
          </w:tcPr>
          <w:p>
            <w:pPr>
              <w:spacing w:after="0"/>
              <w:rPr>
                <w:sz w:val="22"/>
                <w:szCs w:val="22"/>
                <w:color w:val="auto"/>
              </w:rPr>
            </w:pPr>
          </w:p>
        </w:tc>
        <w:tc>
          <w:tcPr>
            <w:tcW w:w="540" w:type="dxa"/>
            <w:vAlign w:val="bottom"/>
            <w:shd w:val="clear" w:color="auto" w:fill="424E6A"/>
          </w:tcPr>
          <w:p>
            <w:pPr>
              <w:spacing w:after="0"/>
              <w:rPr>
                <w:sz w:val="22"/>
                <w:szCs w:val="22"/>
                <w:color w:val="auto"/>
              </w:rPr>
            </w:pPr>
          </w:p>
        </w:tc>
        <w:tc>
          <w:tcPr>
            <w:tcW w:w="3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2021</w:t>
            </w:r>
          </w:p>
        </w:tc>
        <w:tc>
          <w:tcPr>
            <w:tcW w:w="20" w:type="dxa"/>
            <w:vAlign w:val="bottom"/>
            <w:shd w:val="clear" w:color="auto" w:fill="424E6A"/>
          </w:tcPr>
          <w:p>
            <w:pPr>
              <w:spacing w:after="0"/>
              <w:rPr>
                <w:sz w:val="22"/>
                <w:szCs w:val="22"/>
                <w:color w:val="auto"/>
              </w:rPr>
            </w:pPr>
          </w:p>
        </w:tc>
        <w:tc>
          <w:tcPr>
            <w:tcW w:w="180" w:type="dxa"/>
            <w:vAlign w:val="bottom"/>
            <w:shd w:val="clear" w:color="auto" w:fill="424E6A"/>
          </w:tcPr>
          <w:p>
            <w:pPr>
              <w:spacing w:after="0"/>
              <w:rPr>
                <w:sz w:val="22"/>
                <w:szCs w:val="22"/>
                <w:color w:val="auto"/>
              </w:rPr>
            </w:pPr>
          </w:p>
        </w:tc>
        <w:tc>
          <w:tcPr>
            <w:tcW w:w="120" w:type="dxa"/>
            <w:vAlign w:val="bottom"/>
            <w:shd w:val="clear" w:color="auto" w:fill="424E6A"/>
          </w:tcPr>
          <w:p>
            <w:pPr>
              <w:spacing w:after="0"/>
              <w:rPr>
                <w:sz w:val="22"/>
                <w:szCs w:val="22"/>
                <w:color w:val="auto"/>
              </w:rPr>
            </w:pPr>
          </w:p>
        </w:tc>
      </w:tr>
      <w:tr>
        <w:trPr>
          <w:trHeight w:val="283"/>
        </w:trPr>
        <w:tc>
          <w:tcPr>
            <w:tcW w:w="3980" w:type="dxa"/>
            <w:vAlign w:val="bottom"/>
            <w:gridSpan w:val="2"/>
            <w:shd w:val="clear" w:color="auto" w:fill="D9DCE1"/>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Audit fees</w:t>
            </w:r>
            <w:r>
              <w:rPr>
                <w:rFonts w:ascii="Arial" w:cs="Arial" w:eastAsia="Arial" w:hAnsi="Arial"/>
                <w:sz w:val="21"/>
                <w:szCs w:val="21"/>
                <w:color w:val="auto"/>
                <w:vertAlign w:val="superscript"/>
              </w:rPr>
              <w:t>(1)</w:t>
            </w:r>
          </w:p>
        </w:tc>
        <w:tc>
          <w:tcPr>
            <w:tcW w:w="3000" w:type="dxa"/>
            <w:vAlign w:val="bottom"/>
            <w:gridSpan w:val="3"/>
            <w:shd w:val="clear" w:color="auto" w:fill="D9DCE1"/>
          </w:tcPr>
          <w:p>
            <w:pPr>
              <w:jc w:val="center"/>
              <w:ind w:left="2339"/>
              <w:spacing w:after="0"/>
              <w:rPr>
                <w:sz w:val="20"/>
                <w:szCs w:val="20"/>
                <w:color w:val="auto"/>
              </w:rPr>
            </w:pPr>
            <w:r>
              <w:rPr>
                <w:rFonts w:ascii="Arial" w:cs="Arial" w:eastAsia="Arial" w:hAnsi="Arial"/>
                <w:sz w:val="18"/>
                <w:szCs w:val="18"/>
                <w:color w:val="auto"/>
              </w:rPr>
              <w:t>​$6.4</w:t>
            </w:r>
          </w:p>
        </w:tc>
        <w:tc>
          <w:tcPr>
            <w:tcW w:w="540" w:type="dxa"/>
            <w:vAlign w:val="bottom"/>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D9DCE1"/>
          </w:tcPr>
          <w:p>
            <w:pPr>
              <w:jc w:val="center"/>
              <w:ind w:right="20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D9DCE1"/>
          </w:tcPr>
          <w:p>
            <w:pPr>
              <w:ind w:left="20"/>
              <w:spacing w:after="0"/>
              <w:rPr>
                <w:sz w:val="20"/>
                <w:szCs w:val="20"/>
                <w:color w:val="auto"/>
              </w:rPr>
            </w:pPr>
            <w:r>
              <w:rPr>
                <w:rFonts w:ascii="Arial" w:cs="Arial" w:eastAsia="Arial" w:hAnsi="Arial"/>
                <w:sz w:val="18"/>
                <w:szCs w:val="18"/>
                <w:color w:val="auto"/>
              </w:rPr>
              <w:t>​</w:t>
            </w:r>
          </w:p>
        </w:tc>
      </w:tr>
      <w:tr>
        <w:trPr>
          <w:trHeight w:val="283"/>
        </w:trPr>
        <w:tc>
          <w:tcPr>
            <w:tcW w:w="3980" w:type="dxa"/>
            <w:vAlign w:val="bottom"/>
            <w:gridSpan w:val="2"/>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Audit-related fees</w:t>
            </w:r>
            <w:r>
              <w:rPr>
                <w:rFonts w:ascii="Arial" w:cs="Arial" w:eastAsia="Arial" w:hAnsi="Arial"/>
                <w:sz w:val="21"/>
                <w:szCs w:val="21"/>
                <w:color w:val="auto"/>
                <w:vertAlign w:val="superscript"/>
              </w:rPr>
              <w:t>(2)</w:t>
            </w:r>
          </w:p>
        </w:tc>
        <w:tc>
          <w:tcPr>
            <w:tcW w:w="3000" w:type="dxa"/>
            <w:vAlign w:val="bottom"/>
            <w:gridSpan w:val="3"/>
          </w:tcPr>
          <w:p>
            <w:pPr>
              <w:jc w:val="center"/>
              <w:ind w:left="2339"/>
              <w:spacing w:after="0"/>
              <w:rPr>
                <w:sz w:val="20"/>
                <w:szCs w:val="20"/>
                <w:color w:val="auto"/>
              </w:rPr>
            </w:pPr>
            <w:r>
              <w:rPr>
                <w:rFonts w:ascii="Arial" w:cs="Arial" w:eastAsia="Arial" w:hAnsi="Arial"/>
                <w:sz w:val="18"/>
                <w:szCs w:val="18"/>
                <w:color w:val="auto"/>
              </w:rPr>
              <w:t>​  —</w:t>
            </w:r>
          </w:p>
        </w:tc>
        <w:tc>
          <w:tcPr>
            <w:tcW w:w="540" w:type="dxa"/>
            <w:vAlign w:val="bottom"/>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center"/>
              <w:ind w:right="200"/>
              <w:spacing w:after="0"/>
              <w:rPr>
                <w:sz w:val="20"/>
                <w:szCs w:val="20"/>
                <w:color w:val="auto"/>
              </w:rPr>
            </w:pPr>
            <w:r>
              <w:rPr>
                <w:rFonts w:ascii="Arial" w:cs="Arial" w:eastAsia="Arial" w:hAnsi="Arial"/>
                <w:sz w:val="18"/>
                <w:szCs w:val="18"/>
                <w:color w:val="auto"/>
              </w:rPr>
              <w:t>​ 0.9</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97"/>
        </w:trPr>
        <w:tc>
          <w:tcPr>
            <w:tcW w:w="100" w:type="dxa"/>
            <w:vAlign w:val="bottom"/>
            <w:shd w:val="clear" w:color="auto" w:fill="D9DCE1"/>
          </w:tcPr>
          <w:p>
            <w:pPr>
              <w:ind w:left="40"/>
              <w:spacing w:after="0"/>
              <w:rPr>
                <w:sz w:val="20"/>
                <w:szCs w:val="20"/>
                <w:color w:val="auto"/>
              </w:rPr>
            </w:pPr>
            <w:r>
              <w:rPr>
                <w:rFonts w:ascii="Arial" w:cs="Arial" w:eastAsia="Arial" w:hAnsi="Arial"/>
                <w:sz w:val="18"/>
                <w:szCs w:val="18"/>
                <w:color w:val="auto"/>
              </w:rPr>
              <w:t>​</w:t>
            </w:r>
          </w:p>
        </w:tc>
        <w:tc>
          <w:tcPr>
            <w:tcW w:w="3880" w:type="dxa"/>
            <w:vAlign w:val="bottom"/>
            <w:shd w:val="clear" w:color="auto" w:fill="D9DCE1"/>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2520" w:type="dxa"/>
            <w:vAlign w:val="bottom"/>
            <w:shd w:val="clear" w:color="auto" w:fill="D9DCE1"/>
          </w:tcPr>
          <w:p>
            <w:pPr>
              <w:spacing w:after="0"/>
              <w:rPr>
                <w:sz w:val="24"/>
                <w:szCs w:val="24"/>
                <w:color w:val="auto"/>
              </w:rPr>
            </w:pPr>
          </w:p>
        </w:tc>
        <w:tc>
          <w:tcPr>
            <w:tcW w:w="380" w:type="dxa"/>
            <w:vAlign w:val="bottom"/>
            <w:shd w:val="clear" w:color="auto" w:fill="D9DCE1"/>
          </w:tcPr>
          <w:p>
            <w:pPr>
              <w:jc w:val="center"/>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 xml:space="preserve"> 1.</w:t>
            </w:r>
            <w:r>
              <w:rPr>
                <w:rFonts w:ascii="Arial" w:cs="Arial" w:eastAsia="Arial" w:hAnsi="Arial"/>
                <w:sz w:val="18"/>
                <w:szCs w:val="18"/>
                <w:u w:val="single" w:color="auto"/>
                <w:color w:val="auto"/>
              </w:rPr>
              <w:t>9</w:t>
            </w:r>
          </w:p>
        </w:tc>
        <w:tc>
          <w:tcPr>
            <w:tcW w:w="100" w:type="dxa"/>
            <w:vAlign w:val="bottom"/>
            <w:shd w:val="clear" w:color="auto" w:fill="D9DCE1"/>
          </w:tcPr>
          <w:p>
            <w:pPr>
              <w:spacing w:after="0"/>
              <w:rPr>
                <w:sz w:val="24"/>
                <w:szCs w:val="24"/>
                <w:color w:val="auto"/>
              </w:rPr>
            </w:pPr>
          </w:p>
        </w:tc>
        <w:tc>
          <w:tcPr>
            <w:tcW w:w="540" w:type="dxa"/>
            <w:vAlign w:val="bottom"/>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D9DCE1"/>
          </w:tcPr>
          <w:p>
            <w:pPr>
              <w:jc w:val="center"/>
              <w:ind w:right="200"/>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 xml:space="preserve"> 2.</w:t>
            </w:r>
            <w:r>
              <w:rPr>
                <w:rFonts w:ascii="Arial" w:cs="Arial" w:eastAsia="Arial" w:hAnsi="Arial"/>
                <w:sz w:val="18"/>
                <w:szCs w:val="18"/>
                <w:u w:val="single" w:color="auto"/>
                <w:color w:val="auto"/>
              </w:rPr>
              <w:t>0</w:t>
            </w:r>
          </w:p>
        </w:tc>
        <w:tc>
          <w:tcPr>
            <w:tcW w:w="120" w:type="dxa"/>
            <w:vAlign w:val="bottom"/>
            <w:shd w:val="clear" w:color="auto" w:fill="D9DCE1"/>
          </w:tcPr>
          <w:p>
            <w:pPr>
              <w:ind w:left="20"/>
              <w:spacing w:after="0"/>
              <w:rPr>
                <w:sz w:val="20"/>
                <w:szCs w:val="20"/>
                <w:color w:val="auto"/>
              </w:rPr>
            </w:pPr>
            <w:r>
              <w:rPr>
                <w:rFonts w:ascii="Arial" w:cs="Arial" w:eastAsia="Arial" w:hAnsi="Arial"/>
                <w:sz w:val="18"/>
                <w:szCs w:val="18"/>
                <w:color w:val="auto"/>
              </w:rPr>
              <w:t>​</w:t>
            </w:r>
          </w:p>
        </w:tc>
      </w:tr>
      <w:tr>
        <w:trPr>
          <w:trHeight w:val="20"/>
        </w:trPr>
        <w:tc>
          <w:tcPr>
            <w:tcW w:w="100" w:type="dxa"/>
            <w:vAlign w:val="bottom"/>
            <w:shd w:val="clear" w:color="auto" w:fill="D9DCE1"/>
          </w:tcPr>
          <w:p>
            <w:pPr>
              <w:spacing w:after="0" w:line="20" w:lineRule="exact"/>
              <w:rPr>
                <w:sz w:val="1"/>
                <w:szCs w:val="1"/>
                <w:color w:val="auto"/>
              </w:rPr>
            </w:pPr>
          </w:p>
        </w:tc>
        <w:tc>
          <w:tcPr>
            <w:tcW w:w="3880" w:type="dxa"/>
            <w:vAlign w:val="bottom"/>
            <w:shd w:val="clear" w:color="auto" w:fill="D9DCE1"/>
          </w:tcPr>
          <w:p>
            <w:pPr>
              <w:spacing w:after="0" w:line="20" w:lineRule="exact"/>
              <w:rPr>
                <w:sz w:val="1"/>
                <w:szCs w:val="1"/>
                <w:color w:val="auto"/>
              </w:rPr>
            </w:pPr>
          </w:p>
        </w:tc>
        <w:tc>
          <w:tcPr>
            <w:tcW w:w="2520" w:type="dxa"/>
            <w:vAlign w:val="bottom"/>
            <w:shd w:val="clear" w:color="auto" w:fill="D9DCE1"/>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D9DCE1"/>
          </w:tcPr>
          <w:p>
            <w:pPr>
              <w:spacing w:after="0" w:line="20" w:lineRule="exact"/>
              <w:rPr>
                <w:sz w:val="1"/>
                <w:szCs w:val="1"/>
                <w:color w:val="auto"/>
              </w:rPr>
            </w:pPr>
          </w:p>
        </w:tc>
        <w:tc>
          <w:tcPr>
            <w:tcW w:w="540" w:type="dxa"/>
            <w:vAlign w:val="bottom"/>
            <w:shd w:val="clear" w:color="auto" w:fill="D9DCE1"/>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gridSpan w:val="2"/>
            <w:shd w:val="clear" w:color="auto" w:fill="D9DCE1"/>
          </w:tcPr>
          <w:p>
            <w:pPr>
              <w:spacing w:after="0" w:line="20" w:lineRule="exact"/>
              <w:rPr>
                <w:sz w:val="1"/>
                <w:szCs w:val="1"/>
                <w:color w:val="auto"/>
              </w:rPr>
            </w:pPr>
          </w:p>
        </w:tc>
        <w:tc>
          <w:tcPr>
            <w:tcW w:w="120" w:type="dxa"/>
            <w:vAlign w:val="bottom"/>
            <w:shd w:val="clear" w:color="auto" w:fill="D9DCE1"/>
          </w:tcPr>
          <w:p>
            <w:pPr>
              <w:spacing w:after="0" w:line="20" w:lineRule="exact"/>
              <w:rPr>
                <w:sz w:val="1"/>
                <w:szCs w:val="1"/>
                <w:color w:val="auto"/>
              </w:rPr>
            </w:pPr>
          </w:p>
        </w:tc>
      </w:tr>
      <w:tr>
        <w:trPr>
          <w:trHeight w:val="263"/>
        </w:trPr>
        <w:tc>
          <w:tcPr>
            <w:tcW w:w="3980" w:type="dxa"/>
            <w:vAlign w:val="bottom"/>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Total</w:t>
            </w:r>
          </w:p>
        </w:tc>
        <w:tc>
          <w:tcPr>
            <w:tcW w:w="2520" w:type="dxa"/>
            <w:vAlign w:val="bottom"/>
          </w:tcPr>
          <w:p>
            <w:pPr>
              <w:spacing w:after="0"/>
              <w:rPr>
                <w:sz w:val="22"/>
                <w:szCs w:val="22"/>
                <w:color w:val="auto"/>
              </w:rPr>
            </w:pPr>
          </w:p>
        </w:tc>
        <w:tc>
          <w:tcPr>
            <w:tcW w:w="380" w:type="dxa"/>
            <w:vAlign w:val="bottom"/>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8.3</w:t>
            </w:r>
          </w:p>
        </w:tc>
        <w:tc>
          <w:tcPr>
            <w:tcW w:w="100" w:type="dxa"/>
            <w:vAlign w:val="bottom"/>
          </w:tcPr>
          <w:p>
            <w:pPr>
              <w:spacing w:after="0"/>
              <w:rPr>
                <w:sz w:val="22"/>
                <w:szCs w:val="22"/>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center"/>
              <w:ind w:righ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7.6</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0"/>
        </w:trPr>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93" w:lineRule="exact"/>
        <w:rPr>
          <w:sz w:val="20"/>
          <w:szCs w:val="20"/>
          <w:color w:val="auto"/>
        </w:rPr>
      </w:pPr>
    </w:p>
    <w:p>
      <w:pPr>
        <w:ind w:left="1620" w:right="719" w:hanging="360"/>
        <w:spacing w:after="0" w:line="222" w:lineRule="auto"/>
        <w:tabs>
          <w:tab w:leader="none" w:pos="1620" w:val="left"/>
        </w:tabs>
        <w:numPr>
          <w:ilvl w:val="0"/>
          <w:numId w:val="90"/>
        </w:numPr>
        <w:rPr>
          <w:rFonts w:ascii="Arial" w:cs="Arial" w:eastAsia="Arial" w:hAnsi="Arial"/>
          <w:sz w:val="27"/>
          <w:szCs w:val="27"/>
          <w:color w:val="auto"/>
          <w:vertAlign w:val="superscript"/>
        </w:rPr>
      </w:pPr>
      <w:r>
        <w:rPr>
          <w:rFonts w:ascii="Arial" w:cs="Arial" w:eastAsia="Arial" w:hAnsi="Arial"/>
          <w:sz w:val="18"/>
          <w:szCs w:val="18"/>
          <w:color w:val="auto"/>
        </w:rPr>
        <w:t>Audit fees include those related to (a) our annual audit (including internal control evaluation and reporting), (b) the audit of certain joint ventures of which PAA is the operator, and (c) work performed in connection with the registration of publicly held debt and equity.</w:t>
      </w:r>
    </w:p>
    <w:p>
      <w:pPr>
        <w:spacing w:after="0" w:line="45" w:lineRule="exact"/>
        <w:rPr>
          <w:rFonts w:ascii="Arial" w:cs="Arial" w:eastAsia="Arial" w:hAnsi="Arial"/>
          <w:sz w:val="27"/>
          <w:szCs w:val="27"/>
          <w:color w:val="auto"/>
          <w:vertAlign w:val="superscript"/>
        </w:rPr>
      </w:pPr>
    </w:p>
    <w:p>
      <w:pPr>
        <w:ind w:left="1620" w:right="739" w:hanging="360"/>
        <w:spacing w:after="0" w:line="210" w:lineRule="auto"/>
        <w:tabs>
          <w:tab w:leader="none" w:pos="1620" w:val="left"/>
        </w:tabs>
        <w:numPr>
          <w:ilvl w:val="0"/>
          <w:numId w:val="90"/>
        </w:numPr>
        <w:rPr>
          <w:rFonts w:ascii="Arial" w:cs="Arial" w:eastAsia="Arial" w:hAnsi="Arial"/>
          <w:sz w:val="27"/>
          <w:szCs w:val="27"/>
          <w:color w:val="auto"/>
          <w:vertAlign w:val="superscript"/>
        </w:rPr>
      </w:pPr>
      <w:r>
        <w:rPr>
          <w:rFonts w:ascii="Arial" w:cs="Arial" w:eastAsia="Arial" w:hAnsi="Arial"/>
          <w:sz w:val="18"/>
          <w:szCs w:val="18"/>
          <w:color w:val="auto"/>
        </w:rPr>
        <w:t>Audit-related fees primarily related to an audit of financial statements prepared on a “carve-out” basis in connection with a business combination.</w:t>
      </w:r>
    </w:p>
    <w:p>
      <w:pPr>
        <w:spacing w:after="0" w:line="46" w:lineRule="exact"/>
        <w:rPr>
          <w:rFonts w:ascii="Arial" w:cs="Arial" w:eastAsia="Arial" w:hAnsi="Arial"/>
          <w:sz w:val="27"/>
          <w:szCs w:val="27"/>
          <w:color w:val="auto"/>
          <w:vertAlign w:val="superscript"/>
        </w:rPr>
      </w:pPr>
    </w:p>
    <w:p>
      <w:pPr>
        <w:ind w:left="1620" w:right="739" w:hanging="360"/>
        <w:spacing w:after="0" w:line="222" w:lineRule="auto"/>
        <w:tabs>
          <w:tab w:leader="none" w:pos="1620" w:val="left"/>
        </w:tabs>
        <w:numPr>
          <w:ilvl w:val="0"/>
          <w:numId w:val="90"/>
        </w:numPr>
        <w:rPr>
          <w:rFonts w:ascii="Arial" w:cs="Arial" w:eastAsia="Arial" w:hAnsi="Arial"/>
          <w:sz w:val="27"/>
          <w:szCs w:val="27"/>
          <w:color w:val="auto"/>
          <w:vertAlign w:val="superscript"/>
        </w:rPr>
      </w:pPr>
      <w:r>
        <w:rPr>
          <w:rFonts w:ascii="Arial" w:cs="Arial" w:eastAsia="Arial" w:hAnsi="Arial"/>
          <w:sz w:val="18"/>
          <w:szCs w:val="18"/>
          <w:color w:val="auto"/>
        </w:rPr>
        <w:t>Tax fees are primarily related to tax processing as well as the preparation of Forms K-1 for PAA unitholders and international tax planning work associated with the structure of our Canadian investment.</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Pre-Approval Policy</w:t>
      </w:r>
    </w:p>
    <w:p>
      <w:pPr>
        <w:spacing w:after="0" w:line="158"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Our Audit Committee reviews our external financial reporting, engages our independent auditors and reviews the adequacy of our internal accounting controls. Our Audit Committee performs similar functions on PAA’s behalf. All services provided by our independent auditor to us or to PAA are subject to pre-approval by our Audit Committee. The Audit Committee has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respective policy. All services provided by our independent auditor during the years ended December 31, 2022 and 2021 were approved in advance by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2 — RATIFICATION OF APPOINTMENT OF INDEPENDENT REGISTERED PUBLIC</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ACCOUNTING FIRM</w:t>
      </w:r>
    </w:p>
    <w:p>
      <w:pPr>
        <w:spacing w:after="0" w:line="207" w:lineRule="exact"/>
        <w:rPr>
          <w:sz w:val="20"/>
          <w:szCs w:val="20"/>
          <w:color w:val="auto"/>
        </w:rPr>
      </w:pPr>
    </w:p>
    <w:p>
      <w:pPr>
        <w:jc w:val="center"/>
        <w:ind w:left="1860" w:right="180"/>
        <w:spacing w:after="0" w:line="265" w:lineRule="auto"/>
        <w:rPr>
          <w:sz w:val="20"/>
          <w:szCs w:val="20"/>
          <w:color w:val="auto"/>
        </w:rPr>
      </w:pPr>
      <w:r>
        <w:rPr>
          <w:rFonts w:ascii="Arial" w:cs="Arial" w:eastAsia="Arial" w:hAnsi="Arial"/>
          <w:sz w:val="18"/>
          <w:szCs w:val="18"/>
          <w:b w:val="1"/>
          <w:bCs w:val="1"/>
          <w:color w:val="auto"/>
        </w:rPr>
        <w:t>THE BOARD OF DIRECTORS UNANIMOUSLY RECOMMENDS THAT YOU VOTE “FOR” THE RATIFICATION OF THE APPOINTMENT OF PRICEWATERHOUSECOOPERS LLP AS OUR AND PAA’S INDEPENDENT REGISTERED PUBLIC ACCOUNTING FIRM FOR THE FISCAL YEAR ENDING DECEMBER 31, 2023.</w:t>
      </w:r>
    </w:p>
    <w:p>
      <w:pPr>
        <w:spacing w:after="0" w:line="98" w:lineRule="exact"/>
        <w:rPr>
          <w:sz w:val="20"/>
          <w:szCs w:val="20"/>
          <w:color w:val="auto"/>
        </w:rPr>
      </w:pPr>
    </w:p>
    <w:p>
      <w:pPr>
        <w:jc w:val="both"/>
        <w:ind w:left="1260" w:right="1159" w:firstLine="360"/>
        <w:spacing w:after="0" w:line="268" w:lineRule="auto"/>
        <w:rPr>
          <w:sz w:val="20"/>
          <w:szCs w:val="20"/>
          <w:color w:val="auto"/>
        </w:rPr>
      </w:pPr>
      <w:r>
        <w:rPr>
          <w:rFonts w:ascii="Arial" w:cs="Arial" w:eastAsia="Arial" w:hAnsi="Arial"/>
          <w:sz w:val="18"/>
          <w:szCs w:val="18"/>
          <w:color w:val="auto"/>
        </w:rPr>
        <w:t>The second proposal item to be voted on at the PAGP Annual Meeting is ratification of the appointment of PricewaterhouseCoopers LLP as our and PAA’s independent registered public accounting firm for the fiscal year ending December 31, 2023.</w:t>
      </w:r>
    </w:p>
    <w:p>
      <w:pPr>
        <w:spacing w:after="0" w:line="103"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8"/>
          <w:szCs w:val="18"/>
          <w:color w:val="auto"/>
        </w:rPr>
        <w:t>The Audit Committee of the Board has appointed PricewaterhouseCoopers LLP to continue to act as our and PAA’s independent registered public accounting firm for the fiscal year ending December 31, 2023. The Board has directed that such appointment be submitted to our Shareholders for ratification at the PAGP Annual Meeting.</w:t>
      </w:r>
    </w:p>
    <w:p>
      <w:pPr>
        <w:spacing w:after="0" w:line="95"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Ratification of the appointment of PricewaterhouseCoopers LLP as our and PAA’s independent registered public accounting firm is not required. The Board, however, is submitting the appointment to our Shareholders for ratification as a good corporate governance practice. Representatives of PricewaterhouseCoopers LLP are expected to be present at the PAGP Annual Meeting and will have an opportunity to make a statement if they so desire. They will also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3 — ADVISORY VOTE TO APPROVE OUR 2022 NAMED EXECUTIVE OFFICER</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COMPENSATION</w:t>
      </w:r>
    </w:p>
    <w:p>
      <w:pPr>
        <w:spacing w:after="0" w:line="194" w:lineRule="exact"/>
        <w:rPr>
          <w:sz w:val="20"/>
          <w:szCs w:val="20"/>
          <w:color w:val="auto"/>
        </w:rPr>
      </w:pPr>
    </w:p>
    <w:p>
      <w:pPr>
        <w:jc w:val="center"/>
        <w:ind w:left="1860" w:right="120"/>
        <w:spacing w:after="0" w:line="265" w:lineRule="auto"/>
        <w:rPr>
          <w:sz w:val="20"/>
          <w:szCs w:val="20"/>
          <w:color w:val="auto"/>
        </w:rPr>
      </w:pPr>
      <w:r>
        <w:rPr>
          <w:rFonts w:ascii="Arial" w:cs="Arial" w:eastAsia="Arial" w:hAnsi="Arial"/>
          <w:sz w:val="18"/>
          <w:szCs w:val="18"/>
          <w:b w:val="1"/>
          <w:bCs w:val="1"/>
          <w:color w:val="auto"/>
        </w:rPr>
        <w:t>THE BOARD UNANIMOUSLY RECOMMENDS THAT YOU VOTE, ON A NON-BINDING ADVISORY BASIS, “FOR” THE RESOLUTION APPROVING THE 2022 COMPENSATION OF THE NAMED EXECUTIVE OFFICERS AS DESCRIBED IN THIS PROXY STATEMENT.</w:t>
      </w:r>
    </w:p>
    <w:p>
      <w:pPr>
        <w:spacing w:after="0" w:line="84"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This proposal, commonly known as a “say-on-pay” proposal, provides our Shareholders with the opportunity to cast an advisory vote on the approval of the compensation of our Named Executive Officers.</w:t>
      </w:r>
    </w:p>
    <w:p>
      <w:pPr>
        <w:spacing w:after="0" w:line="101"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Board recognizes that executive compensation is an important matter for our Shareholders. As described in detail in the “Executive Compensation” section and elsewhere in this proxy statement, the Compensation Committee is tasked with the implementation of our executive compensation philosophy, and the core of that philosophy has been, and continues to be, to pay our executive officers based on performance. In particular, the Compensation Committee strives to attract, retain and motivate exceptional executives, to reward past performance measured against established goals and provide incentives for future performance, and to align executives’ long-term interests with the interests of our Shareholders. To do so, the Compensation Committee uses a combination of short- and long-term incentive compensation to reward near-term performance and to encourage executives’ commitment to our long-range, strategic business goals. It is the intention of the Compensation Committee that our executive officers be compensated competitively and consistently with our strategy, sound corporate governance principles and Shareholder interests and concerns.</w:t>
      </w:r>
    </w:p>
    <w:p>
      <w:pPr>
        <w:spacing w:after="0" w:line="118"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As described in the Compensation Discussion and Analysis section of this proxy statement, we believe our compensation program is effective, appropriate and strongly aligned with the long-term interests of our Shareholders and that the total compensation provided to the Named Executive Officers (including potential payouts upon a termination or change of control) is reasonable and not excessive. As you consider this Proposal 3, we urge you to read the Compensation Discussion and Analysis section of this proxy statement for additional details on executive compensation, including the more detailed information about our compensation philosophy and objectives, and to review the tabular disclosures regarding Named Executive Officer compensation together with the accompanying narrative disclosures in the Executive Compensation section of this proxy statement.</w:t>
      </w:r>
    </w:p>
    <w:p>
      <w:pPr>
        <w:spacing w:after="0" w:line="112" w:lineRule="exact"/>
        <w:rPr>
          <w:sz w:val="20"/>
          <w:szCs w:val="20"/>
          <w:color w:val="auto"/>
        </w:rPr>
      </w:pPr>
    </w:p>
    <w:p>
      <w:pPr>
        <w:jc w:val="both"/>
        <w:ind w:left="1260" w:right="459" w:firstLine="360"/>
        <w:spacing w:after="0" w:line="272" w:lineRule="auto"/>
        <w:rPr>
          <w:sz w:val="20"/>
          <w:szCs w:val="20"/>
          <w:color w:val="auto"/>
        </w:rPr>
      </w:pPr>
      <w:r>
        <w:rPr>
          <w:rFonts w:ascii="Arial" w:cs="Arial" w:eastAsia="Arial" w:hAnsi="Arial"/>
          <w:sz w:val="17"/>
          <w:szCs w:val="17"/>
          <w:color w:val="auto"/>
        </w:rPr>
        <w:t>The Dodd-Frank Wall Street Reform and Consumer Protection Act of 2012, as well as Section 14A of the Exchange Act, and the rules promulgated thereunder, enables our Shareholders the opportunity to express their views, on an advisory basis, on the compensation of the Named Executive Officers.</w:t>
      </w:r>
    </w:p>
    <w:p>
      <w:pPr>
        <w:spacing w:after="0" w:line="1" w:lineRule="exact"/>
        <w:rPr>
          <w:sz w:val="20"/>
          <w:szCs w:val="20"/>
          <w:color w:val="auto"/>
        </w:rPr>
      </w:pPr>
    </w:p>
    <w:p>
      <w:pPr>
        <w:ind w:left="1260" w:right="519"/>
        <w:spacing w:after="0" w:line="258" w:lineRule="auto"/>
        <w:rPr>
          <w:sz w:val="20"/>
          <w:szCs w:val="20"/>
          <w:color w:val="auto"/>
        </w:rPr>
      </w:pPr>
      <w:r>
        <w:rPr>
          <w:rFonts w:ascii="Arial" w:cs="Arial" w:eastAsia="Arial" w:hAnsi="Arial"/>
          <w:sz w:val="18"/>
          <w:szCs w:val="18"/>
          <w:color w:val="auto"/>
        </w:rPr>
        <w:t>This vote is not intended to address any specific item of compensation, but rather the overall compensation of the Named Executive Officers and the philosophy, policies and practices described in this proxy statement.</w:t>
      </w:r>
    </w:p>
    <w:p>
      <w:pPr>
        <w:spacing w:after="0" w:line="111"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As an advisory vote, this Proposal 3 is not binding on the Board or the Compensation Committee, will not overrule any decisions made by the Board or the Compensation Committee or require the Board or the Compensation Committee to take any action. Although the vote is non-binding, the Board and the Compensation Committee value the opinions of our Shareholders and will carefully consider the outcome of the vote when making future compensation decisions for executive officers. In particular, to the extent there is any significant vote against the Named Executive Officers’ compensation as disclosed in this proxy statement, we will consider our Shareholders’ concerns, and the Compensation Committee will evaluate whether any actions are necessary to address those concerns.</w:t>
      </w:r>
    </w:p>
    <w:p>
      <w:pPr>
        <w:spacing w:after="0" w:line="104" w:lineRule="exact"/>
        <w:rPr>
          <w:sz w:val="20"/>
          <w:szCs w:val="20"/>
          <w:color w:val="auto"/>
        </w:rPr>
      </w:pPr>
    </w:p>
    <w:p>
      <w:pPr>
        <w:ind w:left="1260" w:right="459" w:firstLine="360"/>
        <w:spacing w:after="0" w:line="287" w:lineRule="auto"/>
        <w:rPr>
          <w:sz w:val="20"/>
          <w:szCs w:val="20"/>
          <w:color w:val="auto"/>
        </w:rPr>
      </w:pPr>
      <w:r>
        <w:rPr>
          <w:rFonts w:ascii="Arial" w:cs="Arial" w:eastAsia="Arial" w:hAnsi="Arial"/>
          <w:sz w:val="18"/>
          <w:szCs w:val="18"/>
          <w:color w:val="auto"/>
        </w:rPr>
        <w:t>For the reasons set forth above, the following resolution will be submitted for approval at the PAGP Annual Meeting:</w:t>
      </w:r>
    </w:p>
    <w:p>
      <w:pPr>
        <w:spacing w:after="0" w:line="7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Named Executive Officers during and with respect to the calendar year ended December 31, 2022, as disclosed pursuant to Item 402 of Regulation S-K in PAGP’s proxy statement for its 2023 Annual Meeting of Shareholders, including the Compensation Discussion and Analysis, compensation tables and accompanying narrative discussion, is hereby approved.”</w:t>
      </w: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OTHER MATTERS FOR THE PAGP ANNUAL MEETING</w:t>
      </w:r>
    </w:p>
    <w:p>
      <w:pPr>
        <w:spacing w:after="0" w:line="158"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We know of no matters to be acted upon at the PAGP Annual Meeting other than the proposals included in the accompanying notice and described in this proxy statement. If any other matter requiring a vote of Shareholders arises, including a question of adjourning the PAGP Annual Meeting, the persons named as proxies in the proxy card will have the discretion to vote thereon according to their best judgment of what they consider to be in the best interests of PAGP. The proxy card confers discretionary authority to take action with respect to any additional matters that may come before the meeting or any adjournment thereof.</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DIRECTOR NOMINATIONS AND SHAREHOLDER PROPOSALS FOR THE 2024 ANNUAL MEETING</w:t>
      </w: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PAGP GP Director Nominations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Pursuant to Section 13.4(c)(ii) of our partnership agreement, any eligible Shareholder who owns</w:t>
      </w:r>
    </w:p>
    <w:p>
      <w:pPr>
        <w:spacing w:after="0" w:line="27" w:lineRule="exact"/>
        <w:rPr>
          <w:sz w:val="20"/>
          <w:szCs w:val="20"/>
          <w:color w:val="auto"/>
        </w:rPr>
      </w:pPr>
    </w:p>
    <w:p>
      <w:pPr>
        <w:ind w:left="1260" w:right="459"/>
        <w:spacing w:after="0" w:line="268" w:lineRule="auto"/>
        <w:rPr>
          <w:sz w:val="20"/>
          <w:szCs w:val="20"/>
          <w:color w:val="auto"/>
        </w:rPr>
      </w:pPr>
      <w:r>
        <w:rPr>
          <w:rFonts w:ascii="Arial" w:cs="Arial" w:eastAsia="Arial" w:hAnsi="Arial"/>
          <w:sz w:val="17"/>
          <w:szCs w:val="17"/>
          <w:color w:val="auto"/>
        </w:rPr>
        <w:t>10% or more of our outstanding Class A, Class B and Class C shares, taken together as a single class, is entitled to nominate one person for election as an Eligible Director. Eligible Shareholders who wish to submit a director nomination for our 2024 annual meeting must deliver written notice thereof to our principal executive offices in care of the Corporate Secretary by mail to 333 Clay Street, Suite 1600, Houston, Texas 77002 no later than the close of business on February 24, 2024, nor earlier than the close of business on January 25, 2024. In the event that the date of the 2024 annual meeting is changed by more than 30 days before or more than 60 days after the one-year anniversary of the 2023 annual meeting, Shareholder notice of a director nomination must be received no earlier than the close of business on the 120th day prior to the 2024 annual meeting and not later than the close of business on the date that is the later of the (i) 90th day prior to the 2024 annual meeting or (ii) if the first public announcement of the 2024 annual meeting is less than 100 days prior to such meeting, the 10th day following the day on which public announcement of the date of the 2024 annual meeting is first made.</w:t>
      </w:r>
    </w:p>
    <w:p>
      <w:pPr>
        <w:spacing w:after="0" w:line="90"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The written notice must comply with the procedures set forth in Section 13.4(c)(ii) of our partnership agreement, including the informational requirements included in Section 13.4(c)(ii)(A)(3). We will not entertain any nomination at the PAGP Annual Meeting that does not meet the requirements set forth in our partnership agreement. Our partnership agreement is filed as Exhibit 3.2 to our Current Report on Form 8-K filed on November 21, 2016.</w:t>
      </w:r>
    </w:p>
    <w:p>
      <w:pPr>
        <w:spacing w:after="0" w:line="112"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In addition to satisfying the requirements under our partnership agreement as described in the immediately preceding paragraph, to comply with the universal proxy rules under the Exchange Act, any eligible Shareholder who intends to solicit proxies in support of director nominees other than our nominees must provide written notice that sets forth the information required by Rule 14a-19 under the Exchange Act no later than March 25, 2024. However, if the date of the 2024 annual meeting is more than 30 days before or after the anniversary of the date of the 2023 annual meeting, then such written notice must be delivered by the later of (i) the tenth day following the public announcement of the date of the 2024 annual meeting is first made and (ii) the date that is 60 days prior to the date of the 2024 annual meeting.</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Shareholder Proposals</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Any Shareholder who, in accordance with Rule 14a-8 under the Exchange Act, wishes to submit a proposal for inclusion in our proxy statement for the 2024 annual meeting must submit their proposal in writing, along with proof of eligibility, to our principal executive offices in care of the Corporate Secretary by mail to 333 Clay Street, Suite 1600, Houston, Texas 77002. Proposal submissions must be received no later than the close of business (5:00 p.m. Central Time) on December 16, 2023, to be considered timely. SEC rules set forth standards as to what proposals are required to be included in a proxy statement for a meeting. In no event are Shareholders allowed to vote on matters that would cause the Shareholders to be deemed to take part in the management and control of our business and affairs so as to jeopardize such Shareholder’s limited liability under the Delaware limited partnership act or the law of any other state in which we are qualified to do business.</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HOUSEHOLDING MATTERS</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In some cases, Shareholders who share a single address will receive only one annual report and one proxy statement at that address unless we have received instructions to the contrary from any Shareholder at that address. This practice, known as “householding,” is designed to reduce our printing and postage costs. However, if a Shareholder of record residing at such an address wishes to receive a separate copy of our annual report or proxy statement or future annual reports or proxy statements (as applicable), he or she may contact our Corporate Secretary at (713) 646-4100, or write to Plains GP Holdings, L.P., 333 Clay Street, Suite 1600, Houston, Texas 77002, attention: Corporate Secretary. We will deliver separate copies of our annual report or proxy statement promptly upon written or oral request. If you are a Shareholder of record receiving multiple copies of our annual report or proxy statement, you can request householding by contacting us in the same manner. If you own your Shares through a bank, broker or other Shareholder of record, you can request additional copies of the annual report or proxy statement or request householding by contacting the Shareholder of record (i.e., your bank or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2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595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885952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6831965" cy="84740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847407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1."/>
      <w:numFmt w:val="decimal"/>
      <w:start w:val="1"/>
    </w:lvl>
  </w:abstractNum>
  <w:abstractNum w:abstractNumId="5">
    <w:nsid w:val="7644A45C"/>
    <w:multiLevelType w:val="hybridMultilevel"/>
    <w:lvl w:ilvl="0">
      <w:lvlJc w:val="left"/>
      <w:lvlText w:val="%1."/>
      <w:numFmt w:val="decimal"/>
      <w:start w:val="3"/>
    </w:lvl>
  </w:abstractNum>
  <w:abstractNum w:abstractNumId="6">
    <w:nsid w:val="32FFF902"/>
    <w:multiLevelType w:val="hybridMultilevel"/>
    <w:lvl w:ilvl="0">
      <w:lvlJc w:val="left"/>
      <w:lvlText w:val="%1:"/>
      <w:numFmt w:val="upperLetter"/>
      <w:start w:val="1"/>
    </w:lvl>
  </w:abstractNum>
  <w:abstractNum w:abstractNumId="7">
    <w:nsid w:val="684A481A"/>
    <w:multiLevelType w:val="hybridMultilevel"/>
    <w:lvl w:ilvl="0">
      <w:lvlJc w:val="left"/>
      <w:lvlText w:val="%1:"/>
      <w:numFmt w:val="upperLetter"/>
      <w:start w:val="1"/>
    </w:lvl>
    <w:lvl w:ilvl="1">
      <w:lvlJc w:val="left"/>
      <w:lvlText w:val="•"/>
      <w:numFmt w:val="bullet"/>
      <w:start w:val="1"/>
    </w:lvl>
  </w:abstractNum>
  <w:abstractNum w:abstractNumId="8">
    <w:nsid w:val="579478FE"/>
    <w:multiLevelType w:val="hybridMultilevel"/>
    <w:lvl w:ilvl="0">
      <w:lvlJc w:val="left"/>
      <w:lvlText w:val="%1:"/>
      <w:numFmt w:val="upperLetter"/>
      <w:start w:val="1"/>
    </w:lvl>
  </w:abstractNum>
  <w:abstractNum w:abstractNumId="9">
    <w:nsid w:val="749ABB43"/>
    <w:multiLevelType w:val="hybridMultilevel"/>
    <w:lvl w:ilvl="0">
      <w:lvlJc w:val="left"/>
      <w:lvlText w:val="%1:"/>
      <w:numFmt w:val="upperLetter"/>
      <w:start w:val="1"/>
    </w:lvl>
  </w:abstractNum>
  <w:abstractNum w:abstractNumId="10">
    <w:nsid w:val="3DC240FB"/>
    <w:multiLevelType w:val="hybridMultilevel"/>
    <w:lvl w:ilvl="0">
      <w:lvlJc w:val="left"/>
      <w:lvlText w:val="%1:"/>
      <w:numFmt w:val="upperLetter"/>
      <w:start w:val="1"/>
    </w:lvl>
  </w:abstractNum>
  <w:abstractNum w:abstractNumId="11">
    <w:nsid w:val="1BA026FA"/>
    <w:multiLevelType w:val="hybridMultilevel"/>
    <w:lvl w:ilvl="0">
      <w:lvlJc w:val="left"/>
      <w:lvlText w:val="%1:"/>
      <w:numFmt w:val="upperLetter"/>
      <w:start w:val="1"/>
    </w:lvl>
  </w:abstractNum>
  <w:abstractNum w:abstractNumId="12">
    <w:nsid w:val="79A1DEAA"/>
    <w:multiLevelType w:val="hybridMultilevel"/>
    <w:lvl w:ilvl="0">
      <w:lvlJc w:val="left"/>
      <w:lvlText w:val="%1:"/>
      <w:numFmt w:val="upperLetter"/>
      <w:start w:val="1"/>
    </w:lvl>
    <w:lvl w:ilvl="1">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1:"/>
      <w:numFmt w:val="upperLetter"/>
      <w:start w:val="1"/>
    </w:lvl>
    <w:lvl w:ilvl="1">
      <w:lvlJc w:val="left"/>
      <w:lvlText w:val="•"/>
      <w:numFmt w:val="bullet"/>
      <w:start w:val="1"/>
    </w:lvl>
  </w:abstractNum>
  <w:abstractNum w:abstractNumId="15">
    <w:nsid w:val="70C6A529"/>
    <w:multiLevelType w:val="hybridMultilevel"/>
    <w:lvl w:ilvl="0">
      <w:lvlJc w:val="left"/>
      <w:lvlText w:val="%1:"/>
      <w:numFmt w:val="upperLetter"/>
      <w:start w:val="1"/>
    </w:lvl>
  </w:abstractNum>
  <w:abstractNum w:abstractNumId="16">
    <w:nsid w:val="520EEDD1"/>
    <w:multiLevelType w:val="hybridMultilevel"/>
    <w:lvl w:ilvl="0">
      <w:lvlJc w:val="left"/>
      <w:lvlText w:val="%1:"/>
      <w:numFmt w:val="upperLetter"/>
      <w:start w:val="1"/>
    </w:lvl>
    <w:lvl w:ilvl="1">
      <w:lvlJc w:val="left"/>
      <w:lvlText w:val="•"/>
      <w:numFmt w:val="bullet"/>
      <w:start w:val="1"/>
    </w:lvl>
  </w:abstractNum>
  <w:abstractNum w:abstractNumId="17">
    <w:nsid w:val="374A3FE6"/>
    <w:multiLevelType w:val="hybridMultilevel"/>
    <w:lvl w:ilvl="0">
      <w:lvlJc w:val="left"/>
      <w:lvlText w:val="%1:"/>
      <w:numFmt w:val="upperLetter"/>
      <w:start w:val="17"/>
    </w:lvl>
  </w:abstractNum>
  <w:abstractNum w:abstractNumId="18">
    <w:nsid w:val="4F4EF005"/>
    <w:multiLevelType w:val="hybridMultilevel"/>
    <w:lvl w:ilvl="0">
      <w:lvlJc w:val="left"/>
      <w:lvlText w:val="%1:"/>
      <w:numFmt w:val="upperLetter"/>
      <w:start w:val="1"/>
    </w:lvl>
  </w:abstractNum>
  <w:abstractNum w:abstractNumId="19">
    <w:nsid w:val="23F9C13C"/>
    <w:multiLevelType w:val="hybridMultilevel"/>
    <w:lvl w:ilvl="0">
      <w:lvlJc w:val="left"/>
      <w:lvlText w:val="%1."/>
      <w:numFmt w:val="decimal"/>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1."/>
      <w:numFmt w:val="decimal"/>
      <w:start w:val="3"/>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1:"/>
      <w:numFmt w:val="upperLetter"/>
      <w:start w:val="1"/>
    </w:lvl>
  </w:abstractNum>
  <w:abstractNum w:abstractNumId="25">
    <w:nsid w:val="235BA861"/>
    <w:multiLevelType w:val="hybridMultilevel"/>
    <w:lvl w:ilvl="0">
      <w:lvlJc w:val="left"/>
      <w:lvlText w:val="%1:"/>
      <w:numFmt w:val="upperLetter"/>
      <w:start w:val="1"/>
    </w:lvl>
  </w:abstractNum>
  <w:abstractNum w:abstractNumId="26">
    <w:nsid w:val="47398C89"/>
    <w:multiLevelType w:val="hybridMultilevel"/>
    <w:lvl w:ilvl="0">
      <w:lvlJc w:val="left"/>
      <w:lvlText w:val="%1:"/>
      <w:numFmt w:val="upperLetter"/>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lvl w:ilvl="1">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1)"/>
      <w:numFmt w:val="lowerRoman"/>
      <w:start w:val="2"/>
    </w:lvl>
  </w:abstractNum>
  <w:abstractNum w:abstractNumId="41">
    <w:nsid w:val="1DBABF00"/>
    <w:multiLevelType w:val="hybridMultilevel"/>
    <w:lvl w:ilvl="0">
      <w:lvlJc w:val="left"/>
      <w:lvlText w:val="(%1)"/>
      <w:numFmt w:val="lowerRoman"/>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1"/>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lvl w:ilvl="1">
      <w:lvlJc w:val="left"/>
      <w:lvlText w:val="(%2)"/>
      <w:numFmt w:val="decimal"/>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1)"/>
      <w:numFmt w:val="decimal"/>
      <w:start w:val="1"/>
    </w:lvl>
  </w:abstractNum>
  <w:abstractNum w:abstractNumId="52">
    <w:nsid w:val="6B94764"/>
    <w:multiLevelType w:val="hybridMultilevel"/>
    <w:lvl w:ilvl="0">
      <w:lvlJc w:val="left"/>
      <w:lvlText w:val="(%1)"/>
      <w:numFmt w:val="decimal"/>
      <w:start w:val="1"/>
    </w:lvl>
  </w:abstractNum>
  <w:abstractNum w:abstractNumId="53">
    <w:nsid w:val="42C296BD"/>
    <w:multiLevelType w:val="hybridMultilevel"/>
    <w:lvl w:ilvl="0">
      <w:lvlJc w:val="left"/>
      <w:lvlText w:val="(%1)"/>
      <w:numFmt w:val="lowerRoman"/>
      <w:start w:val="1"/>
    </w:lvl>
  </w:abstractNum>
  <w:abstractNum w:abstractNumId="54">
    <w:nsid w:val="168E121F"/>
    <w:multiLevelType w:val="hybridMultilevel"/>
    <w:lvl w:ilvl="0">
      <w:lvlJc w:val="left"/>
      <w:lvlText w:val="(%1)"/>
      <w:numFmt w:val="lowerRoman"/>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1)"/>
      <w:numFmt w:val="decimal"/>
      <w:start w:val="1"/>
    </w:lvl>
  </w:abstractNum>
  <w:abstractNum w:abstractNumId="58">
    <w:nsid w:val="540A471C"/>
    <w:multiLevelType w:val="hybridMultilevel"/>
    <w:lvl w:ilvl="0">
      <w:lvlJc w:val="left"/>
      <w:lvlText w:val="(%1)"/>
      <w:numFmt w:val="decimal"/>
      <w:start w:val="3"/>
    </w:lvl>
  </w:abstractNum>
  <w:abstractNum w:abstractNumId="59">
    <w:nsid w:val="7BD3EE7B"/>
    <w:multiLevelType w:val="hybridMultilevel"/>
    <w:lvl w:ilvl="0">
      <w:lvlJc w:val="left"/>
      <w:lvlText w:val="(%1)"/>
      <w:numFmt w:val="decimal"/>
      <w:start w:val="1"/>
    </w:lvl>
  </w:abstractNum>
  <w:abstractNum w:abstractNumId="60">
    <w:nsid w:val="51D9C564"/>
    <w:multiLevelType w:val="hybridMultilevel"/>
    <w:lvl w:ilvl="0">
      <w:lvlJc w:val="left"/>
      <w:lvlText w:val="(%1)"/>
      <w:numFmt w:val="decimal"/>
      <w:start w:val="4"/>
    </w:lvl>
  </w:abstractNum>
  <w:abstractNum w:abstractNumId="61">
    <w:nsid w:val="613EFDC5"/>
    <w:multiLevelType w:val="hybridMultilevel"/>
    <w:lvl w:ilvl="0">
      <w:lvlJc w:val="left"/>
      <w:lvlText w:val="(%1)"/>
      <w:numFmt w:val="decimal"/>
      <w:start w:val="1"/>
    </w:lvl>
  </w:abstractNum>
  <w:abstractNum w:abstractNumId="62">
    <w:nsid w:val="BF72B14"/>
    <w:multiLevelType w:val="hybridMultilevel"/>
    <w:lvl w:ilvl="0">
      <w:lvlJc w:val="left"/>
      <w:lvlText w:val="(%1)"/>
      <w:numFmt w:val="decimal"/>
      <w:start w:val="2"/>
    </w:lvl>
  </w:abstractNum>
  <w:abstractNum w:abstractNumId="63">
    <w:nsid w:val="11447B73"/>
    <w:multiLevelType w:val="hybridMultilevel"/>
    <w:lvl w:ilvl="0">
      <w:lvlJc w:val="left"/>
      <w:lvlText w:val="(%1)"/>
      <w:numFmt w:val="decimal"/>
      <w:start w:val="8"/>
    </w:lvl>
  </w:abstractNum>
  <w:abstractNum w:abstractNumId="64">
    <w:nsid w:val="42963E5A"/>
    <w:multiLevelType w:val="hybridMultilevel"/>
    <w:lvl w:ilvl="0">
      <w:lvlJc w:val="left"/>
      <w:lvlText w:val="(%1)"/>
      <w:numFmt w:val="decimal"/>
      <w:start w:val="1"/>
    </w:lvl>
  </w:abstractNum>
  <w:abstractNum w:abstractNumId="65">
    <w:nsid w:val="A0382C5"/>
    <w:multiLevelType w:val="hybridMultilevel"/>
    <w:lvl w:ilvl="0">
      <w:lvlJc w:val="left"/>
      <w:lvlText w:val="(%1)"/>
      <w:numFmt w:val="decimal"/>
      <w:start w:val="1"/>
    </w:lvl>
  </w:abstractNum>
  <w:abstractNum w:abstractNumId="66">
    <w:nsid w:val="8F2B15E"/>
    <w:multiLevelType w:val="hybridMultilevel"/>
    <w:lvl w:ilvl="0">
      <w:lvlJc w:val="left"/>
      <w:lvlText w:val="(%1)"/>
      <w:numFmt w:val="decimal"/>
      <w:start w:val="2"/>
    </w:lvl>
    <w:lvl w:ilvl="1">
      <w:lvlJc w:val="left"/>
      <w:lvlText w:val="(%2)"/>
      <w:numFmt w:val="lowerRoman"/>
      <w:start w:val="1"/>
    </w:lvl>
  </w:abstractNum>
  <w:abstractNum w:abstractNumId="67">
    <w:nsid w:val="1A32234B"/>
    <w:multiLevelType w:val="hybridMultilevel"/>
    <w:lvl w:ilvl="0">
      <w:lvlJc w:val="left"/>
      <w:lvlText w:val="(%1)"/>
      <w:numFmt w:val="lowerRoman"/>
      <w:start w:val="3"/>
    </w:lvl>
  </w:abstractNum>
  <w:abstractNum w:abstractNumId="68">
    <w:nsid w:val="3B0FD379"/>
    <w:multiLevelType w:val="hybridMultilevel"/>
    <w:lvl w:ilvl="0">
      <w:lvlJc w:val="left"/>
      <w:lvlText w:val="(%1)"/>
      <w:numFmt w:val="decimal"/>
      <w:start w:val="4"/>
    </w:lvl>
  </w:abstractNum>
  <w:abstractNum w:abstractNumId="69">
    <w:nsid w:val="68EB2F63"/>
    <w:multiLevelType w:val="hybridMultilevel"/>
    <w:lvl w:ilvl="0">
      <w:lvlJc w:val="left"/>
      <w:lvlText w:val="(%1)"/>
      <w:numFmt w:val="lowerLetter"/>
      <w:start w:val="2"/>
    </w:lvl>
  </w:abstractNum>
  <w:abstractNum w:abstractNumId="70">
    <w:nsid w:val="4962813B"/>
    <w:multiLevelType w:val="hybridMultilevel"/>
    <w:lvl w:ilvl="0">
      <w:lvlJc w:val="left"/>
      <w:lvlText w:val="(%1)"/>
      <w:numFmt w:val="decimal"/>
      <w:start w:val="5"/>
    </w:lvl>
  </w:abstractNum>
  <w:abstractNum w:abstractNumId="71">
    <w:nsid w:val="60B6DF70"/>
    <w:multiLevelType w:val="hybridMultilevel"/>
    <w:lvl w:ilvl="0">
      <w:lvlJc w:val="left"/>
      <w:lvlText w:val="(%1)"/>
      <w:numFmt w:val="decimal"/>
      <w:start w:val="6"/>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1)"/>
      <w:numFmt w:val="decimal"/>
      <w:start w:val="1"/>
    </w:lvl>
  </w:abstractNum>
  <w:abstractNum w:abstractNumId="75">
    <w:nsid w:val="1A27709E"/>
    <w:multiLevelType w:val="hybridMultilevel"/>
    <w:lvl w:ilvl="0">
      <w:lvlJc w:val="left"/>
      <w:lvlText w:val="(%1)"/>
      <w:numFmt w:val="lowerLetter"/>
      <w:start w:val="1"/>
    </w:lvl>
  </w:abstractNum>
  <w:abstractNum w:abstractNumId="76">
    <w:nsid w:val="71EA1109"/>
    <w:multiLevelType w:val="hybridMultilevel"/>
    <w:lvl w:ilvl="0">
      <w:lvlJc w:val="left"/>
      <w:lvlText w:val="(%1)"/>
      <w:numFmt w:val="lowerLetter"/>
      <w:start w:val="1"/>
    </w:lvl>
  </w:abstractNum>
  <w:abstractNum w:abstractNumId="77">
    <w:nsid w:val="100F59DC"/>
    <w:multiLevelType w:val="hybridMultilevel"/>
    <w:lvl w:ilvl="0">
      <w:lvlJc w:val="left"/>
      <w:lvlText w:val="(%1)"/>
      <w:numFmt w:val="lowerLetter"/>
      <w:start w:val="1"/>
    </w:lvl>
  </w:abstractNum>
  <w:abstractNum w:abstractNumId="78">
    <w:nsid w:val="7FB7E0AA"/>
    <w:multiLevelType w:val="hybridMultilevel"/>
    <w:lvl w:ilvl="0">
      <w:lvlJc w:val="left"/>
      <w:lvlText w:val="(%1)"/>
      <w:numFmt w:val="lowerLetter"/>
      <w:start w:val="1"/>
    </w:lvl>
  </w:abstractNum>
  <w:abstractNum w:abstractNumId="79">
    <w:nsid w:val="6EB5BD4"/>
    <w:multiLevelType w:val="hybridMultilevel"/>
    <w:lvl w:ilvl="0">
      <w:lvlJc w:val="left"/>
      <w:lvlText w:val="(%1)"/>
      <w:numFmt w:val="decimal"/>
      <w:start w:val="1"/>
    </w:lvl>
  </w:abstractNum>
  <w:abstractNum w:abstractNumId="80">
    <w:nsid w:val="6F6DD9AC"/>
    <w:multiLevelType w:val="hybridMultilevel"/>
    <w:lvl w:ilvl="0">
      <w:lvlJc w:val="left"/>
      <w:lvlText w:val="(%1)"/>
      <w:numFmt w:val="decimal"/>
      <w:start w:val="2"/>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1)"/>
      <w:numFmt w:val="decimal"/>
      <w:start w:val="1"/>
    </w:lvl>
  </w:abstractNum>
  <w:abstractNum w:abstractNumId="83">
    <w:nsid w:val="76272110"/>
    <w:multiLevelType w:val="hybridMultilevel"/>
    <w:lvl w:ilvl="0">
      <w:lvlJc w:val="left"/>
      <w:lvlText w:val="*"/>
      <w:numFmt w:val="bullet"/>
      <w:start w:val="1"/>
    </w:lvl>
  </w:abstractNum>
  <w:abstractNum w:abstractNumId="84">
    <w:nsid w:val="4C04A8AF"/>
    <w:multiLevelType w:val="hybridMultilevel"/>
    <w:lvl w:ilvl="0">
      <w:lvlJc w:val="left"/>
      <w:lvlText w:val="(%1)"/>
      <w:numFmt w:val="decimal"/>
      <w:start w:val="1"/>
    </w:lvl>
  </w:abstractNum>
  <w:abstractNum w:abstractNumId="85">
    <w:nsid w:val="1716703B"/>
    <w:multiLevelType w:val="hybridMultilevel"/>
    <w:lvl w:ilvl="0">
      <w:lvlJc w:val="left"/>
      <w:lvlText w:val="(%1)"/>
      <w:numFmt w:val="decimal"/>
      <w:start w:val="1"/>
    </w:lvl>
  </w:abstractNum>
  <w:abstractNum w:abstractNumId="86">
    <w:nsid w:val="14E17E33"/>
    <w:multiLevelType w:val="hybridMultilevel"/>
    <w:lvl w:ilvl="0">
      <w:lvlJc w:val="left"/>
      <w:lvlText w:val="(%1)"/>
      <w:numFmt w:val="lowerRoman"/>
      <w:start w:val="2"/>
    </w:lvl>
  </w:abstractNum>
  <w:abstractNum w:abstractNumId="87">
    <w:nsid w:val="3222E7CD"/>
    <w:multiLevelType w:val="hybridMultilevel"/>
    <w:lvl w:ilvl="0">
      <w:lvlJc w:val="left"/>
      <w:lvlText w:val="(%1)"/>
      <w:numFmt w:val="lowerRoman"/>
      <w:start w:val="2"/>
    </w:lvl>
  </w:abstractNum>
  <w:abstractNum w:abstractNumId="88">
    <w:nsid w:val="74DE0EE3"/>
    <w:multiLevelType w:val="hybridMultilevel"/>
    <w:lvl w:ilvl="0">
      <w:lvlJc w:val="left"/>
      <w:lvlText w:val="(%1)"/>
      <w:numFmt w:val="lowerRoman"/>
      <w:start w:val="5"/>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2023-04-14T05:28:32Z</dcterms:created>
  <dcterms:modified xsi:type="dcterms:W3CDTF">2023-04-14T05:28:32Z</dcterms:modified>
</cp:coreProperties>
</file>