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Plains GP Holdings,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A Shares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72651A207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460" w:right="8300" w:firstLine="7"/>
        <w:spacing w:after="0" w:line="246" w:lineRule="exact"/>
        <w:tabs>
          <w:tab w:leader="none" w:pos="210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13d-1(d)</w:t>
      </w:r>
    </w:p>
    <w:p>
      <w:pPr>
        <w:spacing w:after="0" w:line="21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1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CUSIP No. 72651A207</w:t>
            </w:r>
          </w:p>
        </w:tc>
        <w:tc>
          <w:tcPr>
            <w:tcW w:w="5860" w:type="dxa"/>
            <w:vAlign w:val="bottom"/>
            <w:tcBorders>
              <w:right w:val="single" w:sz="8" w:color="auto"/>
            </w:tcBorders>
          </w:tcPr>
          <w:p>
            <w:pPr>
              <w:spacing w:after="0"/>
              <w:rPr>
                <w:sz w:val="19"/>
                <w:szCs w:val="19"/>
                <w:color w:val="auto"/>
              </w:rPr>
            </w:pPr>
          </w:p>
        </w:tc>
        <w:tc>
          <w:tcPr>
            <w:tcW w:w="246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Page 2 of 6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242175" cy="487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2175" cy="487489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380" w:hanging="748"/>
        <w:spacing w:after="0"/>
        <w:tabs>
          <w:tab w:leader="none" w:pos="1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Chickasaw Capital Management, LLC</w:t>
      </w:r>
    </w:p>
    <w:p>
      <w:pPr>
        <w:spacing w:after="0" w:line="23" w:lineRule="exact"/>
        <w:rPr>
          <w:sz w:val="20"/>
          <w:szCs w:val="20"/>
          <w:color w:val="auto"/>
        </w:rPr>
      </w:pPr>
    </w:p>
    <w:p>
      <w:pPr>
        <w:ind w:left="1380" w:hanging="748"/>
        <w:spacing w:after="0"/>
        <w:tabs>
          <w:tab w:leader="none" w:pos="1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ind w:left="10540"/>
        <w:spacing w:after="0" w:line="281" w:lineRule="exact"/>
        <w:rPr>
          <w:sz w:val="20"/>
          <w:szCs w:val="20"/>
          <w:color w:val="auto"/>
        </w:rPr>
      </w:pPr>
      <w:r>
        <w:rPr>
          <w:rFonts w:ascii="Arial" w:cs="Arial" w:eastAsia="Arial" w:hAnsi="Arial"/>
          <w:sz w:val="14"/>
          <w:szCs w:val="14"/>
          <w:b w:val="1"/>
          <w:bCs w:val="1"/>
          <w:color w:val="auto"/>
        </w:rPr>
        <w:t xml:space="preserve">(a) </w:t>
      </w:r>
      <w:r>
        <w:rPr>
          <w:rFonts w:ascii="MS PGothic" w:cs="MS PGothic" w:eastAsia="MS PGothic" w:hAnsi="MS PGothic"/>
          <w:sz w:val="32"/>
          <w:szCs w:val="32"/>
          <w:color w:val="auto"/>
          <w:vertAlign w:val="subscript"/>
        </w:rPr>
        <w:t>☐</w:t>
      </w:r>
    </w:p>
    <w:p>
      <w:pPr>
        <w:ind w:left="10520"/>
        <w:spacing w:after="0" w:line="271" w:lineRule="exact"/>
        <w:rPr>
          <w:sz w:val="20"/>
          <w:szCs w:val="20"/>
          <w:color w:val="auto"/>
        </w:rPr>
      </w:pPr>
      <w:r>
        <w:rPr>
          <w:rFonts w:ascii="Arial" w:cs="Arial" w:eastAsia="Arial" w:hAnsi="Arial"/>
          <w:sz w:val="14"/>
          <w:szCs w:val="14"/>
          <w:b w:val="1"/>
          <w:bCs w:val="1"/>
          <w:color w:val="auto"/>
        </w:rPr>
        <w:t xml:space="preserve">(b) </w:t>
      </w:r>
      <w:r>
        <w:rPr>
          <w:rFonts w:ascii="MS PGothic" w:cs="MS PGothic" w:eastAsia="MS PGothic" w:hAnsi="MS PGothic"/>
          <w:sz w:val="31"/>
          <w:szCs w:val="31"/>
          <w:color w:val="auto"/>
          <w:vertAlign w:val="subscript"/>
        </w:rPr>
        <w:t>☐</w:t>
      </w:r>
    </w:p>
    <w:p>
      <w:pPr>
        <w:ind w:left="1380" w:hanging="748"/>
        <w:spacing w:after="0"/>
        <w:tabs>
          <w:tab w:leader="none" w:pos="13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19" w:lineRule="exact"/>
        <w:rPr>
          <w:sz w:val="20"/>
          <w:szCs w:val="20"/>
          <w:color w:val="auto"/>
        </w:rPr>
      </w:pPr>
    </w:p>
    <w:p>
      <w:pPr>
        <w:ind w:left="1380" w:right="6100" w:hanging="748"/>
        <w:spacing w:after="0" w:line="282" w:lineRule="auto"/>
        <w:tabs>
          <w:tab w:leader="none" w:pos="1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20" w:type="dxa"/>
            <w:vAlign w:val="bottom"/>
            <w:tcBorders>
              <w:top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w:t>
            </w:r>
          </w:p>
        </w:tc>
        <w:tc>
          <w:tcPr>
            <w:tcW w:w="78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900" w:type="dxa"/>
            <w:vAlign w:val="bottom"/>
            <w:tcBorders>
              <w:right w:val="single" w:sz="8" w:color="auto"/>
            </w:tcBorders>
          </w:tcPr>
          <w:p>
            <w:pPr>
              <w:spacing w:after="0"/>
              <w:rPr>
                <w:sz w:val="20"/>
                <w:szCs w:val="20"/>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9,966,216</w:t>
            </w:r>
          </w:p>
        </w:tc>
        <w:tc>
          <w:tcPr>
            <w:tcW w:w="0" w:type="dxa"/>
            <w:vAlign w:val="bottom"/>
          </w:tcPr>
          <w:p>
            <w:pPr>
              <w:spacing w:after="0"/>
              <w:rPr>
                <w:sz w:val="1"/>
                <w:szCs w:val="1"/>
                <w:color w:val="auto"/>
              </w:rPr>
            </w:pPr>
          </w:p>
        </w:tc>
      </w:tr>
      <w:tr>
        <w:trPr>
          <w:trHeight w:val="216"/>
        </w:trPr>
        <w:tc>
          <w:tcPr>
            <w:tcW w:w="2620" w:type="dxa"/>
            <w:vAlign w:val="bottom"/>
            <w:tcBorders>
              <w:right w:val="single" w:sz="8" w:color="auto"/>
            </w:tcBorders>
            <w:vMerge w:val="continue"/>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7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SHARES</w:t>
            </w:r>
          </w:p>
        </w:tc>
        <w:tc>
          <w:tcPr>
            <w:tcW w:w="900" w:type="dxa"/>
            <w:vAlign w:val="bottom"/>
            <w:tcBorders>
              <w:right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6</w:t>
            </w:r>
          </w:p>
        </w:tc>
        <w:tc>
          <w:tcPr>
            <w:tcW w:w="7820" w:type="dxa"/>
            <w:vAlign w:val="bottom"/>
          </w:tcPr>
          <w:p>
            <w:pPr>
              <w:ind w:left="6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900" w:type="dxa"/>
            <w:vAlign w:val="bottom"/>
            <w:tcBorders>
              <w:right w:val="single" w:sz="8" w:color="auto"/>
            </w:tcBorders>
          </w:tcPr>
          <w:p>
            <w:pPr>
              <w:spacing w:after="0"/>
              <w:rPr>
                <w:sz w:val="18"/>
                <w:szCs w:val="18"/>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OWNED BY</w:t>
            </w:r>
          </w:p>
        </w:tc>
        <w:tc>
          <w:tcPr>
            <w:tcW w:w="900" w:type="dxa"/>
            <w:vAlign w:val="bottom"/>
            <w:tcBorders>
              <w:bottom w:val="single" w:sz="8" w:color="auto"/>
              <w:right w:val="single" w:sz="8" w:color="auto"/>
            </w:tcBorders>
          </w:tcPr>
          <w:p>
            <w:pPr>
              <w:spacing w:after="0"/>
              <w:rPr>
                <w:sz w:val="20"/>
                <w:szCs w:val="20"/>
                <w:color w:val="auto"/>
              </w:rPr>
            </w:pPr>
          </w:p>
        </w:tc>
        <w:tc>
          <w:tcPr>
            <w:tcW w:w="7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6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900" w:type="dxa"/>
            <w:vAlign w:val="bottom"/>
            <w:tcBorders>
              <w:right w:val="single" w:sz="8" w:color="auto"/>
            </w:tcBorders>
          </w:tcPr>
          <w:p>
            <w:pPr>
              <w:jc w:val="right"/>
              <w:ind w:right="330"/>
              <w:spacing w:after="0" w:line="178" w:lineRule="exact"/>
              <w:rPr>
                <w:sz w:val="20"/>
                <w:szCs w:val="20"/>
                <w:color w:val="auto"/>
              </w:rPr>
            </w:pPr>
            <w:r>
              <w:rPr>
                <w:rFonts w:ascii="Arial" w:cs="Arial" w:eastAsia="Arial" w:hAnsi="Arial"/>
                <w:sz w:val="18"/>
                <w:szCs w:val="18"/>
                <w:b w:val="1"/>
                <w:bCs w:val="1"/>
                <w:color w:val="auto"/>
              </w:rPr>
              <w:t>7</w:t>
            </w:r>
          </w:p>
        </w:tc>
        <w:tc>
          <w:tcPr>
            <w:tcW w:w="7820" w:type="dxa"/>
            <w:vAlign w:val="bottom"/>
          </w:tcPr>
          <w:p>
            <w:pPr>
              <w:ind w:left="6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900" w:type="dxa"/>
            <w:vAlign w:val="bottom"/>
            <w:tcBorders>
              <w:right w:val="single" w:sz="8" w:color="auto"/>
            </w:tcBorders>
          </w:tcPr>
          <w:p>
            <w:pPr>
              <w:spacing w:after="0"/>
              <w:rPr>
                <w:sz w:val="18"/>
                <w:szCs w:val="18"/>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9,966,216</w:t>
            </w:r>
          </w:p>
        </w:tc>
        <w:tc>
          <w:tcPr>
            <w:tcW w:w="0" w:type="dxa"/>
            <w:vAlign w:val="bottom"/>
          </w:tcPr>
          <w:p>
            <w:pPr>
              <w:spacing w:after="0"/>
              <w:rPr>
                <w:sz w:val="1"/>
                <w:szCs w:val="1"/>
                <w:color w:val="auto"/>
              </w:rPr>
            </w:pPr>
          </w:p>
        </w:tc>
      </w:tr>
      <w:tr>
        <w:trPr>
          <w:trHeight w:val="216"/>
        </w:trPr>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900" w:type="dxa"/>
            <w:vAlign w:val="bottom"/>
            <w:tcBorders>
              <w:right w:val="single" w:sz="8" w:color="auto"/>
            </w:tcBorders>
          </w:tcPr>
          <w:p>
            <w:pPr>
              <w:spacing w:after="0"/>
              <w:rPr>
                <w:sz w:val="18"/>
                <w:szCs w:val="18"/>
                <w:color w:val="auto"/>
              </w:rPr>
            </w:pPr>
          </w:p>
        </w:tc>
        <w:tc>
          <w:tcPr>
            <w:tcW w:w="7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900" w:type="dxa"/>
            <w:vAlign w:val="bottom"/>
            <w:tcBorders>
              <w:bottom w:val="single" w:sz="8" w:color="auto"/>
              <w:right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62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tcPr>
          <w:p>
            <w:pPr>
              <w:jc w:val="right"/>
              <w:ind w:right="330"/>
              <w:spacing w:after="0" w:line="195" w:lineRule="exact"/>
              <w:rPr>
                <w:sz w:val="20"/>
                <w:szCs w:val="20"/>
                <w:color w:val="auto"/>
              </w:rPr>
            </w:pPr>
            <w:r>
              <w:rPr>
                <w:rFonts w:ascii="Arial" w:cs="Arial" w:eastAsia="Arial" w:hAnsi="Arial"/>
                <w:sz w:val="18"/>
                <w:szCs w:val="18"/>
                <w:b w:val="1"/>
                <w:bCs w:val="1"/>
                <w:color w:val="auto"/>
              </w:rPr>
              <w:t>8</w:t>
            </w:r>
          </w:p>
        </w:tc>
        <w:tc>
          <w:tcPr>
            <w:tcW w:w="78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0"/>
        </w:trPr>
        <w:tc>
          <w:tcPr>
            <w:tcW w:w="262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8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7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1380" w:hanging="748"/>
        <w:spacing w:after="0"/>
        <w:tabs>
          <w:tab w:leader="none" w:pos="1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9,966,216*</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10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w:t>
            </w:r>
          </w:p>
        </w:tc>
        <w:tc>
          <w:tcPr>
            <w:tcW w:w="7840" w:type="dxa"/>
            <w:vAlign w:val="bottom"/>
            <w:tcBorders>
              <w:top w:val="single" w:sz="8" w:color="auto"/>
            </w:tcBorders>
          </w:tcPr>
          <w:p>
            <w:pPr>
              <w:ind w:left="30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2460" w:type="dxa"/>
            <w:vAlign w:val="bottom"/>
            <w:tcBorders>
              <w:top w:val="single" w:sz="8" w:color="auto"/>
            </w:tcBorders>
          </w:tcPr>
          <w:p>
            <w:pPr>
              <w:ind w:left="520"/>
              <w:spacing w:after="0" w:line="181" w:lineRule="exact"/>
              <w:rPr>
                <w:sz w:val="20"/>
                <w:szCs w:val="20"/>
                <w:color w:val="auto"/>
              </w:rPr>
            </w:pPr>
            <w:r>
              <w:rPr>
                <w:rFonts w:ascii="MS PGothic" w:cs="MS PGothic" w:eastAsia="MS PGothic" w:hAnsi="MS PGothic"/>
                <w:sz w:val="18"/>
                <w:szCs w:val="18"/>
                <w:color w:val="auto"/>
              </w:rPr>
              <w:t>☐</w:t>
            </w:r>
          </w:p>
        </w:tc>
      </w:tr>
    </w:tbl>
    <w:p>
      <w:pPr>
        <w:ind w:left="1380" w:hanging="788"/>
        <w:spacing w:after="0"/>
        <w:tabs>
          <w:tab w:leader="none" w:pos="1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7" w:lineRule="exact"/>
        <w:rPr>
          <w:rFonts w:ascii="Arial" w:cs="Arial" w:eastAsia="Arial" w:hAnsi="Arial"/>
          <w:sz w:val="18"/>
          <w:szCs w:val="18"/>
          <w:b w:val="1"/>
          <w:bCs w:val="1"/>
          <w:color w:val="auto"/>
        </w:rPr>
      </w:pPr>
    </w:p>
    <w:p>
      <w:pPr>
        <w:ind w:left="1380"/>
        <w:spacing w:after="0"/>
        <w:rPr>
          <w:rFonts w:ascii="Arial" w:cs="Arial" w:eastAsia="Arial" w:hAnsi="Arial"/>
          <w:sz w:val="18"/>
          <w:szCs w:val="18"/>
          <w:b w:val="1"/>
          <w:bCs w:val="1"/>
          <w:color w:val="auto"/>
        </w:rPr>
      </w:pPr>
      <w:r>
        <w:rPr>
          <w:rFonts w:ascii="Arial" w:cs="Arial" w:eastAsia="Arial" w:hAnsi="Arial"/>
          <w:sz w:val="18"/>
          <w:szCs w:val="18"/>
          <w:color w:val="auto"/>
        </w:rPr>
        <w:t>5.5%**</w:t>
      </w:r>
    </w:p>
    <w:p>
      <w:pPr>
        <w:spacing w:after="0" w:line="9" w:lineRule="exact"/>
        <w:rPr>
          <w:rFonts w:ascii="Arial" w:cs="Arial" w:eastAsia="Arial" w:hAnsi="Arial"/>
          <w:sz w:val="18"/>
          <w:szCs w:val="18"/>
          <w:b w:val="1"/>
          <w:bCs w:val="1"/>
          <w:color w:val="auto"/>
        </w:rPr>
      </w:pPr>
    </w:p>
    <w:p>
      <w:pPr>
        <w:ind w:left="1380" w:right="7360" w:hanging="794"/>
        <w:spacing w:after="0" w:line="258" w:lineRule="auto"/>
        <w:tabs>
          <w:tab w:leader="none" w:pos="1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ind w:left="1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Item 4 of this Schedule 13G</w:t>
      </w:r>
    </w:p>
    <w:p>
      <w:pPr>
        <w:spacing w:after="0" w:line="22" w:lineRule="exact"/>
        <w:rPr>
          <w:rFonts w:ascii="Arial" w:cs="Arial" w:eastAsia="Arial" w:hAnsi="Arial"/>
          <w:sz w:val="18"/>
          <w:szCs w:val="18"/>
          <w:b w:val="1"/>
          <w:bCs w:val="1"/>
          <w:color w:val="auto"/>
        </w:rPr>
      </w:pPr>
    </w:p>
    <w:p>
      <w:pPr>
        <w:ind w:left="1380" w:right="60" w:firstLine="6"/>
        <w:spacing w:after="0" w:line="261" w:lineRule="auto"/>
        <w:tabs>
          <w:tab w:leader="none" w:pos="1609"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Based on 182,006,009 Class A Shares issued and outstanding as of October 31, 2019, as reported on Issuer’s Quarterly Report on Form 10-Q filed on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1967865" cy="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7865" cy="158750"/>
                    </a:xfrm>
                    <a:prstGeom prst="rect">
                      <a:avLst/>
                    </a:prstGeom>
                    <a:noFill/>
                  </pic:spPr>
                </pic:pic>
              </a:graphicData>
            </a:graphic>
          </wp:anchor>
        </w:drawing>
        <w:drawing>
          <wp:anchor simplePos="0" relativeHeight="251657728" behindDoc="1" locked="0" layoutInCell="0" allowOverlap="1">
            <wp:simplePos x="0" y="0"/>
            <wp:positionH relativeFrom="page">
              <wp:posOffset>5832475</wp:posOffset>
            </wp:positionH>
            <wp:positionV relativeFrom="page">
              <wp:posOffset>241300</wp:posOffset>
            </wp:positionV>
            <wp:extent cx="1573530" cy="158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3530" cy="158750"/>
                    </a:xfrm>
                    <a:prstGeom prst="rect">
                      <a:avLst/>
                    </a:prstGeom>
                    <a:noFill/>
                  </pic:spPr>
                </pic:pic>
              </a:graphicData>
            </a:graphic>
          </wp:anchor>
        </w:drawing>
        <w:t xml:space="preserve">CUSIP No. 72651A207               </w:t>
      </w:r>
      <w:r>
        <w:rPr>
          <w:sz w:val="1"/>
          <w:szCs w:val="1"/>
          <w:color w:val="auto"/>
        </w:rPr>
        <w:drawing>
          <wp:inline distT="0" distB="0" distL="0" distR="0">
            <wp:extent cx="12700" cy="158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drawing>
          <wp:inline distT="0" distB="0" distL="0" distR="0">
            <wp:extent cx="12700" cy="158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r>
        <w:rPr>
          <w:rFonts w:ascii="Arial" w:cs="Arial" w:eastAsia="Arial" w:hAnsi="Arial"/>
          <w:sz w:val="18"/>
          <w:szCs w:val="18"/>
          <w:color w:val="auto"/>
        </w:rPr>
        <w:t xml:space="preserve">  Page 3 of 6 Pages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0" w:type="dxa"/>
            <w:vAlign w:val="bottom"/>
          </w:tcPr>
          <w:p>
            <w:pPr>
              <w:ind w:left="38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19"/>
                <w:szCs w:val="19"/>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Name of Issuer:</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Plains GP Holdings, L.P.</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Address of Issuer’s Principal Executive Offices:</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333 Clay Street, Suite 1600, Houston, Texas 77002</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40" w:type="dxa"/>
            <w:vAlign w:val="bottom"/>
          </w:tcPr>
          <w:p>
            <w:pPr>
              <w:ind w:left="38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Name of Person Filing:</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Chickasaw Capital Management, LLC</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Address of Principal Business Offices or, if none, Residence:</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6075 Poplar Ave., Suite 720, Memphis, TN 38119</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(c)</w:t>
            </w:r>
          </w:p>
        </w:tc>
        <w:tc>
          <w:tcPr>
            <w:tcW w:w="240" w:type="dxa"/>
            <w:vAlign w:val="bottom"/>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Citizenship:</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Delaware, United States</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(d)</w:t>
            </w:r>
          </w:p>
        </w:tc>
        <w:tc>
          <w:tcPr>
            <w:tcW w:w="240" w:type="dxa"/>
            <w:vAlign w:val="bottom"/>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Title of Class of Securities:</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Class A Shares</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(e)</w:t>
            </w:r>
          </w:p>
        </w:tc>
        <w:tc>
          <w:tcPr>
            <w:tcW w:w="240" w:type="dxa"/>
            <w:vAlign w:val="bottom"/>
          </w:tcPr>
          <w:p>
            <w:pPr>
              <w:spacing w:after="0"/>
              <w:rPr>
                <w:sz w:val="24"/>
                <w:szCs w:val="24"/>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CUSIP Number:</w:t>
            </w:r>
          </w:p>
        </w:tc>
      </w:tr>
      <w:tr>
        <w:trPr>
          <w:trHeight w:val="230"/>
        </w:trPr>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520" w:type="dxa"/>
            <w:vAlign w:val="bottom"/>
          </w:tcPr>
          <w:p>
            <w:pPr>
              <w:ind w:left="60"/>
              <w:spacing w:after="0"/>
              <w:rPr>
                <w:sz w:val="20"/>
                <w:szCs w:val="20"/>
                <w:color w:val="auto"/>
              </w:rPr>
            </w:pPr>
            <w:r>
              <w:rPr>
                <w:rFonts w:ascii="Arial" w:cs="Arial" w:eastAsia="Arial" w:hAnsi="Arial"/>
                <w:sz w:val="18"/>
                <w:szCs w:val="18"/>
                <w:color w:val="auto"/>
              </w:rPr>
              <w:t>72651A207</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500" w:type="dxa"/>
            <w:vAlign w:val="bottom"/>
            <w:gridSpan w:val="3"/>
          </w:tcPr>
          <w:p>
            <w:pPr>
              <w:ind w:left="380"/>
              <w:spacing w:after="0"/>
              <w:rPr>
                <w:sz w:val="20"/>
                <w:szCs w:val="20"/>
                <w:color w:val="auto"/>
              </w:rPr>
            </w:pPr>
            <w:r>
              <w:rPr>
                <w:rFonts w:ascii="Arial" w:cs="Arial" w:eastAsia="Arial" w:hAnsi="Arial"/>
                <w:sz w:val="18"/>
                <w:szCs w:val="18"/>
                <w:b w:val="1"/>
                <w:bCs w:val="1"/>
                <w:color w:val="auto"/>
              </w:rPr>
              <w:t>If this Statement is filed pursuant to §§ 240.13d-1(b) or 240.13d-2(b) or (c), check whether the person filing is a:</w:t>
            </w:r>
          </w:p>
        </w:tc>
      </w:tr>
      <w:tr>
        <w:trPr>
          <w:trHeight w:val="418"/>
        </w:trPr>
        <w:tc>
          <w:tcPr>
            <w:tcW w:w="920" w:type="dxa"/>
            <w:vAlign w:val="bottom"/>
          </w:tcPr>
          <w:p>
            <w:pPr>
              <w:spacing w:after="0"/>
              <w:rPr>
                <w:sz w:val="24"/>
                <w:szCs w:val="24"/>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(a)</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520" w:type="dxa"/>
            <w:vAlign w:val="bottom"/>
          </w:tcPr>
          <w:p>
            <w:pPr>
              <w:ind w:left="14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16"/>
        </w:trPr>
        <w:tc>
          <w:tcPr>
            <w:tcW w:w="9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(b)</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520" w:type="dxa"/>
            <w:vAlign w:val="bottom"/>
          </w:tcPr>
          <w:p>
            <w:pPr>
              <w:ind w:left="14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16"/>
        </w:trPr>
        <w:tc>
          <w:tcPr>
            <w:tcW w:w="9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(c)</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520" w:type="dxa"/>
            <w:vAlign w:val="bottom"/>
          </w:tcPr>
          <w:p>
            <w:pPr>
              <w:ind w:left="14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16"/>
        </w:trPr>
        <w:tc>
          <w:tcPr>
            <w:tcW w:w="9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(d)</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520" w:type="dxa"/>
            <w:vAlign w:val="bottom"/>
          </w:tcPr>
          <w:p>
            <w:pPr>
              <w:ind w:left="140"/>
              <w:spacing w:after="0"/>
              <w:rPr>
                <w:sz w:val="20"/>
                <w:szCs w:val="20"/>
                <w:color w:val="auto"/>
              </w:rPr>
            </w:pPr>
            <w:r>
              <w:rPr>
                <w:rFonts w:ascii="Arial" w:cs="Arial" w:eastAsia="Arial" w:hAnsi="Arial"/>
                <w:sz w:val="18"/>
                <w:szCs w:val="18"/>
                <w:color w:val="auto"/>
              </w:rPr>
              <w:t>]  Investment company registered under section 8 of the Investment Company Act of 1940 (15 U.S.C. 80a-8)</w:t>
            </w:r>
          </w:p>
        </w:tc>
      </w:tr>
      <w:tr>
        <w:trPr>
          <w:trHeight w:val="230"/>
        </w:trPr>
        <w:tc>
          <w:tcPr>
            <w:tcW w:w="920" w:type="dxa"/>
            <w:vAlign w:val="bottom"/>
          </w:tcPr>
          <w:p>
            <w:pPr>
              <w:spacing w:after="0"/>
              <w:rPr>
                <w:sz w:val="19"/>
                <w:szCs w:val="19"/>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(e)</w:t>
            </w:r>
          </w:p>
        </w:tc>
        <w:tc>
          <w:tcPr>
            <w:tcW w:w="9760" w:type="dxa"/>
            <w:vAlign w:val="bottom"/>
            <w:gridSpan w:val="2"/>
          </w:tcPr>
          <w:p>
            <w:pPr>
              <w:ind w:left="140"/>
              <w:spacing w:after="0"/>
              <w:rPr>
                <w:sz w:val="20"/>
                <w:szCs w:val="20"/>
                <w:color w:val="auto"/>
              </w:rPr>
            </w:pPr>
            <w:r>
              <w:rPr>
                <w:rFonts w:ascii="Arial" w:cs="Arial" w:eastAsia="Arial" w:hAnsi="Arial"/>
                <w:sz w:val="18"/>
                <w:szCs w:val="18"/>
                <w:color w:val="auto"/>
              </w:rPr>
              <w:t>[ x ]  An investment adviser in accordance with § 240.13d-1(b)(1)(ii)(E)</w:t>
            </w:r>
          </w:p>
        </w:tc>
      </w:tr>
      <w:tr>
        <w:trPr>
          <w:trHeight w:val="216"/>
        </w:trPr>
        <w:tc>
          <w:tcPr>
            <w:tcW w:w="920" w:type="dxa"/>
            <w:vAlign w:val="bottom"/>
          </w:tcPr>
          <w:p>
            <w:pPr>
              <w:spacing w:after="0"/>
              <w:rPr>
                <w:sz w:val="18"/>
                <w:szCs w:val="18"/>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(f)</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520" w:type="dxa"/>
            <w:vAlign w:val="bottom"/>
          </w:tcPr>
          <w:p>
            <w:pPr>
              <w:ind w:left="140"/>
              <w:spacing w:after="0"/>
              <w:rPr>
                <w:sz w:val="20"/>
                <w:szCs w:val="20"/>
                <w:color w:val="auto"/>
              </w:rPr>
            </w:pPr>
            <w:r>
              <w:rPr>
                <w:rFonts w:ascii="Arial" w:cs="Arial" w:eastAsia="Arial" w:hAnsi="Arial"/>
                <w:sz w:val="18"/>
                <w:szCs w:val="18"/>
                <w:color w:val="auto"/>
              </w:rPr>
              <w:t>]  An employee benefit plan or endowment fund in accordance with § 240.13d-1(b)(1)(ii)(F)</w:t>
            </w:r>
          </w:p>
        </w:tc>
      </w:tr>
      <w:tr>
        <w:trPr>
          <w:trHeight w:val="230"/>
        </w:trPr>
        <w:tc>
          <w:tcPr>
            <w:tcW w:w="920" w:type="dxa"/>
            <w:vAlign w:val="bottom"/>
          </w:tcPr>
          <w:p>
            <w:pPr>
              <w:spacing w:after="0"/>
              <w:rPr>
                <w:sz w:val="20"/>
                <w:szCs w:val="20"/>
                <w:color w:val="auto"/>
              </w:rPr>
            </w:pPr>
          </w:p>
        </w:tc>
        <w:tc>
          <w:tcPr>
            <w:tcW w:w="740" w:type="dxa"/>
            <w:vAlign w:val="bottom"/>
          </w:tcPr>
          <w:p>
            <w:pPr>
              <w:ind w:left="380"/>
              <w:spacing w:after="0"/>
              <w:rPr>
                <w:sz w:val="20"/>
                <w:szCs w:val="20"/>
                <w:color w:val="auto"/>
              </w:rPr>
            </w:pPr>
            <w:r>
              <w:rPr>
                <w:rFonts w:ascii="Arial" w:cs="Arial" w:eastAsia="Arial" w:hAnsi="Arial"/>
                <w:sz w:val="18"/>
                <w:szCs w:val="18"/>
                <w:color w:val="auto"/>
              </w:rPr>
              <w:t>(g)</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9520" w:type="dxa"/>
            <w:vAlign w:val="bottom"/>
          </w:tcPr>
          <w:p>
            <w:pPr>
              <w:ind w:left="140"/>
              <w:spacing w:after="0"/>
              <w:rPr>
                <w:sz w:val="20"/>
                <w:szCs w:val="20"/>
                <w:color w:val="auto"/>
              </w:rPr>
            </w:pPr>
            <w:r>
              <w:rPr>
                <w:rFonts w:ascii="Arial" w:cs="Arial" w:eastAsia="Arial" w:hAnsi="Arial"/>
                <w:sz w:val="18"/>
                <w:szCs w:val="18"/>
                <w:color w:val="auto"/>
              </w:rPr>
              <w:t>]  A parent holding company or control person in accordance with § 240.13d-1(b)(ii)(G)</w:t>
            </w:r>
          </w:p>
        </w:tc>
      </w:tr>
      <w:tr>
        <w:trPr>
          <w:trHeight w:val="469"/>
        </w:trPr>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20" w:type="dxa"/>
            <w:vAlign w:val="bottom"/>
          </w:tcPr>
          <w:p>
            <w:pPr>
              <w:ind w:left="3680"/>
              <w:spacing w:after="0"/>
              <w:rPr>
                <w:sz w:val="20"/>
                <w:szCs w:val="20"/>
                <w:color w:val="auto"/>
              </w:rPr>
            </w:pPr>
            <w:r>
              <w:rPr>
                <w:rFonts w:ascii="Arial" w:cs="Arial" w:eastAsia="Arial" w:hAnsi="Arial"/>
                <w:sz w:val="22"/>
                <w:szCs w:val="22"/>
                <w:color w:val="auto"/>
              </w:rPr>
              <w:t>-3-</w:t>
            </w:r>
          </w:p>
        </w:tc>
      </w:tr>
      <w:tr>
        <w:trPr>
          <w:trHeight w:val="105"/>
        </w:trPr>
        <w:tc>
          <w:tcPr>
            <w:tcW w:w="9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5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341" w:right="239" w:bottom="1440" w:gutter="0" w:footer="0" w:header="0"/>
          <w:type w:val="continuous"/>
        </w:sectPr>
      </w:pPr>
    </w:p>
    <w:bookmarkStart w:id="3" w:name="page4"/>
    <w:bookmarkEnd w:id="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196786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7865" cy="158750"/>
                    </a:xfrm>
                    <a:prstGeom prst="rect">
                      <a:avLst/>
                    </a:prstGeom>
                    <a:noFill/>
                  </pic:spPr>
                </pic:pic>
              </a:graphicData>
            </a:graphic>
          </wp:anchor>
        </w:drawing>
        <w:drawing>
          <wp:anchor simplePos="0" relativeHeight="251657728" behindDoc="1" locked="0" layoutInCell="0" allowOverlap="1">
            <wp:simplePos x="0" y="0"/>
            <wp:positionH relativeFrom="page">
              <wp:posOffset>5832475</wp:posOffset>
            </wp:positionH>
            <wp:positionV relativeFrom="page">
              <wp:posOffset>241300</wp:posOffset>
            </wp:positionV>
            <wp:extent cx="1573530" cy="158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3530" cy="158750"/>
                    </a:xfrm>
                    <a:prstGeom prst="rect">
                      <a:avLst/>
                    </a:prstGeom>
                    <a:noFill/>
                  </pic:spPr>
                </pic:pic>
              </a:graphicData>
            </a:graphic>
          </wp:anchor>
        </w:drawing>
        <w:t xml:space="preserve">CUSIP No. 72651A207               </w:t>
      </w:r>
      <w:r>
        <w:rPr>
          <w:sz w:val="1"/>
          <w:szCs w:val="1"/>
          <w:color w:val="auto"/>
        </w:rPr>
        <w:drawing>
          <wp:inline distT="0" distB="0" distL="0" distR="0">
            <wp:extent cx="12700" cy="158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drawing>
          <wp:inline distT="0" distB="0" distL="0" distR="0">
            <wp:extent cx="12700" cy="158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r>
        <w:rPr>
          <w:rFonts w:ascii="Arial" w:cs="Arial" w:eastAsia="Arial" w:hAnsi="Arial"/>
          <w:sz w:val="18"/>
          <w:szCs w:val="18"/>
          <w:color w:val="auto"/>
        </w:rPr>
        <w:t xml:space="preserve">  Page 4 of 6 Pages</w:t>
      </w:r>
    </w:p>
    <w:p>
      <w:pPr>
        <w:sectPr>
          <w:pgSz w:w="11900" w:h="16838" w:orient="portrait"/>
          <w:cols w:equalWidth="0" w:num="1">
            <w:col w:w="11420"/>
          </w:cols>
          <w:pgMar w:left="240" w:top="341" w:right="239" w:bottom="1440" w:gutter="0" w:footer="0" w:header="0"/>
        </w:sectPr>
      </w:pPr>
    </w:p>
    <w:p>
      <w:pPr>
        <w:spacing w:after="0" w:line="198" w:lineRule="exact"/>
        <w:rPr>
          <w:sz w:val="20"/>
          <w:szCs w:val="20"/>
          <w:color w:val="auto"/>
        </w:rPr>
      </w:pPr>
    </w:p>
    <w:p>
      <w:pPr>
        <w:ind w:left="1300"/>
        <w:spacing w:after="0"/>
        <w:tabs>
          <w:tab w:leader="none" w:pos="1780" w:val="left"/>
          <w:tab w:leader="none" w:pos="2020" w:val="left"/>
          <w:tab w:leader="none" w:pos="22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A savings association as defined in Section 3(b) of the Federal Deposit Insurance Act (12 U.S.C. 1813)</w:t>
      </w:r>
    </w:p>
    <w:p>
      <w:pPr>
        <w:spacing w:after="0" w:line="23" w:lineRule="exact"/>
        <w:rPr>
          <w:sz w:val="20"/>
          <w:szCs w:val="20"/>
          <w:color w:val="auto"/>
        </w:rPr>
      </w:pPr>
    </w:p>
    <w:p>
      <w:pPr>
        <w:ind w:left="1800" w:hanging="495"/>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Company Act of 1940 (15 U.S.C. 80a-3)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(j)</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40" w:type="dxa"/>
            <w:vAlign w:val="bottom"/>
            <w:gridSpan w:val="2"/>
          </w:tcPr>
          <w:p>
            <w:pPr>
              <w:spacing w:after="0"/>
              <w:rPr>
                <w:sz w:val="20"/>
                <w:szCs w:val="20"/>
                <w:color w:val="auto"/>
              </w:rPr>
            </w:pPr>
            <w:r>
              <w:rPr>
                <w:rFonts w:ascii="Arial" w:cs="Arial" w:eastAsia="Arial" w:hAnsi="Arial"/>
                <w:sz w:val="18"/>
                <w:szCs w:val="18"/>
                <w:color w:val="auto"/>
              </w:rPr>
              <w:t>A non-U.S. institution in accordance with § 240.13d-1(b)(1)(ii)(J)</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(k)</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40" w:type="dxa"/>
            <w:vAlign w:val="bottom"/>
            <w:gridSpan w:val="2"/>
          </w:tcPr>
          <w:p>
            <w:pPr>
              <w:spacing w:after="0"/>
              <w:rPr>
                <w:sz w:val="20"/>
                <w:szCs w:val="20"/>
                <w:color w:val="auto"/>
              </w:rPr>
            </w:pPr>
            <w:r>
              <w:rPr>
                <w:rFonts w:ascii="Arial" w:cs="Arial" w:eastAsia="Arial" w:hAnsi="Arial"/>
                <w:sz w:val="18"/>
                <w:szCs w:val="18"/>
                <w:color w:val="auto"/>
              </w:rPr>
              <w:t>Group, in accordance with § 240.13d-1(b)(1)(ii)(K)</w:t>
            </w:r>
          </w:p>
        </w:tc>
      </w:tr>
      <w:tr>
        <w:trPr>
          <w:trHeight w:val="432"/>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w w:val="92"/>
              </w:rPr>
              <w:t>If filing as a non-U.S. institution in accordance with § 240.13d-1(b)(1)(ii)(J), please specify the type of institution:</w:t>
            </w:r>
          </w:p>
        </w:tc>
      </w:tr>
      <w:tr>
        <w:trPr>
          <w:trHeight w:val="176"/>
        </w:trPr>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6705600</wp:posOffset>
            </wp:positionH>
            <wp:positionV relativeFrom="paragraph">
              <wp:posOffset>-145415</wp:posOffset>
            </wp:positionV>
            <wp:extent cx="514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information in items 1 and 5-11 on the cover pages of this Schedule 13G is hereby incorporated by reference.</w:t>
      </w:r>
    </w:p>
    <w:p>
      <w:pPr>
        <w:spacing w:after="0" w:line="225"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Chickasaw Capital Management, LLC is a registered investment adviser which furnishes investment advice to individual clients by exercising trading authority over securities held in accounts on behalf of such clients (collectively, the “portfolios”). In its role as an investment adviser to the portfolios, Chickasaw Capital Management, LLC has sole dispositive power over the portfolios and, as a result, may be deemed to be the beneficial owner of the securities of the Issuer held by such portfolios. However, Chickasaw Capital Management, LLC does not have the right to receive any dividends from, or the proceeds from the sale of, the securities held in such portfolios and disclaims any ownership associated with such rights. In addition, the filing of this Schedule 13G shall not be construed as an admission that Chickasaw Capital Management, LLC is the beneficial owner of any securities covered by this Schedule 13G for any other purposes than Section 13(d) of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Each advisory client of Chickasaw Capital Management, LLC who owns securities of the Issuer in their portfolio has the right to receive dividends from, or the proceeds from the sale of, such securities held in that client’s portfolio.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1967865" cy="158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7865" cy="158750"/>
                    </a:xfrm>
                    <a:prstGeom prst="rect">
                      <a:avLst/>
                    </a:prstGeom>
                    <a:noFill/>
                  </pic:spPr>
                </pic:pic>
              </a:graphicData>
            </a:graphic>
          </wp:anchor>
        </w:drawing>
        <w:drawing>
          <wp:anchor simplePos="0" relativeHeight="251657728" behindDoc="1" locked="0" layoutInCell="0" allowOverlap="1">
            <wp:simplePos x="0" y="0"/>
            <wp:positionH relativeFrom="page">
              <wp:posOffset>5832475</wp:posOffset>
            </wp:positionH>
            <wp:positionV relativeFrom="page">
              <wp:posOffset>241300</wp:posOffset>
            </wp:positionV>
            <wp:extent cx="1573530" cy="158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3530" cy="158750"/>
                    </a:xfrm>
                    <a:prstGeom prst="rect">
                      <a:avLst/>
                    </a:prstGeom>
                    <a:noFill/>
                  </pic:spPr>
                </pic:pic>
              </a:graphicData>
            </a:graphic>
          </wp:anchor>
        </w:drawing>
        <w:t xml:space="preserve">CUSIP No. 72651A207               </w:t>
      </w:r>
      <w:r>
        <w:rPr>
          <w:sz w:val="1"/>
          <w:szCs w:val="1"/>
          <w:color w:val="auto"/>
        </w:rPr>
        <w:drawing>
          <wp:inline distT="0" distB="0" distL="0" distR="0">
            <wp:extent cx="12700" cy="1587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drawing>
          <wp:inline distT="0" distB="0" distL="0" distR="0">
            <wp:extent cx="12700" cy="1587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r>
        <w:rPr>
          <w:rFonts w:ascii="Arial" w:cs="Arial" w:eastAsia="Arial" w:hAnsi="Arial"/>
          <w:sz w:val="18"/>
          <w:szCs w:val="18"/>
          <w:color w:val="auto"/>
        </w:rPr>
        <w:t xml:space="preserve">  Page 5 of 6 Pages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1967865"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7865" cy="158750"/>
                    </a:xfrm>
                    <a:prstGeom prst="rect">
                      <a:avLst/>
                    </a:prstGeom>
                    <a:noFill/>
                  </pic:spPr>
                </pic:pic>
              </a:graphicData>
            </a:graphic>
          </wp:anchor>
        </w:drawing>
        <w:drawing>
          <wp:anchor simplePos="0" relativeHeight="251657728" behindDoc="1" locked="0" layoutInCell="0" allowOverlap="1">
            <wp:simplePos x="0" y="0"/>
            <wp:positionH relativeFrom="page">
              <wp:posOffset>5832475</wp:posOffset>
            </wp:positionH>
            <wp:positionV relativeFrom="page">
              <wp:posOffset>241300</wp:posOffset>
            </wp:positionV>
            <wp:extent cx="1573530" cy="158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3530" cy="158750"/>
                    </a:xfrm>
                    <a:prstGeom prst="rect">
                      <a:avLst/>
                    </a:prstGeom>
                    <a:noFill/>
                  </pic:spPr>
                </pic:pic>
              </a:graphicData>
            </a:graphic>
          </wp:anchor>
        </w:drawing>
        <w:t xml:space="preserve">CUSIP No. 72651A207               </w:t>
      </w:r>
      <w:r>
        <w:rPr>
          <w:sz w:val="1"/>
          <w:szCs w:val="1"/>
          <w:color w:val="auto"/>
        </w:rPr>
        <w:drawing>
          <wp:inline distT="0" distB="0" distL="0" distR="0">
            <wp:extent cx="12700" cy="158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drawing>
          <wp:inline distT="0" distB="0" distL="0" distR="0">
            <wp:extent cx="12700" cy="1587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r>
        <w:rPr>
          <w:rFonts w:ascii="Arial" w:cs="Arial" w:eastAsia="Arial" w:hAnsi="Arial"/>
          <w:sz w:val="18"/>
          <w:szCs w:val="18"/>
          <w:color w:val="auto"/>
        </w:rPr>
        <w:t xml:space="preserve">  Page 6 of 6 Pages</w:t>
      </w:r>
    </w:p>
    <w:p>
      <w:pPr>
        <w:sectPr>
          <w:pgSz w:w="11900" w:h="16838" w:orient="portrait"/>
          <w:cols w:equalWidth="0" w:num="1">
            <w:col w:w="11060"/>
          </w:cols>
          <w:pgMar w:left="240" w:top="341" w:right="5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Chickasaw Capital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7, 2020</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E. Garrett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E. Garrett, General Counsel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sectPr>
      <w:pgSz w:w="11900" w:h="16838" w:orient="portrait"/>
      <w:cols w:equalWidth="0" w:num="1">
        <w:col w:w="11060"/>
      </w:cols>
      <w:pgMar w:left="240" w:top="341"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1"/>
    </w:lvl>
    <w:lvl w:ilvl="1">
      <w:lvlJc w:val="left"/>
      <w:lvlText w:val="**"/>
      <w:numFmt w:val="bullet"/>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2020-02-07T15:25:38Z</dcterms:created>
  <dcterms:modified xsi:type="dcterms:W3CDTF">2020-02-07T15:25:38Z</dcterms:modified>
</cp:coreProperties>
</file>