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LOS ANGELES 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7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720" w:type="dxa"/>
            <w:vAlign w:val="bottom"/>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3"/>
                  <w:szCs w:val="3"/>
                  <w:color w:val="000000"/>
                </w:rPr>
                <w:t>]</w:t>
              </w:r>
            </w:hyperlink>
          </w:p>
        </w:tc>
        <w:tc>
          <w:tcPr>
            <w:tcW w:w="18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2"/>
                <w:szCs w:val="2"/>
                <w:color w:val="auto"/>
              </w:rPr>
            </w:pP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2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3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5"/>
                <w:szCs w:val="5"/>
                <w:color w:val="auto"/>
              </w:rPr>
            </w:pP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gridSpan w:val="2"/>
            <w:vMerge w:val="restart"/>
          </w:tcPr>
          <w:p>
            <w:pPr>
              <w:ind w:left="780"/>
              <w:spacing w:after="0"/>
              <w:rPr>
                <w:sz w:val="20"/>
                <w:szCs w:val="20"/>
                <w:color w:val="auto"/>
              </w:rPr>
            </w:pPr>
            <w:r>
              <w:rPr>
                <w:rFonts w:ascii="Arial" w:cs="Arial" w:eastAsia="Arial" w:hAnsi="Arial"/>
                <w:sz w:val="17"/>
                <w:szCs w:val="17"/>
                <w:color w:val="0000FF"/>
                <w:w w:val="93"/>
              </w:rPr>
              <w:t>See remarks</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06/30/2017</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37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2"/>
        </w:trPr>
        <w:tc>
          <w:tcPr>
            <w:tcW w:w="3780" w:type="dxa"/>
            <w:vAlign w:val="bottom"/>
            <w:gridSpan w:val="2"/>
          </w:tcPr>
          <w:p>
            <w:pPr>
              <w:ind w:left="60"/>
              <w:spacing w:after="0"/>
              <w:rPr>
                <w:sz w:val="20"/>
                <w:szCs w:val="20"/>
                <w:color w:val="auto"/>
              </w:rPr>
            </w:pPr>
            <w:r>
              <w:rPr>
                <w:rFonts w:ascii="Arial" w:cs="Arial" w:eastAsia="Arial" w:hAnsi="Arial"/>
                <w:sz w:val="17"/>
                <w:szCs w:val="17"/>
                <w:color w:val="0000FF"/>
              </w:rPr>
              <w:t>07/05/2017</w:t>
            </w:r>
          </w:p>
        </w:tc>
        <w:tc>
          <w:tcPr>
            <w:tcW w:w="18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4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24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ectPr>
          <w:pgSz w:w="11900" w:h="16838"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2"/>
          </w:tcPr>
          <w:p>
            <w:pPr>
              <w:ind w:left="30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400"/>
              <w:spacing w:after="0" w:line="132"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00"/>
              <w:spacing w:after="0" w:line="132"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2"/>
          </w:tcPr>
          <w:p>
            <w:pPr>
              <w:ind w:left="4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122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260" w:type="dxa"/>
            <w:vAlign w:val="bottom"/>
          </w:tcPr>
          <w:p>
            <w:pPr>
              <w:spacing w:after="0"/>
              <w:rPr>
                <w:sz w:val="11"/>
                <w:szCs w:val="11"/>
                <w:color w:val="auto"/>
              </w:rPr>
            </w:pPr>
          </w:p>
        </w:tc>
        <w:tc>
          <w:tcPr>
            <w:tcW w:w="4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Units</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gridSpan w:val="2"/>
            <w:vMerge w:val="restart"/>
          </w:tcPr>
          <w:p>
            <w:pPr>
              <w:jc w:val="right"/>
              <w:ind w:right="158"/>
              <w:spacing w:after="0"/>
              <w:rPr>
                <w:sz w:val="20"/>
                <w:szCs w:val="20"/>
                <w:color w:val="auto"/>
              </w:rPr>
            </w:pPr>
            <w:r>
              <w:rPr>
                <w:rFonts w:ascii="Arial" w:cs="Arial" w:eastAsia="Arial" w:hAnsi="Arial"/>
                <w:sz w:val="17"/>
                <w:szCs w:val="17"/>
                <w:color w:val="0000FF"/>
              </w:rPr>
              <w:t>06/30/2017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780" w:type="dxa"/>
            <w:vAlign w:val="bottom"/>
            <w:vMerge w:val="restart"/>
          </w:tcPr>
          <w:p>
            <w:pPr>
              <w:ind w:left="220"/>
              <w:spacing w:after="0"/>
              <w:rPr>
                <w:sz w:val="20"/>
                <w:szCs w:val="20"/>
                <w:color w:val="auto"/>
              </w:rPr>
            </w:pPr>
            <w:r>
              <w:rPr>
                <w:rFonts w:ascii="Arial" w:cs="Arial" w:eastAsia="Arial" w:hAnsi="Arial"/>
                <w:sz w:val="17"/>
                <w:szCs w:val="17"/>
                <w:color w:val="0000FF"/>
              </w:rPr>
              <w:t>959</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40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959</w:t>
            </w:r>
          </w:p>
        </w:tc>
        <w:tc>
          <w:tcPr>
            <w:tcW w:w="960" w:type="dxa"/>
            <w:vAlign w:val="bottom"/>
            <w:vMerge w:val="restart"/>
          </w:tcPr>
          <w:p>
            <w:pPr>
              <w:ind w:left="680"/>
              <w:spacing w:after="0"/>
              <w:rPr>
                <w:sz w:val="20"/>
                <w:szCs w:val="20"/>
                <w:color w:val="auto"/>
              </w:rPr>
            </w:pPr>
            <w:r>
              <w:rPr>
                <w:rFonts w:ascii="Arial" w:cs="Arial" w:eastAsia="Arial" w:hAnsi="Arial"/>
                <w:sz w:val="17"/>
                <w:szCs w:val="17"/>
                <w:color w:val="0000FF"/>
              </w:rPr>
              <w:t>I</w:t>
            </w:r>
          </w:p>
        </w:tc>
        <w:tc>
          <w:tcPr>
            <w:tcW w:w="26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Units</w:t>
            </w:r>
          </w:p>
        </w:tc>
        <w:tc>
          <w:tcPr>
            <w:tcW w:w="7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gridSpan w:val="2"/>
            <w:vMerge w:val="restart"/>
          </w:tcPr>
          <w:p>
            <w:pPr>
              <w:jc w:val="right"/>
              <w:ind w:right="158"/>
              <w:spacing w:after="0"/>
              <w:rPr>
                <w:sz w:val="20"/>
                <w:szCs w:val="20"/>
                <w:color w:val="auto"/>
              </w:rPr>
            </w:pPr>
            <w:r>
              <w:rPr>
                <w:rFonts w:ascii="Arial" w:cs="Arial" w:eastAsia="Arial" w:hAnsi="Arial"/>
                <w:sz w:val="17"/>
                <w:szCs w:val="17"/>
                <w:color w:val="0000FF"/>
              </w:rPr>
              <w:t>06/30/2017</w:t>
            </w: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7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959</w:t>
            </w:r>
          </w:p>
        </w:tc>
        <w:tc>
          <w:tcPr>
            <w:tcW w:w="5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1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gridSpan w:val="2"/>
            <w:vMerge w:val="restart"/>
          </w:tcPr>
          <w:p>
            <w:pPr>
              <w:jc w:val="right"/>
              <w:ind w:right="240"/>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680"/>
              <w:spacing w:after="0"/>
              <w:rPr>
                <w:sz w:val="20"/>
                <w:szCs w:val="20"/>
                <w:color w:val="auto"/>
              </w:rPr>
            </w:pPr>
            <w:r>
              <w:rPr>
                <w:rFonts w:ascii="Arial" w:cs="Arial" w:eastAsia="Arial" w:hAnsi="Arial"/>
                <w:sz w:val="17"/>
                <w:szCs w:val="17"/>
                <w:color w:val="0000FF"/>
              </w:rPr>
              <w:t>I</w:t>
            </w:r>
          </w:p>
        </w:tc>
        <w:tc>
          <w:tcPr>
            <w:tcW w:w="2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4"/>
            <w:vMerge w:val="restart"/>
          </w:tcPr>
          <w:p>
            <w:pPr>
              <w:ind w:left="40"/>
              <w:spacing w:after="0" w:line="276" w:lineRule="exact"/>
              <w:rPr>
                <w:sz w:val="20"/>
                <w:szCs w:val="20"/>
                <w:color w:val="auto"/>
              </w:rPr>
            </w:pPr>
            <w:r>
              <w:rPr>
                <w:rFonts w:ascii="Arial" w:cs="Arial" w:eastAsia="Arial" w:hAnsi="Arial"/>
                <w:sz w:val="32"/>
                <w:szCs w:val="32"/>
                <w:color w:val="0000FF"/>
                <w:w w:val="93"/>
                <w:vertAlign w:val="subscript"/>
              </w:rPr>
              <w:t>footnotes</w:t>
            </w:r>
            <w:r>
              <w:rPr>
                <w:rFonts w:ascii="Arial" w:cs="Arial" w:eastAsia="Arial" w:hAnsi="Arial"/>
                <w:sz w:val="11"/>
                <w:szCs w:val="11"/>
                <w:color w:val="008000"/>
                <w:w w:val="93"/>
              </w:rPr>
              <w:t>(1)(2)(3)</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80" w:type="dxa"/>
            <w:vAlign w:val="bottom"/>
            <w:gridSpan w:val="17"/>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60" w:type="dxa"/>
            <w:vAlign w:val="bottom"/>
            <w:gridSpan w:val="16"/>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8"/>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9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Conversion  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or Exercise</w:t>
            </w:r>
          </w:p>
        </w:tc>
        <w:tc>
          <w:tcPr>
            <w:tcW w:w="120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20" w:type="dxa"/>
            <w:vAlign w:val="bottom"/>
            <w:gridSpan w:val="6"/>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3"/>
                <w:szCs w:val="13"/>
                <w:color w:val="0000FF"/>
                <w:w w:val="95"/>
              </w:rPr>
              <w:t>Shares/Class</w:t>
            </w:r>
          </w:p>
        </w:tc>
        <w:tc>
          <w:tcPr>
            <w:tcW w:w="7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0" w:type="dxa"/>
            <w:vAlign w:val="bottom"/>
            <w:gridSpan w:val="3"/>
            <w:vMerge w:val="restart"/>
          </w:tcPr>
          <w:p>
            <w:pPr>
              <w:ind w:left="340"/>
              <w:spacing w:after="0"/>
              <w:rPr>
                <w:sz w:val="20"/>
                <w:szCs w:val="20"/>
                <w:color w:val="auto"/>
              </w:rPr>
            </w:pPr>
            <w:r>
              <w:rPr>
                <w:rFonts w:ascii="Arial" w:cs="Arial" w:eastAsia="Arial" w:hAnsi="Arial"/>
                <w:sz w:val="13"/>
                <w:szCs w:val="13"/>
                <w:color w:val="0000FF"/>
              </w:rPr>
              <w:t>06/30/2017</w:t>
            </w:r>
          </w:p>
        </w:tc>
        <w:tc>
          <w:tcPr>
            <w:tcW w:w="1140" w:type="dxa"/>
            <w:vAlign w:val="bottom"/>
          </w:tcPr>
          <w:p>
            <w:pPr>
              <w:spacing w:after="0"/>
              <w:rPr>
                <w:sz w:val="11"/>
                <w:szCs w:val="11"/>
                <w:color w:val="auto"/>
              </w:rPr>
            </w:pPr>
          </w:p>
        </w:tc>
        <w:tc>
          <w:tcPr>
            <w:tcW w:w="380" w:type="dxa"/>
            <w:vAlign w:val="bottom"/>
            <w:vMerge w:val="restart"/>
          </w:tcPr>
          <w:p>
            <w:pPr>
              <w:jc w:val="right"/>
              <w:ind w:right="38"/>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460"/>
              <w:spacing w:after="0"/>
              <w:rPr>
                <w:sz w:val="20"/>
                <w:szCs w:val="20"/>
                <w:color w:val="auto"/>
              </w:rPr>
            </w:pPr>
            <w:r>
              <w:rPr>
                <w:rFonts w:ascii="Arial" w:cs="Arial" w:eastAsia="Arial" w:hAnsi="Arial"/>
                <w:sz w:val="13"/>
                <w:szCs w:val="13"/>
                <w:color w:val="0000FF"/>
              </w:rPr>
              <w:t>959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(1)(2)</w:t>
            </w:r>
          </w:p>
        </w:tc>
        <w:tc>
          <w:tcPr>
            <w:tcW w:w="68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Common</w:t>
            </w:r>
          </w:p>
        </w:tc>
        <w:tc>
          <w:tcPr>
            <w:tcW w:w="4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8"/>
              </w:rPr>
              <w:t>959</w:t>
            </w:r>
          </w:p>
        </w:tc>
        <w:tc>
          <w:tcPr>
            <w:tcW w:w="88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100"/>
              <w:spacing w:after="0"/>
              <w:rPr>
                <w:sz w:val="20"/>
                <w:szCs w:val="20"/>
                <w:color w:val="auto"/>
              </w:rPr>
            </w:pPr>
            <w:r>
              <w:rPr>
                <w:rFonts w:ascii="Arial" w:cs="Arial" w:eastAsia="Arial" w:hAnsi="Arial"/>
                <w:sz w:val="13"/>
                <w:szCs w:val="13"/>
                <w:color w:val="0000FF"/>
              </w:rPr>
              <w:t>22,261,457</w:t>
            </w:r>
            <w:r>
              <w:rPr>
                <w:rFonts w:ascii="Arial" w:cs="Arial" w:eastAsia="Arial" w:hAnsi="Arial"/>
                <w:sz w:val="22"/>
                <w:szCs w:val="22"/>
                <w:color w:val="008000"/>
                <w:vertAlign w:val="superscript"/>
              </w:rPr>
              <w:t>(4)</w:t>
            </w:r>
          </w:p>
        </w:tc>
        <w:tc>
          <w:tcPr>
            <w:tcW w:w="26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I</w:t>
            </w: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Units</w:t>
            </w: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gridSpan w:val="3"/>
          </w:tcPr>
          <w:p>
            <w:pPr>
              <w:ind w:left="80"/>
              <w:spacing w:after="0" w:line="163"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6"/>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6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60"/>
              <w:spacing w:after="0"/>
              <w:rPr>
                <w:sz w:val="20"/>
                <w:szCs w:val="20"/>
                <w:color w:val="auto"/>
              </w:rPr>
            </w:pPr>
            <w:r>
              <w:rPr>
                <w:rFonts w:ascii="Arial" w:cs="Arial" w:eastAsia="Arial" w:hAnsi="Arial"/>
                <w:sz w:val="17"/>
                <w:szCs w:val="17"/>
                <w:color w:val="0000FF"/>
              </w:rPr>
              <w:t>90067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6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3"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6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60"/>
              <w:spacing w:after="0"/>
              <w:rPr>
                <w:sz w:val="20"/>
                <w:szCs w:val="20"/>
                <w:color w:val="auto"/>
              </w:rPr>
            </w:pPr>
            <w:r>
              <w:rPr>
                <w:rFonts w:ascii="Arial" w:cs="Arial" w:eastAsia="Arial" w:hAnsi="Arial"/>
                <w:sz w:val="17"/>
                <w:szCs w:val="17"/>
                <w:color w:val="0000FF"/>
              </w:rPr>
              <w:t>77002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6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-5690235</wp:posOffset>
            </wp:positionV>
            <wp:extent cx="24765" cy="2293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293620"/>
                    </a:xfrm>
                    <a:prstGeom prst="rect">
                      <a:avLst/>
                    </a:prstGeom>
                    <a:noFill/>
                  </pic:spPr>
                </pic:pic>
              </a:graphicData>
            </a:graphic>
          </wp:anchor>
        </w:drawing>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KAFU Holdings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24175" cy="1632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163258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40"/>
              <w:spacing w:after="0"/>
              <w:rPr>
                <w:sz w:val="20"/>
                <w:szCs w:val="20"/>
                <w:color w:val="auto"/>
              </w:rPr>
            </w:pPr>
            <w:r>
              <w:rPr>
                <w:rFonts w:ascii="Arial" w:cs="Arial" w:eastAsia="Arial" w:hAnsi="Arial"/>
                <w:sz w:val="17"/>
                <w:szCs w:val="17"/>
                <w:color w:val="0000FF"/>
              </w:rPr>
              <w:t>CA</w:t>
            </w:r>
          </w:p>
        </w:tc>
        <w:tc>
          <w:tcPr>
            <w:tcW w:w="1720" w:type="dxa"/>
            <w:vAlign w:val="bottom"/>
          </w:tcPr>
          <w:p>
            <w:pPr>
              <w:ind w:left="300"/>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60" w:firstLine="8"/>
        <w:spacing w:after="0" w:line="271" w:lineRule="auto"/>
        <w:tabs>
          <w:tab w:leader="none" w:pos="13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Prior to November 15, 2017, the Reporting Persons may not exercise their Redemption Right if such exercise would result in the redemption (together with any redemptions by the Reporting Persons) of more than 78% of the Class A Units held by the Reporting Persons on November 15, 2016. The Redemption Right does not expire. On June 30, 2017, KAFU Holdings (QP), L.P. exercised the Redemption Right with respect to 959 Class A Units.</w:t>
      </w:r>
    </w:p>
    <w:p>
      <w:pPr>
        <w:spacing w:after="0" w:line="13" w:lineRule="exact"/>
        <w:rPr>
          <w:rFonts w:ascii="Arial" w:cs="Arial" w:eastAsia="Arial" w:hAnsi="Arial"/>
          <w:sz w:val="12"/>
          <w:szCs w:val="12"/>
          <w:color w:val="008000"/>
        </w:rPr>
      </w:pPr>
    </w:p>
    <w:p>
      <w:pPr>
        <w:ind w:right="20" w:firstLine="8"/>
        <w:spacing w:after="0" w:line="272"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51" w:lineRule="exact"/>
        <w:rPr>
          <w:rFonts w:ascii="Arial" w:cs="Arial" w:eastAsia="Arial" w:hAnsi="Arial"/>
          <w:sz w:val="13"/>
          <w:szCs w:val="13"/>
          <w:color w:val="008000"/>
        </w:rPr>
      </w:pPr>
    </w:p>
    <w:p>
      <w:pPr>
        <w:ind w:firstLine="8"/>
        <w:spacing w:after="0" w:line="254"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Holdings (QP), L.P. exercised the exchange right provided for in the limited partnership agreement of AAP pursuant to which 374,790 Class A Units, Class B Shares and GP Units were exchanged for a like number of PAGP Class A Shares. The number of derivative securities owned reflects both the redemption transaction reported herein and the simultaneous exchange transaction.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David Shladovsky</w:t>
            </w:r>
          </w:p>
        </w:tc>
        <w:tc>
          <w:tcPr>
            <w:tcW w:w="10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07/05/2017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2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2020-01-16T03:37:24Z</dcterms:created>
  <dcterms:modified xsi:type="dcterms:W3CDTF">2020-01-16T03:37:24Z</dcterms:modified>
</cp:coreProperties>
</file>