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00" w:firstLine="8"/>
        <w:spacing w:after="0" w:line="496" w:lineRule="auto"/>
        <w:tabs>
          <w:tab w:leader="none" w:pos="57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ind w:left="1420"/>
              <w:spacing w:after="0"/>
              <w:rPr>
                <w:sz w:val="20"/>
                <w:szCs w:val="20"/>
                <w:color w:val="auto"/>
              </w:rPr>
            </w:pPr>
            <w:r>
              <w:rPr>
                <w:rFonts w:ascii="Arial" w:cs="Arial" w:eastAsia="Arial" w:hAnsi="Arial"/>
                <w:sz w:val="14"/>
                <w:szCs w:val="14"/>
                <w:b w:val="1"/>
                <w:bCs w:val="1"/>
                <w:color w:val="auto"/>
              </w:rPr>
              <w:t>Title of each class</w:t>
            </w:r>
          </w:p>
        </w:tc>
        <w:tc>
          <w:tcPr>
            <w:tcW w:w="3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92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Class A Shares</w:t>
            </w:r>
          </w:p>
        </w:tc>
        <w:tc>
          <w:tcPr>
            <w:tcW w:w="28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8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The 2019 annual meeting of Class A, Class B and Class C shareholders (collectively, the “Shareholders”) of Plains GP Holdings, L.P. (“PAGP” or the “Partnership”) was held on May 15, 2019. At the annual meeting, the Shareholders considered and voted on the following matters: (i) the election of two Class II directors to serve on the board of directors of PAA GP Holdings LLC until the 2022 annual meeting; (ii) the ratification of the appointment of PricewaterhouseCoopers LLP as PAGP’s and Plains All American Pipeline, L.P.’s independent registered public accounting firm for the fiscal year ending December 31, 2019; and (iii) the approval, on a non-binding advisory basis, of our named executive officer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voting results for each matter presented at the PAGP annual meeting were as follows:</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 directors to serve on the board of directors of PAA GP Holdings LLC until the 2022 annual meeting.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880" w:type="dxa"/>
            <w:vAlign w:val="bottom"/>
            <w:gridSpan w:val="2"/>
          </w:tcPr>
          <w:p>
            <w:pPr>
              <w:ind w:left="920"/>
              <w:spacing w:after="0"/>
              <w:rPr>
                <w:sz w:val="20"/>
                <w:szCs w:val="20"/>
                <w:color w:val="auto"/>
              </w:rPr>
            </w:pPr>
            <w:r>
              <w:rPr>
                <w:rFonts w:ascii="Arial" w:cs="Arial" w:eastAsia="Arial" w:hAnsi="Arial"/>
                <w:sz w:val="14"/>
                <w:szCs w:val="14"/>
                <w:b w:val="1"/>
                <w:bCs w:val="1"/>
                <w:color w:val="auto"/>
              </w:rPr>
              <w:t>Nominees</w:t>
            </w:r>
          </w:p>
        </w:tc>
        <w:tc>
          <w:tcPr>
            <w:tcW w:w="2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Withheld</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Victor Burk</w:t>
            </w:r>
          </w:p>
        </w:tc>
        <w:tc>
          <w:tcPr>
            <w:tcW w:w="3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474,793,482</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109,036,247</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122,520,858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Gary R. Petersen</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443,126,144</w:t>
            </w:r>
          </w:p>
        </w:tc>
        <w:tc>
          <w:tcPr>
            <w:tcW w:w="28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140,703,585</w:t>
            </w:r>
          </w:p>
        </w:tc>
        <w:tc>
          <w:tcPr>
            <w:tcW w:w="2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122,520,858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980" w:right="1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Plains All American Pipeline, L.P.’s independent registered public accounting firm for the fiscal year ending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Against</w:t>
            </w:r>
          </w:p>
        </w:tc>
        <w:tc>
          <w:tcPr>
            <w:tcW w:w="284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Abstained</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7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679,069,548</w:t>
            </w:r>
          </w:p>
        </w:tc>
        <w:tc>
          <w:tcPr>
            <w:tcW w:w="3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26,580,175</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700,864</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280" w:type="dxa"/>
            <w:vAlign w:val="bottom"/>
          </w:tcPr>
          <w:p>
            <w:pPr>
              <w:spacing w:after="0"/>
              <w:rPr>
                <w:sz w:val="14"/>
                <w:szCs w:val="14"/>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Abstained</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Broker Non-Votes</w:t>
            </w:r>
          </w:p>
        </w:tc>
        <w:tc>
          <w:tcPr>
            <w:tcW w:w="40" w:type="dxa"/>
            <w:vAlign w:val="bottom"/>
          </w:tcPr>
          <w:p>
            <w:pPr>
              <w:spacing w:after="0"/>
              <w:rPr>
                <w:sz w:val="14"/>
                <w:szCs w:val="14"/>
                <w:color w:val="auto"/>
              </w:rPr>
            </w:pPr>
          </w:p>
        </w:tc>
      </w:tr>
      <w:tr>
        <w:trPr>
          <w:trHeight w:val="210"/>
        </w:trPr>
        <w:tc>
          <w:tcPr>
            <w:tcW w:w="27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418,802,666</w:t>
            </w:r>
          </w:p>
        </w:tc>
        <w:tc>
          <w:tcPr>
            <w:tcW w:w="3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162,746,960</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2,280,102</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122,520,859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7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PAA GP HOLDINGS,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16, 2019</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2019-12-02T18:24:45Z</dcterms:created>
  <dcterms:modified xsi:type="dcterms:W3CDTF">2019-12-02T18:24:45Z</dcterms:modified>
</cp:coreProperties>
</file>