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421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Herbold Chris</w:t>
              </w:r>
            </w:hyperlink>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2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12"/>
                <w:szCs w:val="1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3"/>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60"/>
              <w:spacing w:after="0"/>
              <w:rPr>
                <w:sz w:val="20"/>
                <w:szCs w:val="20"/>
                <w:color w:val="auto"/>
              </w:rPr>
            </w:pPr>
            <w:r>
              <w:rPr>
                <w:rFonts w:ascii="Arial" w:cs="Arial" w:eastAsia="Arial" w:hAnsi="Arial"/>
                <w:sz w:val="18"/>
                <w:szCs w:val="18"/>
                <w:color w:val="0000FF"/>
              </w:rPr>
              <w:t>Sr. VP and Chief Acctg Officer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w w:val="93"/>
              </w:rPr>
              <w:t>333 CLAY STREET, SUITE 1600</w:t>
            </w:r>
          </w:p>
        </w:tc>
        <w:tc>
          <w:tcPr>
            <w:tcW w:w="1200" w:type="dxa"/>
            <w:vAlign w:val="bottom"/>
          </w:tcPr>
          <w:p>
            <w:pPr>
              <w:spacing w:after="0"/>
              <w:rPr>
                <w:sz w:val="9"/>
                <w:szCs w:val="9"/>
                <w:color w:val="auto"/>
              </w:rPr>
            </w:pPr>
          </w:p>
        </w:tc>
        <w:tc>
          <w:tcPr>
            <w:tcW w:w="1320" w:type="dxa"/>
            <w:vAlign w:val="bottom"/>
            <w:gridSpan w:val="5"/>
            <w:vMerge w:val="restart"/>
          </w:tcPr>
          <w:p>
            <w:pPr>
              <w:ind w:left="240"/>
              <w:spacing w:after="0"/>
              <w:rPr>
                <w:sz w:val="20"/>
                <w:szCs w:val="20"/>
                <w:color w:val="auto"/>
              </w:rPr>
            </w:pPr>
            <w:r>
              <w:rPr>
                <w:rFonts w:ascii="Arial" w:cs="Arial" w:eastAsia="Arial" w:hAnsi="Arial"/>
                <w:sz w:val="18"/>
                <w:szCs w:val="18"/>
                <w:color w:val="0000FF"/>
              </w:rPr>
              <w:t>08/16/2018</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gridSpan w:val="4"/>
          </w:tcPr>
          <w:p>
            <w:pPr>
              <w:spacing w:after="0"/>
              <w:rPr>
                <w:sz w:val="9"/>
                <w:szCs w:val="9"/>
                <w:color w:val="auto"/>
              </w:rPr>
            </w:pPr>
          </w:p>
        </w:tc>
        <w:tc>
          <w:tcPr>
            <w:tcW w:w="2080" w:type="dxa"/>
            <w:vAlign w:val="bottom"/>
            <w:tcBorders>
              <w:bottom w:val="single" w:sz="8" w:color="2C2C2C"/>
            </w:tcBorders>
            <w:gridSpan w:val="4"/>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140" w:type="dxa"/>
            <w:vAlign w:val="bottom"/>
            <w:tcBorders>
              <w:bottom w:val="single" w:sz="8" w:color="2C2C2C"/>
            </w:tcBorders>
            <w:gridSpan w:val="7"/>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tcPr>
          <w:p>
            <w:pPr>
              <w:spacing w:after="0"/>
              <w:rPr>
                <w:sz w:val="20"/>
                <w:szCs w:val="20"/>
                <w:color w:val="auto"/>
              </w:rPr>
            </w:pPr>
            <w:r>
              <w:rPr>
                <w:rFonts w:ascii="Arial" w:cs="Arial" w:eastAsia="Arial" w:hAnsi="Arial"/>
                <w:sz w:val="18"/>
                <w:szCs w:val="18"/>
                <w:color w:val="0000FF"/>
              </w:rPr>
              <w:t>TX</w:t>
            </w:r>
          </w:p>
        </w:tc>
        <w:tc>
          <w:tcPr>
            <w:tcW w:w="1200" w:type="dxa"/>
            <w:vAlign w:val="bottom"/>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gridSpan w:val="8"/>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1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jc w:val="right"/>
              <w:ind w:right="419"/>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160" w:type="dxa"/>
            <w:vAlign w:val="bottom"/>
            <w:tcBorders>
              <w:bottom w:val="single" w:sz="8" w:color="2C2C2C"/>
            </w:tcBorders>
            <w:gridSpan w:val="5"/>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20"/>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7"/>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6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08/16/2018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9,000</w:t>
            </w:r>
          </w:p>
        </w:tc>
        <w:tc>
          <w:tcPr>
            <w:tcW w:w="340" w:type="dxa"/>
            <w:vAlign w:val="bottom"/>
          </w:tcPr>
          <w:p>
            <w:pPr>
              <w:spacing w:after="0"/>
              <w:rPr>
                <w:sz w:val="16"/>
                <w:szCs w:val="16"/>
                <w:color w:val="auto"/>
              </w:rPr>
            </w:pPr>
          </w:p>
        </w:tc>
        <w:tc>
          <w:tcPr>
            <w:tcW w:w="780" w:type="dxa"/>
            <w:vAlign w:val="bottom"/>
            <w:gridSpan w:val="2"/>
            <w:vMerge w:val="restart"/>
          </w:tcPr>
          <w:p>
            <w:pPr>
              <w:jc w:val="right"/>
              <w:ind w:right="239"/>
              <w:spacing w:after="0"/>
              <w:rPr>
                <w:sz w:val="20"/>
                <w:szCs w:val="20"/>
                <w:color w:val="auto"/>
              </w:rPr>
            </w:pPr>
            <w:r>
              <w:rPr>
                <w:rFonts w:ascii="Arial" w:cs="Arial" w:eastAsia="Arial" w:hAnsi="Arial"/>
                <w:sz w:val="11"/>
                <w:szCs w:val="11"/>
                <w:color w:val="008000"/>
              </w:rPr>
              <w:t>(3)(4)</w:t>
            </w:r>
          </w:p>
        </w:tc>
        <w:tc>
          <w:tcPr>
            <w:tcW w:w="220" w:type="dxa"/>
            <w:vAlign w:val="bottom"/>
          </w:tcPr>
          <w:p>
            <w:pPr>
              <w:spacing w:after="0"/>
              <w:rPr>
                <w:sz w:val="16"/>
                <w:szCs w:val="16"/>
                <w:color w:val="auto"/>
              </w:rPr>
            </w:pPr>
          </w:p>
        </w:tc>
        <w:tc>
          <w:tcPr>
            <w:tcW w:w="520" w:type="dxa"/>
            <w:vAlign w:val="bottom"/>
            <w:vMerge w:val="restart"/>
          </w:tcPr>
          <w:p>
            <w:pPr>
              <w:spacing w:after="0"/>
              <w:rPr>
                <w:sz w:val="20"/>
                <w:szCs w:val="20"/>
                <w:color w:val="auto"/>
              </w:rPr>
            </w:pPr>
            <w:r>
              <w:rPr>
                <w:rFonts w:ascii="Arial" w:cs="Arial" w:eastAsia="Arial" w:hAnsi="Arial"/>
                <w:sz w:val="11"/>
                <w:szCs w:val="11"/>
                <w:color w:val="008000"/>
              </w:rPr>
              <w:t>(3)(4)</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4"/>
            <w:vMerge w:val="restart"/>
          </w:tcPr>
          <w:p>
            <w:pPr>
              <w:jc w:val="right"/>
              <w:ind w:right="28"/>
              <w:spacing w:after="0"/>
              <w:rPr>
                <w:sz w:val="20"/>
                <w:szCs w:val="20"/>
                <w:color w:val="auto"/>
              </w:rPr>
            </w:pPr>
            <w:r>
              <w:rPr>
                <w:rFonts w:ascii="Arial" w:cs="Arial" w:eastAsia="Arial" w:hAnsi="Arial"/>
                <w:sz w:val="18"/>
                <w:szCs w:val="18"/>
                <w:color w:val="0000FF"/>
                <w:w w:val="93"/>
              </w:rPr>
              <w:t>9,000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9,000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ind w:left="160"/>
              <w:spacing w:after="0" w:line="68" w:lineRule="exact"/>
              <w:rPr>
                <w:sz w:val="20"/>
                <w:szCs w:val="20"/>
                <w:color w:val="auto"/>
              </w:rPr>
            </w:pPr>
            <w:r>
              <w:rPr>
                <w:rFonts w:ascii="Arial" w:cs="Arial" w:eastAsia="Arial" w:hAnsi="Arial"/>
                <w:sz w:val="7"/>
                <w:szCs w:val="7"/>
                <w:color w:val="0000FF"/>
              </w:rPr>
              <w:t>Units</w:t>
            </w:r>
          </w:p>
        </w:tc>
        <w:tc>
          <w:tcPr>
            <w:tcW w:w="54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 of Phantom Units under Long-Term Incentive Plan (includes associated distribution equivalent rights payable in cash).</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One common unit is deliverable, upon vesting, for each phantom unit that vests.</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units will vest as follows: (i) one-third on the August 2019 distribution date, (ii) one-sixth on the August 2020 distribution date, (iii) one-sixth on the August 2021 distribution date, (iv) one-sixth on the date on which PAA generates distributable cash flow ("DCF") of at least $2.50 per common unit on a trailing four quarter basis; however, in the event such $2.50 DCF per common unit threshold is not met on or prior to the August 2022 distribution date, the applicable phantom units will vest on such distribution date provided that on or prior to such date, PAA shall have achieved a trailing four quarter DCF per common unit of at least $2.30, and</w:t>
      </w:r>
    </w:p>
    <w:p>
      <w:pPr>
        <w:spacing w:after="0" w:line="31"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(v) one-sixth on the date on which PAA generates DCF of at least $2.65 per common unit on a trailing four quarter basis; however, in the event such $2.65 DCF per common unit threshold is not met on or prior to the August 2022 distribution date, the applicable phantom units will vest on such distribution date provided that on or prior to such date, PAA shall have achieved a trailing four quarter DCF per common unit of at least $2.30. Any phantom units that have not vested as of the August 2022 distribution date will expire at that time.</w:t>
      </w:r>
    </w:p>
    <w:p>
      <w:pPr>
        <w:sectPr>
          <w:pgSz w:w="11900" w:h="16838" w:orient="portrait"/>
          <w:cols w:equalWidth="0" w:num="1">
            <w:col w:w="11520"/>
          </w:cols>
          <w:pgMar w:left="240" w:top="226" w:right="13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Ann F. Gullion,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 for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08/20/2018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2020-01-12T20:43:04Z</dcterms:created>
  <dcterms:modified xsi:type="dcterms:W3CDTF">2020-01-12T20:43:04Z</dcterms:modified>
</cp:coreProperties>
</file>