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08/14/2020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5"/>
            <w:vMerge w:val="restart"/>
          </w:tcPr>
          <w:p>
            <w:pPr>
              <w:ind w:left="60"/>
              <w:spacing w:after="0"/>
              <w:rPr>
                <w:sz w:val="20"/>
                <w:szCs w:val="20"/>
                <w:color w:val="auto"/>
              </w:rPr>
            </w:pPr>
            <w:r>
              <w:rPr>
                <w:rFonts w:ascii="Arial" w:cs="Arial" w:eastAsia="Arial" w:hAnsi="Arial"/>
                <w:sz w:val="17"/>
                <w:szCs w:val="17"/>
                <w:color w:val="0000FF"/>
                <w:w w:val="98"/>
              </w:rPr>
              <w:t>Common Units (Limited Partner Interests)</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08/14/2020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26,215</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540" w:type="dxa"/>
            <w:vAlign w:val="bottom"/>
            <w:gridSpan w:val="3"/>
            <w:vMerge w:val="restart"/>
          </w:tcPr>
          <w:p>
            <w:pPr>
              <w:jc w:val="right"/>
              <w:ind w:right="80"/>
              <w:spacing w:after="0" w:line="382"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245,828,323</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gridSpan w:val="5"/>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SUITE 1600</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14, 2020, a total of 26,215 PAGP Class A shares were issued in connection with the vesting of outstanding LTIP awards under PAGP's long-term incentive plan. An equal number of AAP Class A units was issued to PAGP and an equal number of PAA Common Units was issued to AAP.</w:t>
      </w:r>
    </w:p>
    <w:p>
      <w:pPr>
        <w:spacing w:after="0" w:line="15" w:lineRule="exact"/>
        <w:rPr>
          <w:rFonts w:ascii="Arial" w:cs="Arial" w:eastAsia="Arial" w:hAnsi="Arial"/>
          <w:sz w:val="12"/>
          <w:szCs w:val="12"/>
          <w:color w:val="008000"/>
        </w:rPr>
      </w:pPr>
    </w:p>
    <w:p>
      <w:pPr>
        <w:ind w:left="20" w:right="48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08/17/2020</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2020-08-17T18:16:41Z</dcterms:created>
  <dcterms:modified xsi:type="dcterms:W3CDTF">2020-08-17T18:16:41Z</dcterms:modified>
</cp:coreProperties>
</file>