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tc>
      </w:tr>
      <w:tr>
        <w:trPr>
          <w:trHeight w:val="234"/>
        </w:trPr>
        <w:tc>
          <w:tcPr>
            <w:tcW w:w="3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10, 2025</w:t>
            </w:r>
          </w:p>
        </w:tc>
      </w:tr>
      <w:tr>
        <w:trPr>
          <w:trHeight w:val="410"/>
        </w:trPr>
        <w:tc>
          <w:tcPr>
            <w:tcW w:w="3040" w:type="dxa"/>
            <w:vAlign w:val="bottom"/>
          </w:tcPr>
          <w:p>
            <w:pPr>
              <w:spacing w:after="0"/>
              <w:rPr>
                <w:sz w:val="24"/>
                <w:szCs w:val="24"/>
                <w:color w:val="auto"/>
              </w:rPr>
            </w:pPr>
          </w:p>
        </w:tc>
        <w:tc>
          <w:tcPr>
            <w:tcW w:w="3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Final Term Sheet</w:t>
            </w:r>
          </w:p>
        </w:tc>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820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$300,000,000 4.700% Senior Notes due 2031</w:t>
            </w:r>
          </w:p>
        </w:tc>
      </w:tr>
      <w:tr>
        <w:trPr>
          <w:trHeight w:val="238"/>
        </w:trPr>
        <w:tc>
          <w:tcPr>
            <w:tcW w:w="3040" w:type="dxa"/>
            <w:vAlign w:val="bottom"/>
          </w:tcPr>
          <w:p>
            <w:pPr>
              <w:spacing w:after="0"/>
              <w:rPr>
                <w:sz w:val="20"/>
                <w:szCs w:val="20"/>
                <w:color w:val="auto"/>
              </w:rPr>
            </w:pPr>
          </w:p>
        </w:tc>
        <w:tc>
          <w:tcPr>
            <w:tcW w:w="820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$450,000,000 5.600% Senior Notes due 2036</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39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$750,000,000</w:t>
            </w:r>
          </w:p>
        </w:tc>
        <w:tc>
          <w:tcPr>
            <w:tcW w:w="4260" w:type="dxa"/>
            <w:vAlign w:val="bottom"/>
          </w:tcPr>
          <w:p>
            <w:pPr>
              <w:spacing w:after="0"/>
              <w:rPr>
                <w:sz w:val="24"/>
                <w:szCs w:val="24"/>
                <w:color w:val="auto"/>
              </w:rPr>
            </w:pPr>
          </w:p>
        </w:tc>
      </w:tr>
      <w:tr>
        <w:trPr>
          <w:trHeight w:val="4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w w:val="99"/>
              </w:rPr>
              <w:t>$300,000,000 aggregate principal amount of 4.700% Senior Notes due 2031</w:t>
            </w:r>
          </w:p>
        </w:tc>
      </w:tr>
      <w:tr>
        <w:trPr>
          <w:trHeight w:val="198"/>
        </w:trPr>
        <w:tc>
          <w:tcPr>
            <w:tcW w:w="3040" w:type="dxa"/>
            <w:vAlign w:val="bottom"/>
          </w:tcPr>
          <w:p>
            <w:pPr>
              <w:spacing w:after="0"/>
              <w:rPr>
                <w:sz w:val="17"/>
                <w:szCs w:val="17"/>
                <w:color w:val="auto"/>
              </w:rPr>
            </w:pPr>
          </w:p>
        </w:tc>
        <w:tc>
          <w:tcPr>
            <w:tcW w:w="8200" w:type="dxa"/>
            <w:vAlign w:val="bottom"/>
            <w:gridSpan w:val="5"/>
          </w:tcPr>
          <w:p>
            <w:pPr>
              <w:ind w:left="270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w:t>
            </w:r>
          </w:p>
        </w:tc>
      </w:tr>
      <w:tr>
        <w:trPr>
          <w:trHeight w:val="20"/>
        </w:trPr>
        <w:tc>
          <w:tcPr>
            <w:tcW w:w="30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4"/>
        </w:trPr>
        <w:tc>
          <w:tcPr>
            <w:tcW w:w="3040" w:type="dxa"/>
            <w:vAlign w:val="bottom"/>
          </w:tcPr>
          <w:p>
            <w:pPr>
              <w:spacing w:after="0"/>
              <w:rPr>
                <w:sz w:val="18"/>
                <w:szCs w:val="18"/>
                <w:color w:val="auto"/>
              </w:rPr>
            </w:pP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w w:val="99"/>
              </w:rPr>
              <w:t>$450,000,000 aggregate principal amount of 5.600% Senior Notes due 2036</w:t>
            </w:r>
          </w:p>
        </w:tc>
      </w:tr>
      <w:tr>
        <w:trPr>
          <w:trHeight w:val="198"/>
        </w:trPr>
        <w:tc>
          <w:tcPr>
            <w:tcW w:w="3040" w:type="dxa"/>
            <w:vAlign w:val="bottom"/>
          </w:tcPr>
          <w:p>
            <w:pPr>
              <w:spacing w:after="0"/>
              <w:rPr>
                <w:sz w:val="17"/>
                <w:szCs w:val="17"/>
                <w:color w:val="auto"/>
              </w:rPr>
            </w:pPr>
          </w:p>
        </w:tc>
        <w:tc>
          <w:tcPr>
            <w:tcW w:w="8200" w:type="dxa"/>
            <w:vAlign w:val="bottom"/>
            <w:gridSpan w:val="5"/>
          </w:tcPr>
          <w:p>
            <w:pPr>
              <w:ind w:left="270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w:t>
            </w:r>
          </w:p>
        </w:tc>
      </w:tr>
      <w:tr>
        <w:trPr>
          <w:trHeight w:val="20"/>
        </w:trPr>
        <w:tc>
          <w:tcPr>
            <w:tcW w:w="30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344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Moody’s:</w:t>
            </w:r>
          </w:p>
        </w:tc>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Baa2 (stable outlook)</w:t>
            </w:r>
          </w:p>
        </w:tc>
      </w:tr>
      <w:tr>
        <w:trPr>
          <w:trHeight w:val="216"/>
        </w:trPr>
        <w:tc>
          <w:tcPr>
            <w:tcW w:w="3040" w:type="dxa"/>
            <w:vAlign w:val="bottom"/>
          </w:tcPr>
          <w:p>
            <w:pPr>
              <w:spacing w:after="0"/>
              <w:rPr>
                <w:sz w:val="18"/>
                <w:szCs w:val="18"/>
                <w:color w:val="auto"/>
              </w:rPr>
            </w:pPr>
          </w:p>
        </w:tc>
        <w:tc>
          <w:tcPr>
            <w:tcW w:w="29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Baa2 (stable outlook)</w:t>
            </w:r>
          </w:p>
        </w:tc>
      </w:tr>
      <w:tr>
        <w:trPr>
          <w:trHeight w:val="216"/>
        </w:trPr>
        <w:tc>
          <w:tcPr>
            <w:tcW w:w="3040" w:type="dxa"/>
            <w:vAlign w:val="bottom"/>
          </w:tcPr>
          <w:p>
            <w:pPr>
              <w:spacing w:after="0"/>
              <w:rPr>
                <w:sz w:val="18"/>
                <w:szCs w:val="18"/>
                <w:color w:val="auto"/>
              </w:rPr>
            </w:pPr>
          </w:p>
        </w:tc>
        <w:tc>
          <w:tcPr>
            <w:tcW w:w="344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S&amp;P:</w:t>
            </w:r>
          </w:p>
        </w:tc>
        <w:tc>
          <w:tcPr>
            <w:tcW w:w="50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9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216"/>
        </w:trPr>
        <w:tc>
          <w:tcPr>
            <w:tcW w:w="3040" w:type="dxa"/>
            <w:vAlign w:val="bottom"/>
          </w:tcPr>
          <w:p>
            <w:pPr>
              <w:spacing w:after="0"/>
              <w:rPr>
                <w:sz w:val="18"/>
                <w:szCs w:val="18"/>
                <w:color w:val="auto"/>
              </w:rPr>
            </w:pPr>
          </w:p>
        </w:tc>
        <w:tc>
          <w:tcPr>
            <w:tcW w:w="29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216"/>
        </w:trPr>
        <w:tc>
          <w:tcPr>
            <w:tcW w:w="3040" w:type="dxa"/>
            <w:vAlign w:val="bottom"/>
          </w:tcPr>
          <w:p>
            <w:pPr>
              <w:spacing w:after="0"/>
              <w:rPr>
                <w:sz w:val="18"/>
                <w:szCs w:val="18"/>
                <w:color w:val="auto"/>
              </w:rPr>
            </w:pPr>
          </w:p>
        </w:tc>
        <w:tc>
          <w:tcPr>
            <w:tcW w:w="344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Fitch:</w:t>
            </w:r>
          </w:p>
        </w:tc>
        <w:tc>
          <w:tcPr>
            <w:tcW w:w="50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9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234"/>
        </w:trPr>
        <w:tc>
          <w:tcPr>
            <w:tcW w:w="3040" w:type="dxa"/>
            <w:vAlign w:val="bottom"/>
          </w:tcPr>
          <w:p>
            <w:pPr>
              <w:spacing w:after="0"/>
              <w:rPr>
                <w:sz w:val="20"/>
                <w:szCs w:val="20"/>
                <w:color w:val="auto"/>
              </w:rPr>
            </w:pPr>
          </w:p>
        </w:tc>
        <w:tc>
          <w:tcPr>
            <w:tcW w:w="29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November 10, 2025</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(T+3):</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November 14, 2025</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2031 Notes: January 15, 2031</w:t>
            </w:r>
          </w:p>
        </w:tc>
      </w:tr>
      <w:tr>
        <w:trPr>
          <w:trHeight w:val="234"/>
        </w:trPr>
        <w:tc>
          <w:tcPr>
            <w:tcW w:w="3040" w:type="dxa"/>
            <w:vAlign w:val="bottom"/>
          </w:tcPr>
          <w:p>
            <w:pPr>
              <w:spacing w:after="0"/>
              <w:rPr>
                <w:sz w:val="20"/>
                <w:szCs w:val="20"/>
                <w:color w:val="auto"/>
              </w:rPr>
            </w:pP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2036 Notes: January 15, 2036</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2031 Notes: UST 3.625% due October 31, 2030</w:t>
            </w:r>
          </w:p>
        </w:tc>
      </w:tr>
      <w:tr>
        <w:trPr>
          <w:trHeight w:val="234"/>
        </w:trPr>
        <w:tc>
          <w:tcPr>
            <w:tcW w:w="3040" w:type="dxa"/>
            <w:vAlign w:val="bottom"/>
          </w:tcPr>
          <w:p>
            <w:pPr>
              <w:spacing w:after="0"/>
              <w:rPr>
                <w:sz w:val="20"/>
                <w:szCs w:val="20"/>
                <w:color w:val="auto"/>
              </w:rPr>
            </w:pPr>
          </w:p>
        </w:tc>
        <w:tc>
          <w:tcPr>
            <w:tcW w:w="8200" w:type="dxa"/>
            <w:vAlign w:val="bottom"/>
            <w:gridSpan w:val="5"/>
          </w:tcPr>
          <w:p>
            <w:pPr>
              <w:ind w:left="2700"/>
              <w:spacing w:after="0"/>
              <w:rPr>
                <w:sz w:val="20"/>
                <w:szCs w:val="20"/>
                <w:color w:val="auto"/>
              </w:rPr>
            </w:pPr>
            <w:r>
              <w:rPr>
                <w:rFonts w:ascii="Times New Roman" w:cs="Times New Roman" w:eastAsia="Times New Roman" w:hAnsi="Times New Roman"/>
                <w:sz w:val="18"/>
                <w:szCs w:val="18"/>
                <w:color w:val="auto"/>
              </w:rPr>
              <w:t>2036 Notes: UST 4.250% due August 15, 2035</w:t>
            </w:r>
          </w:p>
        </w:tc>
      </w:tr>
      <w:tr>
        <w:trPr>
          <w:trHeight w:val="675"/>
        </w:trPr>
        <w:tc>
          <w:tcPr>
            <w:tcW w:w="3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3.708%</w:t>
            </w:r>
          </w:p>
        </w:tc>
      </w:tr>
      <w:tr>
        <w:trPr>
          <w:trHeight w:val="234"/>
        </w:trPr>
        <w:tc>
          <w:tcPr>
            <w:tcW w:w="562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4.112%</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+102 bps</w:t>
            </w:r>
          </w:p>
        </w:tc>
      </w:tr>
      <w:tr>
        <w:trPr>
          <w:trHeight w:val="234"/>
        </w:trPr>
        <w:tc>
          <w:tcPr>
            <w:tcW w:w="562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+142 bps</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4.728%</w:t>
            </w:r>
          </w:p>
        </w:tc>
      </w:tr>
      <w:tr>
        <w:trPr>
          <w:trHeight w:val="234"/>
        </w:trPr>
        <w:tc>
          <w:tcPr>
            <w:tcW w:w="562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5.532%</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4.700%</w:t>
            </w:r>
          </w:p>
        </w:tc>
      </w:tr>
      <w:tr>
        <w:trPr>
          <w:trHeight w:val="234"/>
        </w:trPr>
        <w:tc>
          <w:tcPr>
            <w:tcW w:w="562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5.600%</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99.872%  (plus  accrued  interest  of  $2,585,000.00  from</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216"/>
        </w:trPr>
        <w:tc>
          <w:tcPr>
            <w:tcW w:w="562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100.518%  (plus  accrued  interest  of  $4,620,000.00  from</w:t>
            </w:r>
          </w:p>
        </w:tc>
      </w:tr>
      <w:tr>
        <w:trPr>
          <w:trHeight w:val="234"/>
        </w:trPr>
        <w:tc>
          <w:tcPr>
            <w:tcW w:w="562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 underwriting discount and excluding</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$297,816,000</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$449,406,000</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+ 20 bps</w:t>
            </w:r>
          </w:p>
        </w:tc>
      </w:tr>
      <w:tr>
        <w:trPr>
          <w:trHeight w:val="234"/>
        </w:trPr>
        <w:tc>
          <w:tcPr>
            <w:tcW w:w="562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+ 25 bps</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2031</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December 15, 2030</w:t>
            </w:r>
          </w:p>
        </w:tc>
      </w:tr>
      <w:tr>
        <w:trPr>
          <w:trHeight w:val="234"/>
        </w:trPr>
        <w:tc>
          <w:tcPr>
            <w:tcW w:w="562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2036</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October 15, 2035</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15 and July 15, beginning on January 15, 2026</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2031 Notes: 72650R BR2 / US72650RBR21</w:t>
            </w:r>
          </w:p>
        </w:tc>
      </w:tr>
      <w:tr>
        <w:trPr>
          <w:trHeight w:val="234"/>
        </w:trPr>
        <w:tc>
          <w:tcPr>
            <w:tcW w:w="562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2036 Notes: 72650R BS0 / US72650RBS04</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56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34"/>
        </w:trPr>
        <w:tc>
          <w:tcPr>
            <w:tcW w:w="562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34"/>
        </w:trPr>
        <w:tc>
          <w:tcPr>
            <w:tcW w:w="562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Zions Direct, Inc.</w:t>
            </w:r>
          </w:p>
        </w:tc>
      </w:tr>
    </w:tbl>
    <w:p>
      <w:pPr>
        <w:spacing w:after="0" w:line="198"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November 14, 2025, which is the third business day following the date of pricing of the notes (such settlement being referred to as “T+3”).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toll-free at 1-800-831-9146, CIBC World Markets Corp. toll-free at 1-800-282-0822, RBC Capital Markets, LLC toll-free at 1-866-375-6829 or SMBC Nikko Securities America, Inc. toll-free at 1-888-868-6856.</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 for retail investors in the European Economic Area (“</w:t>
      </w:r>
      <w:r>
        <w:rPr>
          <w:rFonts w:ascii="Times New Roman" w:cs="Times New Roman" w:eastAsia="Times New Roman" w:hAnsi="Times New Roman"/>
          <w:sz w:val="18"/>
          <w:szCs w:val="18"/>
          <w:b w:val="1"/>
          <w:bCs w:val="1"/>
          <w:u w:val="single" w:color="auto"/>
          <w:color w:val="auto"/>
        </w:rPr>
        <w:t>EEA</w:t>
      </w:r>
      <w:r>
        <w:rPr>
          <w:rFonts w:ascii="Times New Roman" w:cs="Times New Roman" w:eastAsia="Times New Roman" w:hAnsi="Times New Roman"/>
          <w:sz w:val="18"/>
          <w:szCs w:val="18"/>
          <w:color w:val="auto"/>
        </w:rPr>
        <w:t>”) or the United Kingdom. No key information document (KID) as required by Regulation (EU) No 1286/2014 (as amended, the “</w:t>
      </w:r>
      <w:r>
        <w:rPr>
          <w:rFonts w:ascii="Times New Roman" w:cs="Times New Roman" w:eastAsia="Times New Roman" w:hAnsi="Times New Roman"/>
          <w:sz w:val="18"/>
          <w:szCs w:val="18"/>
          <w:b w:val="1"/>
          <w:bCs w:val="1"/>
          <w:u w:val="single" w:color="auto"/>
          <w:color w:val="auto"/>
        </w:rPr>
        <w:t>PRIIPs Regulation</w:t>
      </w:r>
      <w:r>
        <w:rPr>
          <w:rFonts w:ascii="Times New Roman" w:cs="Times New Roman" w:eastAsia="Times New Roman" w:hAnsi="Times New Roman"/>
          <w:sz w:val="18"/>
          <w:szCs w:val="18"/>
          <w:color w:val="auto"/>
        </w:rPr>
        <w:t>”)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2025-11-10T15:17:30Z</dcterms:created>
  <dcterms:modified xsi:type="dcterms:W3CDTF">2025-11-10T15:17:30Z</dcterms:modified>
</cp:coreProperties>
</file>