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b w:val="1"/>
          <w:bCs w:val="1"/>
          <w:color w:val="auto"/>
        </w:rPr>
        <w:t>SCHEDULE 14A</w:t>
      </w:r>
    </w:p>
    <w:p>
      <w:pPr>
        <w:spacing w:after="0" w:line="229"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Proxy Statement Pursuant to Section 14(a) of</w:t>
      </w:r>
    </w:p>
    <w:p>
      <w:pPr>
        <w:spacing w:after="0" w:line="2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the Securities Exchange Act of 1934 (Amendment No.     )</w:t>
      </w:r>
    </w:p>
    <w:p>
      <w:pPr>
        <w:spacing w:after="0" w:line="16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the Registrant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Filed by a Party other than the Registrant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22" w:lineRule="exact"/>
        <w:rPr>
          <w:sz w:val="24"/>
          <w:szCs w:val="24"/>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Preliminary Proxy Statement</w:t>
      </w:r>
    </w:p>
    <w:p>
      <w:pPr>
        <w:spacing w:after="0" w:line="15"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540" w:hanging="532"/>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Proxy Statement</w:t>
      </w:r>
    </w:p>
    <w:p>
      <w:pPr>
        <w:spacing w:after="0" w:line="2" w:lineRule="exact"/>
        <w:rPr>
          <w:sz w:val="24"/>
          <w:szCs w:val="24"/>
          <w:color w:val="auto"/>
        </w:rPr>
      </w:pPr>
    </w:p>
    <w:p>
      <w:pPr>
        <w:ind w:left="540" w:hanging="532"/>
        <w:spacing w:after="0"/>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Definitive Additional Materials</w:t>
      </w:r>
    </w:p>
    <w:p>
      <w:pPr>
        <w:spacing w:after="0" w:line="9" w:lineRule="exact"/>
        <w:rPr>
          <w:sz w:val="24"/>
          <w:szCs w:val="24"/>
          <w:color w:val="auto"/>
        </w:rPr>
      </w:pPr>
    </w:p>
    <w:p>
      <w:pPr>
        <w:ind w:left="540" w:hanging="532"/>
        <w:spacing w:after="0"/>
        <w:tabs>
          <w:tab w:leader="none" w:pos="540"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under §240.14a-12</w:t>
      </w:r>
    </w:p>
    <w:p>
      <w:pPr>
        <w:spacing w:after="0" w:line="201"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25"/>
          <w:szCs w:val="25"/>
          <w:b w:val="1"/>
          <w:bCs w:val="1"/>
          <w:color w:val="auto"/>
        </w:rPr>
        <w:t>PLAINS GP HOLDINGS, L.P.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24130</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7" w:lineRule="exact"/>
        <w:rPr>
          <w:sz w:val="24"/>
          <w:szCs w:val="24"/>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(Name of Registrant as Specified In Its Charter)</w:t>
      </w:r>
    </w:p>
    <w:p>
      <w:pPr>
        <w:spacing w:after="0" w:line="200" w:lineRule="exact"/>
        <w:rPr>
          <w:sz w:val="24"/>
          <w:szCs w:val="24"/>
          <w:color w:val="auto"/>
        </w:rPr>
      </w:pPr>
    </w:p>
    <w:p>
      <w:pPr>
        <w:spacing w:after="0" w:line="255" w:lineRule="exact"/>
        <w:rPr>
          <w:sz w:val="24"/>
          <w:szCs w:val="24"/>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3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the appropriate box):</w:t>
      </w:r>
    </w:p>
    <w:p>
      <w:pPr>
        <w:spacing w:after="0" w:line="22"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No fee required.</w:t>
      </w:r>
    </w:p>
    <w:p>
      <w:pPr>
        <w:spacing w:after="0" w:line="9"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computed on table below per Exchange Act Rules 14a-6(i)(1) and 0-11.</w:t>
      </w:r>
    </w:p>
    <w:p>
      <w:pPr>
        <w:spacing w:after="0" w:line="15" w:lineRule="exact"/>
        <w:rPr>
          <w:rFonts w:ascii="MS PGothic" w:cs="MS PGothic" w:eastAsia="MS PGothic" w:hAnsi="MS PGothic"/>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of each class of securities to which transaction applies:</w:t>
      </w:r>
    </w:p>
    <w:p>
      <w:pPr>
        <w:spacing w:after="0" w:line="21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Aggregate number of securities to which transaction applies:</w:t>
      </w:r>
    </w:p>
    <w:p>
      <w:pPr>
        <w:spacing w:after="0" w:line="238" w:lineRule="exact"/>
        <w:rPr>
          <w:rFonts w:ascii="Times New Roman" w:cs="Times New Roman" w:eastAsia="Times New Roman" w:hAnsi="Times New Roman"/>
          <w:sz w:val="18"/>
          <w:szCs w:val="18"/>
          <w:color w:val="auto"/>
        </w:rPr>
      </w:pPr>
    </w:p>
    <w:p>
      <w:pPr>
        <w:ind w:left="1020" w:right="160" w:hanging="553"/>
        <w:spacing w:after="0" w:line="282" w:lineRule="auto"/>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unit price or other underlying value of transaction computed pursuant to Exchange Act Rule 0-11 (set forth the amount on which the filing fee is calculated and state how it was determined):</w:t>
      </w:r>
    </w:p>
    <w:p>
      <w:pPr>
        <w:spacing w:after="0" w:line="175"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Proposed maximum aggregate value of transaction:</w:t>
      </w:r>
    </w:p>
    <w:p>
      <w:pPr>
        <w:spacing w:after="0" w:line="23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fee paid:</w:t>
      </w:r>
    </w:p>
    <w:p>
      <w:pPr>
        <w:spacing w:after="0" w:line="200" w:lineRule="exact"/>
        <w:rPr>
          <w:rFonts w:ascii="Times New Roman" w:cs="Times New Roman" w:eastAsia="Times New Roman" w:hAnsi="Times New Roman"/>
          <w:sz w:val="18"/>
          <w:szCs w:val="18"/>
          <w:color w:val="auto"/>
        </w:rPr>
      </w:pPr>
    </w:p>
    <w:p>
      <w:pPr>
        <w:spacing w:after="0" w:line="241"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Fee paid previously with preliminary materials.</w:t>
      </w:r>
    </w:p>
    <w:p>
      <w:pPr>
        <w:spacing w:after="0" w:line="29" w:lineRule="exact"/>
        <w:rPr>
          <w:rFonts w:ascii="MS PGothic" w:cs="MS PGothic" w:eastAsia="MS PGothic" w:hAnsi="MS PGothic"/>
          <w:sz w:val="18"/>
          <w:szCs w:val="18"/>
          <w:color w:val="auto"/>
        </w:rPr>
      </w:pPr>
    </w:p>
    <w:p>
      <w:pPr>
        <w:ind w:left="460" w:hanging="452"/>
        <w:spacing w:after="0" w:line="249" w:lineRule="auto"/>
        <w:tabs>
          <w:tab w:leader="none" w:pos="460" w:val="left"/>
        </w:tabs>
        <w:numPr>
          <w:ilvl w:val="0"/>
          <w:numId w:val="5"/>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Previously Paid:</w:t>
      </w:r>
    </w:p>
    <w:p>
      <w:pPr>
        <w:spacing w:after="0" w:line="220"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 Schedule or Registration Statement No.:</w:t>
      </w:r>
    </w:p>
    <w:p>
      <w:pPr>
        <w:spacing w:after="0" w:line="23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 Party:</w:t>
      </w:r>
    </w:p>
    <w:p>
      <w:pPr>
        <w:spacing w:after="0" w:line="238" w:lineRule="exact"/>
        <w:rPr>
          <w:rFonts w:ascii="Times New Roman" w:cs="Times New Roman" w:eastAsia="Times New Roman" w:hAnsi="Times New Roman"/>
          <w:sz w:val="18"/>
          <w:szCs w:val="18"/>
          <w:color w:val="auto"/>
        </w:rPr>
      </w:pPr>
    </w:p>
    <w:p>
      <w:pPr>
        <w:ind w:left="1020" w:hanging="553"/>
        <w:spacing w:after="0"/>
        <w:tabs>
          <w:tab w:leader="none" w:pos="102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647700</wp:posOffset>
            </wp:positionH>
            <wp:positionV relativeFrom="paragraph">
              <wp:posOffset>154305</wp:posOffset>
            </wp:positionV>
            <wp:extent cx="648906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-127635</wp:posOffset>
            </wp:positionV>
            <wp:extent cx="64890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-410845</wp:posOffset>
            </wp:positionV>
            <wp:extent cx="648906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-693420</wp:posOffset>
            </wp:positionV>
            <wp:extent cx="64890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-1516380</wp:posOffset>
            </wp:positionV>
            <wp:extent cx="64890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-1799590</wp:posOffset>
            </wp:positionV>
            <wp:extent cx="64890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-2082165</wp:posOffset>
            </wp:positionV>
            <wp:extent cx="64890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-2502535</wp:posOffset>
            </wp:positionV>
            <wp:extent cx="648906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6489065" cy="8890"/>
                    </a:xfrm>
                    <a:prstGeom prst="rect">
                      <a:avLst/>
                    </a:prstGeom>
                    <a:noFill/>
                  </pic:spPr>
                </pic:pic>
              </a:graphicData>
            </a:graphic>
          </wp:anchor>
        </w:drawing>
        <w:drawing>
          <wp:anchor simplePos="0" relativeHeight="251657728" behindDoc="1" locked="0" layoutInCell="0" allowOverlap="1">
            <wp:simplePos x="0" y="0"/>
            <wp:positionH relativeFrom="column">
              <wp:posOffset>647700</wp:posOffset>
            </wp:positionH>
            <wp:positionV relativeFrom="paragraph">
              <wp:posOffset>-2785110</wp:posOffset>
            </wp:positionV>
            <wp:extent cx="64890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325755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771525</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980"/>
          </w:cols>
          <w:pgMar w:left="320" w:top="779" w:right="59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2256790</wp:posOffset>
            </wp:positionH>
            <wp:positionV relativeFrom="page">
              <wp:posOffset>586105</wp:posOffset>
            </wp:positionV>
            <wp:extent cx="3034665" cy="54038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3034665" cy="540385"/>
                    </a:xfrm>
                    <a:prstGeom prst="rect">
                      <a:avLst/>
                    </a:prstGeom>
                    <a:noFill/>
                  </pic:spPr>
                </pic:pic>
              </a:graphicData>
            </a:graphic>
          </wp:anchor>
        </w:drawing>
      </w:r>
    </w:p>
    <w:p>
      <w:pPr>
        <w:spacing w:after="0" w:line="3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May 13, 2026</w:t>
      </w:r>
    </w:p>
    <w:p>
      <w:pPr>
        <w:spacing w:after="0" w:line="22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SUPPLEMENT TO PROXY STATEMENT FOR THE ANNUAL MEETING</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OF SHAREHOLDERS TO BE HELD ON MAY 20,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Shareholders of Plains GP Holdings, L.P.:</w:t>
      </w:r>
    </w:p>
    <w:p>
      <w:pPr>
        <w:spacing w:after="0" w:line="225" w:lineRule="exact"/>
        <w:rPr>
          <w:sz w:val="20"/>
          <w:szCs w:val="20"/>
          <w:color w:val="auto"/>
        </w:rPr>
      </w:pPr>
    </w:p>
    <w:p>
      <w:pPr>
        <w:ind w:right="40" w:firstLine="648"/>
        <w:spacing w:after="0" w:line="266" w:lineRule="auto"/>
        <w:rPr>
          <w:sz w:val="20"/>
          <w:szCs w:val="20"/>
          <w:color w:val="auto"/>
        </w:rPr>
      </w:pPr>
      <w:r>
        <w:rPr>
          <w:rFonts w:ascii="Times New Roman" w:cs="Times New Roman" w:eastAsia="Times New Roman" w:hAnsi="Times New Roman"/>
          <w:sz w:val="18"/>
          <w:szCs w:val="18"/>
          <w:color w:val="auto"/>
        </w:rPr>
        <w:t>This proxy statement supplement dated May 13, 2026 (this “Supplement”) supplements the definitive proxy statement on Schedule 14A of Plains GP Holdings, L.P. (“PAGP” or the “Company”) dated April 10, 2026 (as previously supplemented, the “Proxy Statement”) for the Company’s Annual Meeting of Shareholders to be held on May 20, 2026.</w:t>
      </w:r>
    </w:p>
    <w:p>
      <w:pPr>
        <w:spacing w:after="0" w:line="172" w:lineRule="exact"/>
        <w:rPr>
          <w:sz w:val="20"/>
          <w:szCs w:val="20"/>
          <w:color w:val="auto"/>
        </w:rPr>
      </w:pPr>
    </w:p>
    <w:p>
      <w:pPr>
        <w:jc w:val="center"/>
        <w:ind w:left="380" w:right="440"/>
        <w:spacing w:after="0" w:line="268" w:lineRule="auto"/>
        <w:rPr>
          <w:sz w:val="20"/>
          <w:szCs w:val="20"/>
          <w:color w:val="auto"/>
        </w:rPr>
      </w:pPr>
      <w:r>
        <w:rPr>
          <w:rFonts w:ascii="Times New Roman" w:cs="Times New Roman" w:eastAsia="Times New Roman" w:hAnsi="Times New Roman"/>
          <w:sz w:val="18"/>
          <w:szCs w:val="18"/>
          <w:b w:val="1"/>
          <w:bCs w:val="1"/>
          <w:color w:val="auto"/>
        </w:rPr>
        <w:t>THIS SUPPLEMENT SHOULD BE READ IN CONJUNCTION WITH THE PROXY STATEMENT. EXCEPT AS SPECIFICALLY SUPPLEMENTED BY THE INFORMATION CONTAINED HEREIN, THIS SUPPLEMENT DOES NOT MODIFY ANY OTHER INFORMATION SET FORTH IN THE PROXY STATEMENT.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Appointment of Cynthia B. Taylor as a Director</w:t>
      </w:r>
    </w:p>
    <w:p>
      <w:pPr>
        <w:spacing w:after="0" w:line="229" w:lineRule="exact"/>
        <w:rPr>
          <w:sz w:val="20"/>
          <w:szCs w:val="20"/>
          <w:color w:val="auto"/>
        </w:rPr>
      </w:pPr>
    </w:p>
    <w:p>
      <w:pPr>
        <w:ind w:right="20" w:firstLine="648"/>
        <w:spacing w:after="0" w:line="289" w:lineRule="auto"/>
        <w:rPr>
          <w:sz w:val="20"/>
          <w:szCs w:val="20"/>
          <w:color w:val="auto"/>
        </w:rPr>
      </w:pPr>
      <w:r>
        <w:rPr>
          <w:rFonts w:ascii="Times New Roman" w:cs="Times New Roman" w:eastAsia="Times New Roman" w:hAnsi="Times New Roman"/>
          <w:sz w:val="17"/>
          <w:szCs w:val="17"/>
          <w:color w:val="auto"/>
        </w:rPr>
        <w:t>On May 11, 2026, the board of directors (the “Board”) of PAA GP Holdings LLC appointed Cynthia B. Taylor as an independent member of the Board serving in Class III. Ms. Taylor will also serve as a member of the Compensation Committee and the Health, Safety, Environmental and Sustainability Committee. The Board has responsibility for managing the business and affairs of PAGP and of Plains All American Pipeline, L.P. (“PAA”).</w:t>
      </w:r>
    </w:p>
    <w:p>
      <w:pPr>
        <w:spacing w:after="0" w:line="158" w:lineRule="exact"/>
        <w:rPr>
          <w:sz w:val="20"/>
          <w:szCs w:val="20"/>
          <w:color w:val="auto"/>
        </w:rPr>
      </w:pPr>
    </w:p>
    <w:p>
      <w:pPr>
        <w:ind w:firstLine="648"/>
        <w:spacing w:after="0" w:line="254" w:lineRule="auto"/>
        <w:rPr>
          <w:sz w:val="20"/>
          <w:szCs w:val="20"/>
          <w:color w:val="auto"/>
        </w:rPr>
      </w:pPr>
      <w:r>
        <w:rPr>
          <w:rFonts w:ascii="Times New Roman" w:cs="Times New Roman" w:eastAsia="Times New Roman" w:hAnsi="Times New Roman"/>
          <w:sz w:val="18"/>
          <w:szCs w:val="18"/>
          <w:color w:val="auto"/>
        </w:rPr>
        <w:t>Ms. Taylor has over 30 years of energy industry experience, most recently serving as Chief Executive Officer and President of Oil States International, Inc. and as a member of the Oil States Board of Directors. She held these positions from May 2007 until her retirement from Oil States in May 2026. From May 2006 until May 2007, Ms. Taylor served as President and Chief Operating Officer of Oil States and served as Senior Vice President —Chief Financial Officer and Treasurer prior to that. From August 1999 to May 2000, Ms. Taylor was the Chief Financial Officer of L.E. Simmons &amp; Associates, Incorporated. Ms. Taylor served as the Vice President—Controller of Cliffs Drilling Company from July 1992 to August 1999 and held various management positions with Ernst &amp; Young LLP, a public accounting firm, from January 1984 to July 1992. Ms. Taylor was a director of the Federal Reserve Bank of Dallas from January 2020 through December 31, 2025 and served as a director of the Federal Reserve Bank's Houston Branch from 2018 to 2019. She has also served as a director of AT&amp;T Inc. since 2013 and serves as chair of the AT&amp;T audit committee. She received a B.B.A. in Accounting from Texas A&amp;M University and is a Certified Public Accountant.</w:t>
      </w:r>
    </w:p>
    <w:p>
      <w:pPr>
        <w:spacing w:after="0" w:line="188" w:lineRule="exact"/>
        <w:rPr>
          <w:sz w:val="20"/>
          <w:szCs w:val="20"/>
          <w:color w:val="auto"/>
        </w:rPr>
      </w:pPr>
    </w:p>
    <w:p>
      <w:pPr>
        <w:ind w:right="260" w:firstLine="648"/>
        <w:spacing w:after="0" w:line="282" w:lineRule="auto"/>
        <w:rPr>
          <w:sz w:val="20"/>
          <w:szCs w:val="20"/>
          <w:color w:val="auto"/>
        </w:rPr>
      </w:pPr>
      <w:r>
        <w:rPr>
          <w:rFonts w:ascii="Times New Roman" w:cs="Times New Roman" w:eastAsia="Times New Roman" w:hAnsi="Times New Roman"/>
          <w:sz w:val="18"/>
          <w:szCs w:val="18"/>
          <w:color w:val="auto"/>
        </w:rPr>
        <w:t>The Board believes that Ms. Taylor’s public company executive leadership skills and her strategic, operational and financial background in the energy industry will bring a valuable perspective to the Board.</w:t>
      </w:r>
    </w:p>
    <w:p>
      <w:pPr>
        <w:spacing w:after="0" w:line="162" w:lineRule="exact"/>
        <w:rPr>
          <w:sz w:val="20"/>
          <w:szCs w:val="20"/>
          <w:color w:val="auto"/>
        </w:rPr>
      </w:pPr>
    </w:p>
    <w:p>
      <w:pPr>
        <w:jc w:val="both"/>
        <w:ind w:right="60" w:firstLine="648"/>
        <w:spacing w:after="0" w:line="266" w:lineRule="auto"/>
        <w:rPr>
          <w:sz w:val="20"/>
          <w:szCs w:val="20"/>
          <w:color w:val="auto"/>
        </w:rPr>
      </w:pPr>
      <w:r>
        <w:rPr>
          <w:rFonts w:ascii="Times New Roman" w:cs="Times New Roman" w:eastAsia="Times New Roman" w:hAnsi="Times New Roman"/>
          <w:sz w:val="18"/>
          <w:szCs w:val="18"/>
          <w:color w:val="auto"/>
        </w:rPr>
        <w:t>Based on a review of all relevant identified transactions or relationships between Ms. Taylor, or any of her family members, and the Company, its senior management and its independent auditors, the Board has affirmatively determined that Ms. Taylor is an independent director pursuant to applicable Nasdaq and SEC rules. There are no family relationships between Ms. Taylor and any of the Company’s directors or executive officers.</w:t>
      </w:r>
    </w:p>
    <w:p>
      <w:pPr>
        <w:spacing w:after="0" w:line="39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firstLine="648"/>
        <w:spacing w:after="0" w:line="256" w:lineRule="auto"/>
        <w:rPr>
          <w:sz w:val="20"/>
          <w:szCs w:val="20"/>
          <w:color w:val="auto"/>
        </w:rPr>
      </w:pPr>
      <w:r>
        <w:rPr>
          <w:rFonts w:ascii="Times New Roman" w:cs="Times New Roman" w:eastAsia="Times New Roman" w:hAnsi="Times New Roman"/>
          <w:sz w:val="18"/>
          <w:szCs w:val="18"/>
          <w:color w:val="auto"/>
        </w:rPr>
        <w:t>Consistent with our compensation program for non-employee directors, Ms. Taylor will receive an annual cash retainer of $120,000 for service as a Board member. She will also receive an annual grant of phantom Class A Shares of PAGP having a market value on the date of grant equal to approximately $160,000 (based on a volume weighted average price for the 10-trading day period beginning five days before and ending five days after the ex-dividend date immediately preceding the date of grant). These annual grants will vest (become payable in Class A Shares of PAGP) one year from the date of grant and include associated distribution equivalent rights. Ms. Taylor’s initial compensation may be adjusted as appropriate to take into account the effective date on which her Board service commences.</w:t>
      </w:r>
    </w:p>
    <w:p>
      <w:pPr>
        <w:spacing w:after="0" w:line="187" w:lineRule="exact"/>
        <w:rPr>
          <w:sz w:val="20"/>
          <w:szCs w:val="20"/>
          <w:color w:val="auto"/>
        </w:rPr>
      </w:pPr>
    </w:p>
    <w:p>
      <w:pPr>
        <w:ind w:right="180" w:firstLine="648"/>
        <w:spacing w:after="0" w:line="266" w:lineRule="auto"/>
        <w:rPr>
          <w:sz w:val="20"/>
          <w:szCs w:val="20"/>
          <w:color w:val="auto"/>
        </w:rPr>
      </w:pPr>
      <w:r>
        <w:rPr>
          <w:rFonts w:ascii="Times New Roman" w:cs="Times New Roman" w:eastAsia="Times New Roman" w:hAnsi="Times New Roman"/>
          <w:sz w:val="18"/>
          <w:szCs w:val="18"/>
          <w:color w:val="auto"/>
        </w:rPr>
        <w:t>Ms. Taylor does not beneficially own any Class A shares of the Company. There are no arrangements or understandings between Ms. Taylor and any other person pursuant to which she was selected as a director. In addition, there are no transactions in which Ms. Taylor has an interest that would require disclosure under Item 404(a) of Regulation S-K.</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Matters</w:t>
      </w:r>
    </w:p>
    <w:p>
      <w:pPr>
        <w:spacing w:after="0" w:line="229" w:lineRule="exact"/>
        <w:rPr>
          <w:sz w:val="20"/>
          <w:szCs w:val="20"/>
          <w:color w:val="auto"/>
        </w:rPr>
      </w:pPr>
    </w:p>
    <w:p>
      <w:pPr>
        <w:ind w:right="440" w:firstLine="648"/>
        <w:spacing w:after="0" w:line="266" w:lineRule="auto"/>
        <w:rPr>
          <w:sz w:val="20"/>
          <w:szCs w:val="20"/>
          <w:color w:val="auto"/>
        </w:rPr>
      </w:pPr>
      <w:r>
        <w:rPr>
          <w:rFonts w:ascii="Times New Roman" w:cs="Times New Roman" w:eastAsia="Times New Roman" w:hAnsi="Times New Roman"/>
          <w:sz w:val="18"/>
          <w:szCs w:val="18"/>
          <w:color w:val="auto"/>
        </w:rPr>
        <w:t xml:space="preserve">You are not being asked to vote on or ratify the appointment of Ms. Taylor at the Annual Meeting. Ms. Taylor, as a Class III director, is not a nominee for election at the Annual Meeting. </w:t>
      </w:r>
      <w:r>
        <w:rPr>
          <w:rFonts w:ascii="Times New Roman" w:cs="Times New Roman" w:eastAsia="Times New Roman" w:hAnsi="Times New Roman"/>
          <w:sz w:val="18"/>
          <w:szCs w:val="18"/>
          <w:b w:val="1"/>
          <w:bCs w:val="1"/>
          <w:color w:val="auto"/>
        </w:rPr>
        <w:t>Accordingly, there is no change to Proposal 1, Election of Class I Directors, included in the Proxy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Statement.</w:t>
      </w:r>
    </w:p>
    <w:p>
      <w:pPr>
        <w:spacing w:after="0" w:line="176"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 xml:space="preserve">Please note that any proxy card that you requested or that we elected to deliver has not changed and may still be used to vote your shares in connection with the Annual Meeting. </w:t>
      </w:r>
      <w:r>
        <w:rPr>
          <w:rFonts w:ascii="Times New Roman" w:cs="Times New Roman" w:eastAsia="Times New Roman" w:hAnsi="Times New Roman"/>
          <w:sz w:val="18"/>
          <w:szCs w:val="18"/>
          <w:b w:val="1"/>
          <w:bCs w:val="1"/>
          <w:color w:val="auto"/>
        </w:rPr>
        <w:t>If you have already submitted your vote, you do not need to take any further action.</w:t>
      </w:r>
      <w:r>
        <w:rPr>
          <w:rFonts w:ascii="Times New Roman" w:cs="Times New Roman" w:eastAsia="Times New Roman" w:hAnsi="Times New Roman"/>
          <w:sz w:val="18"/>
          <w:szCs w:val="18"/>
          <w:color w:val="auto"/>
        </w:rPr>
        <w:t xml:space="preserve"> Information on how to vote your shares and how to change your vote or revoke your proxy is contained in the Proxy Statement. </w:t>
      </w:r>
      <w:r>
        <w:rPr>
          <w:rFonts w:ascii="Times New Roman" w:cs="Times New Roman" w:eastAsia="Times New Roman" w:hAnsi="Times New Roman"/>
          <w:sz w:val="18"/>
          <w:szCs w:val="18"/>
          <w:b w:val="1"/>
          <w:bCs w:val="1"/>
          <w:color w:val="auto"/>
        </w:rPr>
        <w:t>Shareholders are urged to vote their shares prior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the Annual Meeting by using one of the methods described in the proxy statement.</w:t>
      </w:r>
    </w:p>
    <w:p>
      <w:pPr>
        <w:spacing w:after="0" w:line="39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
      <w:numFmt w:val="bullet"/>
      <w:start w:val="1"/>
    </w:lvl>
    <w:lvl w:ilvl="1">
      <w:lvlJc w:val="left"/>
      <w:lvlText w:val="(%2)"/>
      <w:numFmt w:val="decimal"/>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2026-05-13T16:30:26Z</dcterms:created>
  <dcterms:modified xsi:type="dcterms:W3CDTF">2026-05-13T16:30:26Z</dcterms:modified>
</cp:coreProperties>
</file>