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152"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52"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Amendment No. 2*</w:t>
      </w:r>
    </w:p>
    <w:p>
      <w:pPr>
        <w:spacing w:after="0" w:line="152" w:lineRule="exact"/>
        <w:rPr>
          <w:sz w:val="24"/>
          <w:szCs w:val="24"/>
          <w:color w:val="auto"/>
        </w:rPr>
      </w:pPr>
    </w:p>
    <w:p>
      <w:pPr>
        <w:ind w:left="4580"/>
        <w:spacing w:after="0"/>
        <w:rPr>
          <w:sz w:val="20"/>
          <w:szCs w:val="20"/>
          <w:color w:val="auto"/>
        </w:rPr>
      </w:pPr>
      <w:r>
        <w:rPr>
          <w:rFonts w:ascii="Arial" w:cs="Arial" w:eastAsia="Arial" w:hAnsi="Arial"/>
          <w:sz w:val="22"/>
          <w:szCs w:val="22"/>
          <w:b w:val="1"/>
          <w:bCs w:val="1"/>
          <w:color w:val="auto"/>
        </w:rPr>
        <w:t>Plains GP Holdings, L.P.</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28"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28"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72651A108</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28"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December 31, 2014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152" w:lineRule="exact"/>
        <w:rPr>
          <w:sz w:val="24"/>
          <w:szCs w:val="24"/>
          <w:color w:val="auto"/>
        </w:rPr>
      </w:pPr>
    </w:p>
    <w:p>
      <w:pPr>
        <w:jc w:val="both"/>
        <w:ind w:left="4960" w:right="4840" w:hanging="56"/>
        <w:spacing w:after="0" w:line="301" w:lineRule="auto"/>
        <w:tabs>
          <w:tab w:leader="none" w:pos="5263" w:val="left"/>
        </w:tabs>
        <w:numPr>
          <w:ilvl w:val="1"/>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7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500" w:type="dxa"/>
            <w:vAlign w:val="bottom"/>
          </w:tcPr>
          <w:p>
            <w:pPr>
              <w:spacing w:after="0"/>
              <w:rPr>
                <w:sz w:val="20"/>
                <w:szCs w:val="20"/>
                <w:color w:val="auto"/>
              </w:rPr>
            </w:pPr>
            <w:r>
              <w:rPr>
                <w:rFonts w:ascii="Arial" w:cs="Arial" w:eastAsia="Arial" w:hAnsi="Arial"/>
                <w:sz w:val="22"/>
                <w:szCs w:val="22"/>
                <w:color w:val="auto"/>
              </w:rPr>
              <w:t>CUSIP No. 72651A108</w:t>
            </w:r>
          </w:p>
        </w:tc>
        <w:tc>
          <w:tcPr>
            <w:tcW w:w="800" w:type="dxa"/>
            <w:vAlign w:val="bottom"/>
          </w:tcPr>
          <w:p>
            <w:pPr>
              <w:ind w:left="44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940" w:type="dxa"/>
            <w:vAlign w:val="bottom"/>
          </w:tcPr>
          <w:p>
            <w:pPr>
              <w:ind w:left="840"/>
              <w:spacing w:after="0"/>
              <w:rPr>
                <w:sz w:val="20"/>
                <w:szCs w:val="20"/>
                <w:color w:val="auto"/>
              </w:rPr>
            </w:pPr>
            <w:r>
              <w:rPr>
                <w:rFonts w:ascii="Arial" w:cs="Arial" w:eastAsia="Arial" w:hAnsi="Arial"/>
                <w:sz w:val="22"/>
                <w:szCs w:val="22"/>
                <w:color w:val="auto"/>
                <w:w w:val="87"/>
              </w:rPr>
              <w:t>16,553,670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9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940" w:type="dxa"/>
            <w:vAlign w:val="bottom"/>
          </w:tcPr>
          <w:p>
            <w:pPr>
              <w:ind w:left="840"/>
              <w:spacing w:after="0"/>
              <w:rPr>
                <w:sz w:val="20"/>
                <w:szCs w:val="20"/>
                <w:color w:val="auto"/>
              </w:rPr>
            </w:pPr>
            <w:r>
              <w:rPr>
                <w:rFonts w:ascii="Arial" w:cs="Arial" w:eastAsia="Arial" w:hAnsi="Arial"/>
                <w:sz w:val="22"/>
                <w:szCs w:val="22"/>
                <w:color w:val="auto"/>
                <w:w w:val="87"/>
              </w:rPr>
              <w:t>16,553,670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9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16,553,670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PERCENT OF CLASS REPRESENTED BY AMOUNT IN ROW 9: </w:t>
      </w:r>
      <w:r>
        <w:rPr>
          <w:rFonts w:ascii="Arial" w:cs="Arial" w:eastAsia="Arial" w:hAnsi="Arial"/>
          <w:sz w:val="22"/>
          <w:szCs w:val="22"/>
          <w:color w:val="auto"/>
        </w:rPr>
        <w:t>8.1</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0219"/>
          </w:cols>
          <w:pgMar w:left="240" w:top="26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500" w:type="dxa"/>
            <w:vAlign w:val="bottom"/>
          </w:tcPr>
          <w:p>
            <w:pPr>
              <w:spacing w:after="0"/>
              <w:rPr>
                <w:sz w:val="20"/>
                <w:szCs w:val="20"/>
                <w:color w:val="auto"/>
              </w:rPr>
            </w:pPr>
            <w:r>
              <w:rPr>
                <w:rFonts w:ascii="Arial" w:cs="Arial" w:eastAsia="Arial" w:hAnsi="Arial"/>
                <w:sz w:val="22"/>
                <w:szCs w:val="22"/>
                <w:color w:val="auto"/>
              </w:rPr>
              <w:t>CUSIP No. 72651A108</w:t>
            </w:r>
          </w:p>
        </w:tc>
        <w:tc>
          <w:tcPr>
            <w:tcW w:w="800" w:type="dxa"/>
            <w:vAlign w:val="bottom"/>
          </w:tcPr>
          <w:p>
            <w:pPr>
              <w:ind w:left="44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89" w:lineRule="auto"/>
        <w:tabs>
          <w:tab w:leader="none" w:pos="46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spacing w:after="0" w:line="1" w:lineRule="exact"/>
        <w:rPr>
          <w:rFonts w:ascii="Arial" w:cs="Arial" w:eastAsia="Arial" w:hAnsi="Arial"/>
          <w:sz w:val="19"/>
          <w:szCs w:val="19"/>
          <w:b w:val="1"/>
          <w:bCs w:val="1"/>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94"/>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3,706,400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73"/>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3,706,400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3,706,400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1.8</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0219"/>
          </w:cols>
          <w:pgMar w:left="240" w:top="26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500" w:type="dxa"/>
            <w:vAlign w:val="bottom"/>
          </w:tcPr>
          <w:p>
            <w:pPr>
              <w:spacing w:after="0"/>
              <w:rPr>
                <w:sz w:val="20"/>
                <w:szCs w:val="20"/>
                <w:color w:val="auto"/>
              </w:rPr>
            </w:pPr>
            <w:r>
              <w:rPr>
                <w:rFonts w:ascii="Arial" w:cs="Arial" w:eastAsia="Arial" w:hAnsi="Arial"/>
                <w:sz w:val="22"/>
                <w:szCs w:val="22"/>
                <w:color w:val="auto"/>
              </w:rPr>
              <w:t>CUSIP No. 72651A108</w:t>
            </w:r>
          </w:p>
        </w:tc>
        <w:tc>
          <w:tcPr>
            <w:tcW w:w="800" w:type="dxa"/>
            <w:vAlign w:val="bottom"/>
          </w:tcPr>
          <w:p>
            <w:pPr>
              <w:ind w:left="44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94"/>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3,706,400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73"/>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3,706,400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3,706,400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1.8</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ectPr>
          <w:pgSz w:w="11900" w:h="16838" w:orient="portrait"/>
          <w:cols w:equalWidth="0" w:num="1">
            <w:col w:w="10219"/>
          </w:cols>
          <w:pgMar w:left="240" w:top="26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500" w:type="dxa"/>
            <w:vAlign w:val="bottom"/>
          </w:tcPr>
          <w:p>
            <w:pPr>
              <w:spacing w:after="0"/>
              <w:rPr>
                <w:sz w:val="20"/>
                <w:szCs w:val="20"/>
                <w:color w:val="auto"/>
              </w:rPr>
            </w:pPr>
            <w:r>
              <w:rPr>
                <w:rFonts w:ascii="Arial" w:cs="Arial" w:eastAsia="Arial" w:hAnsi="Arial"/>
                <w:sz w:val="22"/>
                <w:szCs w:val="22"/>
                <w:color w:val="auto"/>
              </w:rPr>
              <w:t>CUSIP No. 72651A108</w:t>
            </w:r>
          </w:p>
        </w:tc>
        <w:tc>
          <w:tcPr>
            <w:tcW w:w="800" w:type="dxa"/>
            <w:vAlign w:val="bottom"/>
          </w:tcPr>
          <w:p>
            <w:pPr>
              <w:ind w:left="44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94"/>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3,706,400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73"/>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w w:val="87"/>
              </w:rPr>
              <w:t>3,706,400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8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3,706,400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1.8</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0219"/>
          </w:cols>
          <w:pgMar w:left="240" w:top="26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500" w:type="dxa"/>
            <w:vAlign w:val="bottom"/>
          </w:tcPr>
          <w:p>
            <w:pPr>
              <w:spacing w:after="0"/>
              <w:rPr>
                <w:sz w:val="20"/>
                <w:szCs w:val="20"/>
                <w:color w:val="auto"/>
              </w:rPr>
            </w:pPr>
            <w:r>
              <w:rPr>
                <w:rFonts w:ascii="Arial" w:cs="Arial" w:eastAsia="Arial" w:hAnsi="Arial"/>
                <w:sz w:val="22"/>
                <w:szCs w:val="22"/>
                <w:color w:val="auto"/>
              </w:rPr>
              <w:t>CUSIP No. 72651A108</w:t>
            </w:r>
          </w:p>
        </w:tc>
        <w:tc>
          <w:tcPr>
            <w:tcW w:w="800" w:type="dxa"/>
            <w:vAlign w:val="bottom"/>
          </w:tcPr>
          <w:p>
            <w:pPr>
              <w:ind w:left="440"/>
              <w:spacing w:after="0"/>
              <w:rPr>
                <w:sz w:val="20"/>
                <w:szCs w:val="20"/>
                <w:color w:val="auto"/>
              </w:rPr>
            </w:pPr>
            <w:r>
              <w:rPr>
                <w:rFonts w:ascii="Arial" w:cs="Arial" w:eastAsia="Arial" w:hAnsi="Arial"/>
                <w:sz w:val="22"/>
                <w:szCs w:val="22"/>
                <w:color w:val="auto"/>
                <w:w w:val="81"/>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940" w:type="dxa"/>
            <w:vAlign w:val="bottom"/>
          </w:tcPr>
          <w:p>
            <w:pPr>
              <w:ind w:left="840"/>
              <w:spacing w:after="0"/>
              <w:rPr>
                <w:sz w:val="20"/>
                <w:szCs w:val="20"/>
                <w:color w:val="auto"/>
              </w:rPr>
            </w:pPr>
            <w:r>
              <w:rPr>
                <w:rFonts w:ascii="Arial" w:cs="Arial" w:eastAsia="Arial" w:hAnsi="Arial"/>
                <w:sz w:val="22"/>
                <w:szCs w:val="22"/>
                <w:color w:val="auto"/>
                <w:w w:val="87"/>
              </w:rPr>
              <w:t>20,260,070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94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940" w:type="dxa"/>
            <w:vAlign w:val="bottom"/>
          </w:tcPr>
          <w:p>
            <w:pPr>
              <w:ind w:left="840"/>
              <w:spacing w:after="0"/>
              <w:rPr>
                <w:sz w:val="20"/>
                <w:szCs w:val="20"/>
                <w:color w:val="auto"/>
              </w:rPr>
            </w:pPr>
            <w:r>
              <w:rPr>
                <w:rFonts w:ascii="Arial" w:cs="Arial" w:eastAsia="Arial" w:hAnsi="Arial"/>
                <w:sz w:val="22"/>
                <w:szCs w:val="22"/>
                <w:color w:val="auto"/>
                <w:w w:val="87"/>
              </w:rPr>
              <w:t>20,260,070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94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20,260,070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9.9</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0219"/>
          </w:cols>
          <w:pgMar w:left="240" w:top="267" w:right="1440" w:bottom="1440" w:gutter="0" w:footer="0" w:header="0"/>
        </w:sectPr>
      </w:pPr>
    </w:p>
    <w:bookmarkStart w:id="6" w:name="page7"/>
    <w:bookmarkEnd w:id="6"/>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Plains GP Holdings, L.P.</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333 Clay Street, Suite 1600</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Houston, TX 77002</w:t>
      </w:r>
    </w:p>
    <w:p>
      <w:pPr>
        <w:spacing w:after="0" w:line="175"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193" w:lineRule="exact"/>
        <w:rPr>
          <w:sz w:val="20"/>
          <w:szCs w:val="20"/>
          <w:color w:val="auto"/>
        </w:rPr>
      </w:pPr>
    </w:p>
    <w:p>
      <w:pPr>
        <w:ind w:left="2040" w:hanging="560"/>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w:t>
      </w:r>
    </w:p>
    <w:p>
      <w:pPr>
        <w:ind w:left="2040" w:hanging="560"/>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gridSpan w:val="4"/>
          </w:tcPr>
          <w:p>
            <w:pPr>
              <w:spacing w:after="0"/>
              <w:rPr>
                <w:sz w:val="20"/>
                <w:szCs w:val="20"/>
                <w:color w:val="auto"/>
              </w:rPr>
            </w:pPr>
            <w:r>
              <w:rPr>
                <w:rFonts w:ascii="Arial" w:cs="Arial" w:eastAsia="Arial" w:hAnsi="Arial"/>
                <w:sz w:val="22"/>
                <w:szCs w:val="22"/>
                <w:color w:val="auto"/>
              </w:rPr>
              <w:t>Item 2(b):</w:t>
            </w:r>
          </w:p>
        </w:tc>
        <w:tc>
          <w:tcPr>
            <w:tcW w:w="9860" w:type="dxa"/>
            <w:vAlign w:val="bottom"/>
            <w:gridSpan w:val="8"/>
          </w:tcPr>
          <w:p>
            <w:pPr>
              <w:spacing w:after="0"/>
              <w:rPr>
                <w:sz w:val="20"/>
                <w:szCs w:val="20"/>
                <w:color w:val="auto"/>
              </w:rPr>
            </w:pPr>
            <w:r>
              <w:rPr>
                <w:rFonts w:ascii="Arial" w:cs="Arial" w:eastAsia="Arial" w:hAnsi="Arial"/>
                <w:sz w:val="22"/>
                <w:szCs w:val="22"/>
                <w:color w:val="auto"/>
              </w:rPr>
              <w:t>Address of Principal Business Office:</w:t>
            </w:r>
          </w:p>
        </w:tc>
      </w:tr>
      <w:tr>
        <w:trPr>
          <w:trHeight w:val="445"/>
        </w:trPr>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(i)-(v):</w:t>
            </w:r>
          </w:p>
        </w:tc>
        <w:tc>
          <w:tcPr>
            <w:tcW w:w="1960" w:type="dxa"/>
            <w:vAlign w:val="bottom"/>
            <w:tcBorders>
              <w:top w:val="single" w:sz="8" w:color="auto"/>
            </w:tcBorders>
            <w:gridSpan w:val="4"/>
          </w:tcPr>
          <w:p>
            <w:pPr>
              <w:ind w:left="100"/>
              <w:spacing w:after="0"/>
              <w:rPr>
                <w:sz w:val="20"/>
                <w:szCs w:val="20"/>
                <w:color w:val="auto"/>
              </w:rPr>
            </w:pPr>
            <w:r>
              <w:rPr>
                <w:rFonts w:ascii="Arial" w:cs="Arial" w:eastAsia="Arial" w:hAnsi="Arial"/>
                <w:sz w:val="22"/>
                <w:szCs w:val="22"/>
                <w:color w:val="auto"/>
                <w:w w:val="92"/>
              </w:rPr>
              <w:t>6300 Lamar Avenue</w:t>
            </w:r>
          </w:p>
        </w:tc>
        <w:tc>
          <w:tcPr>
            <w:tcW w:w="6660" w:type="dxa"/>
            <w:vAlign w:val="bottom"/>
          </w:tcPr>
          <w:p>
            <w:pPr>
              <w:spacing w:after="0"/>
              <w:rPr>
                <w:sz w:val="24"/>
                <w:szCs w:val="24"/>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20" w:type="dxa"/>
            <w:vAlign w:val="bottom"/>
            <w:gridSpan w:val="5"/>
          </w:tcPr>
          <w:p>
            <w:pPr>
              <w:ind w:left="100"/>
              <w:spacing w:after="0"/>
              <w:rPr>
                <w:sz w:val="20"/>
                <w:szCs w:val="20"/>
                <w:color w:val="auto"/>
              </w:rPr>
            </w:pPr>
            <w:r>
              <w:rPr>
                <w:rFonts w:ascii="Arial" w:cs="Arial" w:eastAsia="Arial" w:hAnsi="Arial"/>
                <w:sz w:val="22"/>
                <w:szCs w:val="22"/>
                <w:color w:val="auto"/>
              </w:rPr>
              <w:t>Overland Park, KS 66202</w:t>
            </w:r>
          </w:p>
        </w:tc>
      </w:tr>
      <w:tr>
        <w:trPr>
          <w:trHeight w:val="395"/>
        </w:trPr>
        <w:tc>
          <w:tcPr>
            <w:tcW w:w="1480" w:type="dxa"/>
            <w:vAlign w:val="bottom"/>
            <w:gridSpan w:val="4"/>
          </w:tcPr>
          <w:p>
            <w:pPr>
              <w:spacing w:after="0"/>
              <w:rPr>
                <w:sz w:val="20"/>
                <w:szCs w:val="20"/>
                <w:color w:val="auto"/>
              </w:rPr>
            </w:pPr>
            <w:r>
              <w:rPr>
                <w:rFonts w:ascii="Arial" w:cs="Arial" w:eastAsia="Arial" w:hAnsi="Arial"/>
                <w:sz w:val="22"/>
                <w:szCs w:val="22"/>
                <w:color w:val="auto"/>
              </w:rPr>
              <w:t>Item 2(c):</w:t>
            </w:r>
          </w:p>
        </w:tc>
        <w:tc>
          <w:tcPr>
            <w:tcW w:w="1240" w:type="dxa"/>
            <w:vAlign w:val="bottom"/>
            <w:gridSpan w:val="3"/>
          </w:tcPr>
          <w:p>
            <w:pPr>
              <w:spacing w:after="0"/>
              <w:rPr>
                <w:sz w:val="20"/>
                <w:szCs w:val="20"/>
                <w:color w:val="auto"/>
              </w:rPr>
            </w:pPr>
            <w:r>
              <w:rPr>
                <w:rFonts w:ascii="Arial" w:cs="Arial" w:eastAsia="Arial" w:hAnsi="Arial"/>
                <w:sz w:val="22"/>
                <w:szCs w:val="22"/>
                <w:color w:val="auto"/>
              </w:rPr>
              <w:t>Citizenship: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22"/>
                <w:szCs w:val="22"/>
                <w:color w:val="auto"/>
              </w:rPr>
              <w:t>(i), (iii) and (v): Delaware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3"/>
          </w:tcPr>
          <w:p>
            <w:pPr>
              <w:spacing w:after="0" w:line="243" w:lineRule="exact"/>
              <w:rPr>
                <w:sz w:val="20"/>
                <w:szCs w:val="20"/>
                <w:color w:val="auto"/>
              </w:rPr>
            </w:pPr>
            <w:r>
              <w:rPr>
                <w:rFonts w:ascii="Arial" w:cs="Arial" w:eastAsia="Arial" w:hAnsi="Arial"/>
                <w:sz w:val="22"/>
                <w:szCs w:val="22"/>
                <w:color w:val="auto"/>
              </w:rPr>
              <w:t>(ii): Missouri</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60" w:type="dxa"/>
            <w:vAlign w:val="bottom"/>
          </w:tcPr>
          <w:p>
            <w:pPr>
              <w:spacing w:after="0"/>
              <w:rPr>
                <w:sz w:val="21"/>
                <w:szCs w:val="21"/>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22"/>
                <w:szCs w:val="22"/>
                <w:color w:val="auto"/>
              </w:rPr>
              <w:t>(iv): Kansas</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395"/>
        </w:trPr>
        <w:tc>
          <w:tcPr>
            <w:tcW w:w="1480" w:type="dxa"/>
            <w:vAlign w:val="bottom"/>
            <w:gridSpan w:val="4"/>
          </w:tcPr>
          <w:p>
            <w:pPr>
              <w:spacing w:after="0"/>
              <w:rPr>
                <w:sz w:val="20"/>
                <w:szCs w:val="20"/>
                <w:color w:val="auto"/>
              </w:rPr>
            </w:pPr>
            <w:r>
              <w:rPr>
                <w:rFonts w:ascii="Arial" w:cs="Arial" w:eastAsia="Arial" w:hAnsi="Arial"/>
                <w:sz w:val="22"/>
                <w:szCs w:val="22"/>
                <w:color w:val="auto"/>
              </w:rPr>
              <w:t>Item 2(d):</w:t>
            </w:r>
          </w:p>
        </w:tc>
        <w:tc>
          <w:tcPr>
            <w:tcW w:w="9860" w:type="dxa"/>
            <w:vAlign w:val="bottom"/>
            <w:gridSpan w:val="8"/>
          </w:tcPr>
          <w:p>
            <w:pPr>
              <w:spacing w:after="0"/>
              <w:rPr>
                <w:sz w:val="20"/>
                <w:szCs w:val="20"/>
                <w:color w:val="auto"/>
              </w:rPr>
            </w:pPr>
            <w:r>
              <w:rPr>
                <w:rFonts w:ascii="Arial" w:cs="Arial" w:eastAsia="Arial" w:hAnsi="Arial"/>
                <w:sz w:val="22"/>
                <w:szCs w:val="22"/>
                <w:color w:val="auto"/>
              </w:rPr>
              <w:t>Title of Class of Securities: Common Stock</w:t>
            </w:r>
          </w:p>
        </w:tc>
      </w:tr>
      <w:tr>
        <w:trPr>
          <w:trHeight w:val="20"/>
        </w:trPr>
        <w:tc>
          <w:tcPr>
            <w:tcW w:w="5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26"/>
        </w:trPr>
        <w:tc>
          <w:tcPr>
            <w:tcW w:w="1480" w:type="dxa"/>
            <w:vAlign w:val="bottom"/>
            <w:gridSpan w:val="4"/>
          </w:tcPr>
          <w:p>
            <w:pPr>
              <w:spacing w:after="0"/>
              <w:rPr>
                <w:sz w:val="20"/>
                <w:szCs w:val="20"/>
                <w:color w:val="auto"/>
              </w:rPr>
            </w:pPr>
            <w:r>
              <w:rPr>
                <w:rFonts w:ascii="Arial" w:cs="Arial" w:eastAsia="Arial" w:hAnsi="Arial"/>
                <w:sz w:val="22"/>
                <w:szCs w:val="22"/>
                <w:color w:val="auto"/>
              </w:rPr>
              <w:t>Item 2(e):</w:t>
            </w:r>
          </w:p>
        </w:tc>
        <w:tc>
          <w:tcPr>
            <w:tcW w:w="9860" w:type="dxa"/>
            <w:vAlign w:val="bottom"/>
            <w:gridSpan w:val="8"/>
          </w:tcPr>
          <w:p>
            <w:pPr>
              <w:spacing w:after="0"/>
              <w:rPr>
                <w:sz w:val="20"/>
                <w:szCs w:val="20"/>
                <w:color w:val="auto"/>
              </w:rPr>
            </w:pPr>
            <w:r>
              <w:rPr>
                <w:rFonts w:ascii="Arial" w:cs="Arial" w:eastAsia="Arial" w:hAnsi="Arial"/>
                <w:sz w:val="22"/>
                <w:szCs w:val="22"/>
                <w:color w:val="auto"/>
              </w:rPr>
              <w:t>CUSIP Number: 72651A108</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426"/>
        </w:trPr>
        <w:tc>
          <w:tcPr>
            <w:tcW w:w="800" w:type="dxa"/>
            <w:vAlign w:val="bottom"/>
            <w:gridSpan w:val="2"/>
          </w:tcPr>
          <w:p>
            <w:pPr>
              <w:spacing w:after="0"/>
              <w:rPr>
                <w:sz w:val="20"/>
                <w:szCs w:val="20"/>
                <w:color w:val="auto"/>
              </w:rPr>
            </w:pPr>
            <w:r>
              <w:rPr>
                <w:rFonts w:ascii="Arial" w:cs="Arial" w:eastAsia="Arial" w:hAnsi="Arial"/>
                <w:sz w:val="22"/>
                <w:szCs w:val="22"/>
                <w:color w:val="auto"/>
              </w:rPr>
              <w:t>Item 3:</w:t>
            </w:r>
          </w:p>
        </w:tc>
        <w:tc>
          <w:tcPr>
            <w:tcW w:w="680" w:type="dxa"/>
            <w:vAlign w:val="bottom"/>
            <w:gridSpan w:val="2"/>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22"/>
                <w:szCs w:val="22"/>
                <w:color w:val="auto"/>
              </w:rPr>
              <w:t>The reporting person is:</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4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2"/>
                <w:szCs w:val="22"/>
                <w:color w:val="auto"/>
              </w:rPr>
              <w:t>(i)</w:t>
            </w:r>
          </w:p>
        </w:tc>
        <w:tc>
          <w:tcPr>
            <w:tcW w:w="9420" w:type="dxa"/>
            <w:vAlign w:val="bottom"/>
            <w:gridSpan w:val="7"/>
          </w:tcPr>
          <w:p>
            <w:pPr>
              <w:ind w:left="120"/>
              <w:spacing w:after="0"/>
              <w:rPr>
                <w:sz w:val="20"/>
                <w:szCs w:val="20"/>
                <w:color w:val="auto"/>
              </w:rPr>
            </w:pPr>
            <w:r>
              <w:rPr>
                <w:rFonts w:ascii="Arial" w:cs="Arial" w:eastAsia="Arial" w:hAnsi="Arial"/>
                <w:sz w:val="22"/>
                <w:szCs w:val="22"/>
                <w:color w:val="auto"/>
                <w:w w:val="90"/>
              </w:rPr>
              <w:t>Waddell &amp; Reed Financial, Inc., a parent holding company in accordance with Reg. 240.13d-1(b)(1)(ii)(G);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0"/>
              </w:rPr>
              <w:t>Waddell &amp; Reed Financial Services, Inc., a parent holding company in accordance with Reg. 240.13d-1(b)</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(iii)</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7"/>
              </w:rPr>
              <w:t>Waddell &amp; Reed, Inc., a broker-dealer registered under section 15 of the Act (15 U.S.C. 78o); and</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(iv)</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5"/>
              </w:rPr>
              <w:t>Waddell &amp; Reed Investment Management Company, an investment advisor in accordance with Reg.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240.13d-1(b)(1)(ii)(E).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(v)</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0"/>
              </w:rPr>
              <w:t>Ivy Investment Management Company, an investment advisor in accordance with Reg. 240.13d-1(b)(1)(ii)</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ind w:left="120"/>
              <w:spacing w:after="0"/>
              <w:rPr>
                <w:sz w:val="20"/>
                <w:szCs w:val="20"/>
                <w:color w:val="auto"/>
              </w:rPr>
            </w:pPr>
            <w:r>
              <w:rPr>
                <w:rFonts w:ascii="Arial" w:cs="Arial" w:eastAsia="Arial" w:hAnsi="Arial"/>
                <w:sz w:val="22"/>
                <w:szCs w:val="22"/>
                <w:color w:val="auto"/>
              </w:rPr>
              <w:t>(E).</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60" w:type="dxa"/>
            <w:vAlign w:val="bottom"/>
          </w:tcPr>
          <w:p>
            <w:pPr>
              <w:spacing w:after="0"/>
              <w:rPr>
                <w:sz w:val="23"/>
                <w:szCs w:val="23"/>
                <w:color w:val="auto"/>
              </w:rPr>
            </w:pPr>
          </w:p>
        </w:tc>
      </w:tr>
    </w:tbl>
    <w:p>
      <w:pPr>
        <w:sectPr>
          <w:pgSz w:w="11900" w:h="16838" w:orient="portrait"/>
          <w:cols w:equalWidth="0" w:num="1">
            <w:col w:w="11340"/>
          </w:cols>
          <w:pgMar w:left="240" w:top="267" w:right="319" w:bottom="1440" w:gutter="0" w:footer="0" w:header="0"/>
        </w:sectPr>
      </w:pPr>
    </w:p>
    <w:bookmarkStart w:id="7" w:name="page8"/>
    <w:bookmarkEnd w:id="7"/>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pacing w:after="0" w:line="152" w:lineRule="exact"/>
        <w:rPr>
          <w:sz w:val="20"/>
          <w:szCs w:val="20"/>
          <w:color w:val="auto"/>
        </w:rPr>
      </w:pPr>
    </w:p>
    <w:p>
      <w:pPr>
        <w:ind w:firstLine="1484"/>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36" w:lineRule="exact"/>
        <w:rPr>
          <w:sz w:val="20"/>
          <w:szCs w:val="20"/>
          <w:color w:val="auto"/>
        </w:rPr>
      </w:pPr>
    </w:p>
    <w:p>
      <w:pPr>
        <w:ind w:right="40" w:firstLine="571"/>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173" w:lineRule="exact"/>
        <w:rPr>
          <w:sz w:val="20"/>
          <w:szCs w:val="20"/>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20,260,070</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9.9</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192"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192"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WDR: 20,260,070 (indirect)</w:t>
      </w:r>
    </w:p>
    <w:p>
      <w:pPr>
        <w:spacing w:after="0" w:line="8" w:lineRule="exact"/>
        <w:rPr>
          <w:rFonts w:ascii="Arial" w:cs="Arial" w:eastAsia="Arial" w:hAnsi="Arial"/>
          <w:sz w:val="22"/>
          <w:szCs w:val="22"/>
          <w:color w:val="auto"/>
        </w:rPr>
      </w:pP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WRFSI: 3,706,400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 3,706,400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WRIMCO: 3,706,400 (direct)</w:t>
      </w:r>
    </w:p>
    <w:p>
      <w:pPr>
        <w:ind w:left="2740"/>
        <w:spacing w:after="0"/>
        <w:rPr>
          <w:rFonts w:ascii="Arial" w:cs="Arial" w:eastAsia="Arial" w:hAnsi="Arial"/>
          <w:sz w:val="22"/>
          <w:szCs w:val="22"/>
          <w:color w:val="auto"/>
        </w:rPr>
      </w:pPr>
      <w:r>
        <w:rPr>
          <w:rFonts w:ascii="Arial" w:cs="Arial" w:eastAsia="Arial" w:hAnsi="Arial"/>
          <w:sz w:val="22"/>
          <w:szCs w:val="22"/>
          <w:color w:val="auto"/>
        </w:rPr>
        <w:t>IICO: 16,553,670 (direct)</w:t>
      </w:r>
    </w:p>
    <w:p>
      <w:pPr>
        <w:spacing w:after="0" w:line="174"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192"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192"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WDR: 20,260,070 (indirect)</w:t>
      </w:r>
    </w:p>
    <w:p>
      <w:pPr>
        <w:spacing w:after="0" w:line="8" w:lineRule="exact"/>
        <w:rPr>
          <w:rFonts w:ascii="Arial" w:cs="Arial" w:eastAsia="Arial" w:hAnsi="Arial"/>
          <w:sz w:val="22"/>
          <w:szCs w:val="22"/>
          <w:color w:val="auto"/>
        </w:rPr>
      </w:pP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WRFSI: 3,706,400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 3,706,400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WRIMCO: 3,706,400 (direct)</w:t>
      </w:r>
    </w:p>
    <w:p>
      <w:pPr>
        <w:ind w:left="2740"/>
        <w:spacing w:after="0"/>
        <w:rPr>
          <w:rFonts w:ascii="Arial" w:cs="Arial" w:eastAsia="Arial" w:hAnsi="Arial"/>
          <w:sz w:val="22"/>
          <w:szCs w:val="22"/>
          <w:color w:val="auto"/>
        </w:rPr>
      </w:pPr>
      <w:r>
        <w:rPr>
          <w:rFonts w:ascii="Arial" w:cs="Arial" w:eastAsia="Arial" w:hAnsi="Arial"/>
          <w:sz w:val="22"/>
          <w:szCs w:val="22"/>
          <w:color w:val="auto"/>
        </w:rPr>
        <w:t>IICO: 16,553,670 (direct)</w:t>
      </w:r>
    </w:p>
    <w:p>
      <w:pPr>
        <w:sectPr>
          <w:pgSz w:w="11900" w:h="16838" w:orient="portrait"/>
          <w:cols w:equalWidth="0" w:num="1">
            <w:col w:w="11400"/>
          </w:cols>
          <w:pgMar w:left="240" w:top="267" w:right="259" w:bottom="1440" w:gutter="0" w:footer="0" w:header="0"/>
        </w:sectPr>
      </w:pPr>
    </w:p>
    <w:bookmarkStart w:id="8" w:name="page9"/>
    <w:bookmarkEnd w:id="8"/>
    <w:p>
      <w:pPr>
        <w:ind w:left="2740" w:hanging="679"/>
        <w:spacing w:after="0"/>
        <w:tabs>
          <w:tab w:leader="none" w:pos="2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Shared power to dispose or to direct the disposition of: 0</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152" w:lineRule="exact"/>
        <w:rPr>
          <w:sz w:val="20"/>
          <w:szCs w:val="20"/>
          <w:color w:val="auto"/>
        </w:rPr>
      </w:pPr>
    </w:p>
    <w:p>
      <w:pPr>
        <w:ind w:right="40" w:firstLine="1484"/>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5 percent of the class of securities, check the following: [ ]</w:t>
      </w:r>
    </w:p>
    <w:p>
      <w:pPr>
        <w:spacing w:after="0" w:line="160"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152" w:lineRule="exact"/>
        <w:rPr>
          <w:sz w:val="20"/>
          <w:szCs w:val="20"/>
          <w:color w:val="auto"/>
        </w:rPr>
      </w:pPr>
    </w:p>
    <w:p>
      <w:pPr>
        <w:ind w:firstLine="1484"/>
        <w:spacing w:after="0" w:line="238" w:lineRule="auto"/>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 Ivy Asset Strategy Fund, a company registered under the Investment Company Act of 1940, has an interest in more than 5% of the class of securities reported herein.</w:t>
      </w:r>
    </w:p>
    <w:p>
      <w:pPr>
        <w:spacing w:after="0" w:line="172" w:lineRule="exact"/>
        <w:rPr>
          <w:sz w:val="20"/>
          <w:szCs w:val="20"/>
          <w:color w:val="auto"/>
        </w:rPr>
      </w:pPr>
    </w:p>
    <w:p>
      <w:pPr>
        <w:ind w:left="1480" w:right="60" w:hanging="1471"/>
        <w:spacing w:after="0" w:line="251" w:lineRule="auto"/>
        <w:tabs>
          <w:tab w:leader="none" w:pos="146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16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See Attached Exhibit 2.</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193" w:lineRule="exact"/>
        <w:rPr>
          <w:sz w:val="20"/>
          <w:szCs w:val="20"/>
          <w:color w:val="auto"/>
        </w:rPr>
      </w:pPr>
    </w:p>
    <w:p>
      <w:pPr>
        <w:jc w:val="center"/>
        <w:ind w:right="7000"/>
        <w:spacing w:after="0"/>
        <w:rPr>
          <w:sz w:val="20"/>
          <w:szCs w:val="20"/>
          <w:color w:val="auto"/>
        </w:rPr>
      </w:pPr>
      <w:r>
        <w:rPr>
          <w:rFonts w:ascii="Arial" w:cs="Arial" w:eastAsia="Arial" w:hAnsi="Arial"/>
          <w:sz w:val="22"/>
          <w:szCs w:val="22"/>
          <w:color w:val="auto"/>
        </w:rPr>
        <w:t>Not Applicable.</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340"/>
          </w:cols>
          <w:pgMar w:left="240" w:top="267" w:right="319" w:bottom="1440" w:gutter="0" w:footer="0" w:header="0"/>
        </w:sectPr>
      </w:pPr>
    </w:p>
    <w:bookmarkStart w:id="9" w:name="page10"/>
    <w:bookmarkEnd w:id="9"/>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152" w:lineRule="exact"/>
        <w:rPr>
          <w:sz w:val="20"/>
          <w:szCs w:val="20"/>
          <w:color w:val="auto"/>
        </w:rPr>
      </w:pPr>
    </w:p>
    <w:p>
      <w:pPr>
        <w:ind w:firstLine="1484"/>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2015</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760" w:type="dxa"/>
            <w:vAlign w:val="bottom"/>
            <w:gridSpan w:val="3"/>
          </w:tcPr>
          <w:p>
            <w:pPr>
              <w:ind w:left="122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Title: Attorney-In-Fact</w:t>
            </w:r>
          </w:p>
        </w:tc>
      </w:tr>
      <w:tr>
        <w:trPr>
          <w:trHeight w:val="675"/>
        </w:trPr>
        <w:tc>
          <w:tcPr>
            <w:tcW w:w="460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w w:val="89"/>
              </w:rPr>
              <w:t>Waddell &amp; Reed Investment Management Company</w:t>
            </w: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760" w:type="dxa"/>
            <w:vAlign w:val="bottom"/>
            <w:gridSpan w:val="3"/>
          </w:tcPr>
          <w:p>
            <w:pPr>
              <w:ind w:left="122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Title: Attorney-In-Fact</w:t>
            </w:r>
          </w:p>
        </w:tc>
      </w:tr>
      <w:tr>
        <w:trPr>
          <w:trHeight w:val="675"/>
        </w:trPr>
        <w:tc>
          <w:tcPr>
            <w:tcW w:w="460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16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6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1360"/>
          </w:cols>
          <w:pgMar w:left="240" w:top="267" w:right="299" w:bottom="1440" w:gutter="0" w:footer="0" w:header="0"/>
        </w:sectPr>
      </w:pPr>
    </w:p>
    <w:bookmarkStart w:id="10" w:name="page11"/>
    <w:bookmarkEnd w:id="10"/>
    <w:p>
      <w:pPr>
        <w:jc w:val="center"/>
        <w:ind w:right="-2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188" w:lineRule="exact"/>
        <w:rPr>
          <w:sz w:val="20"/>
          <w:szCs w:val="20"/>
          <w:color w:val="auto"/>
        </w:rPr>
      </w:pPr>
    </w:p>
    <w:p>
      <w:pPr>
        <w:ind w:left="1400" w:hanging="1142"/>
        <w:spacing w:after="0"/>
        <w:tabs>
          <w:tab w:leader="none" w:pos="14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400" w:hanging="1142"/>
        <w:spacing w:after="0" w:line="251" w:lineRule="auto"/>
        <w:tabs>
          <w:tab w:leader="none" w:pos="14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400" w:hanging="1142"/>
        <w:spacing w:after="0"/>
        <w:tabs>
          <w:tab w:leader="none" w:pos="14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1160"/>
          </w:cols>
          <w:pgMar w:left="260" w:top="267" w:right="47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22"/>
          <w:szCs w:val="22"/>
          <w:u w:val="single" w:color="auto"/>
          <w:color w:val="auto"/>
        </w:rPr>
        <w:t>EXHIBIT 1</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152"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1"/>
          <w:szCs w:val="11"/>
          <w:color w:val="auto"/>
        </w:rPr>
        <w:t>nd</w:t>
      </w:r>
      <w:r>
        <w:rPr>
          <w:rFonts w:ascii="Arial" w:cs="Arial" w:eastAsia="Arial" w:hAnsi="Arial"/>
          <w:sz w:val="22"/>
          <w:szCs w:val="22"/>
          <w:color w:val="auto"/>
        </w:rPr>
        <w:t xml:space="preserve"> day of February, 2007.</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Waddell &amp; Reed Financial Services, Inc.</w:t>
            </w: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6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675"/>
        </w:trPr>
        <w:tc>
          <w:tcPr>
            <w:tcW w:w="472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20" w:type="dxa"/>
            <w:vAlign w:val="bottom"/>
          </w:tcPr>
          <w:p>
            <w:pPr>
              <w:spacing w:after="0"/>
              <w:rPr>
                <w:sz w:val="23"/>
                <w:szCs w:val="23"/>
                <w:color w:val="auto"/>
              </w:rPr>
            </w:pPr>
          </w:p>
        </w:tc>
      </w:tr>
    </w:tbl>
    <w:p>
      <w:pPr>
        <w:sectPr>
          <w:pgSz w:w="11900" w:h="16838" w:orient="portrait"/>
          <w:cols w:equalWidth="0" w:num="1">
            <w:col w:w="11340"/>
          </w:cols>
          <w:pgMar w:left="240" w:top="118" w:right="31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152" w:lineRule="exact"/>
        <w:rPr>
          <w:sz w:val="20"/>
          <w:szCs w:val="20"/>
          <w:color w:val="auto"/>
        </w:rPr>
      </w:pPr>
    </w:p>
    <w:p>
      <w:pPr>
        <w:ind w:right="1679" w:firstLine="799"/>
        <w:spacing w:after="0" w:line="384"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77"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ind w:right="260"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Financial,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60"/>
          </w:cols>
          <w:pgMar w:left="240" w:top="118" w:right="29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ind w:right="260"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Financial Services,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60"/>
          </w:cols>
          <w:pgMar w:left="240" w:top="261" w:right="29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ind w:right="240"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6400"/>
        <w:spacing w:after="0" w:line="238" w:lineRule="auto"/>
        <w:rPr>
          <w:sz w:val="20"/>
          <w:szCs w:val="20"/>
          <w:color w:val="auto"/>
        </w:rPr>
      </w:pPr>
      <w:r>
        <w:rPr>
          <w:rFonts w:ascii="Arial" w:cs="Arial" w:eastAsia="Arial" w:hAnsi="Arial"/>
          <w:sz w:val="22"/>
          <w:szCs w:val="22"/>
          <w:color w:val="auto"/>
        </w:rPr>
        <w:t>Thomas W. Butch</w:t>
      </w:r>
    </w:p>
    <w:p>
      <w:pPr>
        <w:ind w:left="640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40"/>
          </w:cols>
          <w:pgMar w:left="240" w:top="261" w:right="31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ind w:right="300"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Investment Management Company</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00"/>
          </w:cols>
          <w:pgMar w:left="240" w:top="261" w:right="25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158" w:lineRule="exact"/>
        <w:rPr>
          <w:sz w:val="20"/>
          <w:szCs w:val="20"/>
          <w:color w:val="auto"/>
        </w:rPr>
      </w:pPr>
    </w:p>
    <w:p>
      <w:pPr>
        <w:ind w:firstLine="571"/>
        <w:spacing w:after="0" w:line="245" w:lineRule="auto"/>
        <w:rPr>
          <w:sz w:val="20"/>
          <w:szCs w:val="20"/>
          <w:color w:val="auto"/>
        </w:rPr>
      </w:pPr>
      <w:r>
        <w:rPr>
          <w:rFonts w:ascii="Arial" w:cs="Arial" w:eastAsia="Arial" w:hAnsi="Arial"/>
          <w:sz w:val="21"/>
          <w:szCs w:val="21"/>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22" w:lineRule="exact"/>
        <w:rPr>
          <w:sz w:val="20"/>
          <w:szCs w:val="20"/>
          <w:color w:val="auto"/>
        </w:rPr>
      </w:pPr>
    </w:p>
    <w:p>
      <w:pPr>
        <w:ind w:right="280" w:firstLine="571"/>
        <w:spacing w:after="0" w:line="33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corporation has caused this power of attorney to be executed in its corporate name by its</w:t>
      </w:r>
      <w:r>
        <w:rPr>
          <w:rFonts w:ascii="Arial" w:cs="Arial" w:eastAsia="Arial" w:hAnsi="Arial"/>
          <w:sz w:val="19"/>
          <w:szCs w:val="19"/>
          <w:b w:val="1"/>
          <w:bCs w:val="1"/>
          <w:color w:val="auto"/>
        </w:rPr>
        <w:t xml:space="preserve"> </w:t>
      </w:r>
      <w:r>
        <w:rPr>
          <w:rFonts w:ascii="Arial" w:cs="Arial" w:eastAsia="Arial" w:hAnsi="Arial"/>
          <w:sz w:val="19"/>
          <w:szCs w:val="19"/>
          <w:color w:val="auto"/>
        </w:rPr>
        <w:t>Chief Executive Officer and its Secretary with its corporate seal to be affixed hereto on this 11</w:t>
      </w:r>
      <w:r>
        <w:rPr>
          <w:rFonts w:ascii="Arial" w:cs="Arial" w:eastAsia="Arial" w:hAnsi="Arial"/>
          <w:sz w:val="10"/>
          <w:szCs w:val="10"/>
          <w:color w:val="auto"/>
        </w:rPr>
        <w:t>th</w:t>
      </w:r>
      <w:r>
        <w:rPr>
          <w:rFonts w:ascii="Arial" w:cs="Arial" w:eastAsia="Arial" w:hAnsi="Arial"/>
          <w:sz w:val="19"/>
          <w:szCs w:val="19"/>
          <w:color w:val="auto"/>
        </w:rPr>
        <w:t xml:space="preserve"> day of November, 2010.</w:t>
      </w:r>
    </w:p>
    <w:p>
      <w:pPr>
        <w:spacing w:after="0" w:line="200" w:lineRule="exact"/>
        <w:rPr>
          <w:sz w:val="20"/>
          <w:szCs w:val="20"/>
          <w:color w:val="auto"/>
        </w:rPr>
      </w:pPr>
    </w:p>
    <w:p>
      <w:pPr>
        <w:spacing w:after="0" w:line="29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Ivy Investment Management Company</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380"/>
      </w:cols>
      <w:pgMar w:left="240" w:top="2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2]"/>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1"/>
    </w:lvl>
  </w:abstractNum>
  <w:abstractNum w:abstractNumId="13">
    <w:nsid w:val="41A7C4C9"/>
    <w:multiLevelType w:val="hybridMultilevel"/>
    <w:lvl w:ilvl="0">
      <w:lvlJc w:val="left"/>
      <w:lvlText w:val="(%1)"/>
      <w:numFmt w:val="lowerRoman"/>
      <w:start w:val="4"/>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2020-01-22T14:06:26Z</dcterms:created>
  <dcterms:modified xsi:type="dcterms:W3CDTF">2020-01-22T14:06:26Z</dcterms:modified>
</cp:coreProperties>
</file>