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8"/>
          <w:szCs w:val="18"/>
          <w:color w:val="auto"/>
        </w:rPr>
        <w:t>Filed Pursuant to Rule 424 (b) (7)</w:t>
      </w:r>
    </w:p>
    <w:p>
      <w:pPr>
        <w:spacing w:after="0" w:line="27"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8"/>
          <w:szCs w:val="18"/>
          <w:color w:val="auto"/>
        </w:rPr>
        <w:t>Registration No. 333-200596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142875</wp:posOffset>
            </wp:positionV>
            <wp:extent cx="283019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402,447,679 Class A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Limited Partner Interests</w:t>
      </w:r>
    </w:p>
    <w:p>
      <w:pPr>
        <w:spacing w:after="0" w:line="207" w:lineRule="exact"/>
        <w:rPr>
          <w:sz w:val="24"/>
          <w:szCs w:val="24"/>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amends certain information contained in the prospectus dated December 10, 2014, as supplemented by the prospectus supplement dated December 31, 2014 (together, the “Prospectus”), covering the resale by selling stockholders of up to an aggregate of 402,447,679 Class A shares representing limited partner interests in us. This prospectus supplement is not complete without, and may not be utilized except in connection with, the Prospectus, including any amendments or supplements thereto.</w:t>
      </w:r>
    </w:p>
    <w:p>
      <w:pPr>
        <w:spacing w:after="0" w:line="176" w:lineRule="exact"/>
        <w:rPr>
          <w:sz w:val="24"/>
          <w:szCs w:val="24"/>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71" w:lineRule="exact"/>
        <w:rPr>
          <w:sz w:val="24"/>
          <w:szCs w:val="24"/>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 Class A shares or determined if this prospectus supplement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April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4"/>
          <w:szCs w:val="24"/>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4"/>
          <w:szCs w:val="24"/>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March 26, 2015, (i) KAFU Holdings, L.P. (“KAFU”) transferred a total of 87,435,415 Class B shares, AAP units and general partner units to KAFU Holdings (QP), L.P. (“KAFU QP”); (ii) KA First Reserve XII, LLC (“KAFR”) transferred a total of 424,500 Class B shares, AAP units and general partner units to FRCI, LLC; and (iii) KAFR transferred a total of 565,793 Class B shares, AAP units and general partner units to Kayne Anderson Capital Advisors, L.P. (“KACALP”). On or about March 31, 2015, (i) KAFU exercised the Exchange Right with respect to 529,122 of its Class B shares, AAP units and general partner units and then distributed the resulting 529,122 Class A shares to certain of the selling shareholders listed below; and (ii) KAFU QP exercised the Exchange Right with respect to 290,613 of its Class B shares, AAP units and general partner units and then distributed the resulting 290,613 Class A shares to certain of the selling shareholders listed below. We are amending the Selling Shareholder table in the Prospectus to reflect these transfers and to include or update information with respect to the transferees of such interests.</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Class A</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7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Class A Shares</w:t>
            </w: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Shareholders</w:t>
            </w:r>
          </w:p>
        </w:tc>
        <w:tc>
          <w:tcPr>
            <w:tcW w:w="300" w:type="dxa"/>
            <w:vAlign w:val="bottom"/>
            <w:vMerge w:val="restart"/>
          </w:tcPr>
          <w:p>
            <w:pPr>
              <w:spacing w:after="0"/>
              <w:rPr>
                <w:sz w:val="12"/>
                <w:szCs w:val="12"/>
                <w:color w:val="auto"/>
              </w:rPr>
            </w:pPr>
          </w:p>
        </w:tc>
        <w:tc>
          <w:tcPr>
            <w:tcW w:w="2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7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4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73"/>
        </w:trPr>
        <w:tc>
          <w:tcPr>
            <w:tcW w:w="30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to the Offering</w:t>
            </w:r>
          </w:p>
        </w:tc>
        <w:tc>
          <w:tcPr>
            <w:tcW w:w="4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3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 Hereby</w:t>
            </w:r>
          </w:p>
        </w:tc>
        <w:tc>
          <w:tcPr>
            <w:tcW w:w="4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KAFU Holdings, L.P.</w:t>
            </w: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6,555,857</w:t>
            </w:r>
          </w:p>
        </w:tc>
        <w:tc>
          <w:tcPr>
            <w:tcW w:w="4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6,555,857</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KAFU Holdings (QP), L.P.(2)</w:t>
            </w:r>
          </w:p>
        </w:tc>
        <w:tc>
          <w:tcPr>
            <w:tcW w:w="2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87,144,802</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w:t>
            </w: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87,144,802</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Buena Vista Three Investment Corp.(3)</w:t>
            </w:r>
          </w:p>
        </w:tc>
        <w:tc>
          <w:tcPr>
            <w:tcW w:w="2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352,467</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352,467</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UBS Financial Services Inc. FBO Robert</w:t>
            </w: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 Schnell IRA</w:t>
            </w:r>
          </w:p>
        </w:tc>
        <w:tc>
          <w:tcPr>
            <w:tcW w:w="2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176,655</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176,655</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Howard &amp; Marcie Zelikow Living Trust</w:t>
            </w:r>
          </w:p>
        </w:tc>
        <w:tc>
          <w:tcPr>
            <w:tcW w:w="1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dtd 5/30/07 Howard M. Zelikow and</w:t>
            </w:r>
          </w:p>
        </w:tc>
        <w:tc>
          <w:tcPr>
            <w:tcW w:w="1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Marcie P. Zelikow, TTEES(4)</w:t>
            </w:r>
          </w:p>
        </w:tc>
        <w:tc>
          <w:tcPr>
            <w:tcW w:w="2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88,085</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88,085</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 NFP Fund, LLC(5)</w:t>
            </w:r>
          </w:p>
        </w:tc>
        <w:tc>
          <w:tcPr>
            <w:tcW w:w="2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66,387</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66,387</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Peter H. Neuwirth Trust dtd 12/9/91 Peter</w:t>
            </w:r>
          </w:p>
        </w:tc>
        <w:tc>
          <w:tcPr>
            <w:tcW w:w="1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 Neuwirth, Trustee(6)</w:t>
            </w:r>
          </w:p>
        </w:tc>
        <w:tc>
          <w:tcPr>
            <w:tcW w:w="2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50,000</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50,000</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NFS FBO Frank Arentowicz Roth IRA</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43,518(7)</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34,283(7)</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9,235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Minneapolis Jewish Federation DAF</w:t>
            </w:r>
          </w:p>
        </w:tc>
        <w:tc>
          <w:tcPr>
            <w:tcW w:w="1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Pool #1(8)</w:t>
            </w:r>
          </w:p>
        </w:tc>
        <w:tc>
          <w:tcPr>
            <w:tcW w:w="2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24,254</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24,254</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Minneapolis Jewish Federation Long</w:t>
            </w: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Term Pool #9(8)</w:t>
            </w:r>
          </w:p>
        </w:tc>
        <w:tc>
          <w:tcPr>
            <w:tcW w:w="2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14,799</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14,799</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Arentowicz-Nichols Revocable Living</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12,999(10)</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1,761(10)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
        </w:trPr>
        <w:tc>
          <w:tcPr>
            <w:tcW w:w="30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445"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dtd 8/31/04, Frank Arentowicz &amp;</w:t>
            </w:r>
          </w:p>
        </w:tc>
        <w:tc>
          <w:tcPr>
            <w:tcW w:w="2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Sara R. Nichols, Trustees(9)</w:t>
            </w:r>
          </w:p>
        </w:tc>
        <w:tc>
          <w:tcPr>
            <w:tcW w:w="2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David J. Walsh</w:t>
            </w:r>
          </w:p>
        </w:tc>
        <w:tc>
          <w:tcPr>
            <w:tcW w:w="22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7,742(11)</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3,742(11)</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4,000</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Rosenberg</w:t>
            </w:r>
          </w:p>
        </w:tc>
        <w:tc>
          <w:tcPr>
            <w:tcW w:w="22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4,812</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4,812</w:t>
            </w:r>
          </w:p>
        </w:tc>
        <w:tc>
          <w:tcPr>
            <w:tcW w:w="14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Hardy L. Thomas as Trustee of the HTTT</w:t>
            </w:r>
          </w:p>
        </w:tc>
        <w:tc>
          <w:tcPr>
            <w:tcW w:w="2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Exemption Trust(12)</w:t>
            </w:r>
          </w:p>
        </w:tc>
        <w:tc>
          <w:tcPr>
            <w:tcW w:w="22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2,490</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2,490</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 First Reserve XII, LLC</w:t>
            </w:r>
            <w:r>
              <w:rPr>
                <w:rFonts w:ascii="Times New Roman" w:cs="Times New Roman" w:eastAsia="Times New Roman" w:hAnsi="Times New Roman"/>
                <w:sz w:val="18"/>
                <w:szCs w:val="18"/>
                <w:color w:val="auto"/>
              </w:rPr>
              <w:t>(13)</w:t>
            </w:r>
          </w:p>
        </w:tc>
        <w:tc>
          <w:tcPr>
            <w:tcW w:w="22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67,122(14)</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67,122(14)</w:t>
            </w:r>
          </w:p>
        </w:tc>
        <w:tc>
          <w:tcPr>
            <w:tcW w:w="14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Kayne Anderson Capital Advisors, L.P.</w:t>
            </w:r>
          </w:p>
        </w:tc>
        <w:tc>
          <w:tcPr>
            <w:tcW w:w="2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w:t>
            </w:r>
          </w:p>
        </w:tc>
        <w:tc>
          <w:tcPr>
            <w:tcW w:w="22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565,793</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565,793</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FRCI, LLC(16)</w:t>
            </w:r>
          </w:p>
        </w:tc>
        <w:tc>
          <w:tcPr>
            <w:tcW w:w="22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424,500</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424,500</w:t>
            </w:r>
          </w:p>
        </w:tc>
        <w:tc>
          <w:tcPr>
            <w:tcW w:w="14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60" w:right="320" w:hanging="452"/>
        <w:spacing w:after="0" w:line="255" w:lineRule="auto"/>
        <w:tabs>
          <w:tab w:leader="none" w:pos="4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86"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KACALP serves as the manager of the selling shareholder. Richard A. Kayne is the controlling owner of KACALP, and Robert Sinnott is the portfolio manager of the selling shareholder. Therefore each of Messrs. Kayne and Sinnott may 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right="340"/>
        <w:spacing w:after="0" w:line="313" w:lineRule="auto"/>
        <w:rPr>
          <w:sz w:val="20"/>
          <w:szCs w:val="20"/>
          <w:color w:val="auto"/>
        </w:rPr>
      </w:pPr>
      <w:r>
        <w:rPr>
          <w:rFonts w:ascii="Times New Roman" w:cs="Times New Roman" w:eastAsia="Times New Roman" w:hAnsi="Times New Roman"/>
          <w:sz w:val="17"/>
          <w:szCs w:val="17"/>
          <w:color w:val="auto"/>
        </w:rPr>
        <w:t>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w:t>
      </w:r>
    </w:p>
    <w:p>
      <w:pPr>
        <w:spacing w:after="0" w:line="138" w:lineRule="exact"/>
        <w:rPr>
          <w:sz w:val="20"/>
          <w:szCs w:val="20"/>
          <w:color w:val="auto"/>
        </w:rPr>
      </w:pPr>
    </w:p>
    <w:p>
      <w:pPr>
        <w:ind w:left="460" w:right="320" w:hanging="452"/>
        <w:spacing w:after="0" w:line="266" w:lineRule="auto"/>
        <w:tabs>
          <w:tab w:leader="none" w:pos="4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76" w:lineRule="exact"/>
        <w:rPr>
          <w:rFonts w:ascii="Times New Roman" w:cs="Times New Roman" w:eastAsia="Times New Roman" w:hAnsi="Times New Roman"/>
          <w:sz w:val="18"/>
          <w:szCs w:val="18"/>
          <w:color w:val="auto"/>
        </w:rPr>
      </w:pPr>
    </w:p>
    <w:p>
      <w:pPr>
        <w:ind w:left="460" w:right="18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Each of Robert Sinnott, portfolio manager of the selling shareholder, and Richard Kayne, controlling owner of the manager of the selling shareholder, KACALP,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460" w:right="140" w:hanging="452"/>
        <w:spacing w:after="0" w:line="250" w:lineRule="auto"/>
        <w:tabs>
          <w:tab w:leader="none" w:pos="4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H. Iscol, President of the selling shareholder, exercises sole voting and dispositive power over the Class A shares held by the selling shareholder. Mr. Iscol disclaims beneficial ownership of any of our Class A shares held by the selling shareholder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Howard Zelikow and Marcie Zelikow are trustees of the selling shareholder and exercise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 w:lineRule="exact"/>
        <w:rPr>
          <w:rFonts w:ascii="Times New Roman" w:cs="Times New Roman" w:eastAsia="Times New Roman" w:hAnsi="Times New Roman"/>
          <w:sz w:val="18"/>
          <w:szCs w:val="18"/>
          <w:color w:val="auto"/>
        </w:rPr>
      </w:pPr>
    </w:p>
    <w:p>
      <w:pPr>
        <w:ind w:left="460" w:right="120" w:hanging="452"/>
        <w:spacing w:after="0" w:line="265" w:lineRule="auto"/>
        <w:tabs>
          <w:tab w:leader="none" w:pos="47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John Cutler, portfolio manager of the selling shareholder, and Jack Polsky, President of the manager of the selling shareholder, William Harris Investors, Inc.,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ind w:left="460" w:right="560" w:hanging="452"/>
        <w:spacing w:after="0" w:line="250" w:lineRule="auto"/>
        <w:tabs>
          <w:tab w:leader="none" w:pos="4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 Neuwirth, trustee of the selling shareholder, exercises sole voting and dispositive power over the Class A shares held by the selling shareholder. Mr. Neuwirth disclaims beneficial ownership of any of our Class A shares held by the selling shareholder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received 34,283 Class A shares in the transfer from KAFU QP, in addition to the 9,235 Class A shares previously owned.</w:t>
      </w:r>
    </w:p>
    <w:p>
      <w:pPr>
        <w:spacing w:after="0" w:line="9"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Gil Mann, Chief Executive Officer, Myra L. Giesener, Chief Financial Officer, Linda Ketover, President, and Jerel Shapiro, Treasurer,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Frank Arentowicz and Sara R. Nichols are trustees of the selling shareholder and exercise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received 1,761 Class A shares in the transfer from KAFU QP, in addition to the 11,238 Class A shares previously owned.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received 3,742 Class A shares in the transfer from KAFU QP, in addition to the 4,000 Class A shares previously owned.</w:t>
      </w:r>
    </w:p>
    <w:p>
      <w:pPr>
        <w:spacing w:after="0" w:line="9"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Hardy L. Thomas, trustee of the selling shareholder, exercises sole voting and dispositive power over the Class A shares held by the selling shareholder. Mr. Thomas disclaims beneficial ownership of any of our Class A shares held by the selling shareholder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460" w:right="320" w:hanging="452"/>
        <w:spacing w:after="0" w:line="255" w:lineRule="auto"/>
        <w:tabs>
          <w:tab w:leader="none" w:pos="4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the selling shareholder have advised us that the selling shareholder is an affiliate of a U.S. registered broker-dealer; however, the selling shareholder acquired the common units in the ordinary course of business and, at the time of the acquisition, had no agreements or understandings, directly or indirectly, with any party to distribute the common units held by the selling shareholder.</w:t>
      </w:r>
    </w:p>
    <w:p>
      <w:pPr>
        <w:spacing w:after="0" w:line="186" w:lineRule="exact"/>
        <w:rPr>
          <w:rFonts w:ascii="Times New Roman" w:cs="Times New Roman" w:eastAsia="Times New Roman" w:hAnsi="Times New Roman"/>
          <w:sz w:val="18"/>
          <w:szCs w:val="18"/>
          <w:color w:val="auto"/>
        </w:rPr>
      </w:pPr>
    </w:p>
    <w:p>
      <w:pPr>
        <w:ind w:left="46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managers of the selling shareholder, which acts by majority approval, exercises voting and dispositive power over the Class A shares held by the selling shareholder. The members of the board of managers are Kevin McCarthy, James Baker, Timothy Day, Kenneth Moore, Gary Reaves II and Michael France. Each of the members of the board of managers disclaims beneficial ownership of any of our Class A shares held by the selling shareholder except to the extent of his pecuniary interest therein.</w:t>
      </w:r>
    </w:p>
    <w:p>
      <w:pPr>
        <w:spacing w:after="0" w:line="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previously sold 14,000,000 Class A shares under the Prospectus.</w:t>
      </w:r>
    </w:p>
    <w:p>
      <w:pPr>
        <w:spacing w:after="0" w:line="9" w:lineRule="exact"/>
        <w:rPr>
          <w:rFonts w:ascii="Times New Roman" w:cs="Times New Roman" w:eastAsia="Times New Roman" w:hAnsi="Times New Roman"/>
          <w:sz w:val="18"/>
          <w:szCs w:val="18"/>
          <w:color w:val="auto"/>
        </w:rPr>
      </w:pPr>
    </w:p>
    <w:p>
      <w:pPr>
        <w:ind w:left="460" w:right="320" w:hanging="452"/>
        <w:spacing w:after="0" w:line="255" w:lineRule="auto"/>
        <w:tabs>
          <w:tab w:leader="none" w:pos="4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86" w:lineRule="exact"/>
        <w:rPr>
          <w:rFonts w:ascii="Times New Roman" w:cs="Times New Roman" w:eastAsia="Times New Roman" w:hAnsi="Times New Roman"/>
          <w:sz w:val="18"/>
          <w:szCs w:val="18"/>
          <w:color w:val="auto"/>
        </w:rPr>
      </w:pPr>
    </w:p>
    <w:p>
      <w:pPr>
        <w:ind w:left="4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Robert Sinnott, Chief Executive Officer of the selling shareholder, and Richard Kayne, controlling owner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ectPr>
          <w:pgSz w:w="11900" w:h="16838" w:orient="portrait"/>
          <w:cols w:equalWidth="0" w:num="1">
            <w:col w:w="11420"/>
          </w:cols>
          <w:pgMar w:left="240" w:top="130" w:right="239" w:bottom="0" w:gutter="0" w:footer="0" w:header="0"/>
        </w:sectPr>
      </w:pPr>
    </w:p>
    <w:bookmarkStart w:id="2" w:name="page3"/>
    <w:bookmarkEnd w:id="2"/>
    <w:p>
      <w:pPr>
        <w:jc w:val="center"/>
        <w:ind w:right="-71"/>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2" w:hanging="452"/>
        <w:spacing w:after="0" w:line="26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John Charles Frey and Kevin McCarthy are Managing Members of the selling shareholder and exercise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176"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32"/>
      </w:cols>
      <w:pgMar w:left="248" w:top="12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2020-01-23T02:07:15Z</dcterms:created>
  <dcterms:modified xsi:type="dcterms:W3CDTF">2020-01-23T02:07:15Z</dcterms:modified>
</cp:coreProperties>
</file>