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right"/>
        <w:rPr/>
      </w:pPr>
      <w:bookmarkStart w:id="0" w:name="filename1.htm"/>
      <w:bookmarkStart w:id="1" w:name="ksfilename1"/>
      <w:bookmarkEnd w:id="0"/>
      <w:bookmarkEnd w:id="1"/>
      <w:r>
        <w:rPr/>
        <w:t> </w:t>
      </w:r>
    </w:p>
    <w:p>
      <w:pPr>
        <w:pStyle w:val="TextBody"/>
        <w:spacing w:before="0" w:after="0"/>
        <w:ind w:left="0" w:right="0" w:hanging="0"/>
        <w:rPr>
          <w:rFonts w:ascii="Times New Roman" w:hAnsi="Times New Roman"/>
          <w:sz w:val="17"/>
        </w:rPr>
      </w:pPr>
      <w:r>
        <w:rPr>
          <w:rFonts w:ascii="Times New Roman" w:hAnsi="Times New Roman"/>
          <w:sz w:val="17"/>
        </w:rPr>
        <w:t>September 26, 2013</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H. Roger Schwall</w:t>
      </w:r>
    </w:p>
    <w:p>
      <w:pPr>
        <w:pStyle w:val="TextBody"/>
        <w:spacing w:before="0" w:after="0"/>
        <w:ind w:left="0" w:right="0" w:hanging="0"/>
        <w:rPr>
          <w:rFonts w:ascii="Times New Roman" w:hAnsi="Times New Roman"/>
          <w:sz w:val="17"/>
        </w:rPr>
      </w:pPr>
      <w:r>
        <w:rPr>
          <w:rFonts w:ascii="Times New Roman" w:hAnsi="Times New Roman"/>
          <w:sz w:val="17"/>
        </w:rPr>
        <w:t>Assistant Director</w:t>
      </w:r>
    </w:p>
    <w:p>
      <w:pPr>
        <w:pStyle w:val="TextBody"/>
        <w:spacing w:before="0" w:after="0"/>
        <w:ind w:left="0" w:right="0" w:hanging="0"/>
        <w:rPr>
          <w:rFonts w:ascii="Times New Roman" w:hAnsi="Times New Roman"/>
          <w:sz w:val="17"/>
        </w:rPr>
      </w:pPr>
      <w:r>
        <w:rPr>
          <w:rFonts w:ascii="Times New Roman" w:hAnsi="Times New Roman"/>
          <w:sz w:val="17"/>
        </w:rPr>
        <w:t>United States Securities and Exchange Commission</w:t>
      </w:r>
    </w:p>
    <w:p>
      <w:pPr>
        <w:pStyle w:val="TextBody"/>
        <w:spacing w:before="0" w:after="0"/>
        <w:ind w:left="0" w:right="0" w:hanging="0"/>
        <w:rPr>
          <w:rFonts w:ascii="Times New Roman" w:hAnsi="Times New Roman"/>
          <w:sz w:val="17"/>
        </w:rPr>
      </w:pPr>
      <w:r>
        <w:rPr>
          <w:rFonts w:ascii="Times New Roman" w:hAnsi="Times New Roman"/>
          <w:sz w:val="17"/>
        </w:rPr>
        <w:t>Division of Corporation Finance</w:t>
      </w:r>
    </w:p>
    <w:p>
      <w:pPr>
        <w:pStyle w:val="TextBody"/>
        <w:spacing w:before="0" w:after="0"/>
        <w:ind w:left="0" w:right="0" w:hanging="0"/>
        <w:rPr>
          <w:rFonts w:ascii="Times New Roman" w:hAnsi="Times New Roman"/>
          <w:sz w:val="17"/>
        </w:rPr>
      </w:pPr>
      <w:r>
        <w:rPr>
          <w:rFonts w:ascii="Times New Roman" w:hAnsi="Times New Roman"/>
          <w:sz w:val="17"/>
        </w:rPr>
        <w:t>100 F Street, N.E.</w:t>
      </w:r>
    </w:p>
    <w:p>
      <w:pPr>
        <w:pStyle w:val="TextBody"/>
        <w:spacing w:before="0" w:after="0"/>
        <w:ind w:left="0" w:right="0" w:hanging="0"/>
        <w:rPr>
          <w:rFonts w:ascii="Times New Roman" w:hAnsi="Times New Roman"/>
          <w:sz w:val="17"/>
        </w:rPr>
      </w:pPr>
      <w:r>
        <w:rPr>
          <w:rFonts w:ascii="Times New Roman" w:hAnsi="Times New Roman"/>
          <w:sz w:val="17"/>
        </w:rPr>
        <w:t>Washington, D.C.  20549-3561</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Re:</w:t>
      </w:r>
      <w:r>
        <w:rPr>
          <w:rFonts w:ascii="Times New Roman" w:hAnsi="Times New Roman"/>
        </w:rPr>
        <w:t xml:space="preserve">          </w:t>
      </w:r>
      <w:r>
        <w:rPr>
          <w:rFonts w:ascii="Times New Roman" w:hAnsi="Times New Roman"/>
          <w:sz w:val="17"/>
        </w:rPr>
        <w:t>Plains GP Holdings, L.P.</w:t>
      </w:r>
    </w:p>
    <w:p>
      <w:pPr>
        <w:pStyle w:val="TextBody"/>
        <w:spacing w:before="0" w:after="0"/>
        <w:ind w:left="0" w:right="0" w:hanging="0"/>
        <w:rPr>
          <w:rFonts w:ascii="Times New Roman" w:hAnsi="Times New Roman"/>
          <w:sz w:val="17"/>
        </w:rPr>
      </w:pPr>
      <w:r>
        <w:rPr>
          <w:rFonts w:ascii="Times New Roman" w:hAnsi="Times New Roman"/>
          <w:sz w:val="17"/>
        </w:rPr>
        <w:t>Amendment No. 1 to Registration Statement on Form S-1</w:t>
        <w:br/>
        <w:t>Filed September 6, 2013</w:t>
        <w:br/>
        <w:t>File 333-190227</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Ladies and Gentlemen: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Set forth below are the responses of Plains GP Holdings, L.P. (</w:t>
      </w:r>
      <w:r>
        <w:rPr>
          <w:rFonts w:ascii="Times New Roman" w:hAnsi="Times New Roman"/>
          <w:b/>
          <w:i/>
          <w:sz w:val="17"/>
        </w:rPr>
        <w:t>we</w:t>
      </w:r>
      <w:r>
        <w:rPr>
          <w:rFonts w:ascii="Times New Roman" w:hAnsi="Times New Roman"/>
          <w:sz w:val="17"/>
        </w:rPr>
        <w:t>, </w:t>
      </w:r>
      <w:r>
        <w:rPr>
          <w:rFonts w:ascii="Times New Roman" w:hAnsi="Times New Roman"/>
          <w:b/>
          <w:i/>
          <w:sz w:val="17"/>
        </w:rPr>
        <w:t>us</w:t>
      </w:r>
      <w:r>
        <w:rPr>
          <w:rFonts w:ascii="Times New Roman" w:hAnsi="Times New Roman"/>
          <w:sz w:val="17"/>
        </w:rPr>
        <w:t> or </w:t>
      </w:r>
      <w:r>
        <w:rPr>
          <w:rFonts w:ascii="Times New Roman" w:hAnsi="Times New Roman"/>
          <w:b/>
          <w:i/>
          <w:sz w:val="17"/>
        </w:rPr>
        <w:t>our</w:t>
      </w:r>
      <w:r>
        <w:rPr>
          <w:rFonts w:ascii="Times New Roman" w:hAnsi="Times New Roman"/>
          <w:sz w:val="17"/>
        </w:rPr>
        <w:t>), to comments received from the staff of the Division of Corporation Finance (the </w:t>
      </w:r>
      <w:r>
        <w:rPr>
          <w:rFonts w:ascii="Times New Roman" w:hAnsi="Times New Roman"/>
          <w:b/>
          <w:i/>
          <w:sz w:val="17"/>
        </w:rPr>
        <w:t>Staff</w:t>
      </w:r>
      <w:r>
        <w:rPr>
          <w:rFonts w:ascii="Times New Roman" w:hAnsi="Times New Roman"/>
          <w:sz w:val="17"/>
        </w:rPr>
        <w:t>) of the Securities and Exchange Commission (the </w:t>
      </w:r>
      <w:r>
        <w:rPr>
          <w:rFonts w:ascii="Times New Roman" w:hAnsi="Times New Roman"/>
          <w:b/>
          <w:i/>
          <w:sz w:val="17"/>
        </w:rPr>
        <w:t>Commission</w:t>
      </w:r>
      <w:r>
        <w:rPr>
          <w:rFonts w:ascii="Times New Roman" w:hAnsi="Times New Roman"/>
          <w:sz w:val="17"/>
        </w:rPr>
        <w:t>) by letter dated September 18, 2013, with respect to Amendment No. 1 to the Registration Statement on Form S-1, File No. 333-190227, filed with the Commission on September 6, 2013 (the </w:t>
      </w:r>
      <w:r>
        <w:rPr>
          <w:rFonts w:ascii="Times New Roman" w:hAnsi="Times New Roman"/>
          <w:b/>
          <w:i/>
          <w:sz w:val="17"/>
        </w:rPr>
        <w:t>Registration Statement</w:t>
      </w:r>
      <w:r>
        <w:rPr>
          <w:rFonts w:ascii="Times New Roman" w:hAnsi="Times New Roman"/>
          <w:sz w:val="17"/>
        </w:rPr>
        <w:t>). Concurrently with the submission of this letter, we have filed through EDGAR Amendment No. 2 to the Registration Statement (</w:t>
      </w:r>
      <w:r>
        <w:rPr>
          <w:rFonts w:ascii="Times New Roman" w:hAnsi="Times New Roman"/>
          <w:b/>
          <w:i/>
          <w:sz w:val="17"/>
        </w:rPr>
        <w:t>Amendment No. 2</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your convenience, each response is prefaced by the exact text of the Staffs corresponding comment in bold, italicized text.  All references to page numbers and captions correspond to the Amendment No. 2 to Registration Statement on Form S-1 unless otherwise specified.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Amendment No. 1 to Registration Statement on Form S-1 Filed September 6, 2013</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General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1.</w:t>
      </w:r>
      <w:r>
        <w:rPr>
          <w:rFonts w:ascii="Times New Roman" w:hAnsi="Times New Roman"/>
        </w:rPr>
        <w:t xml:space="preserve">             </w:t>
      </w:r>
      <w:r>
        <w:rPr>
          <w:rFonts w:ascii="Times New Roman" w:hAnsi="Times New Roman"/>
          <w:b/>
          <w:i/>
          <w:sz w:val="17"/>
        </w:rPr>
        <w:t>We note your response to the first numbered comment from our letter to you dated August 27, 2013, and we re-issue the comment in part. Please provide the partnership agreement by no later than with your next amendment so that we can complete the related portions of our review, or explain to us the reasons for any further delay in providing it. Also, we will need to review the other omitted exhibits, including the legality and tax opinions, once you file them.</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u w:val="single"/>
        </w:rPr>
        <w:t>RESPONSE</w:t>
      </w:r>
      <w:r>
        <w:rPr>
          <w:rFonts w:ascii="Times New Roman" w:hAnsi="Times New Roman"/>
          <w:sz w:val="17"/>
        </w:rPr>
        <w:t>:</w:t>
      </w:r>
      <w:r>
        <w:rPr>
          <w:rFonts w:ascii="Times New Roman" w:hAnsi="Times New Roman"/>
        </w:rPr>
        <w:t xml:space="preserve">         </w:t>
      </w:r>
      <w:r>
        <w:rPr>
          <w:rFonts w:ascii="Times New Roman" w:hAnsi="Times New Roman"/>
          <w:sz w:val="17"/>
        </w:rPr>
        <w:t>We acknowledge the Staffs comment and have filed with Amendment No. 2 the Amended and Restated Limited Partnership Agreement of Plains GP Holdings, L.P. We have also filed certain of the other exhibits with Amendment No. 2, including the form of (i) opinion of counsel as to the legality of the securities being registered and (ii) opinion of counsel relating to tax matters.  We will file the remaining omitted exhibits soon enough to allow sufficient time for the Staff to review them.</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Prospectus Cover Page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2.</w:t>
      </w:r>
      <w:r>
        <w:rPr>
          <w:rFonts w:ascii="Times New Roman" w:hAnsi="Times New Roman"/>
        </w:rPr>
        <w:t xml:space="preserve">             </w:t>
      </w:r>
      <w:r>
        <w:rPr>
          <w:rFonts w:ascii="Times New Roman" w:hAnsi="Times New Roman"/>
          <w:b/>
          <w:i/>
          <w:sz w:val="17"/>
        </w:rPr>
        <w:t>We note your supplemental response to prior comment 4. Please provide, at an appropriate place in the prospectus, the explanation that appears in your response, particularly the information in its last two substantive paragraphs.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u w:val="single"/>
        </w:rPr>
        <w:t>RESPONSE</w:t>
      </w:r>
      <w:r>
        <w:rPr>
          <w:rFonts w:ascii="Times New Roman" w:hAnsi="Times New Roman"/>
          <w:sz w:val="17"/>
        </w:rPr>
        <w:t>:</w:t>
      </w:r>
      <w:r>
        <w:rPr>
          <w:rFonts w:ascii="Times New Roman" w:hAnsi="Times New Roman"/>
        </w:rPr>
        <w:t xml:space="preserve">         </w:t>
      </w:r>
      <w:r>
        <w:rPr>
          <w:rFonts w:ascii="Times New Roman" w:hAnsi="Times New Roman"/>
          <w:sz w:val="17"/>
        </w:rPr>
        <w:t>We acknowledge the Staffs comment and have revised the Registration Statement as requested.  Please see page 229.</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Material U.S. Federal Income Tax Consequences, page 255</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3.</w:t>
      </w:r>
      <w:r>
        <w:rPr>
          <w:rFonts w:ascii="Times New Roman" w:hAnsi="Times New Roman"/>
        </w:rPr>
        <w:t xml:space="preserve">             </w:t>
      </w:r>
      <w:r>
        <w:rPr>
          <w:rFonts w:ascii="Times New Roman" w:hAnsi="Times New Roman"/>
          <w:b/>
          <w:i/>
          <w:sz w:val="17"/>
        </w:rPr>
        <w:t>Revise or eliminate the text at page 261 which includes the disclaimer language THE FOREGOING DISCUSSION IS FOR GENERAL INFORMATION ONLY. Please see Staff Legal Bulletin 19 (Corp. Fin.) (October 14, 2011), Section III.D.1, which states in part that Investors are entitled to rely on the opinion expressed. Examples of inappropriate disclaimers include This discussion is being provided for informational purposes only....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u w:val="single"/>
        </w:rPr>
        <w:t>RESPONSE</w:t>
      </w:r>
      <w:r>
        <w:rPr>
          <w:rFonts w:ascii="Times New Roman" w:hAnsi="Times New Roman"/>
          <w:sz w:val="17"/>
        </w:rPr>
        <w:t>:</w:t>
      </w:r>
      <w:r>
        <w:rPr>
          <w:rFonts w:ascii="Times New Roman" w:hAnsi="Times New Roman"/>
        </w:rPr>
        <w:t xml:space="preserve">         </w:t>
      </w:r>
      <w:r>
        <w:rPr>
          <w:rFonts w:ascii="Times New Roman" w:hAnsi="Times New Roman"/>
          <w:sz w:val="17"/>
        </w:rPr>
        <w:t>We acknowledge the Staffs comment and have removed the disclaimer language referenced above from the Registration Statement.  Please see page 262.</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rPr>
      </w:pPr>
      <w:r>
        <w:rPr>
          <w:rFonts w:ascii="Times New Roman" w:hAnsi="Times New Roman"/>
          <w:sz w:val="17"/>
        </w:rPr>
        <w:t>*</w:t>
      </w:r>
      <w:r>
        <w:rPr>
          <w:rFonts w:ascii="Times New Roman" w:hAnsi="Times New Roman"/>
        </w:rPr>
        <w:t xml:space="preserve">              </w:t>
      </w:r>
      <w:r>
        <w:rPr>
          <w:rFonts w:ascii="Times New Roman" w:hAnsi="Times New Roman"/>
          <w:sz w:val="17"/>
        </w:rPr>
        <w:t>*</w:t>
      </w:r>
      <w:r>
        <w:rPr>
          <w:rFonts w:ascii="Times New Roman" w:hAnsi="Times New Roman"/>
        </w:rPr>
        <w:t xml:space="preserve">              </w:t>
      </w:r>
      <w:r>
        <w:rPr>
          <w:rFonts w:ascii="Times New Roman" w:hAnsi="Times New Roman"/>
          <w:sz w:val="17"/>
        </w:rPr>
        <w:t>*</w:t>
      </w:r>
      <w:r>
        <w:rPr>
          <w:rFonts w:ascii="Times New Roman" w:hAnsi="Times New Roman"/>
        </w:rPr>
        <w:t xml:space="preserve">              </w:t>
      </w:r>
      <w:r>
        <w:rPr>
          <w:rFonts w:ascii="Times New Roman" w:hAnsi="Times New Roman"/>
          <w:sz w:val="17"/>
        </w:rPr>
        <w:t>*</w:t>
      </w:r>
      <w:r>
        <w:rPr>
          <w:rFonts w:ascii="Times New Roman" w:hAnsi="Times New Roman"/>
        </w:rPr>
        <w:t xml:space="preserve">              </w:t>
      </w:r>
      <w:r>
        <w:rPr>
          <w:rFonts w:ascii="Times New Roman" w:hAnsi="Times New Roman"/>
          <w:sz w:val="17"/>
        </w:rPr>
        <w: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2" w:name="PB_2_071858_7056"/>
      <w:bookmarkEnd w:id="2"/>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Please direct any questions that you have with respect to the foregoing or any requests for additional supplemental information to Alan Beck of Vinson &amp; Elkins L.L.P. at (713) 758-3638.</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9"/>
        <w:gridCol w:w="4583"/>
        <w:gridCol w:w="624"/>
        <w:gridCol w:w="4479"/>
      </w:tblGrid>
      <w:tr>
        <w:trPr/>
        <w:tc>
          <w:tcPr>
            <w:tcW w:w="5102" w:type="dxa"/>
            <w:gridSpan w:val="2"/>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Very truly yours,</w:t>
            </w:r>
          </w:p>
        </w:tc>
      </w:tr>
      <w:tr>
        <w:trPr/>
        <w:tc>
          <w:tcPr>
            <w:tcW w:w="5102" w:type="dxa"/>
            <w:gridSpan w:val="2"/>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pPr>
            <w:r>
              <w:rPr/>
              <w:t> </w:t>
            </w:r>
          </w:p>
        </w:tc>
      </w:tr>
      <w:tr>
        <w:trPr/>
        <w:tc>
          <w:tcPr>
            <w:tcW w:w="5102" w:type="dxa"/>
            <w:gridSpan w:val="2"/>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GP HOLDINGS, L.P.</w:t>
            </w:r>
          </w:p>
        </w:tc>
      </w:tr>
      <w:tr>
        <w:trPr/>
        <w:tc>
          <w:tcPr>
            <w:tcW w:w="5102" w:type="dxa"/>
            <w:gridSpan w:val="2"/>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pPr>
            <w:r>
              <w:rPr/>
              <w:t> </w:t>
            </w:r>
          </w:p>
        </w:tc>
      </w:tr>
      <w:tr>
        <w:trPr/>
        <w:tc>
          <w:tcPr>
            <w:tcW w:w="5102" w:type="dxa"/>
            <w:gridSpan w:val="2"/>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 PAA GP HOLDINGS LLC, its general partner</w:t>
            </w:r>
          </w:p>
        </w:tc>
      </w:tr>
      <w:tr>
        <w:trPr/>
        <w:tc>
          <w:tcPr>
            <w:tcW w:w="5102" w:type="dxa"/>
            <w:gridSpan w:val="2"/>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pPr>
            <w:r>
              <w:rPr/>
              <w:t> </w:t>
            </w:r>
          </w:p>
        </w:tc>
      </w:tr>
      <w:tr>
        <w:trPr/>
        <w:tc>
          <w:tcPr>
            <w:tcW w:w="5102" w:type="dxa"/>
            <w:gridSpan w:val="2"/>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479"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Richard K. McGee</w:t>
            </w:r>
          </w:p>
        </w:tc>
      </w:tr>
      <w:tr>
        <w:trPr/>
        <w:tc>
          <w:tcPr>
            <w:tcW w:w="5102" w:type="dxa"/>
            <w:gridSpan w:val="2"/>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47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Richard K. McGee</w:t>
            </w:r>
          </w:p>
        </w:tc>
      </w:tr>
      <w:tr>
        <w:trPr/>
        <w:tc>
          <w:tcPr>
            <w:tcW w:w="5102" w:type="dxa"/>
            <w:gridSpan w:val="2"/>
            <w:tcBorders/>
            <w:shd w:fill="auto" w:val="clear"/>
          </w:tcPr>
          <w:p>
            <w:pPr>
              <w:pStyle w:val="TableContents"/>
              <w:spacing w:before="0" w:after="0"/>
              <w:ind w:left="0" w:right="0" w:hanging="0"/>
              <w:rPr/>
            </w:pPr>
            <w:r>
              <w:rPr/>
              <w:t> </w:t>
            </w:r>
          </w:p>
        </w:tc>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47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Executive Vice President,</w:t>
            </w:r>
          </w:p>
        </w:tc>
      </w:tr>
      <w:tr>
        <w:trPr/>
        <w:tc>
          <w:tcPr>
            <w:tcW w:w="5102"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Enclosures</w:t>
            </w:r>
          </w:p>
        </w:tc>
        <w:tc>
          <w:tcPr>
            <w:tcW w:w="624" w:type="dxa"/>
            <w:tcBorders/>
            <w:shd w:fill="auto" w:val="clear"/>
          </w:tcPr>
          <w:p>
            <w:pPr>
              <w:pStyle w:val="TableContents"/>
              <w:spacing w:before="0" w:after="0"/>
              <w:ind w:left="0" w:right="0" w:hanging="0"/>
              <w:rPr/>
            </w:pPr>
            <w:r>
              <w:rPr/>
              <w:t> </w:t>
            </w:r>
          </w:p>
        </w:tc>
        <w:tc>
          <w:tcPr>
            <w:tcW w:w="447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General Counsel and Secretary</w:t>
            </w:r>
          </w:p>
        </w:tc>
      </w:tr>
      <w:tr>
        <w:trPr/>
        <w:tc>
          <w:tcPr>
            <w:tcW w:w="5102" w:type="dxa"/>
            <w:gridSpan w:val="2"/>
            <w:tcBorders/>
            <w:shd w:fill="auto" w:val="clear"/>
          </w:tcPr>
          <w:p>
            <w:pPr>
              <w:pStyle w:val="TableContents"/>
              <w:spacing w:before="0" w:after="0"/>
              <w:ind w:left="0" w:right="0" w:hanging="0"/>
              <w:rPr/>
            </w:pPr>
            <w:r>
              <w:rPr/>
              <w:t> </w:t>
            </w:r>
          </w:p>
        </w:tc>
        <w:tc>
          <w:tcPr>
            <w:tcW w:w="5103" w:type="dxa"/>
            <w:gridSpan w:val="2"/>
            <w:tcBorders/>
            <w:shd w:fill="auto" w:val="clear"/>
          </w:tcPr>
          <w:p>
            <w:pPr>
              <w:pStyle w:val="TableContents"/>
              <w:spacing w:before="0" w:after="0"/>
              <w:ind w:left="0" w:right="0" w:hanging="0"/>
              <w:rPr/>
            </w:pPr>
            <w:r>
              <w:rPr/>
              <w:t> </w:t>
            </w:r>
          </w:p>
        </w:tc>
      </w:tr>
      <w:tr>
        <w:trPr/>
        <w:tc>
          <w:tcPr>
            <w:tcW w:w="5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cc:</w:t>
            </w:r>
          </w:p>
        </w:tc>
        <w:tc>
          <w:tcPr>
            <w:tcW w:w="45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Paul Monsour</w:t>
            </w:r>
          </w:p>
        </w:tc>
        <w:tc>
          <w:tcPr>
            <w:tcW w:w="5103" w:type="dxa"/>
            <w:gridSpan w:val="2"/>
            <w:tcBorders/>
            <w:shd w:fill="auto" w:val="clear"/>
          </w:tcPr>
          <w:p>
            <w:pPr>
              <w:pStyle w:val="TableContents"/>
              <w:spacing w:before="0" w:after="0"/>
              <w:ind w:left="0" w:right="0" w:hanging="0"/>
              <w:rPr/>
            </w:pPr>
            <w:r>
              <w:rPr/>
              <w:t> </w:t>
            </w:r>
          </w:p>
        </w:tc>
      </w:tr>
      <w:tr>
        <w:trPr/>
        <w:tc>
          <w:tcPr>
            <w:tcW w:w="519" w:type="dxa"/>
            <w:tcBorders/>
            <w:shd w:fill="auto" w:val="clear"/>
          </w:tcPr>
          <w:p>
            <w:pPr>
              <w:pStyle w:val="TableContents"/>
              <w:spacing w:before="0" w:after="0"/>
              <w:ind w:left="0" w:right="0" w:hanging="0"/>
              <w:rPr/>
            </w:pPr>
            <w:r>
              <w:rPr/>
              <w:t> </w:t>
            </w:r>
          </w:p>
        </w:tc>
        <w:tc>
          <w:tcPr>
            <w:tcW w:w="45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Timothy Levenberg</w:t>
            </w:r>
          </w:p>
        </w:tc>
        <w:tc>
          <w:tcPr>
            <w:tcW w:w="5103" w:type="dxa"/>
            <w:gridSpan w:val="2"/>
            <w:tcBorders/>
            <w:shd w:fill="auto" w:val="clear"/>
          </w:tcPr>
          <w:p>
            <w:pPr>
              <w:pStyle w:val="TableContents"/>
              <w:spacing w:before="0" w:after="0"/>
              <w:ind w:left="0" w:right="0" w:hanging="0"/>
              <w:rPr/>
            </w:pPr>
            <w:r>
              <w:rPr/>
              <w:t> </w:t>
            </w:r>
          </w:p>
        </w:tc>
      </w:tr>
      <w:tr>
        <w:trPr/>
        <w:tc>
          <w:tcPr>
            <w:tcW w:w="519" w:type="dxa"/>
            <w:tcBorders/>
            <w:shd w:fill="auto" w:val="clear"/>
          </w:tcPr>
          <w:p>
            <w:pPr>
              <w:pStyle w:val="TableContents"/>
              <w:spacing w:before="0" w:after="0"/>
              <w:ind w:left="0" w:right="0" w:hanging="0"/>
              <w:rPr/>
            </w:pPr>
            <w:r>
              <w:rPr/>
              <w:t> </w:t>
            </w:r>
          </w:p>
        </w:tc>
        <w:tc>
          <w:tcPr>
            <w:tcW w:w="45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David P. Oelman</w:t>
            </w:r>
          </w:p>
        </w:tc>
        <w:tc>
          <w:tcPr>
            <w:tcW w:w="5103" w:type="dxa"/>
            <w:gridSpan w:val="2"/>
            <w:tcBorders/>
            <w:shd w:fill="auto" w:val="clear"/>
          </w:tcPr>
          <w:p>
            <w:pPr>
              <w:pStyle w:val="TableContents"/>
              <w:spacing w:before="0" w:after="0"/>
              <w:ind w:left="0" w:right="0" w:hanging="0"/>
              <w:rPr/>
            </w:pPr>
            <w:r>
              <w:rPr/>
              <w:t> </w:t>
            </w:r>
          </w:p>
        </w:tc>
      </w:tr>
      <w:tr>
        <w:trPr/>
        <w:tc>
          <w:tcPr>
            <w:tcW w:w="519" w:type="dxa"/>
            <w:tcBorders/>
            <w:shd w:fill="auto" w:val="clear"/>
          </w:tcPr>
          <w:p>
            <w:pPr>
              <w:pStyle w:val="TableContents"/>
              <w:spacing w:before="0" w:after="0"/>
              <w:ind w:left="0" w:right="0" w:hanging="0"/>
              <w:rPr/>
            </w:pPr>
            <w:r>
              <w:rPr/>
              <w:t> </w:t>
            </w:r>
          </w:p>
        </w:tc>
        <w:tc>
          <w:tcPr>
            <w:tcW w:w="45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Alan Beck</w:t>
            </w:r>
          </w:p>
        </w:tc>
        <w:tc>
          <w:tcPr>
            <w:tcW w:w="5103" w:type="dxa"/>
            <w:gridSpan w:val="2"/>
            <w:tcBorders/>
            <w:shd w:fill="auto" w:val="clear"/>
          </w:tcPr>
          <w:p>
            <w:pPr>
              <w:pStyle w:val="TableContents"/>
              <w:spacing w:before="0" w:after="0"/>
              <w:ind w:left="0" w:right="0" w:hanging="0"/>
              <w:rPr/>
            </w:pPr>
            <w:r>
              <w:rPr/>
              <w:t> </w:t>
            </w:r>
          </w:p>
        </w:tc>
      </w:tr>
      <w:tr>
        <w:trPr/>
        <w:tc>
          <w:tcPr>
            <w:tcW w:w="519" w:type="dxa"/>
            <w:tcBorders/>
            <w:shd w:fill="auto" w:val="clear"/>
          </w:tcPr>
          <w:p>
            <w:pPr>
              <w:pStyle w:val="TableContents"/>
              <w:spacing w:before="0" w:after="0"/>
              <w:ind w:left="0" w:right="0" w:hanging="0"/>
              <w:rPr/>
            </w:pPr>
            <w:r>
              <w:rPr/>
              <w:t> </w:t>
            </w:r>
          </w:p>
        </w:tc>
        <w:tc>
          <w:tcPr>
            <w:tcW w:w="45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Joshua Davidson</w:t>
            </w:r>
          </w:p>
        </w:tc>
        <w:tc>
          <w:tcPr>
            <w:tcW w:w="5103" w:type="dxa"/>
            <w:gridSpan w:val="2"/>
            <w:tcBorders/>
            <w:shd w:fill="auto" w:val="clear"/>
          </w:tcPr>
          <w:p>
            <w:pPr>
              <w:pStyle w:val="TableContents"/>
              <w:spacing w:before="0" w:after="0"/>
              <w:ind w:left="0" w:right="0" w:hanging="0"/>
              <w:rPr/>
            </w:pPr>
            <w:r>
              <w:rPr/>
              <w:t> </w:t>
            </w:r>
          </w:p>
        </w:tc>
      </w:tr>
      <w:tr>
        <w:trPr/>
        <w:tc>
          <w:tcPr>
            <w:tcW w:w="519" w:type="dxa"/>
            <w:tcBorders/>
            <w:shd w:fill="auto" w:val="clear"/>
          </w:tcPr>
          <w:p>
            <w:pPr>
              <w:pStyle w:val="TableContents"/>
              <w:spacing w:before="0" w:after="0"/>
              <w:ind w:left="0" w:right="0" w:hanging="0"/>
              <w:rPr/>
            </w:pPr>
            <w:r>
              <w:rPr/>
              <w:t> </w:t>
            </w:r>
          </w:p>
        </w:tc>
        <w:tc>
          <w:tcPr>
            <w:tcW w:w="45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Jason Rocha</w:t>
            </w:r>
          </w:p>
        </w:tc>
        <w:tc>
          <w:tcPr>
            <w:tcW w:w="5103" w:type="dxa"/>
            <w:gridSpan w:val="2"/>
            <w:tcBorders/>
            <w:shd w:fill="auto" w:val="clear"/>
          </w:tcPr>
          <w:p>
            <w:pPr>
              <w:pStyle w:val="TableContents"/>
              <w:spacing w:before="0" w:after="0"/>
              <w:ind w:left="0" w:right="0" w:hanging="0"/>
              <w:rPr/>
            </w:pPr>
            <w:r>
              <w:rPr/>
              <w:t> </w:t>
            </w:r>
          </w:p>
        </w:tc>
      </w:tr>
      <w:tr>
        <w:trPr/>
        <w:tc>
          <w:tcPr>
            <w:tcW w:w="519" w:type="dxa"/>
            <w:tcBorders/>
            <w:shd w:fill="auto" w:val="clear"/>
          </w:tcPr>
          <w:p>
            <w:pPr>
              <w:pStyle w:val="TableContents"/>
              <w:spacing w:before="0" w:after="0"/>
              <w:ind w:left="0" w:right="0" w:hanging="0"/>
              <w:rPr/>
            </w:pPr>
            <w:r>
              <w:rPr/>
              <w:t> </w:t>
            </w:r>
          </w:p>
        </w:tc>
        <w:tc>
          <w:tcPr>
            <w:tcW w:w="458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Al Swanson</w:t>
            </w:r>
          </w:p>
        </w:tc>
        <w:tc>
          <w:tcPr>
            <w:tcW w:w="5103" w:type="dxa"/>
            <w:gridSpan w:val="2"/>
            <w:tcBorders/>
            <w:shd w:fill="auto" w:val="clear"/>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3" w:name="PB_3_072011_5335"/>
      <w:bookmarkEnd w:id="3"/>
    </w:p>
    <w:p>
      <w:pPr>
        <w:pStyle w:val="HorizontalLine"/>
        <w:pBdr>
          <w:bottom w:val="single" w:sz="18" w:space="0" w:color="010101"/>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632</Words>
  <CharactersWithSpaces>3906</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