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July 5, 2017</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ind w:left="4380"/>
        <w:spacing w:after="0"/>
        <w:tabs>
          <w:tab w:leader="none" w:pos="69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180" w:right="20" w:hanging="1166"/>
        <w:spacing w:after="0" w:line="282" w:lineRule="auto"/>
        <w:tabs>
          <w:tab w:leader="none" w:pos="11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firstLine="414"/>
        <w:spacing w:after="0" w:line="279" w:lineRule="auto"/>
        <w:rPr>
          <w:sz w:val="20"/>
          <w:szCs w:val="20"/>
          <w:color w:val="auto"/>
        </w:rPr>
      </w:pPr>
      <w:r>
        <w:rPr>
          <w:rFonts w:ascii="Arial" w:cs="Arial" w:eastAsia="Arial" w:hAnsi="Arial"/>
          <w:sz w:val="17"/>
          <w:szCs w:val="17"/>
          <w:color w:val="auto"/>
        </w:rPr>
        <w:t>On July 5, 2017, the board of directors of PAA GP Holdings LLC, the general partner of Plains GP Holdings, L.P., the sole member of Plains All American GP LLC, the general partner of Plains AAP, L.P., the sole member of PAA GP LLC, the general partner of Plains All American Pipeline, L.P. (the “Partnership” or “PAA”), approved various changes to the compensation arrangements for Named Executive Officers. These changes reflect a recognition of current and expected market conditions and are designed to ensure top level performance in an uncertain environment.</w:t>
      </w:r>
    </w:p>
    <w:p>
      <w:pPr>
        <w:spacing w:after="0" w:line="171" w:lineRule="exact"/>
        <w:rPr>
          <w:sz w:val="24"/>
          <w:szCs w:val="24"/>
          <w:color w:val="auto"/>
        </w:rPr>
      </w:pPr>
    </w:p>
    <w:p>
      <w:pPr>
        <w:ind w:right="200" w:firstLine="414"/>
        <w:spacing w:after="0" w:line="277" w:lineRule="auto"/>
        <w:rPr>
          <w:sz w:val="20"/>
          <w:szCs w:val="20"/>
          <w:color w:val="auto"/>
        </w:rPr>
      </w:pPr>
      <w:r>
        <w:rPr>
          <w:rFonts w:ascii="Arial" w:cs="Arial" w:eastAsia="Arial" w:hAnsi="Arial"/>
          <w:sz w:val="18"/>
          <w:szCs w:val="18"/>
          <w:color w:val="auto"/>
        </w:rPr>
        <w:t>The changes approved by the board included the following grants of phantom units to our Named Executive Officers under our Long-Term Incentive Plans:</w:t>
      </w:r>
    </w:p>
    <w:p>
      <w:pPr>
        <w:spacing w:after="0" w:line="162" w:lineRule="exact"/>
        <w:rPr>
          <w:sz w:val="24"/>
          <w:szCs w:val="24"/>
          <w:color w:val="auto"/>
        </w:rPr>
      </w:pPr>
    </w:p>
    <w:tbl>
      <w:tblPr>
        <w:tblLayout w:type="fixed"/>
        <w:tblInd w:w="1300" w:type="dxa"/>
        <w:tblCellMar>
          <w:top w:w="0" w:type="dxa"/>
          <w:left w:w="0" w:type="dxa"/>
          <w:bottom w:w="0" w:type="dxa"/>
          <w:right w:w="0" w:type="dxa"/>
        </w:tblCellMar>
      </w:tblPr>
      <w:tr>
        <w:trPr>
          <w:trHeight w:val="171"/>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Name and Title</w:t>
            </w:r>
          </w:p>
        </w:tc>
        <w:tc>
          <w:tcPr>
            <w:tcW w:w="2760" w:type="dxa"/>
            <w:vAlign w:val="bottom"/>
            <w:gridSpan w:val="2"/>
          </w:tcPr>
          <w:p>
            <w:pPr>
              <w:ind w:left="380"/>
              <w:spacing w:after="0"/>
              <w:rPr>
                <w:sz w:val="20"/>
                <w:szCs w:val="20"/>
                <w:color w:val="auto"/>
              </w:rPr>
            </w:pPr>
            <w:r>
              <w:rPr>
                <w:rFonts w:ascii="Arial" w:cs="Arial" w:eastAsia="Arial" w:hAnsi="Arial"/>
                <w:sz w:val="14"/>
                <w:szCs w:val="14"/>
                <w:b w:val="1"/>
                <w:bCs w:val="1"/>
                <w:color w:val="auto"/>
              </w:rPr>
              <w:t>No. of Phantom Units Granted</w:t>
            </w:r>
          </w:p>
        </w:tc>
      </w:tr>
      <w:tr>
        <w:trPr>
          <w:trHeight w:val="210"/>
        </w:trPr>
        <w:tc>
          <w:tcPr>
            <w:tcW w:w="5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Wilfred (Willie) C. Chiang, Executive Vice President and Chief</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Officer (U.S.)</w:t>
            </w:r>
          </w:p>
        </w:tc>
        <w:tc>
          <w:tcPr>
            <w:tcW w:w="2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r>
      <w:tr>
        <w:trPr>
          <w:trHeight w:val="216"/>
        </w:trPr>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 Executive Vice President and Chief Financial Officer</w:t>
            </w:r>
          </w:p>
        </w:tc>
        <w:tc>
          <w:tcPr>
            <w:tcW w:w="2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Richard McGee, Executive Vice President, General Counsel and</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Secretary</w:t>
            </w:r>
          </w:p>
        </w:tc>
        <w:tc>
          <w:tcPr>
            <w:tcW w:w="2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r>
    </w:tbl>
    <w:p>
      <w:pPr>
        <w:sectPr>
          <w:pgSz w:w="11900" w:h="16838" w:orient="portrait"/>
          <w:cols w:equalWidth="0" w:num="1">
            <w:col w:w="11360"/>
          </w:cols>
          <w:pgMar w:left="240" w:top="544" w:right="299" w:bottom="0" w:gutter="0" w:footer="0" w:header="0"/>
          <w:type w:val="continuous"/>
        </w:sectPr>
      </w:pPr>
    </w:p>
    <w:bookmarkStart w:id="1" w:name="page2"/>
    <w:bookmarkEnd w:id="1"/>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Daniel J. Nerbonne, Executive Vice President — Operations and</w:t>
            </w:r>
          </w:p>
        </w:tc>
        <w:tc>
          <w:tcPr>
            <w:tcW w:w="2020" w:type="dxa"/>
            <w:vAlign w:val="bottom"/>
          </w:tcPr>
          <w:p>
            <w:pPr>
              <w:spacing w:after="0"/>
              <w:rPr>
                <w:sz w:val="18"/>
                <w:szCs w:val="18"/>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Engineering</w:t>
            </w:r>
          </w:p>
        </w:tc>
        <w:tc>
          <w:tcPr>
            <w:tcW w:w="2020" w:type="dxa"/>
            <w:vAlign w:val="bottom"/>
          </w:tcPr>
          <w:p>
            <w:pPr>
              <w:jc w:val="right"/>
              <w:spacing w:after="0"/>
              <w:rPr>
                <w:sz w:val="20"/>
                <w:szCs w:val="20"/>
                <w:color w:val="auto"/>
              </w:rPr>
            </w:pPr>
            <w:r>
              <w:rPr>
                <w:rFonts w:ascii="Arial" w:cs="Arial" w:eastAsia="Arial" w:hAnsi="Arial"/>
                <w:sz w:val="18"/>
                <w:szCs w:val="18"/>
                <w:color w:val="auto"/>
              </w:rPr>
              <w:t>35,000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-273685</wp:posOffset>
            </wp:positionV>
            <wp:extent cx="5282565"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2565" cy="274320"/>
                    </a:xfrm>
                    <a:prstGeom prst="rect">
                      <a:avLst/>
                    </a:prstGeom>
                    <a:noFill/>
                  </pic:spPr>
                </pic:pic>
              </a:graphicData>
            </a:graphic>
          </wp:anchor>
        </w:drawing>
      </w:r>
    </w:p>
    <w:p>
      <w:pPr>
        <w:spacing w:after="0" w:line="18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phantom units will vest (become payable 1-for-1 in PAA common units) in full on the May 2019 distribution date and include tandem distribution equivalent rights.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intent to lower annual bonus awards, the board also approved salary increases for our Named Executive Officers (other than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Armstrong) in amounts ranging from $100,000 to $150,000.</w:t>
      </w:r>
    </w:p>
    <w:p>
      <w:pPr>
        <w:spacing w:after="0" w:line="211" w:lineRule="exact"/>
        <w:rPr>
          <w:sz w:val="20"/>
          <w:szCs w:val="20"/>
          <w:color w:val="auto"/>
        </w:rPr>
      </w:pPr>
    </w:p>
    <w:p>
      <w:pPr>
        <w:ind w:right="80" w:firstLine="414"/>
        <w:spacing w:after="0" w:line="277" w:lineRule="auto"/>
        <w:rPr>
          <w:sz w:val="20"/>
          <w:szCs w:val="20"/>
          <w:color w:val="auto"/>
        </w:rPr>
      </w:pPr>
      <w:r>
        <w:rPr>
          <w:rFonts w:ascii="Arial" w:cs="Arial" w:eastAsia="Arial" w:hAnsi="Arial"/>
          <w:sz w:val="18"/>
          <w:szCs w:val="18"/>
          <w:color w:val="auto"/>
        </w:rPr>
        <w:t>For more information regarding compensation of our Named Executive Officers and our equity compensation plans, please see our 2016 Annual Report on Form 10-K filed with the SEC on February 23, 2017.</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3"/>
          </w:tcPr>
          <w:p>
            <w:pPr>
              <w:ind w:left="222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July 6, 2017</w:t>
            </w:r>
          </w:p>
        </w:tc>
        <w:tc>
          <w:tcPr>
            <w:tcW w:w="2900" w:type="dxa"/>
            <w:vAlign w:val="bottom"/>
          </w:tcPr>
          <w:p>
            <w:pPr>
              <w:ind w:left="222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2900" w:type="dxa"/>
            <w:vAlign w:val="bottom"/>
          </w:tcPr>
          <w:p>
            <w:pPr>
              <w:ind w:left="222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2900" w:type="dxa"/>
            <w:vAlign w:val="bottom"/>
          </w:tcPr>
          <w:p>
            <w:pPr>
              <w:ind w:left="222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500" w:type="dxa"/>
            <w:vAlign w:val="bottom"/>
          </w:tcPr>
          <w:p>
            <w:pPr>
              <w:spacing w:after="0"/>
              <w:rPr>
                <w:sz w:val="24"/>
                <w:szCs w:val="24"/>
                <w:color w:val="auto"/>
              </w:rPr>
            </w:pPr>
          </w:p>
        </w:tc>
        <w:tc>
          <w:tcPr>
            <w:tcW w:w="2900" w:type="dxa"/>
            <w:vAlign w:val="bottom"/>
          </w:tcPr>
          <w:p>
            <w:pPr>
              <w:ind w:left="22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900" w:type="dxa"/>
            <w:vAlign w:val="bottom"/>
          </w:tcPr>
          <w:p>
            <w:pPr>
              <w:ind w:left="216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808080"/>
            </w:tcBorders>
          </w:tcPr>
          <w:p>
            <w:pPr>
              <w:spacing w:after="0"/>
              <w:rPr>
                <w:sz w:val="11"/>
                <w:szCs w:val="11"/>
                <w:color w:val="auto"/>
              </w:rPr>
            </w:pPr>
          </w:p>
        </w:tc>
        <w:tc>
          <w:tcPr>
            <w:tcW w:w="29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2020-01-17T17:35:35Z</dcterms:created>
  <dcterms:modified xsi:type="dcterms:W3CDTF">2020-01-17T17:35:35Z</dcterms:modified>
</cp:coreProperties>
</file>