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150495</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171450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6" w:lineRule="exact"/>
        <w:rPr>
          <w:sz w:val="24"/>
          <w:szCs w:val="24"/>
          <w:color w:val="auto"/>
        </w:rPr>
      </w:pPr>
    </w:p>
    <w:p>
      <w:pPr>
        <w:jc w:val="center"/>
        <w:ind w:right="-580"/>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150495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5"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8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69"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jc w:val="center"/>
        <w:ind w:right="-600"/>
        <w:spacing w:after="0"/>
        <w:rPr>
          <w:sz w:val="20"/>
          <w:szCs w:val="20"/>
          <w:color w:val="auto"/>
        </w:rPr>
      </w:pPr>
      <w:r>
        <w:rPr>
          <w:rFonts w:ascii="Arial" w:cs="Arial" w:eastAsia="Arial" w:hAnsi="Arial"/>
          <w:sz w:val="32"/>
          <w:szCs w:val="32"/>
          <w:b w:val="1"/>
          <w:bCs w:val="1"/>
          <w:color w:val="auto"/>
        </w:rPr>
        <w:t>PLAINS GP HOLDINGS, L.P.</w:t>
      </w:r>
    </w:p>
    <w:p>
      <w:pPr>
        <w:spacing w:after="0" w:line="53"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308610</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5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860" w:hanging="366"/>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860" w:hanging="366"/>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49" w:lineRule="exact"/>
        <w:rPr>
          <w:rFonts w:ascii="MS PGothic" w:cs="MS PGothic" w:eastAsia="MS PGothic" w:hAnsi="MS PGothic"/>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220" w:right="99" w:hanging="366"/>
        <w:spacing w:after="0" w:line="277"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860" w:right="19" w:hanging="366"/>
        <w:spacing w:after="0" w:line="263" w:lineRule="auto"/>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 w:lineRule="exact"/>
        <w:rPr>
          <w:rFonts w:ascii="MS PGothic" w:cs="MS PGothic" w:eastAsia="MS PGothic" w:hAnsi="MS PGothic"/>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767715</wp:posOffset>
            </wp:positionH>
            <wp:positionV relativeFrom="paragraph">
              <wp:posOffset>-3130550</wp:posOffset>
            </wp:positionV>
            <wp:extent cx="5734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-2762250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-2265045</wp:posOffset>
            </wp:positionV>
            <wp:extent cx="5734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-1896110</wp:posOffset>
            </wp:positionV>
            <wp:extent cx="5734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-1527810</wp:posOffset>
            </wp:positionV>
            <wp:extent cx="5734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-550545</wp:posOffset>
            </wp:positionV>
            <wp:extent cx="5734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-181610</wp:posOffset>
            </wp:positionV>
            <wp:extent cx="57346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186055</wp:posOffset>
            </wp:positionV>
            <wp:extent cx="5734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p>
      <w:pPr>
        <w:spacing w:after="0" w:line="374" w:lineRule="exact"/>
        <w:rPr>
          <w:sz w:val="24"/>
          <w:szCs w:val="24"/>
          <w:color w:val="auto"/>
        </w:rPr>
      </w:pPr>
    </w:p>
    <w:p>
      <w:pPr>
        <w:ind w:left="860"/>
        <w:spacing w:after="0"/>
        <w:tabs>
          <w:tab w:leader="none" w:pos="12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767715</wp:posOffset>
            </wp:positionH>
            <wp:positionV relativeFrom="paragraph">
              <wp:posOffset>177800</wp:posOffset>
            </wp:positionV>
            <wp:extent cx="5734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494665</wp:posOffset>
            </wp:positionV>
            <wp:extent cx="253746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74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40"/>
        <w:spacing w:after="0"/>
        <w:rPr>
          <w:sz w:val="20"/>
          <w:szCs w:val="20"/>
          <w:color w:val="auto"/>
        </w:rPr>
      </w:pPr>
      <w:r>
        <w:rPr>
          <w:rFonts w:ascii="Arial" w:cs="Arial" w:eastAsia="Arial" w:hAnsi="Arial"/>
          <w:sz w:val="25"/>
          <w:szCs w:val="25"/>
          <w:b w:val="1"/>
          <w:bCs w:val="1"/>
          <w:color w:val="auto"/>
        </w:rPr>
        <w:t>Plains GP Holdings, L.P.</w:t>
      </w:r>
    </w:p>
    <w:p>
      <w:pPr>
        <w:spacing w:after="0" w:line="4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Houston, Texas 77002</w:t>
      </w:r>
    </w:p>
    <w:p>
      <w:pPr>
        <w:spacing w:after="0" w:line="14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April 15, 2020</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15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As we invite you to participate in our 2020 Annual Meeting, we acknowledge the unprecedented challenges our world, industry and company are currently navigating.</w:t>
      </w:r>
    </w:p>
    <w:p>
      <w:pPr>
        <w:spacing w:after="0" w:line="103"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Between the effects of the COVID-19 pandemic and the recent increase in global oil supplies, the market environment for our industry has changed significantly. Global demand for crude oil has been severely disrupted, crude oil prices have weakened and North American producer activity levels are expected to decrease meaningfully.</w:t>
      </w:r>
    </w:p>
    <w:p>
      <w:pPr>
        <w:spacing w:after="0" w:line="106" w:lineRule="exact"/>
        <w:rPr>
          <w:sz w:val="20"/>
          <w:szCs w:val="20"/>
          <w:color w:val="auto"/>
        </w:rPr>
      </w:pPr>
    </w:p>
    <w:p>
      <w:pPr>
        <w:ind w:left="1260" w:right="1119" w:firstLine="360"/>
        <w:spacing w:after="0" w:line="263" w:lineRule="auto"/>
        <w:rPr>
          <w:sz w:val="20"/>
          <w:szCs w:val="20"/>
          <w:color w:val="auto"/>
        </w:rPr>
      </w:pPr>
      <w:r>
        <w:rPr>
          <w:rFonts w:ascii="Arial" w:cs="Arial" w:eastAsia="Arial" w:hAnsi="Arial"/>
          <w:sz w:val="18"/>
          <w:szCs w:val="18"/>
          <w:color w:val="auto"/>
        </w:rPr>
        <w:t>As a result, we recently announced several definitive actions in response to the current dynamic and uncertain market conditions to further strengthen our balance sheet and enhance our liquidity and long-term financial flexibility. These actions include:</w:t>
      </w:r>
    </w:p>
    <w:p>
      <w:pPr>
        <w:spacing w:after="0" w:line="76" w:lineRule="exact"/>
        <w:rPr>
          <w:sz w:val="20"/>
          <w:szCs w:val="20"/>
          <w:color w:val="auto"/>
        </w:rPr>
      </w:pPr>
    </w:p>
    <w:p>
      <w:pPr>
        <w:ind w:left="1800" w:right="107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our 2020/2021 capital program by $750 million, or 33% (reduced by $1.35 billion, or 47% including elimination of assumed JV project financing).</w:t>
      </w:r>
    </w:p>
    <w:p>
      <w:pPr>
        <w:spacing w:after="0" w:line="62"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Decreasing PAA common unit / PAGP Class A share distributions payable in May by 50% (reduction of approximately $525 million on annualized basis).</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Completing an additional $165 million asset sale ($440 million closed or under definitive agreement year to date).</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to pursue capital and cost reductions throughout the organization and supply chain, as well as additional asset sales.</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believe these are prudent and proactive steps that further position us to ensure we have ample financial flexibility as we navigate a more challenging environment. We remain a well-capitalized company, and these actions help to ensure we remain in a healthy financial position while remaining focused on operating safely and responsibly. This is a difficult time, but we remain confident in our ability to manage through the challenges ahead.</w:t>
      </w:r>
    </w:p>
    <w:p>
      <w:pPr>
        <w:spacing w:after="0" w:line="120"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appreciate your continued support and investment and look forward to your participation at our 2020 Annual Meeting in May.</w:t>
      </w:r>
    </w:p>
    <w:p>
      <w:pPr>
        <w:spacing w:after="0" w:line="19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134620</wp:posOffset>
            </wp:positionV>
            <wp:extent cx="168846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494665</wp:posOffset>
            </wp:positionV>
            <wp:extent cx="253746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74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40"/>
        <w:spacing w:after="0"/>
        <w:rPr>
          <w:sz w:val="20"/>
          <w:szCs w:val="20"/>
          <w:color w:val="auto"/>
        </w:rPr>
      </w:pPr>
      <w:r>
        <w:rPr>
          <w:rFonts w:ascii="Arial" w:cs="Arial" w:eastAsia="Arial" w:hAnsi="Arial"/>
          <w:sz w:val="25"/>
          <w:szCs w:val="25"/>
          <w:b w:val="1"/>
          <w:bCs w:val="1"/>
          <w:color w:val="auto"/>
        </w:rPr>
        <w:t>Plains GP Holdings, L.P.</w:t>
      </w:r>
    </w:p>
    <w:p>
      <w:pPr>
        <w:spacing w:after="0" w:line="4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186055</wp:posOffset>
            </wp:positionV>
            <wp:extent cx="1234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To Be Held On May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186055</wp:posOffset>
            </wp:positionV>
            <wp:extent cx="1234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holders of Class A, Class B and Class C shares of Plains GP Holdings, L.P.:</w:t>
      </w:r>
    </w:p>
    <w:p>
      <w:pPr>
        <w:spacing w:after="0" w:line="158" w:lineRule="exact"/>
        <w:rPr>
          <w:sz w:val="20"/>
          <w:szCs w:val="20"/>
          <w:color w:val="auto"/>
        </w:rPr>
      </w:pPr>
    </w:p>
    <w:p>
      <w:pPr>
        <w:ind w:left="1260" w:right="719" w:firstLine="360"/>
        <w:spacing w:after="0" w:line="301" w:lineRule="auto"/>
        <w:rPr>
          <w:sz w:val="20"/>
          <w:szCs w:val="20"/>
          <w:color w:val="auto"/>
        </w:rPr>
      </w:pPr>
      <w:r>
        <w:rPr>
          <w:rFonts w:ascii="Arial" w:cs="Arial" w:eastAsia="Arial" w:hAnsi="Arial"/>
          <w:sz w:val="16"/>
          <w:szCs w:val="16"/>
          <w:color w:val="auto"/>
        </w:rPr>
        <w:t>The 2020 Annual Meeting (the “Annual Meeting”) of the Class A, Class B and Class C shareholders (collectively, our “Shareholders”) of Plains GP Holdings, L.P. will be held on May 20, 2020, at 2:30 p.m. Central Time, in the Texas Conference Room, located on the 19th Floor of Three Allen Center, 333 Clay Street, Houston, Texas 77002. At the Annual Meeting, our Shareholders will consider and vote on the following matters:</w:t>
      </w:r>
    </w:p>
    <w:p>
      <w:pPr>
        <w:spacing w:after="0" w:line="90" w:lineRule="exact"/>
        <w:rPr>
          <w:sz w:val="20"/>
          <w:szCs w:val="20"/>
          <w:color w:val="auto"/>
        </w:rPr>
      </w:pPr>
    </w:p>
    <w:p>
      <w:pPr>
        <w:ind w:left="1980" w:right="123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 directors to serve on the board of directors (the “Board”) of PAA GP Holdings LLC until the 2023 annual meeting;</w:t>
      </w:r>
    </w:p>
    <w:p>
      <w:pPr>
        <w:spacing w:after="0" w:line="89" w:lineRule="exact"/>
        <w:rPr>
          <w:rFonts w:ascii="Arial" w:cs="Arial" w:eastAsia="Arial" w:hAnsi="Arial"/>
          <w:sz w:val="18"/>
          <w:szCs w:val="18"/>
          <w:color w:val="auto"/>
        </w:rPr>
      </w:pPr>
    </w:p>
    <w:p>
      <w:pPr>
        <w:ind w:left="1980" w:right="819" w:hanging="358"/>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and Plains All American Pipeline, L.P.’s independent registered public accounting firm for the fiscal year ending December 31, 2020;</w:t>
      </w:r>
    </w:p>
    <w:p>
      <w:pPr>
        <w:spacing w:after="0" w:line="116" w:lineRule="exact"/>
        <w:rPr>
          <w:rFonts w:ascii="Arial" w:cs="Arial" w:eastAsia="Arial" w:hAnsi="Arial"/>
          <w:sz w:val="18"/>
          <w:szCs w:val="18"/>
          <w:color w:val="auto"/>
        </w:rPr>
      </w:pPr>
    </w:p>
    <w:p>
      <w:pPr>
        <w:ind w:left="1980" w:hanging="358"/>
        <w:spacing w:after="0"/>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approval, on a non-binding advisory basis, of our named executive officer compensation; and</w:t>
      </w:r>
    </w:p>
    <w:p>
      <w:pPr>
        <w:spacing w:after="0" w:line="169" w:lineRule="exact"/>
        <w:rPr>
          <w:rFonts w:ascii="Arial" w:cs="Arial" w:eastAsia="Arial" w:hAnsi="Arial"/>
          <w:sz w:val="17"/>
          <w:szCs w:val="17"/>
          <w:color w:val="auto"/>
        </w:rPr>
      </w:pPr>
    </w:p>
    <w:p>
      <w:pPr>
        <w:ind w:left="1980" w:right="71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Annual Meeting and any adjournment or postponement thereof.</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The Board unanimously recommends that our Shareholders vote “FOR” proposals 1, 2 and 3.</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information regarding these proposals is included in the attached proxy statement.</w:t>
      </w:r>
    </w:p>
    <w:p>
      <w:pPr>
        <w:spacing w:after="0" w:line="143" w:lineRule="exact"/>
        <w:rPr>
          <w:sz w:val="20"/>
          <w:szCs w:val="20"/>
          <w:color w:val="auto"/>
        </w:rPr>
      </w:pPr>
    </w:p>
    <w:p>
      <w:pPr>
        <w:ind w:left="1260" w:right="879" w:firstLine="360"/>
        <w:spacing w:after="0" w:line="301" w:lineRule="auto"/>
        <w:rPr>
          <w:sz w:val="20"/>
          <w:szCs w:val="20"/>
          <w:color w:val="auto"/>
        </w:rPr>
      </w:pPr>
      <w:r>
        <w:rPr>
          <w:rFonts w:ascii="Arial" w:cs="Arial" w:eastAsia="Arial" w:hAnsi="Arial"/>
          <w:sz w:val="16"/>
          <w:szCs w:val="16"/>
          <w:color w:val="auto"/>
        </w:rPr>
        <w:t>We have set the close of business on March 23, 2020 as the record date for determining which of our Shareholders are entitled to receive notice of and to vote at the Annual Meeting and any postponements or adjournments thereof. A list of Shareholders entitled to vote is on file at our principal offices, 333 Clay Street, Suite 1600, Houston, Texas 77002, and will be available for inspection by any Shareholder during the meeting.</w:t>
      </w:r>
    </w:p>
    <w:p>
      <w:pPr>
        <w:spacing w:after="0" w:line="86"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b w:val="1"/>
          <w:bCs w:val="1"/>
          <w:color w:val="auto"/>
        </w:rPr>
        <w:t>We are actively monitoring developments related to the impact of the COVID-19 pandemic, and we are sensitive to the public health and travel concerns of our Shareholders and the protocols that federal, state and local governments have imposed or may impose. In the event it is not possible or advisable to hold our Annual Meeting in person, we will announce alternative arrangements for the meeting as promptly as practicable, which may include holding the meeting solely by means of remote communication. If we take this step, details on how to participate will be posted on our company website and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1717040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Annual Meeting, please cast your vote</w:t>
      </w:r>
      <w:r>
        <w:rPr>
          <w:rFonts w:ascii="Arial" w:cs="Arial" w:eastAsia="Arial" w:hAnsi="Arial"/>
          <w:sz w:val="18"/>
          <w:szCs w:val="18"/>
          <w:b w:val="1"/>
          <w:bCs w:val="1"/>
          <w:color w:val="auto"/>
        </w:rPr>
        <w:t xml:space="preserve"> </w:t>
      </w:r>
      <w:r>
        <w:rPr>
          <w:rFonts w:ascii="Arial" w:cs="Arial" w:eastAsia="Arial" w:hAnsi="Arial"/>
          <w:sz w:val="18"/>
          <w:szCs w:val="18"/>
          <w:color w:val="auto"/>
        </w:rPr>
        <w:t>by following the Internet or telephone voting instructions on the proxy card. You may also vote by completing, signing and dating the accompanying proxy card and returning it promptly in the postage-prepaid envelope provided. See “Questions and Answers About the Annual Meeting — How do I vote?” in the attached proxy statement for more details. Returning the proxy card or voting on the Internet or by telephone does not deprive you of your right to attend the Annual Meeting and to vote your shares in person for the matters to be acted upon at the Annual Meeting.</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Order of the Board of Directors of</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125730</wp:posOffset>
            </wp:positionV>
            <wp:extent cx="205740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McGee</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Executive Vice President, General Counsel</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and Secretary</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117475</wp:posOffset>
            </wp:positionV>
            <wp:extent cx="5212080" cy="796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796925"/>
                    </a:xfrm>
                    <a:prstGeom prst="rect">
                      <a:avLst/>
                    </a:prstGeom>
                    <a:noFill/>
                  </pic:spPr>
                </pic:pic>
              </a:graphicData>
            </a:graphic>
          </wp:anchor>
        </w:drawing>
      </w:r>
    </w:p>
    <w:p>
      <w:pPr>
        <w:spacing w:after="0" w:line="227" w:lineRule="exact"/>
        <w:rPr>
          <w:sz w:val="20"/>
          <w:szCs w:val="20"/>
          <w:color w:val="auto"/>
        </w:rPr>
      </w:pPr>
    </w:p>
    <w:p>
      <w:pPr>
        <w:jc w:val="center"/>
        <w:ind w:left="1600" w:right="960"/>
        <w:spacing w:after="0" w:line="260"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20, 2020</w:t>
      </w:r>
    </w:p>
    <w:p>
      <w:pPr>
        <w:spacing w:after="0" w:line="2"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The Notice of Annual Meeting, the proxy statement for the Annual Meeting and our 2019 Annual</w:t>
      </w:r>
    </w:p>
    <w:p>
      <w:pPr>
        <w:spacing w:after="0" w:line="3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Report are available at http://www.astproxyportal.com/ast/21140/.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4429125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gridSpan w:val="5"/>
            <w:shd w:val="clear" w:color="auto" w:fill="CCEEFF"/>
          </w:tcPr>
          <w:p>
            <w:pPr>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GENERAL INFORMATION ABOUT PLAINS GP HOLDINGS, L.P.’S ANNUAL MEETING</w:t>
              </w:r>
            </w:hyperlink>
          </w:p>
        </w:tc>
        <w:tc>
          <w:tcPr>
            <w:tcW w:w="70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7520" w:type="dxa"/>
            <w:vAlign w:val="bottom"/>
            <w:gridSpan w:val="6"/>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QUESTIONS AND ANSWERS ABOUT THE ANNUAL MEETING</w:t>
              </w:r>
            </w:hyperlink>
          </w:p>
        </w:tc>
        <w:tc>
          <w:tcPr>
            <w:tcW w:w="7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5"/>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1 — ELECTION OF CLASS I DIRECTORS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70"/>
        </w:trPr>
        <w:tc>
          <w:tcPr>
            <w:tcW w:w="7520" w:type="dxa"/>
            <w:vAlign w:val="bottom"/>
            <w:gridSpan w:val="6"/>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CORPORATE GOVERNANCE AND RELATED MATTERS</w:t>
              </w:r>
            </w:hyperlink>
          </w:p>
        </w:tc>
        <w:tc>
          <w:tcPr>
            <w:tcW w:w="70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5"/>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DELINQUENT SECTION 16(A) REPORTS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21</w:t>
              </w:r>
            </w:hyperlink>
          </w:p>
        </w:tc>
        <w:tc>
          <w:tcPr>
            <w:tcW w:w="0" w:type="dxa"/>
            <w:vAlign w:val="bottom"/>
          </w:tcPr>
          <w:p>
            <w:pPr>
              <w:spacing w:after="0"/>
              <w:rPr>
                <w:sz w:val="1"/>
                <w:szCs w:val="1"/>
                <w:color w:val="auto"/>
              </w:rPr>
            </w:pPr>
          </w:p>
        </w:tc>
      </w:tr>
      <w:tr>
        <w:trPr>
          <w:trHeight w:val="270"/>
        </w:trPr>
        <w:tc>
          <w:tcPr>
            <w:tcW w:w="7520" w:type="dxa"/>
            <w:vAlign w:val="bottom"/>
            <w:gridSpan w:val="6"/>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OFFICERS</w:t>
              </w:r>
            </w:hyperlink>
          </w:p>
        </w:tc>
        <w:tc>
          <w:tcPr>
            <w:tcW w:w="7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5"/>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EXECUTIVE COMPENSATION</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24</w:t>
              </w:r>
            </w:hyperlink>
          </w:p>
        </w:tc>
        <w:tc>
          <w:tcPr>
            <w:tcW w:w="0" w:type="dxa"/>
            <w:vAlign w:val="bottom"/>
          </w:tcPr>
          <w:p>
            <w:pPr>
              <w:spacing w:after="0"/>
              <w:rPr>
                <w:sz w:val="1"/>
                <w:szCs w:val="1"/>
                <w:color w:val="auto"/>
              </w:rPr>
            </w:pPr>
          </w:p>
        </w:tc>
      </w:tr>
      <w:tr>
        <w:trPr>
          <w:trHeight w:val="270"/>
        </w:trPr>
        <w:tc>
          <w:tcPr>
            <w:tcW w:w="7520" w:type="dxa"/>
            <w:vAlign w:val="bottom"/>
            <w:gridSpan w:val="6"/>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SECURITY OWNERSHIP OF CERTAIN BENEFICIAL OWNERS AND MANAGEMENT</w:t>
              </w:r>
            </w:hyperlink>
          </w:p>
        </w:tc>
        <w:tc>
          <w:tcPr>
            <w:tcW w:w="70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5"/>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EQUITY COMPENSATION PLAN INFORMATION TABLE</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60</w:t>
              </w:r>
            </w:hyperlink>
          </w:p>
        </w:tc>
        <w:tc>
          <w:tcPr>
            <w:tcW w:w="0" w:type="dxa"/>
            <w:vAlign w:val="bottom"/>
          </w:tcPr>
          <w:p>
            <w:pPr>
              <w:spacing w:after="0"/>
              <w:rPr>
                <w:sz w:val="1"/>
                <w:szCs w:val="1"/>
                <w:color w:val="auto"/>
              </w:rPr>
            </w:pPr>
          </w:p>
        </w:tc>
      </w:tr>
      <w:tr>
        <w:trPr>
          <w:trHeight w:val="270"/>
        </w:trPr>
        <w:tc>
          <w:tcPr>
            <w:tcW w:w="7520" w:type="dxa"/>
            <w:vAlign w:val="bottom"/>
            <w:gridSpan w:val="6"/>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CERTAIN RELATIONSHIPS AND RELATED TRANSACTIONS</w:t>
              </w:r>
            </w:hyperlink>
          </w:p>
        </w:tc>
        <w:tc>
          <w:tcPr>
            <w:tcW w:w="700" w:type="dxa"/>
            <w:vAlign w:val="bottom"/>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5"/>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REPORT OF THE AUDIT COMMITTEE</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270"/>
        </w:trPr>
        <w:tc>
          <w:tcPr>
            <w:tcW w:w="7520" w:type="dxa"/>
            <w:vAlign w:val="bottom"/>
            <w:gridSpan w:val="6"/>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PRINCIPAL ACCOUNTANT FEES AND SERVICES</w:t>
              </w:r>
            </w:hyperlink>
          </w:p>
        </w:tc>
        <w:tc>
          <w:tcPr>
            <w:tcW w:w="700" w:type="dxa"/>
            <w:vAlign w:val="bottom"/>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66</w:t>
              </w:r>
            </w:hyperlink>
          </w:p>
        </w:tc>
        <w:tc>
          <w:tcPr>
            <w:tcW w:w="0" w:type="dxa"/>
            <w:vAlign w:val="bottom"/>
          </w:tcPr>
          <w:p>
            <w:pPr>
              <w:spacing w:after="0"/>
              <w:rPr>
                <w:sz w:val="1"/>
                <w:szCs w:val="1"/>
                <w:color w:val="auto"/>
              </w:rPr>
            </w:pPr>
          </w:p>
        </w:tc>
      </w:tr>
      <w:tr>
        <w:trPr>
          <w:trHeight w:val="216"/>
        </w:trPr>
        <w:tc>
          <w:tcPr>
            <w:tcW w:w="20" w:type="dxa"/>
            <w:vAlign w:val="bottom"/>
            <w:tcBorders>
              <w:bottom w:val="single" w:sz="8" w:color="0000EE"/>
            </w:tcBorders>
          </w:tcPr>
          <w:p>
            <w:pPr>
              <w:spacing w:after="0"/>
              <w:rPr>
                <w:sz w:val="18"/>
                <w:szCs w:val="18"/>
                <w:color w:val="auto"/>
              </w:rPr>
            </w:pPr>
          </w:p>
        </w:tc>
        <w:tc>
          <w:tcPr>
            <w:tcW w:w="750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PROPOSAL 2 — RATIFICATION OF APPOINTMENT OF INDEPENDENT REGISTERED PUBLIC</w:t>
              </w:r>
            </w:hyperlink>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ACCOUNTING FIRM</w:t>
              </w:r>
            </w:hyperlink>
          </w:p>
        </w:tc>
        <w:tc>
          <w:tcPr>
            <w:tcW w:w="5660" w:type="dxa"/>
            <w:vAlign w:val="bottom"/>
            <w:tcBorders>
              <w:bottom w:val="single" w:sz="8" w:color="CCEEFF"/>
            </w:tcBorders>
            <w:gridSpan w:val="2"/>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67</w:t>
              </w:r>
            </w:hyperlink>
          </w:p>
        </w:tc>
        <w:tc>
          <w:tcPr>
            <w:tcW w:w="0" w:type="dxa"/>
            <w:vAlign w:val="bottom"/>
          </w:tcPr>
          <w:p>
            <w:pPr>
              <w:spacing w:after="0"/>
              <w:rPr>
                <w:sz w:val="1"/>
                <w:szCs w:val="1"/>
                <w:color w:val="auto"/>
              </w:rPr>
            </w:pPr>
          </w:p>
        </w:tc>
      </w:tr>
      <w:tr>
        <w:trPr>
          <w:trHeight w:val="216"/>
        </w:trPr>
        <w:tc>
          <w:tcPr>
            <w:tcW w:w="68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PROPOSAL 3 — ADVISORY VOTE TO APPROVE OUR NAMED EXECUTIVE OFFICER</w:t>
              </w:r>
            </w:hyperlink>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40" w:type="dxa"/>
            <w:vAlign w:val="bottom"/>
            <w:gridSpan w:val="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COMPENSATION</w:t>
              </w:r>
            </w:hyperlink>
          </w:p>
        </w:tc>
        <w:tc>
          <w:tcPr>
            <w:tcW w:w="700" w:type="dxa"/>
            <w:vAlign w:val="bottom"/>
          </w:tcPr>
          <w:p>
            <w:pPr>
              <w:jc w:val="right"/>
              <w:spacing w:after="0" w:line="196" w:lineRule="exact"/>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68</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5"/>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OTHER MATTERS FOR THE ANNUAL MEETING</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r>
        <w:trPr>
          <w:trHeight w:val="270"/>
        </w:trPr>
        <w:tc>
          <w:tcPr>
            <w:tcW w:w="7520" w:type="dxa"/>
            <w:vAlign w:val="bottom"/>
            <w:gridSpan w:val="6"/>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SHAREHOLDER PROPOSALS FOR THE 2021 ANNUAL MEETING</w:t>
              </w:r>
            </w:hyperlink>
          </w:p>
        </w:tc>
        <w:tc>
          <w:tcPr>
            <w:tcW w:w="700" w:type="dxa"/>
            <w:vAlign w:val="bottom"/>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5"/>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HOUSEHOLDING MATTERS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auto"/>
        </w:rPr>
        <w:t>PLAINS GP HOLDINGS, L.P.</w:t>
      </w:r>
    </w:p>
    <w:p>
      <w:pPr>
        <w:spacing w:after="0" w:line="208" w:lineRule="exact"/>
        <w:rPr>
          <w:sz w:val="20"/>
          <w:szCs w:val="20"/>
          <w:color w:val="auto"/>
        </w:rPr>
      </w:pPr>
    </w:p>
    <w:p>
      <w:pPr>
        <w:jc w:val="center"/>
        <w:ind w:right="-580"/>
        <w:spacing w:after="0"/>
        <w:rPr>
          <w:sz w:val="20"/>
          <w:szCs w:val="20"/>
          <w:color w:val="auto"/>
        </w:rPr>
      </w:pPr>
      <w:r>
        <w:rPr>
          <w:rFonts w:ascii="Arial" w:cs="Arial" w:eastAsia="Arial" w:hAnsi="Arial"/>
          <w:sz w:val="22"/>
          <w:szCs w:val="22"/>
          <w:b w:val="1"/>
          <w:bCs w:val="1"/>
          <w:color w:val="auto"/>
        </w:rPr>
        <w:t>PROXY STATEMENT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For</w:t>
      </w:r>
    </w:p>
    <w:p>
      <w:pPr>
        <w:spacing w:after="0" w:line="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2020 Annual Meeting of Shareholders</w:t>
      </w:r>
    </w:p>
    <w:p>
      <w:pPr>
        <w:ind w:left="4260"/>
        <w:spacing w:after="0"/>
        <w:rPr>
          <w:sz w:val="20"/>
          <w:szCs w:val="20"/>
          <w:color w:val="auto"/>
        </w:rPr>
      </w:pPr>
      <w:r>
        <w:rPr>
          <w:rFonts w:ascii="Arial" w:cs="Arial" w:eastAsia="Arial" w:hAnsi="Arial"/>
          <w:sz w:val="18"/>
          <w:szCs w:val="18"/>
          <w:b w:val="1"/>
          <w:bCs w:val="1"/>
          <w:color w:val="auto"/>
        </w:rPr>
        <w:t>To Be Held On May 20, 2020</w:t>
      </w:r>
    </w:p>
    <w:p>
      <w:pPr>
        <w:spacing w:after="0" w:line="192"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GENERAL INFORMATION ABOUT PLAINS GP HOLDINGS, L.P.’S ANNUAL MEETING</w:t>
      </w:r>
    </w:p>
    <w:p>
      <w:pPr>
        <w:spacing w:after="0" w:line="162"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6"/>
          <w:szCs w:val="16"/>
          <w:color w:val="auto"/>
        </w:rPr>
        <w:t>The board of directors (the “Board”) of PAA GP Holdings LLC, our general partner (“PAGP GP” or our “general partner”), is soliciting proxies to be voted on behalf of our Class A, Class B and Class C shareholders (collectively, our “Shareholders”) at the 2020 annual meeting of Shareholders (the “Annual Meeting”). This proxy statement is being furnished to you in connection with the solicitation of proxies by and on behalf of the Board for use at the Annual Meeting and includes information about the matters to be voted upon at the Annual Meeting. The Annual Meeting will be held on May 20, 2020, at 2:30 p.m. Central Time, in the Texas Conference Room, located on the 19th Floor of Three Allen Center, 333 Clay Street, Houston, Texas 77002. References to “PAGP,” “we,” “us,” “our,” “ours” and similar terms refer to Plains GP Holdings, L.P.</w:t>
      </w:r>
    </w:p>
    <w:p>
      <w:pPr>
        <w:spacing w:after="0" w:line="87"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2019 (our “2019 Annual Report”), are being mailed to Shareholders on or about April 15, 2020.</w:t>
      </w:r>
    </w:p>
    <w:p>
      <w:pPr>
        <w:spacing w:after="0" w:line="110" w:lineRule="exact"/>
        <w:rPr>
          <w:sz w:val="20"/>
          <w:szCs w:val="20"/>
          <w:color w:val="auto"/>
        </w:rPr>
      </w:pPr>
    </w:p>
    <w:p>
      <w:pPr>
        <w:ind w:left="1260" w:right="679" w:firstLine="360"/>
        <w:spacing w:after="0" w:line="260" w:lineRule="auto"/>
        <w:rPr>
          <w:sz w:val="20"/>
          <w:szCs w:val="20"/>
          <w:color w:val="auto"/>
        </w:rPr>
      </w:pPr>
      <w:r>
        <w:rPr>
          <w:rFonts w:ascii="Arial" w:cs="Arial" w:eastAsia="Arial" w:hAnsi="Arial"/>
          <w:sz w:val="17"/>
          <w:szCs w:val="17"/>
          <w:b w:val="1"/>
          <w:bCs w:val="1"/>
          <w:color w:val="auto"/>
        </w:rPr>
        <w:t>We will furnish additional copies of our 2019 Annual Report without charge upon the written request of any record or beneficial owner of our Class A, Class B or Class C shares whose proxy we are soliciting in connection with the Annual Meeting. Please address requests for additional copies of the 2019 Annual Report to the Investor Relations Department, Plains All American, 333 Clay Street, Suite 1600, Houston, Texas 77002, or email your request to plainsir@paalp.com.</w:t>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162"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Meeting. These questions and answers may not address all questions that may be important to you as a Shareholder. Please refer to the additional information contained elsewhere in this proxy statement and the documents referred to in this proxy statement.</w:t>
      </w:r>
    </w:p>
    <w:p>
      <w:pPr>
        <w:spacing w:after="0" w:line="1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purpose of these proxy materials?</w:t>
      </w:r>
    </w:p>
    <w:p>
      <w:pPr>
        <w:spacing w:after="0" w:line="162" w:lineRule="exact"/>
        <w:rPr>
          <w:sz w:val="20"/>
          <w:szCs w:val="20"/>
          <w:color w:val="auto"/>
        </w:rPr>
      </w:pPr>
    </w:p>
    <w:p>
      <w:pPr>
        <w:ind w:left="1620" w:right="679" w:hanging="358"/>
        <w:spacing w:after="0" w:line="289"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is soliciting your proxy to vote at the Annual Meeting because you were a Shareholder at the close of business on March 23, 2020, the record date for the Annual Meeting (the “Record Date”), and are therefore entitled to receive notice regarding the Annual Meeting, and to attend and vote at the Annual Meeting. This proxy statement summarizes the information that you need to know in order to cast your vote at the Annual Meeting. As a Shareholder, your vote is very important and the Board strongly encourages you to exercise your right to vote. You do not need to attend the Annual Meeting in person to vote your shares, and we encourage you to vote even if you are unable to attend the Annual Meeting. If you are unable to attend the Annual Meeting in person, you may vote by Internet, by telephone or by signing and returning the attached proxy card in the envelope provided. See “How do I vote?” below.</w:t>
      </w:r>
    </w:p>
    <w:p>
      <w:pPr>
        <w:spacing w:after="0" w:line="8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recommendation of the Board?</w:t>
      </w:r>
    </w:p>
    <w:p>
      <w:pPr>
        <w:spacing w:after="0" w:line="162" w:lineRule="exact"/>
        <w:rPr>
          <w:sz w:val="20"/>
          <w:szCs w:val="20"/>
          <w:color w:val="auto"/>
        </w:rPr>
      </w:pPr>
    </w:p>
    <w:p>
      <w:pPr>
        <w:ind w:left="1620" w:hanging="358"/>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w:t>
      </w:r>
    </w:p>
    <w:p>
      <w:pPr>
        <w:spacing w:after="0" w:line="113" w:lineRule="exact"/>
        <w:rPr>
          <w:rFonts w:ascii="Arial" w:cs="Arial" w:eastAsia="Arial" w:hAnsi="Arial"/>
          <w:sz w:val="18"/>
          <w:szCs w:val="18"/>
          <w:color w:val="auto"/>
        </w:rPr>
      </w:pPr>
    </w:p>
    <w:p>
      <w:pPr>
        <w:ind w:left="1800" w:right="739" w:hanging="178"/>
        <w:spacing w:after="0" w:line="282"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Alexandra Pruner and Lawrence Ziemba as a Class I director of the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until the 2023 annual meeting;</w:t>
      </w:r>
    </w:p>
    <w:p>
      <w:pPr>
        <w:spacing w:after="0" w:line="53" w:lineRule="exact"/>
        <w:rPr>
          <w:rFonts w:ascii="Arial" w:cs="Arial" w:eastAsia="Arial" w:hAnsi="Arial"/>
          <w:sz w:val="18"/>
          <w:szCs w:val="18"/>
          <w:color w:val="auto"/>
        </w:rPr>
      </w:pPr>
    </w:p>
    <w:p>
      <w:pPr>
        <w:ind w:left="1800" w:right="759" w:hanging="178"/>
        <w:spacing w:after="0" w:line="266"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and Plains All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L.P.’s independent registered public accounting firm for the fiscal year ending December 31, 2020; and</w:t>
      </w:r>
    </w:p>
    <w:p>
      <w:pPr>
        <w:spacing w:after="0" w:line="35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approval, on a non-binding advisory basis, of our named executive officer compensation.</w:t>
      </w:r>
    </w:p>
    <w:p>
      <w:pPr>
        <w:spacing w:after="0" w:line="169" w:lineRule="exact"/>
        <w:rPr>
          <w:sz w:val="20"/>
          <w:szCs w:val="20"/>
          <w:color w:val="auto"/>
        </w:rPr>
      </w:pPr>
    </w:p>
    <w:p>
      <w:pPr>
        <w:ind w:left="1620" w:hanging="358"/>
        <w:spacing w:after="0"/>
        <w:tabs>
          <w:tab w:leader="none" w:pos="1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w:t>
      </w:r>
    </w:p>
    <w:p>
      <w:pPr>
        <w:spacing w:after="0" w:line="162" w:lineRule="exact"/>
        <w:rPr>
          <w:sz w:val="20"/>
          <w:szCs w:val="20"/>
          <w:color w:val="auto"/>
        </w:rPr>
      </w:pPr>
    </w:p>
    <w:p>
      <w:pPr>
        <w:ind w:left="1620" w:right="1079" w:hanging="358"/>
        <w:spacing w:after="0" w:line="342"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Annual Meeting will be held on May 20, 2020, at 2:30 p.m. Central Time, in the Texas Conference Room, located on the 19th Floor of Three Allen Center, 333 Clay Street, Houston, Texas 77002.</w:t>
      </w:r>
    </w:p>
    <w:p>
      <w:pPr>
        <w:spacing w:after="0" w:line="42" w:lineRule="exact"/>
        <w:rPr>
          <w:rFonts w:ascii="Arial" w:cs="Arial" w:eastAsia="Arial" w:hAnsi="Arial"/>
          <w:sz w:val="16"/>
          <w:szCs w:val="16"/>
          <w:color w:val="auto"/>
        </w:rPr>
      </w:pPr>
    </w:p>
    <w:p>
      <w:pPr>
        <w:ind w:left="1620" w:right="679"/>
        <w:spacing w:after="0" w:line="293" w:lineRule="auto"/>
        <w:rPr>
          <w:rFonts w:ascii="Arial" w:cs="Arial" w:eastAsia="Arial" w:hAnsi="Arial"/>
          <w:sz w:val="16"/>
          <w:szCs w:val="16"/>
          <w:color w:val="auto"/>
        </w:rPr>
      </w:pPr>
      <w:r>
        <w:rPr>
          <w:rFonts w:ascii="Arial" w:cs="Arial" w:eastAsia="Arial" w:hAnsi="Arial"/>
          <w:sz w:val="16"/>
          <w:szCs w:val="16"/>
          <w:color w:val="auto"/>
        </w:rPr>
        <w:t>We are actively monitoring developments related to the impact of the COVID-19 pandemic, and we are sensitive to the public health and travel concerns of our Shareholders and the protocols that federal, state and local governments have imposed or may impose. In the event it is not possible or advisable to hold our Annual Meeting in person, we will announce alternative arrangements for the meeting as promptly as practicable, which may include holding the meeting solely by means of remote communication. If we take this step, details on how to participate will be posted on our company website and filed with the SEC.</w:t>
      </w:r>
    </w:p>
    <w:p>
      <w:pPr>
        <w:spacing w:after="0" w:line="10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is soliciting my proxy?</w:t>
      </w:r>
    </w:p>
    <w:p>
      <w:pPr>
        <w:spacing w:after="0" w:line="162" w:lineRule="exact"/>
        <w:rPr>
          <w:sz w:val="20"/>
          <w:szCs w:val="20"/>
          <w:color w:val="auto"/>
        </w:rPr>
      </w:pPr>
    </w:p>
    <w:p>
      <w:pPr>
        <w:ind w:left="1620" w:right="1199" w:hanging="35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Annual Meeting.</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is entitled to vote at the Annual Meeting?</w:t>
      </w:r>
    </w:p>
    <w:p>
      <w:pPr>
        <w:spacing w:after="0" w:line="162" w:lineRule="exact"/>
        <w:rPr>
          <w:sz w:val="20"/>
          <w:szCs w:val="20"/>
          <w:color w:val="auto"/>
        </w:rPr>
      </w:pPr>
    </w:p>
    <w:p>
      <w:pPr>
        <w:ind w:left="1620" w:right="999" w:hanging="358"/>
        <w:spacing w:after="0" w:line="263"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holders of our Class A, Class B and Class C shares at the close of business on the Record Date are entitled to receive notice of the Annual Meeting and to vote the Class A, Class B and Class C shares that they held on the Record Date at the Annual Meeting.</w:t>
      </w:r>
    </w:p>
    <w:p>
      <w:pPr>
        <w:spacing w:after="0" w:line="102" w:lineRule="exact"/>
        <w:rPr>
          <w:rFonts w:ascii="Arial" w:cs="Arial" w:eastAsia="Arial" w:hAnsi="Arial"/>
          <w:sz w:val="18"/>
          <w:szCs w:val="18"/>
          <w:color w:val="auto"/>
        </w:rPr>
      </w:pPr>
    </w:p>
    <w:p>
      <w:pPr>
        <w:ind w:left="1620" w:right="719"/>
        <w:spacing w:after="0" w:line="293" w:lineRule="auto"/>
        <w:rPr>
          <w:rFonts w:ascii="Arial" w:cs="Arial" w:eastAsia="Arial" w:hAnsi="Arial"/>
          <w:sz w:val="18"/>
          <w:szCs w:val="18"/>
          <w:color w:val="auto"/>
        </w:rPr>
      </w:pPr>
      <w:r>
        <w:rPr>
          <w:rFonts w:ascii="Arial" w:cs="Arial" w:eastAsia="Arial" w:hAnsi="Arial"/>
          <w:sz w:val="16"/>
          <w:szCs w:val="16"/>
          <w:color w:val="auto"/>
        </w:rPr>
        <w:t>Each Shareholder is entitled to one vote for each Class A, Class B and Class C share owned on all matters to be considered at the Annual Meeting. On March 23, 2020, 184,172,421 Class A shares, 63,167,004 Class B shares and 550,707,207 Class C shares were issued and outstanding and entitled to vote. Plains All American Pipeline, L.P. (“PAA”) owns all of the issued and outstanding Class C shares and will vote such shares on a “pass-through” basis on behalf of and according to the direction of its eligible unitholders as determined at its annual meeting, which will be held prior to the Annual Meeting.</w:t>
      </w:r>
    </w:p>
    <w:p>
      <w:pPr>
        <w:spacing w:after="0" w:line="9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162" w:lineRule="exact"/>
        <w:rPr>
          <w:sz w:val="20"/>
          <w:szCs w:val="20"/>
          <w:color w:val="auto"/>
        </w:rPr>
      </w:pPr>
    </w:p>
    <w:p>
      <w:pPr>
        <w:ind w:left="1620" w:right="779" w:hanging="358"/>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are a Shareholder of record at the close of business on the Record Date, you may vote your shares by proxy in advance of the Annual Meeting by any of the following methods:</w:t>
      </w:r>
    </w:p>
    <w:p>
      <w:pPr>
        <w:spacing w:after="0" w:line="62" w:lineRule="exact"/>
        <w:rPr>
          <w:rFonts w:ascii="Arial" w:cs="Arial" w:eastAsia="Arial" w:hAnsi="Arial"/>
          <w:sz w:val="18"/>
          <w:szCs w:val="18"/>
          <w:color w:val="auto"/>
        </w:rPr>
      </w:pPr>
    </w:p>
    <w:p>
      <w:pPr>
        <w:jc w:val="both"/>
        <w:ind w:left="1800" w:right="879" w:hanging="178"/>
        <w:spacing w:after="0" w:line="263"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You may visit the Internet address listed on your proxy card. Internet voting procedures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established to verify your identity and to confirm your voting instructions. Please have your proxy card available when you visit the Internet address.</w:t>
      </w:r>
    </w:p>
    <w:p>
      <w:pPr>
        <w:spacing w:after="0" w:line="89" w:lineRule="exact"/>
        <w:rPr>
          <w:rFonts w:ascii="Arial" w:cs="Arial" w:eastAsia="Arial" w:hAnsi="Arial"/>
          <w:sz w:val="18"/>
          <w:szCs w:val="18"/>
          <w:color w:val="auto"/>
        </w:rPr>
      </w:pPr>
    </w:p>
    <w:p>
      <w:pPr>
        <w:ind w:left="1800" w:right="699" w:hanging="178"/>
        <w:spacing w:after="0" w:line="259"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You may call the toll-free telephone number listed on your proxy card. Telephone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have been established to verify your identity, to allow you to provide proxy voting instructions and to confirm that your instructions were accurately recorded. Please have your proxy card available when you call.</w:t>
      </w:r>
    </w:p>
    <w:p>
      <w:pPr>
        <w:spacing w:after="0" w:line="78" w:lineRule="exact"/>
        <w:rPr>
          <w:rFonts w:ascii="Arial" w:cs="Arial" w:eastAsia="Arial" w:hAnsi="Arial"/>
          <w:sz w:val="18"/>
          <w:szCs w:val="18"/>
          <w:color w:val="auto"/>
        </w:rPr>
      </w:pPr>
    </w:p>
    <w:p>
      <w:pPr>
        <w:ind w:left="1800" w:right="959" w:hanging="178"/>
        <w:spacing w:after="0" w:line="277"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Mail. </w:t>
      </w:r>
      <w:r>
        <w:rPr>
          <w:rFonts w:ascii="Arial" w:cs="Arial" w:eastAsia="Arial" w:hAnsi="Arial"/>
          <w:sz w:val="18"/>
          <w:szCs w:val="18"/>
          <w:color w:val="auto"/>
        </w:rPr>
        <w:t>You may mail your completed, signed and dated proxy card in the enclosed postage-paid return</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w:t>
      </w:r>
    </w:p>
    <w:p>
      <w:pPr>
        <w:spacing w:after="0" w:line="103" w:lineRule="exact"/>
        <w:rPr>
          <w:sz w:val="20"/>
          <w:szCs w:val="20"/>
          <w:color w:val="auto"/>
        </w:rPr>
      </w:pPr>
    </w:p>
    <w:p>
      <w:pPr>
        <w:ind w:left="1620" w:right="799"/>
        <w:spacing w:after="0" w:line="257" w:lineRule="auto"/>
        <w:rPr>
          <w:sz w:val="20"/>
          <w:szCs w:val="20"/>
          <w:color w:val="auto"/>
        </w:rPr>
      </w:pPr>
      <w:r>
        <w:rPr>
          <w:rFonts w:ascii="Arial" w:cs="Arial" w:eastAsia="Arial" w:hAnsi="Arial"/>
          <w:sz w:val="18"/>
          <w:szCs w:val="18"/>
          <w:color w:val="auto"/>
        </w:rPr>
        <w:t>Internet and telephone voting will be available to Shareholders of record 24 hours a day until 11:59 p.m. Eastern Time on May 19, 2020, the night before the Annual Meeting. If you use the Internet or the toll-free telephone number to provide your proxy voting instructions, you do not need to mail in your proxy card. If you mail in your proxy card, it must be received by PAGP before the voting polls close at the Annual Meeting.</w:t>
      </w:r>
    </w:p>
    <w:p>
      <w:pPr>
        <w:spacing w:after="0" w:line="107" w:lineRule="exact"/>
        <w:rPr>
          <w:sz w:val="20"/>
          <w:szCs w:val="20"/>
          <w:color w:val="auto"/>
        </w:rPr>
      </w:pPr>
    </w:p>
    <w:p>
      <w:pPr>
        <w:ind w:left="1620" w:right="819"/>
        <w:spacing w:after="0" w:line="259" w:lineRule="auto"/>
        <w:rPr>
          <w:sz w:val="20"/>
          <w:szCs w:val="20"/>
          <w:color w:val="auto"/>
        </w:rPr>
      </w:pPr>
      <w:r>
        <w:rPr>
          <w:rFonts w:ascii="Arial" w:cs="Arial" w:eastAsia="Arial" w:hAnsi="Arial"/>
          <w:sz w:val="18"/>
          <w:szCs w:val="18"/>
          <w:color w:val="auto"/>
        </w:rPr>
        <w:t>You may also attend the Annual Meeting and vote your shares in person. Even if you plan to attend the Annual Meeting, please vote your proxy in advance of the Annual Meeting (by Internet, telephone or mail, as described above) as soon as possible so that your shares will be represented at the Annual Meeting if for any reason you are unable to attend in person.</w:t>
      </w:r>
    </w:p>
    <w:p>
      <w:pPr>
        <w:spacing w:after="0" w:line="37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59"/>
        <w:spacing w:after="0" w:line="243" w:lineRule="auto"/>
        <w:rPr>
          <w:sz w:val="20"/>
          <w:szCs w:val="20"/>
          <w:color w:val="auto"/>
        </w:rPr>
      </w:pPr>
      <w:r>
        <w:rPr>
          <w:rFonts w:ascii="Arial" w:cs="Arial" w:eastAsia="Arial" w:hAnsi="Arial"/>
          <w:sz w:val="18"/>
          <w:szCs w:val="18"/>
          <w:color w:val="auto"/>
        </w:rPr>
        <w:t>If you are a beneficial owner of shares held in street name, you must either direct your broker or other nominee as to how to vote your shares, or obtain a “legal” proxy from your broker or other nominee to vote at the Annual Meeting. Please refer to the voter instruction forms provided by your broker or other nominee for specific instructions on methods of voting.</w:t>
      </w:r>
    </w:p>
    <w:p>
      <w:pPr>
        <w:spacing w:after="0" w:line="107" w:lineRule="exact"/>
        <w:rPr>
          <w:sz w:val="20"/>
          <w:szCs w:val="20"/>
          <w:color w:val="auto"/>
        </w:rPr>
      </w:pPr>
    </w:p>
    <w:p>
      <w:pPr>
        <w:ind w:left="1620" w:right="879"/>
        <w:spacing w:after="0" w:line="276" w:lineRule="auto"/>
        <w:rPr>
          <w:sz w:val="20"/>
          <w:szCs w:val="20"/>
          <w:color w:val="auto"/>
        </w:rPr>
      </w:pPr>
      <w:r>
        <w:rPr>
          <w:rFonts w:ascii="Arial" w:cs="Arial" w:eastAsia="Arial" w:hAnsi="Arial"/>
          <w:sz w:val="16"/>
          <w:szCs w:val="16"/>
          <w:color w:val="auto"/>
        </w:rPr>
        <w:t>Each Shareholder that attends the Annual Meeting in person may be asked to present valid picture identification, such as a driver’s license or passport. Please also note that if you hold your shares in “</w:t>
      </w:r>
      <w:r>
        <w:rPr>
          <w:rFonts w:ascii="Arial" w:cs="Arial" w:eastAsia="Arial" w:hAnsi="Arial"/>
          <w:sz w:val="16"/>
          <w:szCs w:val="16"/>
          <w:i w:val="1"/>
          <w:iCs w:val="1"/>
          <w:color w:val="auto"/>
        </w:rPr>
        <w:t>street</w:t>
      </w:r>
      <w:r>
        <w:rPr>
          <w:rFonts w:ascii="Arial" w:cs="Arial" w:eastAsia="Arial" w:hAnsi="Arial"/>
          <w:sz w:val="16"/>
          <w:szCs w:val="16"/>
          <w:color w:val="auto"/>
        </w:rPr>
        <w:t xml:space="preserve"> </w:t>
      </w:r>
      <w:r>
        <w:rPr>
          <w:rFonts w:ascii="Arial" w:cs="Arial" w:eastAsia="Arial" w:hAnsi="Arial"/>
          <w:sz w:val="16"/>
          <w:szCs w:val="16"/>
          <w:i w:val="1"/>
          <w:iCs w:val="1"/>
          <w:color w:val="auto"/>
        </w:rPr>
        <w:t>name</w:t>
      </w:r>
      <w:r>
        <w:rPr>
          <w:rFonts w:ascii="Arial" w:cs="Arial" w:eastAsia="Arial" w:hAnsi="Arial"/>
          <w:sz w:val="16"/>
          <w:szCs w:val="16"/>
          <w:color w:val="auto"/>
        </w:rPr>
        <w:t>” (that is, through a broker, bank or other nominee), you must bring a copy of a brokerage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reflecting your share ownership as of the Record Date and sign in at the registration desk at the meeting. Additionally, if you attend the Annual Meeting in a representative capacity for a Shareholder, you must provide evidence of your authority to attend the Annual Meeting and vote on behalf of such Shareholder.</w:t>
      </w:r>
    </w:p>
    <w:p>
      <w:pPr>
        <w:spacing w:after="0" w:line="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do if I want to change my vote after I have already voted by proxy?</w:t>
      </w:r>
    </w:p>
    <w:p>
      <w:pPr>
        <w:spacing w:after="0" w:line="148" w:lineRule="exact"/>
        <w:rPr>
          <w:sz w:val="20"/>
          <w:szCs w:val="20"/>
          <w:color w:val="auto"/>
        </w:rPr>
      </w:pPr>
    </w:p>
    <w:p>
      <w:pPr>
        <w:ind w:left="1620" w:right="759" w:hanging="358"/>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Shareholder of record at the close of business on the Record Date, you may change your vote at any time before the voting polls close at the Annual Meeting by:</w:t>
      </w:r>
    </w:p>
    <w:p>
      <w:pPr>
        <w:spacing w:after="0" w:line="48" w:lineRule="exact"/>
        <w:rPr>
          <w:rFonts w:ascii="Arial" w:cs="Arial" w:eastAsia="Arial" w:hAnsi="Arial"/>
          <w:sz w:val="18"/>
          <w:szCs w:val="18"/>
          <w:color w:val="auto"/>
        </w:rPr>
      </w:pPr>
    </w:p>
    <w:p>
      <w:pPr>
        <w:jc w:val="both"/>
        <w:ind w:left="1800" w:right="1039" w:hanging="178"/>
        <w:spacing w:after="0" w:line="263"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however, that the deadline for voting through the Internet or by telephone is 11:59 p.m. Eastern Time on May 19, 2020);</w:t>
      </w:r>
    </w:p>
    <w:p>
      <w:pPr>
        <w:spacing w:after="0" w:line="75" w:lineRule="exact"/>
        <w:rPr>
          <w:rFonts w:ascii="Arial" w:cs="Arial" w:eastAsia="Arial" w:hAnsi="Arial"/>
          <w:sz w:val="18"/>
          <w:szCs w:val="18"/>
          <w:color w:val="auto"/>
        </w:rPr>
      </w:pPr>
    </w:p>
    <w:p>
      <w:pPr>
        <w:ind w:left="1800" w:right="859" w:hanging="178"/>
        <w:spacing w:after="0" w:line="27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delivering a later-dated, executed proxy card to American Stock Transfer &amp; Trust Company, LLC, 6201 15th Avenue, Brooklyn, New York 11219;</w:t>
      </w:r>
    </w:p>
    <w:p>
      <w:pPr>
        <w:spacing w:after="0" w:line="62" w:lineRule="exact"/>
        <w:rPr>
          <w:rFonts w:ascii="Arial" w:cs="Arial" w:eastAsia="Arial" w:hAnsi="Arial"/>
          <w:sz w:val="18"/>
          <w:szCs w:val="18"/>
          <w:color w:val="auto"/>
        </w:rPr>
      </w:pPr>
    </w:p>
    <w:p>
      <w:pPr>
        <w:ind w:left="1800" w:right="979" w:hanging="178"/>
        <w:spacing w:after="0" w:line="27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delivering a written notice of revocation of your proxy to American Stock Transfer &amp; Trust Company, LLC, 6201 15th Avenue, Brooklyn, New York 11219; or</w:t>
      </w:r>
    </w:p>
    <w:p>
      <w:pPr>
        <w:spacing w:after="0" w:line="48" w:lineRule="exact"/>
        <w:rPr>
          <w:rFonts w:ascii="Arial" w:cs="Arial" w:eastAsia="Arial" w:hAnsi="Arial"/>
          <w:sz w:val="18"/>
          <w:szCs w:val="18"/>
          <w:color w:val="auto"/>
        </w:rPr>
      </w:pPr>
    </w:p>
    <w:p>
      <w:pPr>
        <w:ind w:left="1800" w:right="979" w:hanging="178"/>
        <w:spacing w:after="0" w:line="27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Please note that attendance at the Annual Meeting will not by itself (i.e., without also voting) revoke a previously granted proxy.</w:t>
      </w:r>
    </w:p>
    <w:p>
      <w:pPr>
        <w:spacing w:after="0" w:line="103" w:lineRule="exact"/>
        <w:rPr>
          <w:sz w:val="20"/>
          <w:szCs w:val="20"/>
          <w:color w:val="auto"/>
        </w:rPr>
      </w:pPr>
    </w:p>
    <w:p>
      <w:pPr>
        <w:ind w:left="1620" w:right="799"/>
        <w:spacing w:after="0" w:line="243" w:lineRule="auto"/>
        <w:rPr>
          <w:sz w:val="20"/>
          <w:szCs w:val="20"/>
          <w:color w:val="auto"/>
        </w:rPr>
      </w:pPr>
      <w:r>
        <w:rPr>
          <w:rFonts w:ascii="Arial" w:cs="Arial" w:eastAsia="Arial" w:hAnsi="Arial"/>
          <w:sz w:val="18"/>
          <w:szCs w:val="18"/>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Annual Meeting if you obtain a “legal” proxy from your broker or other nominee.</w:t>
      </w:r>
    </w:p>
    <w:p>
      <w:pPr>
        <w:spacing w:after="0" w:line="1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broker non-vote?</w:t>
      </w:r>
    </w:p>
    <w:p>
      <w:pPr>
        <w:spacing w:after="0" w:line="148" w:lineRule="exact"/>
        <w:rPr>
          <w:sz w:val="20"/>
          <w:szCs w:val="20"/>
          <w:color w:val="auto"/>
        </w:rPr>
      </w:pPr>
    </w:p>
    <w:p>
      <w:pPr>
        <w:ind w:left="1620" w:right="699" w:hanging="358"/>
        <w:spacing w:after="0" w:line="286"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broker non-vote occurs when shares held by a broker, bank or other nominee on behalf of a beneficial owner are not voted with respect to a particular matter because the broker lacks discretionary authority to vote the shares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as votes either “FOR” or “AGAINST” Proposals 1 and 3.</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w:t>
      </w:r>
    </w:p>
    <w:p>
      <w:pPr>
        <w:spacing w:after="0" w:line="148" w:lineRule="exact"/>
        <w:rPr>
          <w:sz w:val="20"/>
          <w:szCs w:val="20"/>
          <w:color w:val="auto"/>
        </w:rPr>
      </w:pPr>
    </w:p>
    <w:p>
      <w:pPr>
        <w:ind w:left="1620" w:right="1279" w:hanging="358"/>
        <w:spacing w:after="0" w:line="308" w:lineRule="auto"/>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holders of a majority of the outstanding Class A, Class B and Class C shares entitled to vote and represented in person or by proxy shall constitute a quorum at the Annual Meeting.</w:t>
      </w:r>
    </w:p>
    <w:p>
      <w:pPr>
        <w:spacing w:after="0" w:line="78"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Your shares will be counted as present at the Annual Meeting if:</w:t>
      </w:r>
    </w:p>
    <w:p>
      <w:pPr>
        <w:spacing w:after="0" w:line="117"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  you are present and vote in person at the meeting; or</w:t>
      </w:r>
    </w:p>
    <w:p>
      <w:pPr>
        <w:spacing w:after="0" w:line="200" w:lineRule="exact"/>
        <w:rPr>
          <w:sz w:val="20"/>
          <w:szCs w:val="20"/>
          <w:color w:val="auto"/>
        </w:rPr>
      </w:pP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shares held in street name, have submitted a properly executed proxy.</w:t>
      </w:r>
    </w:p>
    <w:p>
      <w:pPr>
        <w:spacing w:after="0" w:line="76" w:lineRule="exact"/>
        <w:rPr>
          <w:sz w:val="20"/>
          <w:szCs w:val="20"/>
          <w:color w:val="auto"/>
        </w:rPr>
      </w:pPr>
    </w:p>
    <w:p>
      <w:pPr>
        <w:ind w:left="1620" w:right="959"/>
        <w:spacing w:after="0" w:line="261"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4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vote is required to approve the proposals discussed in this proxy statement?</w:t>
      </w:r>
    </w:p>
    <w:p>
      <w:pPr>
        <w:spacing w:after="0" w:line="108" w:lineRule="exact"/>
        <w:rPr>
          <w:sz w:val="20"/>
          <w:szCs w:val="20"/>
          <w:color w:val="auto"/>
        </w:rPr>
      </w:pPr>
    </w:p>
    <w:p>
      <w:pPr>
        <w:ind w:left="1620" w:right="1159" w:hanging="358"/>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table sets forth certain information with respect to the proposals to be voted upon at the Annual Meeting:</w:t>
      </w:r>
    </w:p>
    <w:p>
      <w:pPr>
        <w:spacing w:after="0" w:line="108" w:lineRule="exact"/>
        <w:rPr>
          <w:sz w:val="20"/>
          <w:szCs w:val="20"/>
          <w:color w:val="auto"/>
        </w:rPr>
      </w:pPr>
    </w:p>
    <w:p>
      <w:pPr>
        <w:ind w:left="1620"/>
        <w:spacing w:after="0"/>
        <w:tabs>
          <w:tab w:leader="none" w:pos="3820" w:val="left"/>
          <w:tab w:leader="none" w:pos="6060" w:val="left"/>
        </w:tabs>
        <w:rPr>
          <w:sz w:val="20"/>
          <w:szCs w:val="20"/>
          <w:color w:val="auto"/>
        </w:rPr>
      </w:pPr>
      <w:r>
        <w:rPr>
          <w:rFonts w:ascii="Arial" w:cs="Arial" w:eastAsia="Arial" w:hAnsi="Arial"/>
          <w:sz w:val="14"/>
          <w:szCs w:val="14"/>
          <w:b w:val="1"/>
          <w:bCs w:val="1"/>
          <w:color w:val="auto"/>
        </w:rPr>
        <w:t>Proposal</w:t>
      </w:r>
      <w:r>
        <w:rPr>
          <w:sz w:val="20"/>
          <w:szCs w:val="20"/>
          <w:color w:val="auto"/>
        </w:rPr>
        <w:tab/>
      </w:r>
      <w:r>
        <w:rPr>
          <w:rFonts w:ascii="Arial" w:cs="Arial" w:eastAsia="Arial" w:hAnsi="Arial"/>
          <w:sz w:val="14"/>
          <w:szCs w:val="14"/>
          <w:b w:val="1"/>
          <w:bCs w:val="1"/>
          <w:color w:val="auto"/>
        </w:rPr>
        <w:t>Voting Options</w:t>
      </w:r>
      <w:r>
        <w:rPr>
          <w:sz w:val="20"/>
          <w:szCs w:val="20"/>
          <w:color w:val="auto"/>
        </w:rPr>
        <w:tab/>
      </w:r>
      <w:r>
        <w:rPr>
          <w:rFonts w:ascii="Arial" w:cs="Arial" w:eastAsia="Arial" w:hAnsi="Arial"/>
          <w:sz w:val="12"/>
          <w:szCs w:val="12"/>
          <w:b w:val="1"/>
          <w:bCs w:val="1"/>
          <w:color w:val="auto"/>
        </w:rPr>
        <w:t>Vote Required for Approval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23495</wp:posOffset>
            </wp:positionV>
            <wp:extent cx="4749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54" w:lineRule="exact"/>
        <w:rPr>
          <w:sz w:val="20"/>
          <w:szCs w:val="20"/>
          <w:color w:val="auto"/>
        </w:rPr>
      </w:pPr>
    </w:p>
    <w:p>
      <w:pPr>
        <w:jc w:val="both"/>
        <w:ind w:left="1620"/>
        <w:spacing w:after="0" w:line="286" w:lineRule="auto"/>
        <w:rPr>
          <w:sz w:val="20"/>
          <w:szCs w:val="20"/>
          <w:color w:val="auto"/>
        </w:rPr>
      </w:pPr>
      <w:r>
        <w:rPr>
          <w:rFonts w:ascii="Arial" w:cs="Arial" w:eastAsia="Arial" w:hAnsi="Arial"/>
          <w:sz w:val="15"/>
          <w:szCs w:val="15"/>
          <w:color w:val="auto"/>
        </w:rPr>
        <w:t>To elect two Class I directors to serve on the Board until the 2023 annual meeting.</w:t>
      </w:r>
    </w:p>
    <w:p>
      <w:pPr>
        <w:spacing w:after="0" w:line="200" w:lineRule="exact"/>
        <w:rPr>
          <w:sz w:val="20"/>
          <w:szCs w:val="20"/>
          <w:color w:val="auto"/>
        </w:rPr>
      </w:pPr>
    </w:p>
    <w:p>
      <w:pPr>
        <w:spacing w:after="0" w:line="344" w:lineRule="exact"/>
        <w:rPr>
          <w:sz w:val="20"/>
          <w:szCs w:val="20"/>
          <w:color w:val="auto"/>
        </w:rPr>
      </w:pPr>
    </w:p>
    <w:p>
      <w:pPr>
        <w:ind w:left="1620" w:right="20"/>
        <w:spacing w:after="0" w:line="270" w:lineRule="auto"/>
        <w:rPr>
          <w:sz w:val="20"/>
          <w:szCs w:val="20"/>
          <w:color w:val="auto"/>
        </w:rPr>
      </w:pPr>
      <w:r>
        <w:rPr>
          <w:rFonts w:ascii="Arial" w:cs="Arial" w:eastAsia="Arial" w:hAnsi="Arial"/>
          <w:sz w:val="15"/>
          <w:szCs w:val="15"/>
          <w:color w:val="auto"/>
        </w:rPr>
        <w:t>To ratify the appointment of PricewaterhouseCoopers LLP as PAA’s and PAGP’s independent registered public accounting firm for the fiscal year ending December 31, 2020.</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You may vote “FOR”, or you may “WITHHOLD” authority to vote for, all, some or none of the nominees for director.</w:t>
      </w:r>
    </w:p>
    <w:p>
      <w:pPr>
        <w:spacing w:after="0" w:line="36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You may vote “FOR” or “AGAINST” the proposal, or you may “ABSTAIN” from voting.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139"/>
        <w:spacing w:after="0" w:line="269" w:lineRule="auto"/>
        <w:rPr>
          <w:sz w:val="20"/>
          <w:szCs w:val="20"/>
          <w:color w:val="auto"/>
        </w:rPr>
      </w:pPr>
      <w:r>
        <w:rPr>
          <w:rFonts w:ascii="Arial" w:cs="Arial" w:eastAsia="Arial" w:hAnsi="Arial"/>
          <w:sz w:val="15"/>
          <w:szCs w:val="15"/>
          <w:color w:val="auto"/>
        </w:rPr>
        <w:t>Directors will be elected by a plurality of the votes cast, in person or by proxy, by the holders of our Class A, Class B and Class C shares. Abstentions and broker non-votes are not considered votes cast and will have no effect on the election of directors.</w:t>
      </w:r>
    </w:p>
    <w:p>
      <w:pPr>
        <w:spacing w:after="0" w:line="1" w:lineRule="exact"/>
        <w:rPr>
          <w:sz w:val="20"/>
          <w:szCs w:val="20"/>
          <w:color w:val="auto"/>
        </w:rPr>
      </w:pPr>
    </w:p>
    <w:p>
      <w:pPr>
        <w:ind w:right="1079"/>
        <w:spacing w:after="0" w:line="286" w:lineRule="auto"/>
        <w:rPr>
          <w:sz w:val="20"/>
          <w:szCs w:val="20"/>
          <w:color w:val="auto"/>
        </w:rPr>
      </w:pPr>
      <w:r>
        <w:rPr>
          <w:rFonts w:ascii="Arial" w:cs="Arial" w:eastAsia="Arial" w:hAnsi="Arial"/>
          <w:sz w:val="14"/>
          <w:szCs w:val="14"/>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We do not expect there to be any broker non-votes for this proposal.</w:t>
      </w:r>
    </w:p>
    <w:p>
      <w:pPr>
        <w:spacing w:after="0" w:line="1" w:lineRule="exact"/>
        <w:rPr>
          <w:sz w:val="20"/>
          <w:szCs w:val="20"/>
          <w:color w:val="auto"/>
        </w:rPr>
      </w:pPr>
    </w:p>
    <w:p>
      <w:pPr>
        <w:sectPr>
          <w:pgSz w:w="11900" w:h="16838" w:orient="portrait"/>
          <w:cols w:equalWidth="0" w:num="3">
            <w:col w:w="3580" w:space="260"/>
            <w:col w:w="1980" w:space="260"/>
            <w:col w:w="4059"/>
          </w:cols>
          <w:pgMar w:left="320" w:top="131" w:right="1440" w:bottom="1440" w:gutter="0" w:footer="0" w:header="0"/>
          <w:type w:val="continuous"/>
        </w:sectPr>
      </w:pPr>
    </w:p>
    <w:p>
      <w:pPr>
        <w:ind w:left="1620"/>
        <w:spacing w:after="0"/>
        <w:tabs>
          <w:tab w:leader="none" w:pos="3820" w:val="left"/>
        </w:tabs>
        <w:rPr>
          <w:sz w:val="20"/>
          <w:szCs w:val="20"/>
          <w:color w:val="auto"/>
        </w:rPr>
      </w:pPr>
      <w:r>
        <w:rPr>
          <w:rFonts w:ascii="Arial" w:cs="Arial" w:eastAsia="Arial" w:hAnsi="Arial"/>
          <w:sz w:val="16"/>
          <w:szCs w:val="16"/>
          <w:color w:val="auto"/>
        </w:rPr>
        <w:t>To approve, on a non-binding</w:t>
      </w:r>
      <w:r>
        <w:rPr>
          <w:sz w:val="20"/>
          <w:szCs w:val="20"/>
          <w:color w:val="auto"/>
        </w:rPr>
        <w:tab/>
      </w:r>
      <w:r>
        <w:rPr>
          <w:rFonts w:ascii="Arial" w:cs="Arial" w:eastAsia="Arial" w:hAnsi="Arial"/>
          <w:sz w:val="15"/>
          <w:szCs w:val="15"/>
          <w:color w:val="auto"/>
        </w:rPr>
        <w:t>You may vote “FOR” or</w:t>
      </w:r>
    </w:p>
    <w:p>
      <w:pPr>
        <w:spacing w:after="0" w:line="19" w:lineRule="exact"/>
        <w:rPr>
          <w:sz w:val="20"/>
          <w:szCs w:val="20"/>
          <w:color w:val="auto"/>
        </w:rPr>
      </w:pPr>
    </w:p>
    <w:p>
      <w:pPr>
        <w:ind w:left="1620"/>
        <w:spacing w:after="0"/>
        <w:tabs>
          <w:tab w:leader="none" w:pos="3820" w:val="left"/>
        </w:tabs>
        <w:rPr>
          <w:sz w:val="20"/>
          <w:szCs w:val="20"/>
          <w:color w:val="auto"/>
        </w:rPr>
      </w:pPr>
      <w:r>
        <w:rPr>
          <w:rFonts w:ascii="Arial" w:cs="Arial" w:eastAsia="Arial" w:hAnsi="Arial"/>
          <w:sz w:val="16"/>
          <w:szCs w:val="16"/>
          <w:color w:val="auto"/>
        </w:rPr>
        <w:t>advisory basis, our named</w:t>
      </w:r>
      <w:r>
        <w:rPr>
          <w:sz w:val="20"/>
          <w:szCs w:val="20"/>
          <w:color w:val="auto"/>
        </w:rPr>
        <w:tab/>
      </w:r>
      <w:r>
        <w:rPr>
          <w:rFonts w:ascii="Arial" w:cs="Arial" w:eastAsia="Arial" w:hAnsi="Arial"/>
          <w:sz w:val="15"/>
          <w:szCs w:val="15"/>
          <w:color w:val="auto"/>
        </w:rPr>
        <w:t>“AGAINST” the proposal, or</w:t>
      </w:r>
    </w:p>
    <w:p>
      <w:pPr>
        <w:spacing w:after="0" w:line="5" w:lineRule="exact"/>
        <w:rPr>
          <w:sz w:val="20"/>
          <w:szCs w:val="20"/>
          <w:color w:val="auto"/>
        </w:rPr>
      </w:pPr>
    </w:p>
    <w:p>
      <w:pPr>
        <w:ind w:left="1620"/>
        <w:spacing w:after="0"/>
        <w:tabs>
          <w:tab w:leader="none" w:pos="3820" w:val="left"/>
        </w:tabs>
        <w:rPr>
          <w:sz w:val="20"/>
          <w:szCs w:val="20"/>
          <w:color w:val="auto"/>
        </w:rPr>
      </w:pPr>
      <w:r>
        <w:rPr>
          <w:rFonts w:ascii="Arial" w:cs="Arial" w:eastAsia="Arial" w:hAnsi="Arial"/>
          <w:sz w:val="16"/>
          <w:szCs w:val="16"/>
          <w:color w:val="auto"/>
        </w:rPr>
        <w:t>executive officer</w:t>
      </w:r>
      <w:r>
        <w:rPr>
          <w:sz w:val="20"/>
          <w:szCs w:val="20"/>
          <w:color w:val="auto"/>
        </w:rPr>
        <w:tab/>
      </w:r>
      <w:r>
        <w:rPr>
          <w:rFonts w:ascii="Arial" w:cs="Arial" w:eastAsia="Arial" w:hAnsi="Arial"/>
          <w:sz w:val="15"/>
          <w:szCs w:val="15"/>
          <w:color w:val="auto"/>
        </w:rPr>
        <w:t>you may “ABSTAIN” from</w:t>
      </w:r>
    </w:p>
    <w:p>
      <w:pPr>
        <w:spacing w:after="0" w:line="5" w:lineRule="exact"/>
        <w:rPr>
          <w:sz w:val="20"/>
          <w:szCs w:val="20"/>
          <w:color w:val="auto"/>
        </w:rPr>
      </w:pPr>
    </w:p>
    <w:p>
      <w:pPr>
        <w:ind w:left="1620"/>
        <w:spacing w:after="0"/>
        <w:tabs>
          <w:tab w:leader="none" w:pos="3820" w:val="left"/>
        </w:tabs>
        <w:rPr>
          <w:sz w:val="20"/>
          <w:szCs w:val="20"/>
          <w:color w:val="auto"/>
        </w:rPr>
      </w:pPr>
      <w:r>
        <w:rPr>
          <w:rFonts w:ascii="Arial" w:cs="Arial" w:eastAsia="Arial" w:hAnsi="Arial"/>
          <w:sz w:val="16"/>
          <w:szCs w:val="16"/>
          <w:color w:val="auto"/>
        </w:rPr>
        <w:t>compensation.</w:t>
      </w:r>
      <w:r>
        <w:rPr>
          <w:sz w:val="20"/>
          <w:szCs w:val="20"/>
          <w:color w:val="auto"/>
        </w:rPr>
        <w:tab/>
      </w:r>
      <w:r>
        <w:rPr>
          <w:rFonts w:ascii="Arial" w:cs="Arial" w:eastAsia="Arial" w:hAnsi="Arial"/>
          <w:sz w:val="16"/>
          <w:szCs w:val="16"/>
          <w:color w:val="auto"/>
        </w:rPr>
        <w:t>voting.</w:t>
      </w:r>
    </w:p>
    <w:p>
      <w:pPr>
        <w:spacing w:after="0" w:line="20" w:lineRule="exact"/>
        <w:rPr>
          <w:sz w:val="20"/>
          <w:szCs w:val="20"/>
          <w:color w:val="auto"/>
        </w:rPr>
      </w:pPr>
      <w:r>
        <w:rPr>
          <w:sz w:val="20"/>
          <w:szCs w:val="20"/>
          <w:color w:val="auto"/>
        </w:rPr>
        <w:br w:type="column"/>
      </w:r>
    </w:p>
    <w:p>
      <w:pPr>
        <w:ind w:right="1079"/>
        <w:spacing w:after="0" w:line="268" w:lineRule="auto"/>
        <w:rPr>
          <w:sz w:val="20"/>
          <w:szCs w:val="20"/>
          <w:color w:val="auto"/>
        </w:rPr>
      </w:pPr>
      <w:r>
        <w:rPr>
          <w:rFonts w:ascii="Arial" w:cs="Arial" w:eastAsia="Arial" w:hAnsi="Arial"/>
          <w:sz w:val="15"/>
          <w:szCs w:val="15"/>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Broker non-votes are not considered votes cast and will have no effect on the outcome of this proposal.</w:t>
      </w:r>
    </w:p>
    <w:p>
      <w:pPr>
        <w:spacing w:after="0" w:line="50" w:lineRule="exact"/>
        <w:rPr>
          <w:sz w:val="20"/>
          <w:szCs w:val="20"/>
          <w:color w:val="auto"/>
        </w:rPr>
      </w:pPr>
    </w:p>
    <w:p>
      <w:pPr>
        <w:sectPr>
          <w:pgSz w:w="11900" w:h="16838" w:orient="portrait"/>
          <w:cols w:equalWidth="0" w:num="2">
            <w:col w:w="5760" w:space="320"/>
            <w:col w:w="4059"/>
          </w:cols>
          <w:pgMar w:left="320" w:top="131" w:right="1440"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Q:  Who covers the expense of the proxy solicitation?</w:t>
      </w:r>
    </w:p>
    <w:p>
      <w:pPr>
        <w:spacing w:after="0" w:line="108" w:lineRule="exact"/>
        <w:rPr>
          <w:sz w:val="20"/>
          <w:szCs w:val="20"/>
          <w:color w:val="auto"/>
        </w:rPr>
      </w:pPr>
    </w:p>
    <w:p>
      <w:pPr>
        <w:ind w:left="1620" w:right="679" w:hanging="358"/>
        <w:spacing w:after="0" w:line="289" w:lineRule="auto"/>
        <w:tabs>
          <w:tab w:leader="none" w:pos="1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$9,000 plus reasonable expenses for additional services.</w:t>
      </w:r>
    </w:p>
    <w:p>
      <w:pPr>
        <w:spacing w:after="0" w:line="4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do not mark a voting choice for some of the matters listed on my proxy card?</w:t>
      </w:r>
    </w:p>
    <w:p>
      <w:pPr>
        <w:spacing w:after="0" w:line="108" w:lineRule="exact"/>
        <w:rPr>
          <w:sz w:val="20"/>
          <w:szCs w:val="20"/>
          <w:color w:val="auto"/>
        </w:rPr>
      </w:pPr>
    </w:p>
    <w:p>
      <w:pPr>
        <w:ind w:left="1620" w:right="759" w:hanging="358"/>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shares will be voted in accordance with the Board’s recommendation for each proposal with respect to which a voting choice is not indicated.</w:t>
      </w:r>
    </w:p>
    <w:p>
      <w:pPr>
        <w:spacing w:after="0" w:line="4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tabulate and certify the vote?</w:t>
      </w:r>
    </w:p>
    <w:p>
      <w:pPr>
        <w:spacing w:after="0" w:line="108" w:lineRule="exact"/>
        <w:rPr>
          <w:sz w:val="20"/>
          <w:szCs w:val="20"/>
          <w:color w:val="auto"/>
        </w:rPr>
      </w:pPr>
    </w:p>
    <w:p>
      <w:pPr>
        <w:ind w:left="1620" w:right="779" w:hanging="358"/>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American Stock Transfer &amp; Trust Company, LLC will tabulate and certify the vote, and will have a representative present at the Annual Meeting to act as the independent inspector of elections for the Annual Meeting.</w:t>
      </w:r>
    </w:p>
    <w:p>
      <w:pPr>
        <w:spacing w:after="0" w:line="37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PROPOSAL 1 — ELECTION OF CLASS I DIRECTORS</w:t>
      </w: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THE BOARD OF DIRECTORS UNANIMOUSLY RECOMMENDS THAT YOU VOTE “FOR”</w:t>
      </w:r>
    </w:p>
    <w:p>
      <w:pPr>
        <w:spacing w:after="0" w:line="27" w:lineRule="exact"/>
        <w:rPr>
          <w:sz w:val="20"/>
          <w:szCs w:val="20"/>
          <w:color w:val="auto"/>
        </w:rPr>
      </w:pPr>
    </w:p>
    <w:p>
      <w:pPr>
        <w:ind w:left="1860" w:right="1259" w:firstLine="87"/>
        <w:spacing w:after="0" w:line="290" w:lineRule="auto"/>
        <w:rPr>
          <w:sz w:val="20"/>
          <w:szCs w:val="20"/>
          <w:color w:val="auto"/>
        </w:rPr>
      </w:pPr>
      <w:r>
        <w:rPr>
          <w:rFonts w:ascii="Arial" w:cs="Arial" w:eastAsia="Arial" w:hAnsi="Arial"/>
          <w:sz w:val="17"/>
          <w:szCs w:val="17"/>
          <w:b w:val="1"/>
          <w:bCs w:val="1"/>
          <w:color w:val="auto"/>
        </w:rPr>
        <w:t>THE ELECTION OF EACH OF ALEXANDRA PRUNER AND LAWRENCE ZIEMBA AS A CLASS I DIRECTOR OF OUR GENERAL PARTNER’S BOARD OF DIRECTORS.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and Governance Structure</w:t>
      </w:r>
    </w:p>
    <w:p>
      <w:pPr>
        <w:spacing w:after="0" w:line="148" w:lineRule="exact"/>
        <w:rPr>
          <w:sz w:val="20"/>
          <w:szCs w:val="20"/>
          <w:color w:val="auto"/>
        </w:rPr>
      </w:pPr>
    </w:p>
    <w:p>
      <w:pPr>
        <w:ind w:left="1260" w:right="699" w:firstLine="360"/>
        <w:spacing w:after="0" w:line="311" w:lineRule="auto"/>
        <w:rPr>
          <w:sz w:val="20"/>
          <w:szCs w:val="20"/>
          <w:color w:val="auto"/>
        </w:rPr>
      </w:pPr>
      <w:r>
        <w:rPr>
          <w:rFonts w:ascii="Arial" w:cs="Arial" w:eastAsia="Arial" w:hAnsi="Arial"/>
          <w:sz w:val="16"/>
          <w:szCs w:val="16"/>
          <w:i w:val="1"/>
          <w:iCs w:val="1"/>
          <w:color w:val="auto"/>
        </w:rPr>
        <w:t xml:space="preserve">Summary of Recent Changes. </w:t>
      </w:r>
      <w:r>
        <w:rPr>
          <w:rFonts w:ascii="Arial" w:cs="Arial" w:eastAsia="Arial" w:hAnsi="Arial"/>
          <w:sz w:val="16"/>
          <w:szCs w:val="16"/>
          <w:color w:val="auto"/>
        </w:rPr>
        <w:t>Investors have voiced a preference for certain governance practices, and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course of the last four years, our board and governance structure has evolved and changed in ways that we believe are meaningfully beneficial to investors. Highlights of some of the key changes are as follows:</w:t>
      </w:r>
    </w:p>
    <w:p>
      <w:pPr>
        <w:spacing w:after="0" w:line="41" w:lineRule="exact"/>
        <w:rPr>
          <w:sz w:val="20"/>
          <w:szCs w:val="20"/>
          <w:color w:val="auto"/>
        </w:rPr>
      </w:pPr>
    </w:p>
    <w:p>
      <w:pPr>
        <w:ind w:left="1800" w:right="799" w:hanging="178"/>
        <w:spacing w:after="0" w:line="263" w:lineRule="auto"/>
        <w:tabs>
          <w:tab w:leader="none" w:pos="1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November 2016, we replaced our dual board structure for PAA and PAGP with a unified governance structure that resulted in the Board being solely responsible for the governance of PAA, Plains AAP, L.P. (“AAP”) and PAGP;</w:t>
      </w:r>
    </w:p>
    <w:p>
      <w:pPr>
        <w:spacing w:after="0" w:line="75" w:lineRule="exact"/>
        <w:rPr>
          <w:rFonts w:ascii="Arial" w:cs="Arial" w:eastAsia="Arial" w:hAnsi="Arial"/>
          <w:sz w:val="18"/>
          <w:szCs w:val="18"/>
          <w:color w:val="auto"/>
        </w:rPr>
      </w:pPr>
    </w:p>
    <w:p>
      <w:pPr>
        <w:ind w:left="1800" w:right="799" w:hanging="178"/>
        <w:spacing w:after="0" w:line="279" w:lineRule="auto"/>
        <w:tabs>
          <w:tab w:leader="none" w:pos="18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Also in November 2016, we amended our governing documents to enfranchise all shareholders of PAGP and all public common unitholders and Series A preferred unitholders of PAA by providing for shareholder elections of directors commencing in 2018 (directors divided into three classes with independent directors in each class subject to elections on a staggered three year rolling basis);</w:t>
      </w:r>
    </w:p>
    <w:p>
      <w:pPr>
        <w:spacing w:after="0" w:line="63" w:lineRule="exact"/>
        <w:rPr>
          <w:rFonts w:ascii="Arial" w:cs="Arial" w:eastAsia="Arial" w:hAnsi="Arial"/>
          <w:sz w:val="17"/>
          <w:szCs w:val="17"/>
          <w:color w:val="auto"/>
        </w:rPr>
      </w:pPr>
    </w:p>
    <w:p>
      <w:pPr>
        <w:ind w:left="1800" w:right="799" w:hanging="178"/>
        <w:spacing w:after="0" w:line="263" w:lineRule="auto"/>
        <w:tabs>
          <w:tab w:leader="none" w:pos="18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recently amended our governing documents to require that a majority of our Board satisfy the NYSE independence requirements, despite the fact that as a limited partnership we are exempt from such requirement;</w:t>
      </w:r>
    </w:p>
    <w:p>
      <w:pPr>
        <w:spacing w:after="0" w:line="75" w:lineRule="exact"/>
        <w:rPr>
          <w:rFonts w:ascii="Arial" w:cs="Arial" w:eastAsia="Arial" w:hAnsi="Arial"/>
          <w:sz w:val="18"/>
          <w:szCs w:val="18"/>
          <w:color w:val="auto"/>
        </w:rPr>
      </w:pPr>
    </w:p>
    <w:p>
      <w:pPr>
        <w:ind w:left="1800" w:right="899" w:hanging="178"/>
        <w:spacing w:after="0" w:line="248" w:lineRule="auto"/>
        <w:tabs>
          <w:tab w:leader="none" w:pos="18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Since December 2018, the number of independent directors on our board, and correspondingly the number of directors subject to elections, has increased from six to eight, and the number of designated directors has decreased from three to one,</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bringing the total number of independent directors currently subject to election to eight out of 12, or approximately 67%</w:t>
      </w:r>
      <w:r>
        <w:rPr>
          <w:rFonts w:ascii="Arial" w:cs="Arial" w:eastAsia="Arial" w:hAnsi="Arial"/>
          <w:sz w:val="25"/>
          <w:szCs w:val="25"/>
          <w:color w:val="auto"/>
          <w:vertAlign w:val="superscript"/>
        </w:rPr>
        <w:t>2</w:t>
      </w:r>
      <w:r>
        <w:rPr>
          <w:rFonts w:ascii="Arial" w:cs="Arial" w:eastAsia="Arial" w:hAnsi="Arial"/>
          <w:sz w:val="17"/>
          <w:szCs w:val="17"/>
          <w:color w:val="auto"/>
        </w:rPr>
        <w:t>;</w:t>
      </w:r>
    </w:p>
    <w:p>
      <w:pPr>
        <w:ind w:left="1800" w:right="699" w:hanging="178"/>
        <w:spacing w:after="0" w:line="342" w:lineRule="auto"/>
        <w:tabs>
          <w:tab w:leader="none" w:pos="18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We recently amended our governing documents to create a strong lead director role in connection with the retirement of our former Chairman and the re-combination of the roles of Chairman and CEO; and</w:t>
      </w:r>
    </w:p>
    <w:p>
      <w:pPr>
        <w:spacing w:after="0" w:line="15" w:lineRule="exact"/>
        <w:rPr>
          <w:rFonts w:ascii="Arial" w:cs="Arial" w:eastAsia="Arial" w:hAnsi="Arial"/>
          <w:sz w:val="16"/>
          <w:szCs w:val="16"/>
          <w:color w:val="auto"/>
        </w:rPr>
      </w:pPr>
    </w:p>
    <w:p>
      <w:pPr>
        <w:ind w:left="1800" w:right="679" w:hanging="178"/>
        <w:spacing w:after="0" w:line="327" w:lineRule="auto"/>
        <w:tabs>
          <w:tab w:leader="none" w:pos="18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During 2019, our governance committee led the Board through a comprehensive board assessment, refreshment and succession planning process that included a skills and needs assessment, the development of a formal board succession plan and director performance evaluations; as a part of this effort, we have added two new independent directors who bring diversity of experience and gender to our Board.</w:t>
      </w:r>
    </w:p>
    <w:p>
      <w:pPr>
        <w:spacing w:after="0" w:line="346" w:lineRule="exact"/>
        <w:rPr>
          <w:rFonts w:ascii="Arial" w:cs="Arial" w:eastAsia="Arial" w:hAnsi="Arial"/>
          <w:sz w:val="15"/>
          <w:szCs w:val="15"/>
          <w:color w:val="auto"/>
        </w:rPr>
      </w:pPr>
    </w:p>
    <w:p>
      <w:pPr>
        <w:ind w:left="1620" w:right="699" w:hanging="360"/>
        <w:spacing w:after="0" w:line="258" w:lineRule="auto"/>
        <w:rPr>
          <w:rFonts w:ascii="Arial" w:cs="Arial" w:eastAsia="Arial" w:hAnsi="Arial"/>
          <w:sz w:val="15"/>
          <w:szCs w:val="15"/>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 xml:space="preserve"> Under our governing documents, as of January 1, 2019 three parties (affiliates of Kayne Anderson Investment Management, Inc. (“Kayne Anderson”), Occidental Petroleum Corporation (“Occidental”) and EMG Investment, LLC (“EMG”)) held a previously negotiated legacy contractual right to designate a director to serve on the Board for so long as such party and its affiliates maintained a 10% “qualifying ownership interest” in AAP (as defined in our governing documents). During 2019, Occidental sold all of its interest in AAP and EMG’s interest dropped below the 10% threshold, which resulted in both entities losing the right to designate a director and the removal of their previously appointed directors from the Board. EMG’s previously appointed director, John Raymond, was subsequently re-appointed to the Board and determined to be independent under applicable NYSE rules. Kayne Anderson continues to hold the right to designate a director and their designated director is Robert Sinnott, whose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-1609090</wp:posOffset>
            </wp:positionV>
            <wp:extent cx="123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 w:lineRule="exact"/>
        <w:rPr>
          <w:sz w:val="20"/>
          <w:szCs w:val="20"/>
          <w:color w:val="auto"/>
        </w:rPr>
      </w:pPr>
    </w:p>
    <w:p>
      <w:pPr>
        <w:ind w:left="1620" w:right="699" w:hanging="358"/>
        <w:spacing w:after="0" w:line="230" w:lineRule="auto"/>
        <w:tabs>
          <w:tab w:leader="none" w:pos="162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One of our independent Board members, Everardo Goyanes, passed away unexpectedly on March 30, 2020, reducing the total number of directors from 13 to 12. The Board has not yet taken any action on the resulting vacancy. Mr. Goyanes, who served as chairman of the audit committee until December 31, 2019, also served as a Class I Director and had been nominated by the Board to stand for re-election at the 2020 Annual Meeting.</w:t>
      </w:r>
    </w:p>
    <w:p>
      <w:pPr>
        <w:spacing w:after="0" w:line="38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91" w:lineRule="auto"/>
        <w:rPr>
          <w:sz w:val="20"/>
          <w:szCs w:val="20"/>
          <w:color w:val="auto"/>
        </w:rPr>
      </w:pPr>
      <w:r>
        <w:rPr>
          <w:rFonts w:ascii="Arial" w:cs="Arial" w:eastAsia="Arial" w:hAnsi="Arial"/>
          <w:sz w:val="16"/>
          <w:szCs w:val="16"/>
          <w:i w:val="1"/>
          <w:iCs w:val="1"/>
          <w:color w:val="auto"/>
        </w:rPr>
        <w:t xml:space="preserve">General Overview and Board Makeup. </w:t>
      </w:r>
      <w:r>
        <w:rPr>
          <w:rFonts w:ascii="Arial" w:cs="Arial" w:eastAsia="Arial" w:hAnsi="Arial"/>
          <w:sz w:val="16"/>
          <w:szCs w:val="16"/>
          <w:color w:val="auto"/>
        </w:rPr>
        <w:t>Our Board has responsibility for managing the business and affairs</w:t>
      </w:r>
      <w:r>
        <w:rPr>
          <w:rFonts w:ascii="Arial" w:cs="Arial" w:eastAsia="Arial" w:hAnsi="Arial"/>
          <w:sz w:val="16"/>
          <w:szCs w:val="16"/>
          <w:i w:val="1"/>
          <w:iCs w:val="1"/>
          <w:color w:val="auto"/>
        </w:rPr>
        <w:t xml:space="preserve"> </w:t>
      </w:r>
      <w:r>
        <w:rPr>
          <w:rFonts w:ascii="Arial" w:cs="Arial" w:eastAsia="Arial" w:hAnsi="Arial"/>
          <w:sz w:val="16"/>
          <w:szCs w:val="16"/>
          <w:color w:val="auto"/>
        </w:rPr>
        <w:t>of PAGP, PAA and AAP. Subject to limited exceptions, the Board may consist of up to 13 members, including the CEO, who currently serves as Chairman of the Board. As contemplated by our governing documents, because the roles of CEO and Chairman of the Board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the NYSE).</w:t>
      </w:r>
    </w:p>
    <w:p>
      <w:pPr>
        <w:spacing w:after="0" w:line="1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Board is divided into three staggered classes (excluding those directors who are also officers or employees of GP LLC), as set forth below.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36830</wp:posOffset>
            </wp:positionV>
            <wp:extent cx="5212080" cy="4663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4663440"/>
                    </a:xfrm>
                    <a:prstGeom prst="rect">
                      <a:avLst/>
                    </a:prstGeom>
                    <a:noFill/>
                  </pic:spPr>
                </pic:pic>
              </a:graphicData>
            </a:graphic>
          </wp:anchor>
        </w:drawing>
      </w:r>
    </w:p>
    <w:p>
      <w:pPr>
        <w:spacing w:after="0" w:line="38"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580" w:type="dxa"/>
            <w:vAlign w:val="bottom"/>
            <w:shd w:val="clear" w:color="auto" w:fill="434F69"/>
          </w:tcPr>
          <w:p>
            <w:pPr>
              <w:spacing w:after="0"/>
              <w:rPr>
                <w:sz w:val="20"/>
                <w:szCs w:val="20"/>
                <w:color w:val="auto"/>
              </w:rPr>
            </w:pPr>
          </w:p>
        </w:tc>
        <w:tc>
          <w:tcPr>
            <w:tcW w:w="1080" w:type="dxa"/>
            <w:vAlign w:val="bottom"/>
            <w:shd w:val="clear" w:color="auto" w:fill="434F69"/>
          </w:tcPr>
          <w:p>
            <w:pPr>
              <w:spacing w:after="0"/>
              <w:rPr>
                <w:sz w:val="20"/>
                <w:szCs w:val="20"/>
                <w:color w:val="auto"/>
              </w:rPr>
            </w:pPr>
          </w:p>
        </w:tc>
        <w:tc>
          <w:tcPr>
            <w:tcW w:w="960" w:type="dxa"/>
            <w:vAlign w:val="bottom"/>
            <w:shd w:val="clear" w:color="auto" w:fill="434F69"/>
          </w:tcPr>
          <w:p>
            <w:pPr>
              <w:spacing w:after="0"/>
              <w:rPr>
                <w:sz w:val="20"/>
                <w:szCs w:val="20"/>
                <w:color w:val="auto"/>
              </w:rPr>
            </w:pPr>
          </w:p>
        </w:tc>
        <w:tc>
          <w:tcPr>
            <w:tcW w:w="8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Chairman</w:t>
            </w:r>
          </w:p>
        </w:tc>
        <w:tc>
          <w:tcPr>
            <w:tcW w:w="720" w:type="dxa"/>
            <w:vAlign w:val="bottom"/>
            <w:shd w:val="clear" w:color="auto" w:fill="434F69"/>
          </w:tcPr>
          <w:p>
            <w:pPr>
              <w:spacing w:after="0"/>
              <w:rPr>
                <w:sz w:val="20"/>
                <w:szCs w:val="20"/>
                <w:color w:val="auto"/>
              </w:rPr>
            </w:pPr>
          </w:p>
        </w:tc>
      </w:tr>
      <w:tr>
        <w:trPr>
          <w:trHeight w:val="162"/>
        </w:trPr>
        <w:tc>
          <w:tcPr>
            <w:tcW w:w="4580" w:type="dxa"/>
            <w:vAlign w:val="bottom"/>
            <w:shd w:val="clear" w:color="auto" w:fill="434F69"/>
          </w:tcPr>
          <w:p>
            <w:pPr>
              <w:ind w:left="3940"/>
              <w:spacing w:after="0"/>
              <w:rPr>
                <w:sz w:val="20"/>
                <w:szCs w:val="20"/>
                <w:color w:val="auto"/>
              </w:rPr>
            </w:pPr>
            <w:r>
              <w:rPr>
                <w:rFonts w:ascii="Arial" w:cs="Arial" w:eastAsia="Arial" w:hAnsi="Arial"/>
                <w:sz w:val="14"/>
                <w:szCs w:val="14"/>
                <w:b w:val="1"/>
                <w:bCs w:val="1"/>
                <w:color w:val="FFFFFF"/>
              </w:rPr>
              <w:t>Audit</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Compensation</w:t>
            </w: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Governance</w:t>
            </w:r>
          </w:p>
        </w:tc>
        <w:tc>
          <w:tcPr>
            <w:tcW w:w="8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of the</w:t>
            </w:r>
          </w:p>
        </w:tc>
        <w:tc>
          <w:tcPr>
            <w:tcW w:w="7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Lead</w:t>
            </w:r>
          </w:p>
        </w:tc>
      </w:tr>
      <w:tr>
        <w:trPr>
          <w:trHeight w:val="186"/>
        </w:trPr>
        <w:tc>
          <w:tcPr>
            <w:tcW w:w="4580" w:type="dxa"/>
            <w:vAlign w:val="bottom"/>
            <w:shd w:val="clear" w:color="auto" w:fill="434F69"/>
          </w:tcPr>
          <w:p>
            <w:pPr>
              <w:ind w:left="2840"/>
              <w:spacing w:after="0"/>
              <w:rPr>
                <w:sz w:val="20"/>
                <w:szCs w:val="20"/>
                <w:color w:val="auto"/>
              </w:rPr>
            </w:pPr>
            <w:r>
              <w:rPr>
                <w:rFonts w:ascii="Arial" w:cs="Arial" w:eastAsia="Arial" w:hAnsi="Arial"/>
                <w:sz w:val="14"/>
                <w:szCs w:val="14"/>
                <w:b w:val="1"/>
                <w:bCs w:val="1"/>
                <w:color w:val="FFFFFF"/>
              </w:rPr>
              <w:t>Independent   Committee</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8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Board</w:t>
            </w:r>
          </w:p>
        </w:tc>
        <w:tc>
          <w:tcPr>
            <w:tcW w:w="7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Director</w:t>
            </w:r>
          </w:p>
        </w:tc>
      </w:tr>
      <w:tr>
        <w:trPr>
          <w:trHeight w:val="26"/>
        </w:trPr>
        <w:tc>
          <w:tcPr>
            <w:tcW w:w="4580" w:type="dxa"/>
            <w:vAlign w:val="bottom"/>
            <w:shd w:val="clear" w:color="auto" w:fill="434F69"/>
          </w:tcPr>
          <w:p>
            <w:pPr>
              <w:spacing w:after="0"/>
              <w:rPr>
                <w:sz w:val="2"/>
                <w:szCs w:val="2"/>
                <w:color w:val="auto"/>
              </w:rPr>
            </w:pPr>
          </w:p>
        </w:tc>
        <w:tc>
          <w:tcPr>
            <w:tcW w:w="1080" w:type="dxa"/>
            <w:vAlign w:val="bottom"/>
            <w:shd w:val="clear" w:color="auto" w:fill="434F69"/>
          </w:tcPr>
          <w:p>
            <w:pPr>
              <w:spacing w:after="0"/>
              <w:rPr>
                <w:sz w:val="2"/>
                <w:szCs w:val="2"/>
                <w:color w:val="auto"/>
              </w:rPr>
            </w:pPr>
          </w:p>
        </w:tc>
        <w:tc>
          <w:tcPr>
            <w:tcW w:w="960" w:type="dxa"/>
            <w:vAlign w:val="bottom"/>
            <w:shd w:val="clear" w:color="auto" w:fill="434F69"/>
          </w:tcPr>
          <w:p>
            <w:pPr>
              <w:spacing w:after="0"/>
              <w:rPr>
                <w:sz w:val="2"/>
                <w:szCs w:val="2"/>
                <w:color w:val="auto"/>
              </w:rPr>
            </w:pPr>
          </w:p>
        </w:tc>
        <w:tc>
          <w:tcPr>
            <w:tcW w:w="860" w:type="dxa"/>
            <w:vAlign w:val="bottom"/>
            <w:shd w:val="clear" w:color="auto" w:fill="434F69"/>
          </w:tcPr>
          <w:p>
            <w:pPr>
              <w:spacing w:after="0"/>
              <w:rPr>
                <w:sz w:val="2"/>
                <w:szCs w:val="2"/>
                <w:color w:val="auto"/>
              </w:rPr>
            </w:pPr>
          </w:p>
        </w:tc>
        <w:tc>
          <w:tcPr>
            <w:tcW w:w="720" w:type="dxa"/>
            <w:vAlign w:val="bottom"/>
            <w:shd w:val="clear" w:color="auto" w:fill="434F69"/>
          </w:tcPr>
          <w:p>
            <w:pPr>
              <w:spacing w:after="0"/>
              <w:rPr>
                <w:sz w:val="2"/>
                <w:szCs w:val="2"/>
                <w:color w:val="auto"/>
              </w:rPr>
            </w:pPr>
          </w:p>
        </w:tc>
      </w:tr>
    </w:tbl>
    <w:p>
      <w:pPr>
        <w:ind w:left="1340"/>
        <w:spacing w:after="0" w:line="236" w:lineRule="auto"/>
        <w:rPr>
          <w:sz w:val="20"/>
          <w:szCs w:val="20"/>
          <w:color w:val="auto"/>
        </w:rPr>
      </w:pPr>
      <w:r>
        <w:rPr>
          <w:rFonts w:ascii="Arial" w:cs="Arial" w:eastAsia="Arial" w:hAnsi="Arial"/>
          <w:sz w:val="18"/>
          <w:szCs w:val="18"/>
          <w:color w:val="auto"/>
        </w:rPr>
        <w:t>Class I Directors</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(Term expires 2020)</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Alexandra Pruner*</w:t>
      </w:r>
    </w:p>
    <w:p>
      <w:pPr>
        <w:spacing w:after="0" w:line="1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Lawrence M. Ziemba*</w:t>
      </w:r>
    </w:p>
    <w:p>
      <w:pPr>
        <w:spacing w:after="0" w:line="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 Taft Symonds</w:t>
      </w:r>
    </w:p>
    <w:p>
      <w:pPr>
        <w:ind w:left="1700"/>
        <w:spacing w:after="0"/>
        <w:rPr>
          <w:sz w:val="20"/>
          <w:szCs w:val="20"/>
          <w:color w:val="auto"/>
        </w:rPr>
      </w:pPr>
      <w:r>
        <w:rPr>
          <w:rFonts w:ascii="Arial" w:cs="Arial" w:eastAsia="Arial" w:hAnsi="Arial"/>
          <w:sz w:val="18"/>
          <w:szCs w:val="18"/>
          <w:color w:val="auto"/>
        </w:rPr>
        <w:t>(Not standing for re-election)</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Class II Directors</w:t>
      </w:r>
    </w:p>
    <w:p>
      <w:pPr>
        <w:ind w:left="1520"/>
        <w:spacing w:after="0"/>
        <w:rPr>
          <w:sz w:val="20"/>
          <w:szCs w:val="20"/>
          <w:color w:val="auto"/>
        </w:rPr>
      </w:pPr>
      <w:r>
        <w:rPr>
          <w:rFonts w:ascii="Arial" w:cs="Arial" w:eastAsia="Arial" w:hAnsi="Arial"/>
          <w:sz w:val="18"/>
          <w:szCs w:val="18"/>
          <w:color w:val="auto"/>
        </w:rPr>
        <w:t>(Term expires 2022)</w:t>
      </w:r>
    </w:p>
    <w:p>
      <w:pPr>
        <w:spacing w:after="0" w:line="41" w:lineRule="exact"/>
        <w:rPr>
          <w:sz w:val="20"/>
          <w:szCs w:val="20"/>
          <w:color w:val="auto"/>
        </w:rPr>
      </w:pPr>
    </w:p>
    <w:tbl>
      <w:tblPr>
        <w:tblLayout w:type="fixed"/>
        <w:tblInd w:w="1260" w:type="dxa"/>
        <w:tblCellMar>
          <w:top w:w="0" w:type="dxa"/>
          <w:left w:w="0" w:type="dxa"/>
          <w:bottom w:w="0" w:type="dxa"/>
          <w:right w:w="0" w:type="dxa"/>
        </w:tblCellMar>
      </w:tblPr>
      <w:tr>
        <w:trPr>
          <w:trHeight w:val="283"/>
        </w:trPr>
        <w:tc>
          <w:tcPr>
            <w:tcW w:w="2760" w:type="dxa"/>
            <w:vAlign w:val="bottom"/>
          </w:tcPr>
          <w:p>
            <w:pPr>
              <w:ind w:left="260"/>
              <w:spacing w:after="0"/>
              <w:rPr>
                <w:sz w:val="20"/>
                <w:szCs w:val="20"/>
                <w:color w:val="auto"/>
              </w:rPr>
            </w:pPr>
            <w:r>
              <w:rPr>
                <w:rFonts w:ascii="Arial" w:cs="Arial" w:eastAsia="Arial" w:hAnsi="Arial"/>
                <w:sz w:val="18"/>
                <w:szCs w:val="18"/>
                <w:color w:val="auto"/>
              </w:rPr>
              <w:t>Victor Burk</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4"/>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760" w:type="dxa"/>
            <w:vAlign w:val="bottom"/>
            <w:tcBorders>
              <w:bottom w:val="single" w:sz="8" w:color="434F69"/>
            </w:tcBorders>
          </w:tcPr>
          <w:p>
            <w:pPr>
              <w:spacing w:after="0" w:line="20" w:lineRule="exact"/>
              <w:rPr>
                <w:sz w:val="1"/>
                <w:szCs w:val="1"/>
                <w:color w:val="auto"/>
              </w:rPr>
            </w:pPr>
          </w:p>
        </w:tc>
        <w:tc>
          <w:tcPr>
            <w:tcW w:w="20" w:type="dxa"/>
            <w:vAlign w:val="bottom"/>
            <w:tcBorders>
              <w:bottom w:val="single" w:sz="8" w:color="434F69"/>
            </w:tcBorders>
          </w:tcPr>
          <w:p>
            <w:pPr>
              <w:spacing w:after="0" w:line="20" w:lineRule="exact"/>
              <w:rPr>
                <w:sz w:val="1"/>
                <w:szCs w:val="1"/>
                <w:color w:val="auto"/>
              </w:rPr>
            </w:pPr>
          </w:p>
        </w:tc>
        <w:tc>
          <w:tcPr>
            <w:tcW w:w="920" w:type="dxa"/>
            <w:vAlign w:val="bottom"/>
            <w:tcBorders>
              <w:bottom w:val="single" w:sz="8" w:color="434F69"/>
            </w:tcBorders>
          </w:tcPr>
          <w:p>
            <w:pPr>
              <w:spacing w:after="0" w:line="20" w:lineRule="exact"/>
              <w:rPr>
                <w:sz w:val="1"/>
                <w:szCs w:val="1"/>
                <w:color w:val="auto"/>
              </w:rPr>
            </w:pPr>
          </w:p>
        </w:tc>
        <w:tc>
          <w:tcPr>
            <w:tcW w:w="20" w:type="dxa"/>
            <w:vAlign w:val="bottom"/>
            <w:tcBorders>
              <w:bottom w:val="single" w:sz="8" w:color="434F69"/>
            </w:tcBorders>
          </w:tcPr>
          <w:p>
            <w:pPr>
              <w:spacing w:after="0" w:line="20" w:lineRule="exact"/>
              <w:rPr>
                <w:sz w:val="1"/>
                <w:szCs w:val="1"/>
                <w:color w:val="auto"/>
              </w:rPr>
            </w:pPr>
          </w:p>
        </w:tc>
        <w:tc>
          <w:tcPr>
            <w:tcW w:w="840" w:type="dxa"/>
            <w:vAlign w:val="bottom"/>
            <w:tcBorders>
              <w:bottom w:val="single" w:sz="8" w:color="434F69"/>
            </w:tcBorders>
          </w:tcPr>
          <w:p>
            <w:pPr>
              <w:spacing w:after="0" w:line="20" w:lineRule="exact"/>
              <w:rPr>
                <w:sz w:val="1"/>
                <w:szCs w:val="1"/>
                <w:color w:val="auto"/>
              </w:rPr>
            </w:pPr>
          </w:p>
        </w:tc>
        <w:tc>
          <w:tcPr>
            <w:tcW w:w="20" w:type="dxa"/>
            <w:vAlign w:val="bottom"/>
            <w:tcBorders>
              <w:bottom w:val="single" w:sz="8" w:color="434F69"/>
            </w:tcBorders>
          </w:tcPr>
          <w:p>
            <w:pPr>
              <w:spacing w:after="0" w:line="20" w:lineRule="exact"/>
              <w:rPr>
                <w:sz w:val="1"/>
                <w:szCs w:val="1"/>
                <w:color w:val="auto"/>
              </w:rPr>
            </w:pPr>
          </w:p>
        </w:tc>
        <w:tc>
          <w:tcPr>
            <w:tcW w:w="1100" w:type="dxa"/>
            <w:vAlign w:val="bottom"/>
            <w:tcBorders>
              <w:bottom w:val="single" w:sz="8" w:color="434F69"/>
            </w:tcBorders>
          </w:tcPr>
          <w:p>
            <w:pPr>
              <w:spacing w:after="0" w:line="20" w:lineRule="exact"/>
              <w:rPr>
                <w:sz w:val="1"/>
                <w:szCs w:val="1"/>
                <w:color w:val="auto"/>
              </w:rPr>
            </w:pPr>
          </w:p>
        </w:tc>
        <w:tc>
          <w:tcPr>
            <w:tcW w:w="960" w:type="dxa"/>
            <w:vAlign w:val="bottom"/>
            <w:tcBorders>
              <w:bottom w:val="single" w:sz="8" w:color="434F69"/>
            </w:tcBorders>
          </w:tcPr>
          <w:p>
            <w:pPr>
              <w:spacing w:after="0" w:line="20" w:lineRule="exact"/>
              <w:rPr>
                <w:sz w:val="1"/>
                <w:szCs w:val="1"/>
                <w:color w:val="auto"/>
              </w:rPr>
            </w:pPr>
          </w:p>
        </w:tc>
        <w:tc>
          <w:tcPr>
            <w:tcW w:w="840" w:type="dxa"/>
            <w:vAlign w:val="bottom"/>
            <w:tcBorders>
              <w:bottom w:val="single" w:sz="8" w:color="D9DCE1"/>
            </w:tcBorders>
          </w:tcPr>
          <w:p>
            <w:pPr>
              <w:spacing w:after="0" w:line="20" w:lineRule="exact"/>
              <w:rPr>
                <w:sz w:val="1"/>
                <w:szCs w:val="1"/>
                <w:color w:val="auto"/>
              </w:rPr>
            </w:pPr>
          </w:p>
        </w:tc>
        <w:tc>
          <w:tcPr>
            <w:tcW w:w="20" w:type="dxa"/>
            <w:vAlign w:val="bottom"/>
            <w:tcBorders>
              <w:bottom w:val="single" w:sz="8" w:color="434F69"/>
            </w:tcBorders>
          </w:tcPr>
          <w:p>
            <w:pPr>
              <w:spacing w:after="0" w:line="20" w:lineRule="exact"/>
              <w:rPr>
                <w:sz w:val="1"/>
                <w:szCs w:val="1"/>
                <w:color w:val="auto"/>
              </w:rPr>
            </w:pPr>
          </w:p>
        </w:tc>
        <w:tc>
          <w:tcPr>
            <w:tcW w:w="700" w:type="dxa"/>
            <w:vAlign w:val="bottom"/>
            <w:tcBorders>
              <w:bottom w:val="single" w:sz="8" w:color="D9DCE1"/>
            </w:tcBorders>
          </w:tcPr>
          <w:p>
            <w:pPr>
              <w:spacing w:after="0" w:line="20" w:lineRule="exact"/>
              <w:rPr>
                <w:sz w:val="1"/>
                <w:szCs w:val="1"/>
                <w:color w:val="auto"/>
              </w:rPr>
            </w:pPr>
          </w:p>
        </w:tc>
        <w:tc>
          <w:tcPr>
            <w:tcW w:w="20" w:type="dxa"/>
            <w:vAlign w:val="bottom"/>
            <w:tcBorders>
              <w:bottom w:val="single" w:sz="8" w:color="434F69"/>
            </w:tcBorders>
          </w:tcPr>
          <w:p>
            <w:pPr>
              <w:spacing w:after="0" w:line="20" w:lineRule="exact"/>
              <w:rPr>
                <w:sz w:val="1"/>
                <w:szCs w:val="1"/>
                <w:color w:val="auto"/>
              </w:rPr>
            </w:pPr>
          </w:p>
        </w:tc>
      </w:tr>
      <w:tr>
        <w:trPr>
          <w:trHeight w:val="358"/>
        </w:trPr>
        <w:tc>
          <w:tcPr>
            <w:tcW w:w="276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8"/>
                <w:szCs w:val="18"/>
                <w:color w:val="auto"/>
              </w:rPr>
              <w:t>Gary R. Petersen</w:t>
            </w:r>
          </w:p>
        </w:tc>
        <w:tc>
          <w:tcPr>
            <w:tcW w:w="20" w:type="dxa"/>
            <w:vAlign w:val="bottom"/>
          </w:tcPr>
          <w:p>
            <w:pPr>
              <w:spacing w:after="0"/>
              <w:rPr>
                <w:sz w:val="24"/>
                <w:szCs w:val="24"/>
                <w:color w:val="auto"/>
              </w:rPr>
            </w:pPr>
          </w:p>
        </w:tc>
        <w:tc>
          <w:tcPr>
            <w:tcW w:w="920" w:type="dxa"/>
            <w:vAlign w:val="bottom"/>
            <w:tcBorders>
              <w:bottom w:val="single" w:sz="8" w:color="D9DCE1"/>
            </w:tcBorders>
            <w:shd w:val="clear" w:color="auto" w:fill="D9DCE1"/>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D9DCE1"/>
            </w:tcBorders>
            <w:shd w:val="clear" w:color="auto" w:fill="D9DCE1"/>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D9DCE1"/>
            </w:tcBorders>
            <w:shd w:val="clear" w:color="auto" w:fill="D9DCE1"/>
          </w:tcPr>
          <w:p>
            <w:pPr>
              <w:spacing w:after="0"/>
              <w:rPr>
                <w:sz w:val="24"/>
                <w:szCs w:val="24"/>
                <w:color w:val="auto"/>
              </w:rPr>
            </w:pPr>
          </w:p>
        </w:tc>
        <w:tc>
          <w:tcPr>
            <w:tcW w:w="960" w:type="dxa"/>
            <w:vAlign w:val="bottom"/>
            <w:tcBorders>
              <w:bottom w:val="single" w:sz="8" w:color="D9DCE1"/>
            </w:tcBorders>
            <w:shd w:val="clear" w:color="auto" w:fill="D9DCE1"/>
          </w:tcPr>
          <w:p>
            <w:pPr>
              <w:spacing w:after="0"/>
              <w:rPr>
                <w:sz w:val="24"/>
                <w:szCs w:val="24"/>
                <w:color w:val="auto"/>
              </w:rPr>
            </w:pPr>
          </w:p>
        </w:tc>
        <w:tc>
          <w:tcPr>
            <w:tcW w:w="840" w:type="dxa"/>
            <w:vAlign w:val="bottom"/>
            <w:tcBorders>
              <w:bottom w:val="single" w:sz="8" w:color="D9DCE1"/>
            </w:tcBorders>
            <w:shd w:val="clear" w:color="auto" w:fill="D9DCE1"/>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D9DCE1"/>
            </w:tcBorders>
            <w:shd w:val="clear" w:color="auto" w:fill="D9DCE1"/>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760" w:type="dxa"/>
            <w:vAlign w:val="bottom"/>
            <w:tcBorders>
              <w:top w:val="single" w:sz="8" w:color="434F69"/>
              <w:bottom w:val="single" w:sz="8" w:color="434F69"/>
            </w:tcBorders>
          </w:tcPr>
          <w:p>
            <w:pPr>
              <w:ind w:left="260"/>
              <w:spacing w:after="0"/>
              <w:rPr>
                <w:sz w:val="20"/>
                <w:szCs w:val="20"/>
                <w:color w:val="auto"/>
              </w:rPr>
            </w:pPr>
            <w:r>
              <w:rPr>
                <w:rFonts w:ascii="Arial" w:cs="Arial" w:eastAsia="Arial" w:hAnsi="Arial"/>
                <w:sz w:val="18"/>
                <w:szCs w:val="18"/>
                <w:color w:val="auto"/>
              </w:rPr>
              <w:t>Robert V. Sinnott</w:t>
            </w:r>
            <w:r>
              <w:rPr>
                <w:rFonts w:ascii="Arial" w:cs="Arial" w:eastAsia="Arial" w:hAnsi="Arial"/>
                <w:sz w:val="26"/>
                <w:szCs w:val="26"/>
                <w:color w:val="auto"/>
                <w:vertAlign w:val="superscript"/>
              </w:rPr>
              <w:t>(1)</w:t>
            </w:r>
          </w:p>
        </w:tc>
        <w:tc>
          <w:tcPr>
            <w:tcW w:w="20" w:type="dxa"/>
            <w:vAlign w:val="bottom"/>
            <w:tcBorders>
              <w:top w:val="single" w:sz="8" w:color="434F69"/>
              <w:bottom w:val="single" w:sz="8" w:color="434F69"/>
            </w:tcBorders>
          </w:tcPr>
          <w:p>
            <w:pPr>
              <w:spacing w:after="0"/>
              <w:rPr>
                <w:sz w:val="24"/>
                <w:szCs w:val="24"/>
                <w:color w:val="auto"/>
              </w:rPr>
            </w:pPr>
          </w:p>
        </w:tc>
        <w:tc>
          <w:tcPr>
            <w:tcW w:w="920" w:type="dxa"/>
            <w:vAlign w:val="bottom"/>
            <w:tcBorders>
              <w:top w:val="single" w:sz="8" w:color="434F69"/>
              <w:bottom w:val="single" w:sz="8" w:color="434F69"/>
            </w:tcBorders>
          </w:tcPr>
          <w:p>
            <w:pPr>
              <w:spacing w:after="0"/>
              <w:rPr>
                <w:sz w:val="24"/>
                <w:szCs w:val="24"/>
                <w:color w:val="auto"/>
              </w:rPr>
            </w:pPr>
          </w:p>
        </w:tc>
        <w:tc>
          <w:tcPr>
            <w:tcW w:w="20" w:type="dxa"/>
            <w:vAlign w:val="bottom"/>
            <w:tcBorders>
              <w:top w:val="single" w:sz="8" w:color="434F69"/>
              <w:bottom w:val="single" w:sz="8" w:color="434F69"/>
            </w:tcBorders>
          </w:tcPr>
          <w:p>
            <w:pPr>
              <w:spacing w:after="0"/>
              <w:rPr>
                <w:sz w:val="24"/>
                <w:szCs w:val="24"/>
                <w:color w:val="auto"/>
              </w:rPr>
            </w:pPr>
          </w:p>
        </w:tc>
        <w:tc>
          <w:tcPr>
            <w:tcW w:w="840" w:type="dxa"/>
            <w:vAlign w:val="bottom"/>
            <w:tcBorders>
              <w:top w:val="single" w:sz="8" w:color="434F69"/>
              <w:bottom w:val="single" w:sz="8" w:color="434F69"/>
            </w:tcBorders>
          </w:tcPr>
          <w:p>
            <w:pPr>
              <w:spacing w:after="0"/>
              <w:rPr>
                <w:sz w:val="24"/>
                <w:szCs w:val="24"/>
                <w:color w:val="auto"/>
              </w:rPr>
            </w:pPr>
          </w:p>
        </w:tc>
        <w:tc>
          <w:tcPr>
            <w:tcW w:w="20" w:type="dxa"/>
            <w:vAlign w:val="bottom"/>
            <w:tcBorders>
              <w:top w:val="single" w:sz="8" w:color="434F69"/>
              <w:bottom w:val="single" w:sz="8" w:color="434F69"/>
            </w:tcBorders>
          </w:tcPr>
          <w:p>
            <w:pPr>
              <w:spacing w:after="0"/>
              <w:rPr>
                <w:sz w:val="24"/>
                <w:szCs w:val="24"/>
                <w:color w:val="auto"/>
              </w:rPr>
            </w:pPr>
          </w:p>
        </w:tc>
        <w:tc>
          <w:tcPr>
            <w:tcW w:w="2060" w:type="dxa"/>
            <w:vAlign w:val="bottom"/>
            <w:tcBorders>
              <w:top w:val="single" w:sz="8" w:color="434F69"/>
              <w:bottom w:val="single" w:sz="8" w:color="434F69"/>
            </w:tcBorders>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Borders>
              <w:top w:val="single" w:sz="8" w:color="434F69"/>
              <w:bottom w:val="single" w:sz="8" w:color="D9DCE1"/>
            </w:tcBorders>
          </w:tcPr>
          <w:p>
            <w:pPr>
              <w:spacing w:after="0"/>
              <w:rPr>
                <w:sz w:val="24"/>
                <w:szCs w:val="24"/>
                <w:color w:val="auto"/>
              </w:rPr>
            </w:pPr>
          </w:p>
        </w:tc>
        <w:tc>
          <w:tcPr>
            <w:tcW w:w="20" w:type="dxa"/>
            <w:vAlign w:val="bottom"/>
            <w:tcBorders>
              <w:top w:val="single" w:sz="8" w:color="434F69"/>
              <w:bottom w:val="single" w:sz="8" w:color="434F69"/>
            </w:tcBorders>
          </w:tcPr>
          <w:p>
            <w:pPr>
              <w:spacing w:after="0"/>
              <w:rPr>
                <w:sz w:val="24"/>
                <w:szCs w:val="24"/>
                <w:color w:val="auto"/>
              </w:rPr>
            </w:pPr>
          </w:p>
        </w:tc>
        <w:tc>
          <w:tcPr>
            <w:tcW w:w="700" w:type="dxa"/>
            <w:vAlign w:val="bottom"/>
            <w:tcBorders>
              <w:top w:val="single" w:sz="8" w:color="434F69"/>
              <w:bottom w:val="single" w:sz="8" w:color="D9DCE1"/>
            </w:tcBorders>
          </w:tcPr>
          <w:p>
            <w:pPr>
              <w:spacing w:after="0"/>
              <w:rPr>
                <w:sz w:val="24"/>
                <w:szCs w:val="24"/>
                <w:color w:val="auto"/>
              </w:rPr>
            </w:pPr>
          </w:p>
        </w:tc>
        <w:tc>
          <w:tcPr>
            <w:tcW w:w="20" w:type="dxa"/>
            <w:vAlign w:val="bottom"/>
            <w:tcBorders>
              <w:top w:val="single" w:sz="8" w:color="434F69"/>
              <w:bottom w:val="single" w:sz="8" w:color="434F69"/>
            </w:tcBorders>
          </w:tcPr>
          <w:p>
            <w:pPr>
              <w:spacing w:after="0"/>
              <w:rPr>
                <w:sz w:val="24"/>
                <w:szCs w:val="24"/>
                <w:color w:val="auto"/>
              </w:rPr>
            </w:pPr>
          </w:p>
        </w:tc>
      </w:tr>
      <w:tr>
        <w:trPr>
          <w:trHeight w:val="182"/>
        </w:trPr>
        <w:tc>
          <w:tcPr>
            <w:tcW w:w="2760" w:type="dxa"/>
            <w:vAlign w:val="bottom"/>
            <w:shd w:val="clear" w:color="auto" w:fill="D9DCE1"/>
          </w:tcPr>
          <w:p>
            <w:pPr>
              <w:ind w:left="80"/>
              <w:spacing w:after="0" w:line="182" w:lineRule="exact"/>
              <w:rPr>
                <w:sz w:val="20"/>
                <w:szCs w:val="20"/>
                <w:color w:val="auto"/>
              </w:rPr>
            </w:pPr>
            <w:r>
              <w:rPr>
                <w:rFonts w:ascii="Arial" w:cs="Arial" w:eastAsia="Arial" w:hAnsi="Arial"/>
                <w:sz w:val="18"/>
                <w:szCs w:val="18"/>
                <w:color w:val="auto"/>
              </w:rPr>
              <w:t>Class III Directors</w:t>
            </w:r>
          </w:p>
        </w:tc>
        <w:tc>
          <w:tcPr>
            <w:tcW w:w="20" w:type="dxa"/>
            <w:vAlign w:val="bottom"/>
          </w:tcPr>
          <w:p>
            <w:pPr>
              <w:spacing w:after="0"/>
              <w:rPr>
                <w:sz w:val="15"/>
                <w:szCs w:val="15"/>
                <w:color w:val="auto"/>
              </w:rPr>
            </w:pPr>
          </w:p>
        </w:tc>
        <w:tc>
          <w:tcPr>
            <w:tcW w:w="92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D9DCE1"/>
          </w:tcPr>
          <w:p>
            <w:pPr>
              <w:spacing w:after="0"/>
              <w:rPr>
                <w:sz w:val="15"/>
                <w:szCs w:val="15"/>
                <w:color w:val="auto"/>
              </w:rPr>
            </w:pPr>
          </w:p>
        </w:tc>
        <w:tc>
          <w:tcPr>
            <w:tcW w:w="960" w:type="dxa"/>
            <w:vAlign w:val="bottom"/>
            <w:shd w:val="clear" w:color="auto" w:fill="D9DCE1"/>
          </w:tcPr>
          <w:p>
            <w:pPr>
              <w:spacing w:after="0"/>
              <w:rPr>
                <w:sz w:val="15"/>
                <w:szCs w:val="15"/>
                <w:color w:val="auto"/>
              </w:rPr>
            </w:pPr>
          </w:p>
        </w:tc>
        <w:tc>
          <w:tcPr>
            <w:tcW w:w="84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2760" w:type="dxa"/>
            <w:vAlign w:val="bottom"/>
            <w:tcBorders>
              <w:bottom w:val="single" w:sz="8" w:color="434F69"/>
            </w:tcBorders>
            <w:shd w:val="clear" w:color="auto" w:fill="D9DCE1"/>
          </w:tcPr>
          <w:p>
            <w:pPr>
              <w:ind w:left="260"/>
              <w:spacing w:after="0"/>
              <w:rPr>
                <w:sz w:val="20"/>
                <w:szCs w:val="20"/>
                <w:color w:val="auto"/>
              </w:rPr>
            </w:pPr>
            <w:r>
              <w:rPr>
                <w:rFonts w:ascii="Arial" w:cs="Arial" w:eastAsia="Arial" w:hAnsi="Arial"/>
                <w:sz w:val="18"/>
                <w:szCs w:val="18"/>
                <w:color w:val="auto"/>
              </w:rPr>
              <w:t>(Term expires 2021)</w:t>
            </w:r>
          </w:p>
        </w:tc>
        <w:tc>
          <w:tcPr>
            <w:tcW w:w="20" w:type="dxa"/>
            <w:vAlign w:val="bottom"/>
            <w:tcBorders>
              <w:bottom w:val="single" w:sz="8" w:color="434F69"/>
            </w:tcBorders>
          </w:tcPr>
          <w:p>
            <w:pPr>
              <w:spacing w:after="0"/>
              <w:rPr>
                <w:sz w:val="20"/>
                <w:szCs w:val="20"/>
                <w:color w:val="auto"/>
              </w:rPr>
            </w:pPr>
          </w:p>
        </w:tc>
        <w:tc>
          <w:tcPr>
            <w:tcW w:w="92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84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1100" w:type="dxa"/>
            <w:vAlign w:val="bottom"/>
            <w:tcBorders>
              <w:bottom w:val="single" w:sz="8" w:color="434F69"/>
            </w:tcBorders>
            <w:shd w:val="clear" w:color="auto" w:fill="D9DCE1"/>
          </w:tcPr>
          <w:p>
            <w:pPr>
              <w:spacing w:after="0"/>
              <w:rPr>
                <w:sz w:val="20"/>
                <w:szCs w:val="20"/>
                <w:color w:val="auto"/>
              </w:rPr>
            </w:pPr>
          </w:p>
        </w:tc>
        <w:tc>
          <w:tcPr>
            <w:tcW w:w="960" w:type="dxa"/>
            <w:vAlign w:val="bottom"/>
            <w:tcBorders>
              <w:bottom w:val="single" w:sz="8" w:color="434F69"/>
            </w:tcBorders>
            <w:shd w:val="clear" w:color="auto" w:fill="D9DCE1"/>
          </w:tcPr>
          <w:p>
            <w:pPr>
              <w:spacing w:after="0"/>
              <w:rPr>
                <w:sz w:val="20"/>
                <w:szCs w:val="20"/>
                <w:color w:val="auto"/>
              </w:rPr>
            </w:pPr>
          </w:p>
        </w:tc>
        <w:tc>
          <w:tcPr>
            <w:tcW w:w="84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70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r>
      <w:tr>
        <w:trPr>
          <w:trHeight w:val="284"/>
        </w:trPr>
        <w:tc>
          <w:tcPr>
            <w:tcW w:w="2760" w:type="dxa"/>
            <w:vAlign w:val="bottom"/>
          </w:tcPr>
          <w:p>
            <w:pPr>
              <w:ind w:left="260"/>
              <w:spacing w:after="0"/>
              <w:rPr>
                <w:sz w:val="20"/>
                <w:szCs w:val="20"/>
                <w:color w:val="auto"/>
              </w:rPr>
            </w:pPr>
            <w:r>
              <w:rPr>
                <w:rFonts w:ascii="Arial" w:cs="Arial" w:eastAsia="Arial" w:hAnsi="Arial"/>
                <w:sz w:val="18"/>
                <w:szCs w:val="18"/>
                <w:color w:val="auto"/>
              </w:rPr>
              <w:t>John T. Raymond</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760" w:type="dxa"/>
            <w:vAlign w:val="bottom"/>
            <w:tcBorders>
              <w:bottom w:val="single" w:sz="8" w:color="434F69"/>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c>
          <w:tcPr>
            <w:tcW w:w="920" w:type="dxa"/>
            <w:vAlign w:val="bottom"/>
            <w:tcBorders>
              <w:bottom w:val="single" w:sz="8" w:color="434F69"/>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c>
          <w:tcPr>
            <w:tcW w:w="840" w:type="dxa"/>
            <w:vAlign w:val="bottom"/>
            <w:tcBorders>
              <w:bottom w:val="single" w:sz="8" w:color="434F69"/>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c>
          <w:tcPr>
            <w:tcW w:w="1100" w:type="dxa"/>
            <w:vAlign w:val="bottom"/>
            <w:tcBorders>
              <w:bottom w:val="single" w:sz="8" w:color="434F69"/>
            </w:tcBorders>
          </w:tcPr>
          <w:p>
            <w:pPr>
              <w:spacing w:after="0"/>
              <w:rPr>
                <w:sz w:val="2"/>
                <w:szCs w:val="2"/>
                <w:color w:val="auto"/>
              </w:rPr>
            </w:pPr>
          </w:p>
        </w:tc>
        <w:tc>
          <w:tcPr>
            <w:tcW w:w="960" w:type="dxa"/>
            <w:vAlign w:val="bottom"/>
            <w:tcBorders>
              <w:bottom w:val="single" w:sz="8" w:color="434F69"/>
            </w:tcBorders>
          </w:tcPr>
          <w:p>
            <w:pPr>
              <w:spacing w:after="0"/>
              <w:rPr>
                <w:sz w:val="2"/>
                <w:szCs w:val="2"/>
                <w:color w:val="auto"/>
              </w:rPr>
            </w:pPr>
          </w:p>
        </w:tc>
        <w:tc>
          <w:tcPr>
            <w:tcW w:w="840" w:type="dxa"/>
            <w:vAlign w:val="bottom"/>
            <w:tcBorders>
              <w:bottom w:val="single" w:sz="8" w:color="D9DCE1"/>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c>
          <w:tcPr>
            <w:tcW w:w="700" w:type="dxa"/>
            <w:vAlign w:val="bottom"/>
            <w:tcBorders>
              <w:bottom w:val="single" w:sz="8" w:color="D9DCE1"/>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r>
      <w:tr>
        <w:trPr>
          <w:trHeight w:val="371"/>
        </w:trPr>
        <w:tc>
          <w:tcPr>
            <w:tcW w:w="276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8"/>
                <w:szCs w:val="18"/>
                <w:color w:val="auto"/>
              </w:rPr>
              <w:t>Bobby S. Shackouls</w:t>
            </w:r>
          </w:p>
        </w:tc>
        <w:tc>
          <w:tcPr>
            <w:tcW w:w="20" w:type="dxa"/>
            <w:vAlign w:val="bottom"/>
          </w:tcPr>
          <w:p>
            <w:pPr>
              <w:spacing w:after="0"/>
              <w:rPr>
                <w:sz w:val="24"/>
                <w:szCs w:val="24"/>
                <w:color w:val="auto"/>
              </w:rPr>
            </w:pPr>
          </w:p>
        </w:tc>
        <w:tc>
          <w:tcPr>
            <w:tcW w:w="920" w:type="dxa"/>
            <w:vAlign w:val="bottom"/>
            <w:tcBorders>
              <w:bottom w:val="single" w:sz="8" w:color="D9DCE1"/>
            </w:tcBorders>
            <w:shd w:val="clear" w:color="auto" w:fill="D9DCE1"/>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D9DCE1"/>
            </w:tcBorders>
            <w:shd w:val="clear" w:color="auto" w:fill="D9DCE1"/>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D9DCE1"/>
            </w:tcBorders>
            <w:shd w:val="clear" w:color="auto" w:fill="D9DCE1"/>
          </w:tcPr>
          <w:p>
            <w:pPr>
              <w:spacing w:after="0"/>
              <w:rPr>
                <w:sz w:val="24"/>
                <w:szCs w:val="24"/>
                <w:color w:val="auto"/>
              </w:rPr>
            </w:pPr>
          </w:p>
        </w:tc>
        <w:tc>
          <w:tcPr>
            <w:tcW w:w="960" w:type="dxa"/>
            <w:vAlign w:val="bottom"/>
            <w:tcBorders>
              <w:bottom w:val="single" w:sz="8" w:color="D9DCE1"/>
            </w:tcBorders>
            <w:shd w:val="clear" w:color="auto" w:fill="D9DCE1"/>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Borders>
              <w:bottom w:val="single" w:sz="8" w:color="D9DCE1"/>
            </w:tcBorders>
            <w:shd w:val="clear" w:color="auto" w:fill="D9DCE1"/>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D9DCE1"/>
            </w:tcBorders>
            <w:shd w:val="clear" w:color="auto" w:fill="D9DCE1"/>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760" w:type="dxa"/>
            <w:vAlign w:val="bottom"/>
            <w:tcBorders>
              <w:top w:val="single" w:sz="8" w:color="434F69"/>
            </w:tcBorders>
          </w:tcPr>
          <w:p>
            <w:pPr>
              <w:ind w:left="260"/>
              <w:spacing w:after="0"/>
              <w:rPr>
                <w:sz w:val="20"/>
                <w:szCs w:val="20"/>
                <w:color w:val="auto"/>
              </w:rPr>
            </w:pPr>
            <w:r>
              <w:rPr>
                <w:rFonts w:ascii="Arial" w:cs="Arial" w:eastAsia="Arial" w:hAnsi="Arial"/>
                <w:sz w:val="18"/>
                <w:szCs w:val="18"/>
                <w:color w:val="auto"/>
              </w:rPr>
              <w:t>Christopher M. Temple</w:t>
            </w:r>
          </w:p>
        </w:tc>
        <w:tc>
          <w:tcPr>
            <w:tcW w:w="20" w:type="dxa"/>
            <w:vAlign w:val="bottom"/>
            <w:tcBorders>
              <w:top w:val="single" w:sz="8" w:color="434F69"/>
            </w:tcBorders>
          </w:tcPr>
          <w:p>
            <w:pPr>
              <w:spacing w:after="0"/>
              <w:rPr>
                <w:sz w:val="21"/>
                <w:szCs w:val="21"/>
                <w:color w:val="auto"/>
              </w:rPr>
            </w:pPr>
          </w:p>
        </w:tc>
        <w:tc>
          <w:tcPr>
            <w:tcW w:w="920" w:type="dxa"/>
            <w:vAlign w:val="bottom"/>
            <w:tcBorders>
              <w:top w:val="single" w:sz="8" w:color="434F69"/>
            </w:tcBorders>
          </w:tcPr>
          <w:p>
            <w:pPr>
              <w:spacing w:after="0"/>
              <w:rPr>
                <w:sz w:val="21"/>
                <w:szCs w:val="21"/>
                <w:color w:val="auto"/>
              </w:rPr>
            </w:pPr>
          </w:p>
        </w:tc>
        <w:tc>
          <w:tcPr>
            <w:tcW w:w="20" w:type="dxa"/>
            <w:vAlign w:val="bottom"/>
            <w:tcBorders>
              <w:top w:val="single" w:sz="8" w:color="434F69"/>
            </w:tcBorders>
          </w:tcPr>
          <w:p>
            <w:pPr>
              <w:spacing w:after="0"/>
              <w:rPr>
                <w:sz w:val="21"/>
                <w:szCs w:val="21"/>
                <w:color w:val="auto"/>
              </w:rPr>
            </w:pPr>
          </w:p>
        </w:tc>
        <w:tc>
          <w:tcPr>
            <w:tcW w:w="840" w:type="dxa"/>
            <w:vAlign w:val="bottom"/>
            <w:tcBorders>
              <w:top w:val="single" w:sz="8" w:color="434F69"/>
            </w:tcBorders>
          </w:tcPr>
          <w:p>
            <w:pPr>
              <w:spacing w:after="0"/>
              <w:rPr>
                <w:sz w:val="21"/>
                <w:szCs w:val="21"/>
                <w:color w:val="auto"/>
              </w:rPr>
            </w:pPr>
          </w:p>
        </w:tc>
        <w:tc>
          <w:tcPr>
            <w:tcW w:w="20" w:type="dxa"/>
            <w:vAlign w:val="bottom"/>
            <w:tcBorders>
              <w:top w:val="single" w:sz="8" w:color="434F69"/>
            </w:tcBorders>
          </w:tcPr>
          <w:p>
            <w:pPr>
              <w:spacing w:after="0"/>
              <w:rPr>
                <w:sz w:val="21"/>
                <w:szCs w:val="21"/>
                <w:color w:val="auto"/>
              </w:rPr>
            </w:pPr>
          </w:p>
        </w:tc>
        <w:tc>
          <w:tcPr>
            <w:tcW w:w="1100" w:type="dxa"/>
            <w:vAlign w:val="bottom"/>
            <w:tcBorders>
              <w:top w:val="single" w:sz="8" w:color="434F69"/>
            </w:tcBorders>
          </w:tcPr>
          <w:p>
            <w:pPr>
              <w:spacing w:after="0"/>
              <w:rPr>
                <w:sz w:val="21"/>
                <w:szCs w:val="21"/>
                <w:color w:val="auto"/>
              </w:rPr>
            </w:pPr>
          </w:p>
        </w:tc>
        <w:tc>
          <w:tcPr>
            <w:tcW w:w="960" w:type="dxa"/>
            <w:vAlign w:val="bottom"/>
            <w:tcBorders>
              <w:top w:val="single" w:sz="8" w:color="434F69"/>
            </w:tcBorders>
          </w:tcPr>
          <w:p>
            <w:pPr>
              <w:spacing w:after="0"/>
              <w:rPr>
                <w:sz w:val="21"/>
                <w:szCs w:val="21"/>
                <w:color w:val="auto"/>
              </w:rPr>
            </w:pPr>
          </w:p>
        </w:tc>
        <w:tc>
          <w:tcPr>
            <w:tcW w:w="840" w:type="dxa"/>
            <w:vAlign w:val="bottom"/>
            <w:tcBorders>
              <w:top w:val="single" w:sz="8" w:color="434F69"/>
            </w:tcBorders>
          </w:tcPr>
          <w:p>
            <w:pPr>
              <w:spacing w:after="0"/>
              <w:rPr>
                <w:sz w:val="21"/>
                <w:szCs w:val="21"/>
                <w:color w:val="auto"/>
              </w:rPr>
            </w:pPr>
          </w:p>
        </w:tc>
        <w:tc>
          <w:tcPr>
            <w:tcW w:w="20" w:type="dxa"/>
            <w:vAlign w:val="bottom"/>
            <w:tcBorders>
              <w:top w:val="single" w:sz="8" w:color="434F69"/>
            </w:tcBorders>
          </w:tcPr>
          <w:p>
            <w:pPr>
              <w:spacing w:after="0"/>
              <w:rPr>
                <w:sz w:val="21"/>
                <w:szCs w:val="21"/>
                <w:color w:val="auto"/>
              </w:rPr>
            </w:pPr>
          </w:p>
        </w:tc>
        <w:tc>
          <w:tcPr>
            <w:tcW w:w="700" w:type="dxa"/>
            <w:vAlign w:val="bottom"/>
            <w:tcBorders>
              <w:top w:val="single" w:sz="8" w:color="434F69"/>
            </w:tcBorders>
          </w:tcPr>
          <w:p>
            <w:pPr>
              <w:spacing w:after="0"/>
              <w:rPr>
                <w:sz w:val="21"/>
                <w:szCs w:val="21"/>
                <w:color w:val="auto"/>
              </w:rPr>
            </w:pPr>
          </w:p>
        </w:tc>
        <w:tc>
          <w:tcPr>
            <w:tcW w:w="20" w:type="dxa"/>
            <w:vAlign w:val="bottom"/>
            <w:tcBorders>
              <w:top w:val="single" w:sz="8" w:color="434F69"/>
            </w:tcBorders>
          </w:tcPr>
          <w:p>
            <w:pPr>
              <w:spacing w:after="0"/>
              <w:rPr>
                <w:sz w:val="21"/>
                <w:szCs w:val="21"/>
                <w:color w:val="auto"/>
              </w:rPr>
            </w:pPr>
          </w:p>
        </w:tc>
      </w:tr>
      <w:tr>
        <w:trPr>
          <w:trHeight w:val="27"/>
        </w:trPr>
        <w:tc>
          <w:tcPr>
            <w:tcW w:w="2760" w:type="dxa"/>
            <w:vAlign w:val="bottom"/>
            <w:tcBorders>
              <w:bottom w:val="single" w:sz="8" w:color="434F69"/>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c>
          <w:tcPr>
            <w:tcW w:w="920" w:type="dxa"/>
            <w:vAlign w:val="bottom"/>
            <w:tcBorders>
              <w:bottom w:val="single" w:sz="8" w:color="434F69"/>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c>
          <w:tcPr>
            <w:tcW w:w="840" w:type="dxa"/>
            <w:vAlign w:val="bottom"/>
            <w:tcBorders>
              <w:bottom w:val="single" w:sz="8" w:color="434F69"/>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c>
          <w:tcPr>
            <w:tcW w:w="1100" w:type="dxa"/>
            <w:vAlign w:val="bottom"/>
            <w:tcBorders>
              <w:bottom w:val="single" w:sz="8" w:color="434F69"/>
            </w:tcBorders>
          </w:tcPr>
          <w:p>
            <w:pPr>
              <w:spacing w:after="0"/>
              <w:rPr>
                <w:sz w:val="2"/>
                <w:szCs w:val="2"/>
                <w:color w:val="auto"/>
              </w:rPr>
            </w:pPr>
          </w:p>
        </w:tc>
        <w:tc>
          <w:tcPr>
            <w:tcW w:w="960" w:type="dxa"/>
            <w:vAlign w:val="bottom"/>
            <w:tcBorders>
              <w:bottom w:val="single" w:sz="8" w:color="434F69"/>
            </w:tcBorders>
          </w:tcPr>
          <w:p>
            <w:pPr>
              <w:spacing w:after="0"/>
              <w:rPr>
                <w:sz w:val="2"/>
                <w:szCs w:val="2"/>
                <w:color w:val="auto"/>
              </w:rPr>
            </w:pPr>
          </w:p>
        </w:tc>
        <w:tc>
          <w:tcPr>
            <w:tcW w:w="840" w:type="dxa"/>
            <w:vAlign w:val="bottom"/>
            <w:tcBorders>
              <w:bottom w:val="single" w:sz="8" w:color="D9DCE1"/>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c>
          <w:tcPr>
            <w:tcW w:w="700" w:type="dxa"/>
            <w:vAlign w:val="bottom"/>
            <w:tcBorders>
              <w:bottom w:val="single" w:sz="8" w:color="D9DCE1"/>
            </w:tcBorders>
          </w:tcPr>
          <w:p>
            <w:pPr>
              <w:spacing w:after="0"/>
              <w:rPr>
                <w:sz w:val="2"/>
                <w:szCs w:val="2"/>
                <w:color w:val="auto"/>
              </w:rPr>
            </w:pPr>
          </w:p>
        </w:tc>
        <w:tc>
          <w:tcPr>
            <w:tcW w:w="20" w:type="dxa"/>
            <w:vAlign w:val="bottom"/>
            <w:tcBorders>
              <w:bottom w:val="single" w:sz="8" w:color="434F69"/>
            </w:tcBorders>
          </w:tcPr>
          <w:p>
            <w:pPr>
              <w:spacing w:after="0"/>
              <w:rPr>
                <w:sz w:val="2"/>
                <w:szCs w:val="2"/>
                <w:color w:val="auto"/>
              </w:rPr>
            </w:pPr>
          </w:p>
        </w:tc>
      </w:tr>
      <w:tr>
        <w:trPr>
          <w:trHeight w:val="182"/>
        </w:trPr>
        <w:tc>
          <w:tcPr>
            <w:tcW w:w="2760" w:type="dxa"/>
            <w:vAlign w:val="bottom"/>
            <w:shd w:val="clear" w:color="auto" w:fill="D9DCE1"/>
          </w:tcPr>
          <w:p>
            <w:pPr>
              <w:ind w:left="80"/>
              <w:spacing w:after="0" w:line="182" w:lineRule="exact"/>
              <w:rPr>
                <w:sz w:val="20"/>
                <w:szCs w:val="20"/>
                <w:color w:val="auto"/>
              </w:rPr>
            </w:pPr>
            <w:r>
              <w:rPr>
                <w:rFonts w:ascii="Arial" w:cs="Arial" w:eastAsia="Arial" w:hAnsi="Arial"/>
                <w:sz w:val="18"/>
                <w:szCs w:val="18"/>
                <w:color w:val="auto"/>
              </w:rPr>
              <w:t>Other Directors</w:t>
            </w:r>
          </w:p>
        </w:tc>
        <w:tc>
          <w:tcPr>
            <w:tcW w:w="20" w:type="dxa"/>
            <w:vAlign w:val="bottom"/>
          </w:tcPr>
          <w:p>
            <w:pPr>
              <w:spacing w:after="0"/>
              <w:rPr>
                <w:sz w:val="15"/>
                <w:szCs w:val="15"/>
                <w:color w:val="auto"/>
              </w:rPr>
            </w:pPr>
          </w:p>
        </w:tc>
        <w:tc>
          <w:tcPr>
            <w:tcW w:w="92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D9DCE1"/>
          </w:tcPr>
          <w:p>
            <w:pPr>
              <w:spacing w:after="0"/>
              <w:rPr>
                <w:sz w:val="15"/>
                <w:szCs w:val="15"/>
                <w:color w:val="auto"/>
              </w:rPr>
            </w:pPr>
          </w:p>
        </w:tc>
        <w:tc>
          <w:tcPr>
            <w:tcW w:w="960" w:type="dxa"/>
            <w:vAlign w:val="bottom"/>
            <w:shd w:val="clear" w:color="auto" w:fill="D9DCE1"/>
          </w:tcPr>
          <w:p>
            <w:pPr>
              <w:spacing w:after="0"/>
              <w:rPr>
                <w:sz w:val="15"/>
                <w:szCs w:val="15"/>
                <w:color w:val="auto"/>
              </w:rPr>
            </w:pPr>
          </w:p>
        </w:tc>
        <w:tc>
          <w:tcPr>
            <w:tcW w:w="84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D9DCE1"/>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2760" w:type="dxa"/>
            <w:vAlign w:val="bottom"/>
            <w:tcBorders>
              <w:bottom w:val="single" w:sz="8" w:color="434F69"/>
            </w:tcBorders>
            <w:shd w:val="clear" w:color="auto" w:fill="D9DCE1"/>
          </w:tcPr>
          <w:p>
            <w:pPr>
              <w:ind w:left="260"/>
              <w:spacing w:after="0"/>
              <w:rPr>
                <w:sz w:val="20"/>
                <w:szCs w:val="20"/>
                <w:color w:val="auto"/>
              </w:rPr>
            </w:pPr>
            <w:r>
              <w:rPr>
                <w:rFonts w:ascii="Arial" w:cs="Arial" w:eastAsia="Arial" w:hAnsi="Arial"/>
                <w:sz w:val="18"/>
                <w:szCs w:val="18"/>
                <w:color w:val="auto"/>
              </w:rPr>
              <w:t>(Not part of a Class)</w:t>
            </w:r>
          </w:p>
        </w:tc>
        <w:tc>
          <w:tcPr>
            <w:tcW w:w="20" w:type="dxa"/>
            <w:vAlign w:val="bottom"/>
            <w:tcBorders>
              <w:bottom w:val="single" w:sz="8" w:color="434F69"/>
            </w:tcBorders>
          </w:tcPr>
          <w:p>
            <w:pPr>
              <w:spacing w:after="0"/>
              <w:rPr>
                <w:sz w:val="20"/>
                <w:szCs w:val="20"/>
                <w:color w:val="auto"/>
              </w:rPr>
            </w:pPr>
          </w:p>
        </w:tc>
        <w:tc>
          <w:tcPr>
            <w:tcW w:w="92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84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1100" w:type="dxa"/>
            <w:vAlign w:val="bottom"/>
            <w:tcBorders>
              <w:bottom w:val="single" w:sz="8" w:color="434F69"/>
            </w:tcBorders>
            <w:shd w:val="clear" w:color="auto" w:fill="D9DCE1"/>
          </w:tcPr>
          <w:p>
            <w:pPr>
              <w:spacing w:after="0"/>
              <w:rPr>
                <w:sz w:val="20"/>
                <w:szCs w:val="20"/>
                <w:color w:val="auto"/>
              </w:rPr>
            </w:pPr>
          </w:p>
        </w:tc>
        <w:tc>
          <w:tcPr>
            <w:tcW w:w="960" w:type="dxa"/>
            <w:vAlign w:val="bottom"/>
            <w:tcBorders>
              <w:bottom w:val="single" w:sz="8" w:color="434F69"/>
            </w:tcBorders>
            <w:shd w:val="clear" w:color="auto" w:fill="D9DCE1"/>
          </w:tcPr>
          <w:p>
            <w:pPr>
              <w:spacing w:after="0"/>
              <w:rPr>
                <w:sz w:val="20"/>
                <w:szCs w:val="20"/>
                <w:color w:val="auto"/>
              </w:rPr>
            </w:pPr>
          </w:p>
        </w:tc>
        <w:tc>
          <w:tcPr>
            <w:tcW w:w="84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70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r>
      <w:tr>
        <w:trPr>
          <w:trHeight w:val="188"/>
        </w:trPr>
        <w:tc>
          <w:tcPr>
            <w:tcW w:w="2760" w:type="dxa"/>
            <w:vAlign w:val="bottom"/>
          </w:tcPr>
          <w:p>
            <w:pPr>
              <w:ind w:left="260"/>
              <w:spacing w:after="0" w:line="189" w:lineRule="exact"/>
              <w:rPr>
                <w:sz w:val="20"/>
                <w:szCs w:val="20"/>
                <w:color w:val="auto"/>
              </w:rPr>
            </w:pPr>
            <w:r>
              <w:rPr>
                <w:rFonts w:ascii="Arial" w:cs="Arial" w:eastAsia="Arial" w:hAnsi="Arial"/>
                <w:sz w:val="18"/>
                <w:szCs w:val="18"/>
                <w:color w:val="auto"/>
              </w:rPr>
              <w:t>Greg L. Armstrong, Senior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760" w:type="dxa"/>
            <w:vAlign w:val="bottom"/>
          </w:tcPr>
          <w:p>
            <w:pPr>
              <w:ind w:left="440"/>
              <w:spacing w:after="0" w:line="189" w:lineRule="exact"/>
              <w:rPr>
                <w:sz w:val="20"/>
                <w:szCs w:val="20"/>
                <w:color w:val="auto"/>
              </w:rPr>
            </w:pPr>
            <w:r>
              <w:rPr>
                <w:rFonts w:ascii="Arial" w:cs="Arial" w:eastAsia="Arial" w:hAnsi="Arial"/>
                <w:sz w:val="18"/>
                <w:szCs w:val="18"/>
                <w:color w:val="auto"/>
              </w:rPr>
              <w:t>Advisor to the CEO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760" w:type="dxa"/>
            <w:vAlign w:val="bottom"/>
          </w:tcPr>
          <w:p>
            <w:pPr>
              <w:ind w:left="440"/>
              <w:spacing w:after="0" w:line="189" w:lineRule="exact"/>
              <w:rPr>
                <w:sz w:val="20"/>
                <w:szCs w:val="20"/>
                <w:color w:val="auto"/>
              </w:rPr>
            </w:pPr>
            <w:r>
              <w:rPr>
                <w:rFonts w:ascii="Arial" w:cs="Arial" w:eastAsia="Arial" w:hAnsi="Arial"/>
                <w:sz w:val="18"/>
                <w:szCs w:val="18"/>
                <w:color w:val="auto"/>
              </w:rPr>
              <w:t>(former Chairman of the</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2760" w:type="dxa"/>
            <w:vAlign w:val="bottom"/>
            <w:tcBorders>
              <w:bottom w:val="single" w:sz="8" w:color="434F69"/>
            </w:tcBorders>
          </w:tcPr>
          <w:p>
            <w:pPr>
              <w:ind w:left="440"/>
              <w:spacing w:after="0"/>
              <w:rPr>
                <w:sz w:val="20"/>
                <w:szCs w:val="20"/>
                <w:color w:val="auto"/>
              </w:rPr>
            </w:pPr>
            <w:r>
              <w:rPr>
                <w:rFonts w:ascii="Arial" w:cs="Arial" w:eastAsia="Arial" w:hAnsi="Arial"/>
                <w:sz w:val="18"/>
                <w:szCs w:val="18"/>
                <w:color w:val="auto"/>
              </w:rPr>
              <w:t>Board and CEO)</w:t>
            </w:r>
          </w:p>
        </w:tc>
        <w:tc>
          <w:tcPr>
            <w:tcW w:w="20" w:type="dxa"/>
            <w:vAlign w:val="bottom"/>
            <w:tcBorders>
              <w:bottom w:val="single" w:sz="8" w:color="434F69"/>
            </w:tcBorders>
          </w:tcPr>
          <w:p>
            <w:pPr>
              <w:spacing w:after="0"/>
              <w:rPr>
                <w:sz w:val="20"/>
                <w:szCs w:val="20"/>
                <w:color w:val="auto"/>
              </w:rPr>
            </w:pPr>
          </w:p>
        </w:tc>
        <w:tc>
          <w:tcPr>
            <w:tcW w:w="920" w:type="dxa"/>
            <w:vAlign w:val="bottom"/>
            <w:tcBorders>
              <w:bottom w:val="single" w:sz="8" w:color="434F69"/>
            </w:tcBorders>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840" w:type="dxa"/>
            <w:vAlign w:val="bottom"/>
            <w:tcBorders>
              <w:bottom w:val="single" w:sz="8" w:color="434F69"/>
            </w:tcBorders>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1100" w:type="dxa"/>
            <w:vAlign w:val="bottom"/>
            <w:tcBorders>
              <w:bottom w:val="single" w:sz="8" w:color="434F69"/>
            </w:tcBorders>
          </w:tcPr>
          <w:p>
            <w:pPr>
              <w:spacing w:after="0"/>
              <w:rPr>
                <w:sz w:val="20"/>
                <w:szCs w:val="20"/>
                <w:color w:val="auto"/>
              </w:rPr>
            </w:pPr>
          </w:p>
        </w:tc>
        <w:tc>
          <w:tcPr>
            <w:tcW w:w="960" w:type="dxa"/>
            <w:vAlign w:val="bottom"/>
            <w:tcBorders>
              <w:bottom w:val="single" w:sz="8" w:color="434F69"/>
            </w:tcBorders>
          </w:tcPr>
          <w:p>
            <w:pPr>
              <w:spacing w:after="0"/>
              <w:rPr>
                <w:sz w:val="20"/>
                <w:szCs w:val="20"/>
                <w:color w:val="auto"/>
              </w:rPr>
            </w:pPr>
          </w:p>
        </w:tc>
        <w:tc>
          <w:tcPr>
            <w:tcW w:w="840" w:type="dxa"/>
            <w:vAlign w:val="bottom"/>
            <w:tcBorders>
              <w:bottom w:val="single" w:sz="8" w:color="434F69"/>
            </w:tcBorders>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700" w:type="dxa"/>
            <w:vAlign w:val="bottom"/>
            <w:tcBorders>
              <w:bottom w:val="single" w:sz="8" w:color="434F69"/>
            </w:tcBorders>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r>
      <w:tr>
        <w:trPr>
          <w:trHeight w:val="215"/>
        </w:trPr>
        <w:tc>
          <w:tcPr>
            <w:tcW w:w="2760" w:type="dxa"/>
            <w:vAlign w:val="bottom"/>
            <w:shd w:val="clear" w:color="auto" w:fill="D9DCE1"/>
          </w:tcPr>
          <w:p>
            <w:pPr>
              <w:ind w:left="260"/>
              <w:spacing w:after="0"/>
              <w:rPr>
                <w:sz w:val="20"/>
                <w:szCs w:val="20"/>
                <w:color w:val="auto"/>
              </w:rPr>
            </w:pPr>
            <w:r>
              <w:rPr>
                <w:rFonts w:ascii="Arial" w:cs="Arial" w:eastAsia="Arial" w:hAnsi="Arial"/>
                <w:sz w:val="18"/>
                <w:szCs w:val="18"/>
                <w:color w:val="auto"/>
              </w:rPr>
              <w:t>Willie Chiang, Chairman of the</w:t>
            </w:r>
          </w:p>
        </w:tc>
        <w:tc>
          <w:tcPr>
            <w:tcW w:w="20" w:type="dxa"/>
            <w:vAlign w:val="bottom"/>
          </w:tcPr>
          <w:p>
            <w:pPr>
              <w:spacing w:after="0"/>
              <w:rPr>
                <w:sz w:val="18"/>
                <w:szCs w:val="18"/>
                <w:color w:val="auto"/>
              </w:rPr>
            </w:pPr>
          </w:p>
        </w:tc>
        <w:tc>
          <w:tcPr>
            <w:tcW w:w="92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D9DCE1"/>
          </w:tcPr>
          <w:p>
            <w:pPr>
              <w:spacing w:after="0"/>
              <w:rPr>
                <w:sz w:val="18"/>
                <w:szCs w:val="18"/>
                <w:color w:val="auto"/>
              </w:rPr>
            </w:pPr>
          </w:p>
        </w:tc>
        <w:tc>
          <w:tcPr>
            <w:tcW w:w="960" w:type="dxa"/>
            <w:vAlign w:val="bottom"/>
            <w:shd w:val="clear" w:color="auto" w:fill="D9DCE1"/>
          </w:tcPr>
          <w:p>
            <w:pPr>
              <w:spacing w:after="0"/>
              <w:rPr>
                <w:sz w:val="18"/>
                <w:szCs w:val="18"/>
                <w:color w:val="auto"/>
              </w:rPr>
            </w:pPr>
          </w:p>
        </w:tc>
        <w:tc>
          <w:tcPr>
            <w:tcW w:w="84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D9DCE1"/>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760" w:type="dxa"/>
            <w:vAlign w:val="bottom"/>
            <w:tcBorders>
              <w:bottom w:val="single" w:sz="8" w:color="434F69"/>
            </w:tcBorders>
            <w:shd w:val="clear" w:color="auto" w:fill="D9DCE1"/>
          </w:tcPr>
          <w:p>
            <w:pPr>
              <w:ind w:left="440"/>
              <w:spacing w:after="0"/>
              <w:rPr>
                <w:sz w:val="20"/>
                <w:szCs w:val="20"/>
                <w:color w:val="auto"/>
              </w:rPr>
            </w:pPr>
            <w:r>
              <w:rPr>
                <w:rFonts w:ascii="Arial" w:cs="Arial" w:eastAsia="Arial" w:hAnsi="Arial"/>
                <w:sz w:val="18"/>
                <w:szCs w:val="18"/>
                <w:color w:val="auto"/>
              </w:rPr>
              <w:t>Board and CEO</w:t>
            </w:r>
          </w:p>
        </w:tc>
        <w:tc>
          <w:tcPr>
            <w:tcW w:w="20" w:type="dxa"/>
            <w:vAlign w:val="bottom"/>
            <w:tcBorders>
              <w:bottom w:val="single" w:sz="8" w:color="434F69"/>
            </w:tcBorders>
          </w:tcPr>
          <w:p>
            <w:pPr>
              <w:spacing w:after="0"/>
              <w:rPr>
                <w:sz w:val="20"/>
                <w:szCs w:val="20"/>
                <w:color w:val="auto"/>
              </w:rPr>
            </w:pPr>
          </w:p>
        </w:tc>
        <w:tc>
          <w:tcPr>
            <w:tcW w:w="92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84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1100" w:type="dxa"/>
            <w:vAlign w:val="bottom"/>
            <w:tcBorders>
              <w:bottom w:val="single" w:sz="8" w:color="434F69"/>
            </w:tcBorders>
            <w:shd w:val="clear" w:color="auto" w:fill="D9DCE1"/>
          </w:tcPr>
          <w:p>
            <w:pPr>
              <w:spacing w:after="0"/>
              <w:rPr>
                <w:sz w:val="20"/>
                <w:szCs w:val="20"/>
                <w:color w:val="auto"/>
              </w:rPr>
            </w:pPr>
          </w:p>
        </w:tc>
        <w:tc>
          <w:tcPr>
            <w:tcW w:w="960" w:type="dxa"/>
            <w:vAlign w:val="bottom"/>
            <w:tcBorders>
              <w:bottom w:val="single" w:sz="8" w:color="434F69"/>
            </w:tcBorders>
            <w:shd w:val="clear" w:color="auto" w:fill="D9DCE1"/>
          </w:tcPr>
          <w:p>
            <w:pPr>
              <w:spacing w:after="0"/>
              <w:rPr>
                <w:sz w:val="20"/>
                <w:szCs w:val="20"/>
                <w:color w:val="auto"/>
              </w:rPr>
            </w:pPr>
          </w:p>
        </w:tc>
        <w:tc>
          <w:tcPr>
            <w:tcW w:w="84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c>
          <w:tcPr>
            <w:tcW w:w="700" w:type="dxa"/>
            <w:vAlign w:val="bottom"/>
            <w:tcBorders>
              <w:bottom w:val="single" w:sz="8" w:color="434F69"/>
            </w:tcBorders>
            <w:shd w:val="clear" w:color="auto" w:fill="D9DCE1"/>
          </w:tcPr>
          <w:p>
            <w:pPr>
              <w:spacing w:after="0"/>
              <w:rPr>
                <w:sz w:val="20"/>
                <w:szCs w:val="20"/>
                <w:color w:val="auto"/>
              </w:rPr>
            </w:pPr>
          </w:p>
        </w:tc>
        <w:tc>
          <w:tcPr>
            <w:tcW w:w="20" w:type="dxa"/>
            <w:vAlign w:val="bottom"/>
            <w:tcBorders>
              <w:bottom w:val="single" w:sz="8" w:color="434F69"/>
            </w:tcBorders>
          </w:tcPr>
          <w:p>
            <w:pPr>
              <w:spacing w:after="0"/>
              <w:rPr>
                <w:sz w:val="20"/>
                <w:szCs w:val="20"/>
                <w:color w:val="auto"/>
              </w:rPr>
            </w:pPr>
          </w:p>
        </w:tc>
      </w:tr>
      <w:tr>
        <w:trPr>
          <w:trHeight w:val="188"/>
        </w:trPr>
        <w:tc>
          <w:tcPr>
            <w:tcW w:w="2760" w:type="dxa"/>
            <w:vAlign w:val="bottom"/>
          </w:tcPr>
          <w:p>
            <w:pPr>
              <w:ind w:left="260"/>
              <w:spacing w:after="0" w:line="189" w:lineRule="exact"/>
              <w:rPr>
                <w:sz w:val="20"/>
                <w:szCs w:val="20"/>
                <w:color w:val="auto"/>
              </w:rPr>
            </w:pPr>
            <w:r>
              <w:rPr>
                <w:rFonts w:ascii="Arial" w:cs="Arial" w:eastAsia="Arial" w:hAnsi="Arial"/>
                <w:sz w:val="18"/>
                <w:szCs w:val="18"/>
                <w:color w:val="auto"/>
                <w:w w:val="97"/>
              </w:rPr>
              <w:t>Harry N. Pefanis, President and</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760" w:type="dxa"/>
            <w:vAlign w:val="bottom"/>
          </w:tcPr>
          <w:p>
            <w:pPr>
              <w:ind w:left="440"/>
              <w:spacing w:after="0"/>
              <w:rPr>
                <w:sz w:val="20"/>
                <w:szCs w:val="20"/>
                <w:color w:val="auto"/>
              </w:rPr>
            </w:pPr>
            <w:r>
              <w:rPr>
                <w:rFonts w:ascii="Arial" w:cs="Arial" w:eastAsia="Arial" w:hAnsi="Arial"/>
                <w:sz w:val="18"/>
                <w:szCs w:val="18"/>
                <w:color w:val="auto"/>
              </w:rPr>
              <w:t>Chief Commercial Officer</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21" w:lineRule="exact"/>
        <w:rPr>
          <w:sz w:val="20"/>
          <w:szCs w:val="20"/>
          <w:color w:val="auto"/>
        </w:rPr>
      </w:pPr>
    </w:p>
    <w:p>
      <w:pPr>
        <w:ind w:left="1620" w:hanging="35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Nominated by the Board for re-election at the 2020 Annual Meeting.</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Determined by the Board to be independent under applicable NYSE and/or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94615"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Designated Director —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94615"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wp:posOffset>
            </wp:positionV>
            <wp:extent cx="94615"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77470"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572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Committee Chairman</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6858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6858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ind w:left="1620" w:hanging="358"/>
        <w:spacing w:after="0" w:line="237" w:lineRule="auto"/>
        <w:tabs>
          <w:tab w:leader="none" w:pos="162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Mr. Sinnott serves as Kayne Anderson’s designated director.</w:t>
      </w:r>
    </w:p>
    <w:p>
      <w:pPr>
        <w:sectPr>
          <w:pgSz w:w="11900" w:h="16838" w:orient="portrait"/>
          <w:cols w:equalWidth="0" w:num="1">
            <w:col w:w="10139"/>
          </w:cols>
          <w:pgMar w:left="320" w:top="132" w:right="1440" w:bottom="1440" w:gutter="0" w:footer="0" w:header="0"/>
        </w:sectPr>
      </w:pPr>
    </w:p>
    <w:p>
      <w:pPr>
        <w:spacing w:after="0" w:line="39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7"/>
          <w:szCs w:val="17"/>
          <w:color w:val="auto"/>
        </w:rPr>
        <w:t>As described in the summary highlights above, since 2016, the Board has taken numerous meaningful steps to provide PAGP shareholders and PAA unitholders the right to vote for members of the Board. At a special meeting of PAGP shareholders called by the Board and held in November 2016 in connection with our simplification transaction (the “Simplification Transaction”), our shareholders overwhelmingly approved the following changes to our governing documents, among others:</w:t>
      </w:r>
    </w:p>
    <w:p>
      <w:pPr>
        <w:spacing w:after="0" w:line="66" w:lineRule="exact"/>
        <w:rPr>
          <w:sz w:val="20"/>
          <w:szCs w:val="20"/>
          <w:color w:val="auto"/>
        </w:rPr>
      </w:pPr>
    </w:p>
    <w:p>
      <w:pPr>
        <w:ind w:left="1800" w:right="77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responsible for the governance of PAGP, AAP and PAA; and</w:t>
      </w:r>
    </w:p>
    <w:p>
      <w:pPr>
        <w:spacing w:after="0" w:line="48" w:lineRule="exact"/>
        <w:rPr>
          <w:rFonts w:ascii="Arial" w:cs="Arial" w:eastAsia="Arial" w:hAnsi="Arial"/>
          <w:sz w:val="18"/>
          <w:szCs w:val="18"/>
          <w:color w:val="auto"/>
        </w:rPr>
      </w:pPr>
    </w:p>
    <w:p>
      <w:pPr>
        <w:jc w:val="both"/>
        <w:ind w:left="1800" w:right="839" w:hanging="178"/>
        <w:spacing w:after="0" w:line="286"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division of the Board into three classes and the commencement of shareholder elections of directors by class starting in 2018, with the participation and enfranchisement of all shareholders of PAGP and all public common unitholders and Series A preferred unitholders of PAA.</w:t>
      </w:r>
    </w:p>
    <w:p>
      <w:pPr>
        <w:spacing w:after="0" w:line="98"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These features distinguish PAGP and PAA from many of their midstream master limited partnership peers. It is important to note that while not all directors are subject to election each year, the director designation rights held by Kayne Anderson, Occidental and EMG as of the beginning of 2019 represented fundamental legacy governance rights that such investors were legally and contractually entitled to exercise for so long as they maintained their 10% qualifying ownership interest in AAP. During 2019, the ownership interests of Occidental and EMG dropped below the 10% qualifying threshold and the director positions previously occupied by such investors’ designees are now subject to shareholder election. The Board currently includes only one designated director (Robert Sinnott). It should also be noted that while Messrs. Chiang (Chairman and CEO), Armstrong (former Chairman and CEO) and Pefanis (President and Chief Commercial Officer) are not subject to shareholder election, they are accountable to and serve at the discretion of the Board, approximately 67% of which is independent and currently subject to shareholder elections. Together with the alignment of interests among investors that was created through the elimination of PAA’s incentive distribution rights in connection with the Simplification Transaction, the Board put in place an overall governance structure that vastly improved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rights. The Board believes that the continued implementation of the modified governance structure as approved by PAGP’s shareholders, together with honoring and abiding by the contractual rights of our largest investors, is in line with the will and expectations of investors in PAA and PAGP.</w:t>
      </w:r>
    </w:p>
    <w:p>
      <w:pPr>
        <w:spacing w:after="0" w:line="3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62"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With respect to any director nominations made by the Board in connection with director elections or in the event of a vacancy with respect to directors other than a designated director,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Although the governance committee does not have a formal policy with regard to the consideration of diversity in identifying and assessing director nominees, it has considered and will continue to consider diversity in a number of areas (including diversity of gender, race, ethnicity, experience and expertise) in connection with the process of identifying and assessing potential Board candidates.</w:t>
      </w:r>
    </w:p>
    <w:p>
      <w:pPr>
        <w:spacing w:after="0" w:line="10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During 2019, the governance committee led the Board through a board assessment, refreshment and succession planning process. This process included (i) an assessment of the skills, background and experience of our directors, which was used to identify potential enhancement areas relative to the ideal mix of skills, background and experience for our board, (ii) the development of a board succession plan that identifies near and longer-term actions, including the development of succession plans for each board committee, and (iii) an evaluation by each director of the performance of every other director in a variety of categories that directly impact overall board performance and effectiveness. The governance committee also oversees the Board’s annual self-assessment process.</w:t>
      </w:r>
    </w:p>
    <w:p>
      <w:pPr>
        <w:spacing w:after="0" w:line="124"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In evaluating director nominees and in reviewing the qualifications and experience of the directors continuing in office, the governance committee and Board considers a variety of factors, including independence, financial literacy, personal and professional accomplishments and experience in light of the</w:t>
      </w:r>
    </w:p>
    <w:p>
      <w:pPr>
        <w:spacing w:after="0" w:line="3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99"/>
        <w:spacing w:after="0" w:line="263" w:lineRule="auto"/>
        <w:rPr>
          <w:sz w:val="20"/>
          <w:szCs w:val="20"/>
          <w:color w:val="auto"/>
        </w:rPr>
      </w:pPr>
      <w:r>
        <w:rPr>
          <w:rFonts w:ascii="Arial" w:cs="Arial" w:eastAsia="Arial" w:hAnsi="Arial"/>
          <w:sz w:val="18"/>
          <w:szCs w:val="18"/>
          <w:color w:val="auto"/>
        </w:rPr>
        <w:t>needs of the company. For incumbent directors, factors also include past performance on the Board. The Board has determined that it is beneficial to have individuals on the Board with the following skills, experiences, and characteristics:</w:t>
      </w:r>
    </w:p>
    <w:p>
      <w:pPr>
        <w:spacing w:after="0" w:line="137"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2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Public Company Experience (Officer/Director)</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Industry Experience (Upstream/Midstream/</w:t>
            </w:r>
          </w:p>
        </w:tc>
      </w:tr>
      <w:tr>
        <w:trPr>
          <w:trHeight w:val="257"/>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Finance/Accounting</w:t>
            </w:r>
          </w:p>
        </w:tc>
        <w:tc>
          <w:tcPr>
            <w:tcW w:w="220" w:type="dxa"/>
            <w:vAlign w:val="bottom"/>
          </w:tcPr>
          <w:p>
            <w:pPr>
              <w:spacing w:after="0"/>
              <w:rPr>
                <w:sz w:val="22"/>
                <w:szCs w:val="22"/>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Downstream)</w:t>
            </w:r>
          </w:p>
        </w:tc>
      </w:tr>
      <w:tr>
        <w:trPr>
          <w:trHeight w:val="230"/>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Business Development/Strategy/Commercial</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Private Equity</w:t>
            </w:r>
          </w:p>
        </w:tc>
      </w:tr>
      <w:tr>
        <w:trPr>
          <w:trHeight w:val="229"/>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Legal/Governance/Government Relations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Diversity (gender, race or ethnicity)</w:t>
            </w:r>
          </w:p>
        </w:tc>
      </w:tr>
      <w:tr>
        <w:trPr>
          <w:trHeight w:val="229"/>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Operations/ Engineering/Construction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International</w:t>
            </w:r>
          </w:p>
        </w:tc>
      </w:tr>
      <w:tr>
        <w:trPr>
          <w:trHeight w:val="230"/>
        </w:trPr>
        <w:tc>
          <w:tcPr>
            <w:tcW w:w="2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Cybersecurity/IT</w:t>
            </w:r>
          </w:p>
        </w:tc>
      </w:tr>
    </w:tbl>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 Directors Standing for Election at this Annual Meeting</w:t>
      </w:r>
    </w:p>
    <w:p>
      <w:pPr>
        <w:spacing w:after="0" w:line="148" w:lineRule="exact"/>
        <w:rPr>
          <w:sz w:val="20"/>
          <w:szCs w:val="20"/>
          <w:color w:val="auto"/>
        </w:rPr>
      </w:pPr>
    </w:p>
    <w:p>
      <w:pPr>
        <w:ind w:left="1260" w:right="759" w:firstLine="360"/>
        <w:spacing w:after="0" w:line="296" w:lineRule="auto"/>
        <w:rPr>
          <w:sz w:val="20"/>
          <w:szCs w:val="20"/>
          <w:color w:val="auto"/>
        </w:rPr>
      </w:pPr>
      <w:r>
        <w:rPr>
          <w:rFonts w:ascii="Arial" w:cs="Arial" w:eastAsia="Arial" w:hAnsi="Arial"/>
          <w:sz w:val="16"/>
          <w:szCs w:val="16"/>
          <w:color w:val="auto"/>
        </w:rPr>
        <w:t>The Board proposes that Ms. Pruner and Mr. Ziemba, current non-designated Class I directors, be elected to serve until the 2023 annual meeting. Ms. Pruner and Mr. Ziemba have consented to serve if elected. If either of them becomes unavailable to serve as a director prior to the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29"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ALEXANDRA</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4"/>
              </w:rPr>
              <w:t xml:space="preserve">Alexandra Pruner, age 58, </w:t>
            </w:r>
            <w:r>
              <w:rPr>
                <w:rFonts w:ascii="Arial" w:cs="Arial" w:eastAsia="Arial" w:hAnsi="Arial"/>
                <w:sz w:val="16"/>
                <w:szCs w:val="16"/>
                <w:color w:val="auto"/>
                <w:w w:val="94"/>
              </w:rPr>
              <w:t>has served as a director of PAGP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tcPr>
          <w:p>
            <w:pPr>
              <w:jc w:val="center"/>
              <w:ind w:right="520"/>
              <w:spacing w:after="0" w:line="159" w:lineRule="exact"/>
              <w:rPr>
                <w:sz w:val="20"/>
                <w:szCs w:val="20"/>
                <w:color w:val="auto"/>
              </w:rPr>
            </w:pPr>
            <w:r>
              <w:rPr>
                <w:rFonts w:ascii="Arial" w:cs="Arial" w:eastAsia="Arial" w:hAnsi="Arial"/>
                <w:sz w:val="16"/>
                <w:szCs w:val="16"/>
                <w:b w:val="1"/>
                <w:bCs w:val="1"/>
                <w:color w:val="auto"/>
              </w:rPr>
              <w:t>PRUNER</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2"/>
              </w:rPr>
              <w:t>GP since December 2018. Ms. Pruner has served as a Senior</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Advisor of Perella Weinberg Partners (“PWP”), a global</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1440" w:type="dxa"/>
            <w:vAlign w:val="bottom"/>
            <w:tcBorders>
              <w:right w:val="single" w:sz="8" w:color="auto"/>
            </w:tcBorders>
            <w:gridSpan w:val="2"/>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48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8"/>
              </w:rPr>
              <w:t>independent advisory firm providing strategic and financial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80" w:type="dxa"/>
            <w:vAlign w:val="bottom"/>
            <w:tcBorders>
              <w:left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advice and asset-management services, and its energy</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48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tcPr>
          <w:p>
            <w:pPr>
              <w:jc w:val="center"/>
              <w:ind w:right="500"/>
              <w:spacing w:after="0" w:line="152" w:lineRule="exact"/>
              <w:rPr>
                <w:sz w:val="20"/>
                <w:szCs w:val="20"/>
                <w:color w:val="auto"/>
              </w:rPr>
            </w:pPr>
            <w:r>
              <w:rPr>
                <w:rFonts w:ascii="Arial" w:cs="Arial" w:eastAsia="Arial" w:hAnsi="Arial"/>
                <w:sz w:val="16"/>
                <w:szCs w:val="16"/>
                <w:b w:val="1"/>
                <w:bCs w:val="1"/>
                <w:i w:val="1"/>
                <w:iCs w:val="1"/>
                <w:color w:val="auto"/>
                <w:w w:val="86"/>
              </w:rPr>
              <w:t>since 2018</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division, Tudor, Pickering, Holt &amp; Co., since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480" w:type="dxa"/>
            <w:vAlign w:val="bottom"/>
            <w:tcBorders>
              <w:left w:val="single" w:sz="8" w:color="auto"/>
            </w:tcBorders>
          </w:tcPr>
          <w:p>
            <w:pPr>
              <w:spacing w:after="0"/>
              <w:rPr>
                <w:sz w:val="13"/>
                <w:szCs w:val="13"/>
                <w:color w:val="auto"/>
              </w:rPr>
            </w:pPr>
          </w:p>
        </w:tc>
        <w:tc>
          <w:tcPr>
            <w:tcW w:w="840" w:type="dxa"/>
            <w:vAlign w:val="bottom"/>
            <w:vMerge w:val="restart"/>
          </w:tcPr>
          <w:p>
            <w:pPr>
              <w:spacing w:after="0"/>
              <w:rPr>
                <w:sz w:val="20"/>
                <w:szCs w:val="20"/>
                <w:color w:val="auto"/>
              </w:rPr>
            </w:pPr>
            <w:r>
              <w:rPr>
                <w:rFonts w:ascii="Arial" w:cs="Arial" w:eastAsia="Arial" w:hAnsi="Arial"/>
                <w:sz w:val="16"/>
                <w:szCs w:val="16"/>
                <w:b w:val="1"/>
                <w:bCs w:val="1"/>
                <w:color w:val="auto"/>
                <w:w w:val="89"/>
              </w:rPr>
              <w:t>Committees</w:t>
            </w:r>
          </w:p>
        </w:tc>
        <w:tc>
          <w:tcPr>
            <w:tcW w:w="600" w:type="dxa"/>
            <w:vAlign w:val="bottom"/>
            <w:tcBorders>
              <w:right w:val="single" w:sz="8" w:color="auto"/>
            </w:tcBorders>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w w:val="94"/>
              </w:rPr>
              <w:t>December 2018. She previously served as Partner and Chief</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80" w:type="dxa"/>
            <w:vAlign w:val="bottom"/>
            <w:tcBorders>
              <w:left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00" w:type="dxa"/>
            <w:vAlign w:val="bottom"/>
            <w:tcBorders>
              <w:right w:val="single" w:sz="8" w:color="auto"/>
            </w:tcBorders>
          </w:tcPr>
          <w:p>
            <w:pPr>
              <w:jc w:val="right"/>
              <w:ind w:right="520"/>
              <w:spacing w:after="0"/>
              <w:rPr>
                <w:sz w:val="20"/>
                <w:szCs w:val="20"/>
                <w:color w:val="auto"/>
              </w:rPr>
            </w:pPr>
            <w:r>
              <w:rPr>
                <w:rFonts w:ascii="Arial" w:cs="Arial" w:eastAsia="Arial" w:hAnsi="Arial"/>
                <w:sz w:val="8"/>
                <w:szCs w:val="8"/>
                <w:b w:val="1"/>
                <w:bCs w:val="1"/>
                <w:color w:val="auto"/>
                <w:w w:val="73"/>
              </w:rPr>
              <w:t>:</w:t>
            </w:r>
          </w:p>
        </w:tc>
        <w:tc>
          <w:tcPr>
            <w:tcW w:w="41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Financial Officer of PWP from December 2016 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right w:val="single" w:sz="8" w:color="auto"/>
            </w:tcBorders>
            <w:gridSpan w:val="2"/>
          </w:tcPr>
          <w:p>
            <w:pPr>
              <w:ind w:left="40"/>
              <w:spacing w:after="0" w:line="15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6"/>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6"/>
                <w:szCs w:val="16"/>
                <w:color w:val="auto"/>
              </w:rPr>
              <w:t>Audit</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November 2018. She served as CFO and a member of the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Management Committee at Tudor, Pickering, Holt &amp; Co.</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the firm’s founding in 2007 until its combination with</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8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2"/>
              </w:rPr>
              <w:t>PWP in 2016. Ms. Pruner served as a director and member of</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Audit Committee of Anadarko Petroleum Corporation</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25"/>
        </w:trPr>
        <w:tc>
          <w:tcPr>
            <w:tcW w:w="48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3"/>
              </w:rPr>
              <w:t>from December 2018 until August 2019. She has also served</w:t>
            </w:r>
          </w:p>
        </w:tc>
        <w:tc>
          <w:tcPr>
            <w:tcW w:w="200" w:type="dxa"/>
            <w:vAlign w:val="bottom"/>
            <w:gridSpan w:val="2"/>
            <w:vMerge w:val="continue"/>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480" w:type="dxa"/>
            <w:vAlign w:val="bottom"/>
            <w:tcBorders>
              <w:lef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as a director of NRG Energy, Inc. since October 2019 and as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 director of Encino Acquisition Partners, LLC since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39"/>
        </w:trPr>
        <w:tc>
          <w:tcPr>
            <w:tcW w:w="480" w:type="dxa"/>
            <w:vAlign w:val="bottom"/>
            <w:tcBorders>
              <w:lef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5"/>
              </w:rPr>
              <w:t>November 2019. She is the founder and a board member of</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80" w:type="dxa"/>
            <w:vAlign w:val="bottom"/>
            <w:tcBorders>
              <w:left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Women’s Global Leadership Conference in Energy &amp;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Technology, is an Emeritus Director of the Amegy 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Development Board, and is Chair of Brown University’s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President’s Advisory Council on the Economics Department.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She also serves on the Board of the Houston Zoo, among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other volunteer efforts. Ms. Pruner holds a BA in Economics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Brown University. The Board has determined that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Ms. Pruner is “independent” under applicable NYSE rules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qualifies as an “Audit Committee Financial Expert.”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Ms. Pruner’s extensive experience in the energy industry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from a variety of perspectives, along with her strong finance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investment banking background, make her uniquely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qualified to serve on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LAWRENCE ZIEMBA</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Lawrence M. Ziemba</w:t>
            </w:r>
            <w:r>
              <w:rPr>
                <w:rFonts w:ascii="Arial" w:cs="Arial" w:eastAsia="Arial" w:hAnsi="Arial"/>
                <w:sz w:val="16"/>
                <w:szCs w:val="16"/>
                <w:color w:val="auto"/>
              </w:rPr>
              <w:t>,</w:t>
            </w:r>
            <w:r>
              <w:rPr>
                <w:rFonts w:ascii="Arial" w:cs="Arial" w:eastAsia="Arial" w:hAnsi="Arial"/>
                <w:sz w:val="16"/>
                <w:szCs w:val="16"/>
                <w:i w:val="1"/>
                <w:iCs w:val="1"/>
                <w:color w:val="auto"/>
              </w:rPr>
              <w:t xml:space="preserve"> age 64</w:t>
            </w:r>
            <w:r>
              <w:rPr>
                <w:rFonts w:ascii="Arial" w:cs="Arial" w:eastAsia="Arial" w:hAnsi="Arial"/>
                <w:sz w:val="16"/>
                <w:szCs w:val="16"/>
                <w:color w:val="auto"/>
              </w:rPr>
              <w:t>, has served as a director of</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PAGP GP since January 2020. Mr. Ziemba served as</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Executive Vice President, Refining, and a member of the</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executive committee of Phillips 66 from May 2012 until his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86"/>
              </w:rPr>
              <w:t>since 2020</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retirement in December 2017. From 2001 to May 2012, he</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tcPr>
          <w:p>
            <w:pPr>
              <w:spacing w:after="0"/>
              <w:rPr>
                <w:sz w:val="13"/>
                <w:szCs w:val="13"/>
                <w:color w:val="auto"/>
              </w:rPr>
            </w:pP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w w:val="94"/>
              </w:rPr>
              <w:t>served in various downstream positions with ConocoPhillips,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w w:val="95"/>
              </w:rPr>
              <w:t>including most recently as President, Global Refining, and a</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member of the executive committee. He also held various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positions of increasing responsibility with Tosco/Unocal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1977 to 2001. He has held a number of industry</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leadership positions, including with API and AFPM. He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currently serves on the board of directors of PBF Logistics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GP LLC. He also serves on the board of trustees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Duchesne Academy in Houston, where he chairs the finance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committee. Mr. Ziemba received a BS in mechanical</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engineering from the University of Illinois — Champaign</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6"/>
        </w:trPr>
        <w:tc>
          <w:tcPr>
            <w:tcW w:w="1920" w:type="dxa"/>
            <w:vAlign w:val="bottom"/>
            <w:tcBorders>
              <w:left w:val="single" w:sz="8" w:color="auto"/>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w w:val="96"/>
              </w:rPr>
              <w:t>and an MBA from the University of Chicago. The Board has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Mr. Ziemba is “independent”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applicable NYSE rules. We believe that his operations,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technical and project management expertise, coupled with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his business sense and understanding of strategic positioning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the energy space, adds a diverse operating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downstream perspective to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Not Standing for Election at this Annual Meeting</w:t>
      </w:r>
    </w:p>
    <w:p>
      <w:pPr>
        <w:spacing w:after="0" w:line="1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Class II Directors (terms expire in 2022):</w:t>
      </w:r>
    </w:p>
    <w:p>
      <w:pPr>
        <w:spacing w:after="0" w:line="192"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VICTOR BURK</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9"/>
              </w:rPr>
              <w:t xml:space="preserve">Victor Burk, age 70, </w:t>
            </w:r>
            <w:r>
              <w:rPr>
                <w:rFonts w:ascii="Arial" w:cs="Arial" w:eastAsia="Arial" w:hAnsi="Arial"/>
                <w:sz w:val="16"/>
                <w:szCs w:val="16"/>
                <w:color w:val="auto"/>
                <w:w w:val="99"/>
              </w:rPr>
              <w:t>has served as a director of PAGP 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9"/>
              </w:rPr>
              <w:t>since January 2014. He has been a Managing Director for</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5"/>
              </w:rPr>
              <w:t>Alvarez and Marsal, a privately owned professional services</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6"/>
              </w:rPr>
              <w:t>firm, since April 2009. From 2005 to 2009, Mr. Burk was the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gridSpan w:val="3"/>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500"/>
              <w:spacing w:after="0" w:line="175" w:lineRule="exact"/>
              <w:rPr>
                <w:sz w:val="20"/>
                <w:szCs w:val="20"/>
                <w:color w:val="auto"/>
              </w:rPr>
            </w:pPr>
            <w:r>
              <w:rPr>
                <w:rFonts w:ascii="Arial" w:cs="Arial" w:eastAsia="Arial" w:hAnsi="Arial"/>
                <w:sz w:val="16"/>
                <w:szCs w:val="16"/>
                <w:b w:val="1"/>
                <w:bCs w:val="1"/>
                <w:i w:val="1"/>
                <w:iCs w:val="1"/>
                <w:color w:val="auto"/>
                <w:w w:val="86"/>
              </w:rPr>
              <w:t>since 2010</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global energy practice leader for Spencer Stuart, a privately</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480" w:type="dxa"/>
            <w:vAlign w:val="bottom"/>
            <w:tcBorders>
              <w:left w:val="single" w:sz="8" w:color="auto"/>
            </w:tcBorders>
          </w:tcPr>
          <w:p>
            <w:pPr>
              <w:spacing w:after="0"/>
              <w:rPr>
                <w:sz w:val="13"/>
                <w:szCs w:val="13"/>
                <w:color w:val="auto"/>
              </w:rPr>
            </w:pPr>
          </w:p>
        </w:tc>
        <w:tc>
          <w:tcPr>
            <w:tcW w:w="840" w:type="dxa"/>
            <w:vAlign w:val="bottom"/>
            <w:vMerge w:val="restart"/>
          </w:tcPr>
          <w:p>
            <w:pPr>
              <w:spacing w:after="0"/>
              <w:rPr>
                <w:sz w:val="20"/>
                <w:szCs w:val="20"/>
                <w:color w:val="auto"/>
              </w:rPr>
            </w:pPr>
            <w:r>
              <w:rPr>
                <w:rFonts w:ascii="Arial" w:cs="Arial" w:eastAsia="Arial" w:hAnsi="Arial"/>
                <w:sz w:val="16"/>
                <w:szCs w:val="16"/>
                <w:b w:val="1"/>
                <w:bCs w:val="1"/>
                <w:color w:val="auto"/>
                <w:w w:val="89"/>
              </w:rPr>
              <w:t>Committees</w:t>
            </w:r>
          </w:p>
        </w:tc>
        <w:tc>
          <w:tcPr>
            <w:tcW w:w="600" w:type="dxa"/>
            <w:vAlign w:val="bottom"/>
            <w:tcBorders>
              <w:right w:val="single" w:sz="8" w:color="auto"/>
            </w:tcBorders>
            <w:vMerge w:val="restart"/>
          </w:tcPr>
          <w:p>
            <w:pPr>
              <w:jc w:val="right"/>
              <w:ind w:right="520"/>
              <w:spacing w:after="0"/>
              <w:rPr>
                <w:sz w:val="20"/>
                <w:szCs w:val="20"/>
                <w:color w:val="auto"/>
              </w:rPr>
            </w:pPr>
            <w:r>
              <w:rPr>
                <w:rFonts w:ascii="Arial" w:cs="Arial" w:eastAsia="Arial" w:hAnsi="Arial"/>
                <w:sz w:val="8"/>
                <w:szCs w:val="8"/>
                <w:b w:val="1"/>
                <w:bCs w:val="1"/>
                <w:color w:val="auto"/>
                <w:w w:val="73"/>
              </w:rPr>
              <w:t>:</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owned executive recruiting firm. Prior to joining Spencer</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0"/>
        </w:trPr>
        <w:tc>
          <w:tcPr>
            <w:tcW w:w="480" w:type="dxa"/>
            <w:vAlign w:val="bottom"/>
            <w:tcBorders>
              <w:left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41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w w:val="99"/>
              </w:rPr>
              <w:t>Stuart, Mr. Burk served as managing partner of Deloitte &amp;</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6"/>
                <w:szCs w:val="16"/>
                <w:color w:val="auto"/>
                <w:w w:val="97"/>
              </w:rPr>
              <w:t>Audit (chair)</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Touche’s global oil and natural gas group from 2002 to 2005.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He began his professional career in 1972 with Arthur</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Andersen and served as managing partner of Arthur</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Andersen’s global oil and natural gas group from 1989 until</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8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2002. Mr. Burk served on the board of directors and audit</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committee of EV Management, LLC, the ultimate general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5"/>
        </w:trPr>
        <w:tc>
          <w:tcPr>
            <w:tcW w:w="48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4"/>
              </w:rPr>
              <w:t>partner of EV Energy Partners, L.P., a publicly traded limited</w:t>
            </w:r>
          </w:p>
        </w:tc>
        <w:tc>
          <w:tcPr>
            <w:tcW w:w="200" w:type="dxa"/>
            <w:vAlign w:val="bottom"/>
            <w:gridSpan w:val="2"/>
            <w:vMerge w:val="continue"/>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480" w:type="dxa"/>
            <w:vAlign w:val="bottom"/>
            <w:tcBorders>
              <w:lef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partnership engaged in the acquisition, development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production of oil and natural gas, from September 2006 until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June 2018. Mr. Burk served as a director and as chairman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the audit committee of PNGS GP LLC, the general partner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PAA Natural Gas Storage, L.P., from April 2010 through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December 2013. Mr. Burk also serves as a board member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Sam Houston Area Council of the Boy Scouts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America. He received a BBA in Accounting from Stephen 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Austin State University, graduating with highest honors.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Board has determined that Mr. Burk is “independent”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applicable NYSE rules and qualifies as an “Audit Committee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Financial Expert.” We believe that Mr. Burk’s background,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spanning over 30 years of extensive public accounting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consulting experience in the energy industry, coupled with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his demonstrated leadership abilities, bring valuable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experience and insight to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9"/>
              </w:rPr>
              <w:t>GARY R. PETERSEN</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4"/>
              </w:rPr>
              <w:t xml:space="preserve">Gary R. Petersen, age 73, </w:t>
            </w:r>
            <w:r>
              <w:rPr>
                <w:rFonts w:ascii="Arial" w:cs="Arial" w:eastAsia="Arial" w:hAnsi="Arial"/>
                <w:sz w:val="16"/>
                <w:szCs w:val="16"/>
                <w:color w:val="auto"/>
                <w:w w:val="94"/>
              </w:rPr>
              <w:t>has served as a director of PAGP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5"/>
              </w:rPr>
              <w:t>GP since November 2016. He served as a director of PAA’s</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general partner from June 2001 until November 2016.</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7"/>
              </w:rPr>
              <w:t>Mr. Petersen is a Managing Partner of EnCap Investments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gridSpan w:val="3"/>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500"/>
              <w:spacing w:after="0" w:line="175" w:lineRule="exact"/>
              <w:rPr>
                <w:sz w:val="20"/>
                <w:szCs w:val="20"/>
                <w:color w:val="auto"/>
              </w:rPr>
            </w:pPr>
            <w:r>
              <w:rPr>
                <w:rFonts w:ascii="Arial" w:cs="Arial" w:eastAsia="Arial" w:hAnsi="Arial"/>
                <w:sz w:val="16"/>
                <w:szCs w:val="16"/>
                <w:b w:val="1"/>
                <w:bCs w:val="1"/>
                <w:i w:val="1"/>
                <w:iCs w:val="1"/>
                <w:color w:val="auto"/>
                <w:w w:val="86"/>
              </w:rPr>
              <w:t>since 2001</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L.P., an investment management firm which he co-founded</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480" w:type="dxa"/>
            <w:vAlign w:val="bottom"/>
            <w:tcBorders>
              <w:left w:val="single" w:sz="8" w:color="auto"/>
            </w:tcBorders>
          </w:tcPr>
          <w:p>
            <w:pPr>
              <w:spacing w:after="0"/>
              <w:rPr>
                <w:sz w:val="13"/>
                <w:szCs w:val="13"/>
                <w:color w:val="auto"/>
              </w:rPr>
            </w:pPr>
          </w:p>
        </w:tc>
        <w:tc>
          <w:tcPr>
            <w:tcW w:w="840" w:type="dxa"/>
            <w:vAlign w:val="bottom"/>
            <w:vMerge w:val="restart"/>
          </w:tcPr>
          <w:p>
            <w:pPr>
              <w:spacing w:after="0"/>
              <w:rPr>
                <w:sz w:val="20"/>
                <w:szCs w:val="20"/>
                <w:color w:val="auto"/>
              </w:rPr>
            </w:pPr>
            <w:r>
              <w:rPr>
                <w:rFonts w:ascii="Arial" w:cs="Arial" w:eastAsia="Arial" w:hAnsi="Arial"/>
                <w:sz w:val="16"/>
                <w:szCs w:val="16"/>
                <w:b w:val="1"/>
                <w:bCs w:val="1"/>
                <w:color w:val="auto"/>
                <w:w w:val="89"/>
              </w:rPr>
              <w:t>Committees</w:t>
            </w:r>
          </w:p>
        </w:tc>
        <w:tc>
          <w:tcPr>
            <w:tcW w:w="600" w:type="dxa"/>
            <w:vAlign w:val="bottom"/>
            <w:tcBorders>
              <w:right w:val="single" w:sz="8" w:color="auto"/>
            </w:tcBorders>
            <w:vMerge w:val="restart"/>
          </w:tcPr>
          <w:p>
            <w:pPr>
              <w:jc w:val="right"/>
              <w:ind w:right="520"/>
              <w:spacing w:after="0"/>
              <w:rPr>
                <w:sz w:val="20"/>
                <w:szCs w:val="20"/>
                <w:color w:val="auto"/>
              </w:rPr>
            </w:pPr>
            <w:r>
              <w:rPr>
                <w:rFonts w:ascii="Arial" w:cs="Arial" w:eastAsia="Arial" w:hAnsi="Arial"/>
                <w:sz w:val="8"/>
                <w:szCs w:val="8"/>
                <w:b w:val="1"/>
                <w:bCs w:val="1"/>
                <w:color w:val="auto"/>
                <w:w w:val="73"/>
              </w:rPr>
              <w:t>:</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w w:val="94"/>
              </w:rPr>
              <w:t>in 1988. He also served as a director of EV Energy Partners,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0"/>
        </w:trPr>
        <w:tc>
          <w:tcPr>
            <w:tcW w:w="480" w:type="dxa"/>
            <w:vAlign w:val="bottom"/>
            <w:tcBorders>
              <w:left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41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L.P. from September 2006 until June 2018. He had</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920" w:type="dxa"/>
            <w:vAlign w:val="bottom"/>
            <w:tcBorders>
              <w:left w:val="single" w:sz="8" w:color="auto"/>
              <w:right w:val="single" w:sz="8" w:color="auto"/>
            </w:tcBorders>
            <w:gridSpan w:val="3"/>
          </w:tcPr>
          <w:p>
            <w:pPr>
              <w:jc w:val="center"/>
              <w:ind w:right="60"/>
              <w:spacing w:after="0" w:line="169" w:lineRule="exact"/>
              <w:rPr>
                <w:sz w:val="20"/>
                <w:szCs w:val="20"/>
                <w:color w:val="auto"/>
              </w:rPr>
            </w:pPr>
            <w:r>
              <w:rPr>
                <w:rFonts w:ascii="Arial" w:cs="Arial" w:eastAsia="Arial" w:hAnsi="Arial"/>
                <w:sz w:val="16"/>
                <w:szCs w:val="16"/>
                <w:color w:val="auto"/>
                <w:w w:val="91"/>
              </w:rPr>
              <w:t>Compensation</w:t>
            </w:r>
          </w:p>
        </w:tc>
        <w:tc>
          <w:tcPr>
            <w:tcW w:w="4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w w:val="96"/>
              </w:rPr>
              <w:t>previously served as Senior Vice President and Manager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right w:val="single" w:sz="8" w:color="auto"/>
            </w:tcBorders>
            <w:gridSpan w:val="2"/>
          </w:tcPr>
          <w:p>
            <w:pPr>
              <w:ind w:left="40"/>
              <w:spacing w:after="0" w:line="169"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93"/>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6"/>
                <w:szCs w:val="16"/>
                <w:color w:val="auto"/>
                <w:w w:val="89"/>
              </w:rPr>
              <w:t>Governance</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Corporate Finance Division of the Energy Banking</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6"/>
              </w:rPr>
              <w:t>Group for RepublicBank Corporation. Prior to his position at</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RepublicBank, he was Executive Vice President and a</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8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Board of Directors of Nicklos Oil &amp; Gas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Company from 1979 to 1984. He served from 1970 to 1971</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25"/>
        </w:trPr>
        <w:tc>
          <w:tcPr>
            <w:tcW w:w="48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in the U.S. Army as a First Lieutenant in the Finance Corps</w:t>
            </w:r>
          </w:p>
        </w:tc>
        <w:tc>
          <w:tcPr>
            <w:tcW w:w="200" w:type="dxa"/>
            <w:vAlign w:val="bottom"/>
            <w:gridSpan w:val="2"/>
            <w:vMerge w:val="continue"/>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480" w:type="dxa"/>
            <w:vAlign w:val="bottom"/>
            <w:tcBorders>
              <w:lef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and as an Army Officer in the Army Security Agency. He is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 member of the Independent Petroleum Association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America, the Houston Producers Forum and the Petroleum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Club of Houston. Mr. Petersen holds BBA and MBA degrees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finance from Texas Tech University. The Board has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Mr. Petersen is “independent”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applicable NYSE rules. Mr. Petersen has been involved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energy sector for a period of more than 35 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garnering extensive knowledge of the energy sectors’ various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cycles, as well as the current market and industry knowledge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that comes with management of approximately $18 billion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energy-related investments. In tandem with the leadership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qualities evidenced by his executive background, we believe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that Mr. Petersen brings numerous valuable attributes to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5212080" cy="3986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398653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ROBERT V. SINNOTT</w:t>
      </w:r>
    </w:p>
    <w:p>
      <w:pPr>
        <w:spacing w:after="0" w:line="100"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auto"/>
        </w:rPr>
        <w:t>Designated Director —</w:t>
      </w:r>
    </w:p>
    <w:p>
      <w:pPr>
        <w:spacing w:after="0" w:line="13"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color w:val="auto"/>
        </w:rPr>
        <w:t>Independence Not</w:t>
      </w:r>
    </w:p>
    <w:p>
      <w:pPr>
        <w:jc w:val="center"/>
        <w:ind w:left="1380"/>
        <w:spacing w:after="0"/>
        <w:rPr>
          <w:sz w:val="20"/>
          <w:szCs w:val="20"/>
          <w:color w:val="auto"/>
        </w:rPr>
      </w:pPr>
      <w:r>
        <w:rPr>
          <w:rFonts w:ascii="Arial" w:cs="Arial" w:eastAsia="Arial" w:hAnsi="Arial"/>
          <w:sz w:val="16"/>
          <w:szCs w:val="16"/>
          <w:b w:val="1"/>
          <w:bCs w:val="1"/>
          <w:color w:val="auto"/>
        </w:rPr>
        <w:t>Assessed</w:t>
      </w:r>
    </w:p>
    <w:p>
      <w:pPr>
        <w:spacing w:after="0" w:line="86"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i w:val="1"/>
          <w:iCs w:val="1"/>
          <w:color w:val="auto"/>
        </w:rPr>
        <w:t>PAGP/PAA Director</w:t>
      </w:r>
    </w:p>
    <w:p>
      <w:pPr>
        <w:spacing w:after="0" w:line="6"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i w:val="1"/>
          <w:iCs w:val="1"/>
          <w:color w:val="auto"/>
        </w:rPr>
        <w:t>since 1998</w:t>
      </w:r>
    </w:p>
    <w:p>
      <w:pPr>
        <w:spacing w:after="0" w:line="82"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w:t>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4" w:lineRule="auto"/>
        <w:rPr>
          <w:sz w:val="20"/>
          <w:szCs w:val="20"/>
          <w:color w:val="auto"/>
        </w:rPr>
      </w:pPr>
      <w:r>
        <w:rPr>
          <w:rFonts w:ascii="Arial" w:cs="Arial" w:eastAsia="Arial" w:hAnsi="Arial"/>
          <w:sz w:val="14"/>
          <w:szCs w:val="14"/>
          <w:i w:val="1"/>
          <w:iCs w:val="1"/>
          <w:color w:val="auto"/>
        </w:rPr>
        <w:t xml:space="preserve">Robert V. Sinnott, age 70, </w:t>
      </w:r>
      <w:r>
        <w:rPr>
          <w:rFonts w:ascii="Arial" w:cs="Arial" w:eastAsia="Arial" w:hAnsi="Arial"/>
          <w:sz w:val="14"/>
          <w:szCs w:val="14"/>
          <w:color w:val="auto"/>
        </w:rPr>
        <w:t>has served as a director of PAGP</w:t>
      </w:r>
      <w:r>
        <w:rPr>
          <w:rFonts w:ascii="Arial" w:cs="Arial" w:eastAsia="Arial" w:hAnsi="Arial"/>
          <w:sz w:val="14"/>
          <w:szCs w:val="14"/>
          <w:i w:val="1"/>
          <w:iCs w:val="1"/>
          <w:color w:val="auto"/>
        </w:rPr>
        <w:t xml:space="preserve"> </w:t>
      </w:r>
      <w:r>
        <w:rPr>
          <w:rFonts w:ascii="Arial" w:cs="Arial" w:eastAsia="Arial" w:hAnsi="Arial"/>
          <w:sz w:val="14"/>
          <w:szCs w:val="14"/>
          <w:color w:val="auto"/>
        </w:rPr>
        <w:t>GP since October 2013. He served as a director of PAA’s general partner or former general partner from September 1998 until November 2016. Mr. Sinnott is Co-Chairman of Kayne Anderson Capital Advisors, L.P. (an investment management firm). He also served as a Managing Director from 1992 to 1996, Senior Managing Director from 1996 until 2010 and Chief Executive Officer and Chief Investment Officer from 2010 until 2016. He served as President of Kayne Anderson Investment Management, Inc., the general partner of Kayne Anderson Capital Advisors, L.P., until July 2019.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Mr. Sinnott serves as vice-chairman of the board of directors of Kayne Anderson Acquisition Corp., a blank check company that intends to acquire and operate a business in the energy industry. He also serves as a director of California Resources Corporation. Mr. Sinnott received a BA from the University of Virginia and an MBA from Harvard.</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Mr. Sinnott’s extensive investment management background includes his current role of overseeing approximately</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color w:val="auto"/>
        </w:rPr>
        <w:t>$15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Board Qualifications</w:t>
      </w:r>
      <w:r>
        <w:rPr>
          <w:rFonts w:ascii="Arial" w:cs="Arial" w:eastAsia="Arial" w:hAnsi="Arial"/>
          <w:sz w:val="16"/>
          <w:szCs w:val="16"/>
          <w:color w:val="auto"/>
        </w:rPr>
        <w:t>:</w:t>
      </w:r>
    </w:p>
    <w:p>
      <w:pPr>
        <w:spacing w:after="0" w:line="100" w:lineRule="exact"/>
        <w:rPr>
          <w:sz w:val="20"/>
          <w:szCs w:val="20"/>
          <w:color w:val="auto"/>
        </w:rPr>
      </w:pPr>
    </w:p>
    <w:p>
      <w:pPr>
        <w:ind w:left="160" w:right="1439" w:hanging="155"/>
        <w:spacing w:after="0" w:line="291" w:lineRule="auto"/>
        <w:tabs>
          <w:tab w:leader="none" w:pos="1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Public Company Experience</w:t>
      </w:r>
    </w:p>
    <w:p>
      <w:pPr>
        <w:spacing w:after="0" w:line="40" w:lineRule="exact"/>
        <w:rPr>
          <w:rFonts w:ascii="Arial" w:cs="Arial" w:eastAsia="Arial" w:hAnsi="Arial"/>
          <w:sz w:val="15"/>
          <w:szCs w:val="15"/>
          <w:color w:val="auto"/>
        </w:rPr>
      </w:pPr>
    </w:p>
    <w:p>
      <w:pPr>
        <w:ind w:left="160" w:hanging="155"/>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86" w:lineRule="exact"/>
        <w:rPr>
          <w:rFonts w:ascii="Arial" w:cs="Arial" w:eastAsia="Arial" w:hAnsi="Arial"/>
          <w:sz w:val="16"/>
          <w:szCs w:val="16"/>
          <w:color w:val="auto"/>
        </w:rPr>
      </w:pPr>
    </w:p>
    <w:p>
      <w:pPr>
        <w:ind w:left="160" w:right="999" w:hanging="155"/>
        <w:spacing w:after="0" w:line="329" w:lineRule="auto"/>
        <w:tabs>
          <w:tab w:leader="none" w:pos="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Business Development/ Strategy/Commercial</w:t>
      </w:r>
    </w:p>
    <w:p>
      <w:pPr>
        <w:spacing w:after="0" w:line="17" w:lineRule="exact"/>
        <w:rPr>
          <w:rFonts w:ascii="Arial" w:cs="Arial" w:eastAsia="Arial" w:hAnsi="Arial"/>
          <w:sz w:val="14"/>
          <w:szCs w:val="14"/>
          <w:color w:val="auto"/>
        </w:rPr>
      </w:pPr>
    </w:p>
    <w:p>
      <w:pPr>
        <w:ind w:left="160" w:right="1079" w:hanging="155"/>
        <w:spacing w:after="0" w:line="329" w:lineRule="auto"/>
        <w:tabs>
          <w:tab w:leader="none" w:pos="1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Legal/Governance/ Government Relations</w:t>
      </w:r>
    </w:p>
    <w:p>
      <w:pPr>
        <w:spacing w:after="0" w:line="17" w:lineRule="exact"/>
        <w:rPr>
          <w:rFonts w:ascii="Arial" w:cs="Arial" w:eastAsia="Arial" w:hAnsi="Arial"/>
          <w:sz w:val="14"/>
          <w:szCs w:val="14"/>
          <w:color w:val="auto"/>
        </w:rPr>
      </w:pPr>
    </w:p>
    <w:p>
      <w:pPr>
        <w:ind w:left="160" w:hanging="155"/>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3986" w:lineRule="exact"/>
        <w:rPr>
          <w:sz w:val="20"/>
          <w:szCs w:val="20"/>
          <w:color w:val="auto"/>
        </w:rPr>
      </w:pPr>
    </w:p>
    <w:p>
      <w:pPr>
        <w:sectPr>
          <w:pgSz w:w="11900" w:h="16838" w:orient="portrait"/>
          <w:cols w:equalWidth="0" w:num="3">
            <w:col w:w="3000" w:space="260"/>
            <w:col w:w="3980" w:space="200"/>
            <w:col w:w="269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499"/>
        <w:spacing w:after="0"/>
        <w:rPr>
          <w:sz w:val="20"/>
          <w:szCs w:val="20"/>
          <w:color w:val="auto"/>
        </w:rPr>
      </w:pPr>
      <w:r>
        <w:rPr>
          <w:rFonts w:ascii="Arial" w:cs="Arial" w:eastAsia="Arial" w:hAnsi="Arial"/>
          <w:sz w:val="18"/>
          <w:szCs w:val="18"/>
          <w:color w:val="auto"/>
        </w:rPr>
        <w:t>Class III Directors (terms expire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5212080" cy="4097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40976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66"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JOHN T. RAYMOND</w:t>
      </w:r>
    </w:p>
    <w:p>
      <w:pPr>
        <w:spacing w:after="0" w:line="100"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Independent</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5"/>
          <w:szCs w:val="15"/>
          <w:b w:val="1"/>
          <w:bCs w:val="1"/>
          <w:i w:val="1"/>
          <w:iCs w:val="1"/>
          <w:color w:val="auto"/>
        </w:rPr>
        <w:t>PAGP/PAA Director</w:t>
      </w:r>
    </w:p>
    <w:p>
      <w:pPr>
        <w:spacing w:after="0" w:line="17"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i w:val="1"/>
          <w:iCs w:val="1"/>
          <w:color w:val="auto"/>
        </w:rPr>
        <w:t>since 2010</w:t>
      </w:r>
    </w:p>
    <w:p>
      <w:pPr>
        <w:spacing w:after="0" w:line="82"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w:t>
      </w:r>
    </w:p>
    <w:p>
      <w:pPr>
        <w:spacing w:after="0" w:line="1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i w:val="1"/>
          <w:iCs w:val="1"/>
          <w:color w:val="auto"/>
        </w:rPr>
        <w:t xml:space="preserve">John T. Raymond, age 49, </w:t>
      </w:r>
      <w:r>
        <w:rPr>
          <w:rFonts w:ascii="Arial" w:cs="Arial" w:eastAsia="Arial" w:hAnsi="Arial"/>
          <w:sz w:val="14"/>
          <w:szCs w:val="14"/>
          <w:color w:val="auto"/>
        </w:rPr>
        <w:t>has served as a director of PAGP</w:t>
      </w:r>
      <w:r>
        <w:rPr>
          <w:rFonts w:ascii="Arial" w:cs="Arial" w:eastAsia="Arial" w:hAnsi="Arial"/>
          <w:sz w:val="14"/>
          <w:szCs w:val="14"/>
          <w:i w:val="1"/>
          <w:iCs w:val="1"/>
          <w:color w:val="auto"/>
        </w:rPr>
        <w:t xml:space="preserve"> </w:t>
      </w:r>
      <w:r>
        <w:rPr>
          <w:rFonts w:ascii="Arial" w:cs="Arial" w:eastAsia="Arial" w:hAnsi="Arial"/>
          <w:sz w:val="14"/>
          <w:szCs w:val="14"/>
          <w:color w:val="auto"/>
        </w:rPr>
        <w:t>GP since October 2013. He served as a director of PAA’s general partner from December 2010 until November 2016. Mr. Raymond is the founder and majority owner of The Energy &amp; Minerals Group (“EMG”), which is the management company for a series of specialized private equity funds. EMG was founded in 2006 and focuses on investing across various facets of the global natural resource industry including the upstream and midstream segments of the energy complex. As of November 15, 2019, EMG had approximately $13 billion of regulatory assets under management and approximately $12 billion in commitments have been allocated across the energy sector since inception. From 1998 until founding EMG, Mr. Raymond held various executive leadership positions with several energy companies, including Plains Resources Inc. (the publicly traded predecessor company to Vulcan Energy), Plains Exploration and Production Company, Kinder Morgan, Inc. and Ocean Energy, Inc. From 1992 to 1998, he was a Vice President with Howard Weil Labouisse Friedrichs, Inc.</w:t>
      </w:r>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Mr. Raymond has been a direct or indirect owner of PAA’s general partner since 2001 and served on the board of PAA’s general partner from 2001 to 2005. He serves on numerous other private company boards and currently serves on the board of NGL Energy Holdings LLC, the general partner of NGL Energy Partners, L.P. Mr. Raymond received a BSM degree from the A.B. Freeman School of Business at Tulane University with dual concentrations in finance and accounting and currently sits on the board of the Business School Council. He also serves as a director on the board of the American Heart Association and is a member of YPO. The Board has determined that Mr. Raymond is “independent” under applicable NYSE rules. We believe that Mr. Raymond’s experience with investment in and management of a variety of upstream and midstream assets and operations provides a valuable resource to the Board.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Board Qualifications</w:t>
      </w:r>
      <w:r>
        <w:rPr>
          <w:rFonts w:ascii="Arial" w:cs="Arial" w:eastAsia="Arial" w:hAnsi="Arial"/>
          <w:sz w:val="16"/>
          <w:szCs w:val="16"/>
          <w:color w:val="auto"/>
        </w:rPr>
        <w:t>:</w:t>
      </w:r>
    </w:p>
    <w:p>
      <w:pPr>
        <w:spacing w:after="0" w:line="100" w:lineRule="exact"/>
        <w:rPr>
          <w:sz w:val="20"/>
          <w:szCs w:val="20"/>
          <w:color w:val="auto"/>
        </w:rPr>
      </w:pPr>
    </w:p>
    <w:p>
      <w:pPr>
        <w:ind w:left="160" w:right="1439" w:hanging="155"/>
        <w:spacing w:after="0" w:line="291" w:lineRule="auto"/>
        <w:tabs>
          <w:tab w:leader="none" w:pos="1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Public Company Experience</w:t>
      </w:r>
    </w:p>
    <w:p>
      <w:pPr>
        <w:spacing w:after="0" w:line="40" w:lineRule="exact"/>
        <w:rPr>
          <w:rFonts w:ascii="Arial" w:cs="Arial" w:eastAsia="Arial" w:hAnsi="Arial"/>
          <w:sz w:val="15"/>
          <w:szCs w:val="15"/>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86" w:lineRule="exact"/>
        <w:rPr>
          <w:rFonts w:ascii="Arial" w:cs="Arial" w:eastAsia="Arial" w:hAnsi="Arial"/>
          <w:sz w:val="16"/>
          <w:szCs w:val="16"/>
          <w:color w:val="auto"/>
        </w:rPr>
      </w:pPr>
    </w:p>
    <w:p>
      <w:pPr>
        <w:ind w:left="160" w:right="999" w:hanging="155"/>
        <w:spacing w:after="0" w:line="329" w:lineRule="auto"/>
        <w:tabs>
          <w:tab w:leader="none" w:pos="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Business Development/ Strategy/Commercial</w:t>
      </w:r>
    </w:p>
    <w:p>
      <w:pPr>
        <w:spacing w:after="0" w:line="17" w:lineRule="exact"/>
        <w:rPr>
          <w:rFonts w:ascii="Arial" w:cs="Arial" w:eastAsia="Arial" w:hAnsi="Arial"/>
          <w:sz w:val="14"/>
          <w:szCs w:val="14"/>
          <w:color w:val="auto"/>
        </w:rPr>
      </w:pPr>
    </w:p>
    <w:p>
      <w:pPr>
        <w:ind w:left="160" w:right="1079" w:hanging="155"/>
        <w:spacing w:after="0" w:line="329" w:lineRule="auto"/>
        <w:tabs>
          <w:tab w:leader="none" w:pos="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Legal/Governance/ Government Relations</w:t>
      </w:r>
    </w:p>
    <w:p>
      <w:pPr>
        <w:spacing w:after="0" w:line="17" w:lineRule="exact"/>
        <w:rPr>
          <w:rFonts w:ascii="Arial" w:cs="Arial" w:eastAsia="Arial" w:hAnsi="Arial"/>
          <w:sz w:val="14"/>
          <w:szCs w:val="14"/>
          <w:color w:val="auto"/>
        </w:rPr>
      </w:pPr>
    </w:p>
    <w:p>
      <w:pPr>
        <w:ind w:left="160" w:right="939" w:hanging="155"/>
        <w:spacing w:after="0" w:line="329" w:lineRule="auto"/>
        <w:tabs>
          <w:tab w:leader="none" w:pos="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Operations/Engineering/ Construction</w:t>
      </w:r>
    </w:p>
    <w:p>
      <w:pPr>
        <w:spacing w:after="0" w:line="17" w:lineRule="exact"/>
        <w:rPr>
          <w:rFonts w:ascii="Arial" w:cs="Arial" w:eastAsia="Arial" w:hAnsi="Arial"/>
          <w:sz w:val="14"/>
          <w:szCs w:val="14"/>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3444" w:lineRule="exact"/>
        <w:rPr>
          <w:sz w:val="20"/>
          <w:szCs w:val="20"/>
          <w:color w:val="auto"/>
        </w:rPr>
      </w:pPr>
    </w:p>
    <w:p>
      <w:pPr>
        <w:sectPr>
          <w:pgSz w:w="11900" w:h="16838" w:orient="portrait"/>
          <w:cols w:equalWidth="0" w:num="3">
            <w:col w:w="2940" w:space="320"/>
            <w:col w:w="3960" w:space="220"/>
            <w:col w:w="269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460" w:type="dxa"/>
            <w:vAlign w:val="bottom"/>
            <w:tcBorders>
              <w:top w:val="single" w:sz="8" w:color="auto"/>
              <w:left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40" w:type="dxa"/>
            <w:vAlign w:val="bottom"/>
            <w:tcBorders>
              <w:top w:val="single" w:sz="8" w:color="auto"/>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w w:val="95"/>
              </w:rPr>
              <w:t>BOBBY S.</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Bobby S. Shackouls, age 69, </w:t>
            </w:r>
            <w:r>
              <w:rPr>
                <w:rFonts w:ascii="Arial" w:cs="Arial" w:eastAsia="Arial" w:hAnsi="Arial"/>
                <w:sz w:val="16"/>
                <w:szCs w:val="16"/>
                <w:color w:val="auto"/>
              </w:rPr>
              <w:t>has served as a director of</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gridSpan w:val="5"/>
          </w:tcPr>
          <w:p>
            <w:pPr>
              <w:jc w:val="center"/>
              <w:ind w:right="60"/>
              <w:spacing w:after="0" w:line="159" w:lineRule="exact"/>
              <w:rPr>
                <w:sz w:val="20"/>
                <w:szCs w:val="20"/>
                <w:color w:val="auto"/>
              </w:rPr>
            </w:pPr>
            <w:r>
              <w:rPr>
                <w:rFonts w:ascii="Arial" w:cs="Arial" w:eastAsia="Arial" w:hAnsi="Arial"/>
                <w:sz w:val="16"/>
                <w:szCs w:val="16"/>
                <w:b w:val="1"/>
                <w:bCs w:val="1"/>
                <w:color w:val="auto"/>
              </w:rPr>
              <w:t>SHACKOULS</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9"/>
              </w:rPr>
              <w:t>PAGP GP since January 2014 and as Lead Director since</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January 2020. Mr. Shackouls served as Chairman of</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gridSpan w:val="5"/>
            <w:vMerge w:val="restart"/>
          </w:tcPr>
          <w:p>
            <w:pPr>
              <w:jc w:val="center"/>
              <w:ind w:right="60"/>
              <w:spacing w:after="0" w:line="172" w:lineRule="exact"/>
              <w:rPr>
                <w:sz w:val="20"/>
                <w:szCs w:val="20"/>
                <w:color w:val="auto"/>
              </w:rPr>
            </w:pPr>
            <w:r>
              <w:rPr>
                <w:rFonts w:ascii="Arial" w:cs="Arial" w:eastAsia="Arial" w:hAnsi="Arial"/>
                <w:sz w:val="16"/>
                <w:szCs w:val="16"/>
                <w:b w:val="1"/>
                <w:bCs w:val="1"/>
                <w:i w:val="1"/>
                <w:iCs w:val="1"/>
                <w:color w:val="auto"/>
                <w:w w:val="91"/>
              </w:rPr>
              <w:t>Lead Director</w:t>
            </w: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line="172" w:lineRule="exact"/>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04"/>
        </w:trPr>
        <w:tc>
          <w:tcPr>
            <w:tcW w:w="1920" w:type="dxa"/>
            <w:vAlign w:val="bottom"/>
            <w:tcBorders>
              <w:left w:val="single" w:sz="8" w:color="auto"/>
              <w:right w:val="single" w:sz="8" w:color="auto"/>
            </w:tcBorders>
            <w:gridSpan w:val="5"/>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Burlington Resources Inc. from 1997 until its acquisition by</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60" w:type="dxa"/>
            <w:vAlign w:val="bottom"/>
            <w:tcBorders>
              <w:left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ConocoPhillips in 2006, and continued to serve on the</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gridSpan w:val="5"/>
            <w:vMerge w:val="restart"/>
          </w:tcPr>
          <w:p>
            <w:pPr>
              <w:jc w:val="center"/>
              <w:ind w:right="80"/>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ConocoPhillips Board of Directors until his retirement in</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gridSpan w:val="5"/>
            <w:vMerge w:val="continue"/>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w w:val="95"/>
              </w:rPr>
              <w:t>May 2011. Prior thereto, Mr. Shackouls served as President</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i w:val="1"/>
                <w:iCs w:val="1"/>
                <w:color w:val="auto"/>
                <w:w w:val="86"/>
              </w:rPr>
              <w:t>since 2010</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Chief Executive Officer of Meridian Oil, Inc., a wholly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right w:val="single" w:sz="8" w:color="auto"/>
            </w:tcBorders>
            <w:gridSpan w:val="3"/>
            <w:vMerge w:val="restart"/>
          </w:tcPr>
          <w:p>
            <w:pPr>
              <w:jc w:val="center"/>
              <w:ind w:right="560"/>
              <w:spacing w:after="0"/>
              <w:rPr>
                <w:sz w:val="20"/>
                <w:szCs w:val="20"/>
                <w:color w:val="auto"/>
              </w:rPr>
            </w:pPr>
            <w:r>
              <w:rPr>
                <w:rFonts w:ascii="Arial" w:cs="Arial" w:eastAsia="Arial" w:hAnsi="Arial"/>
                <w:sz w:val="16"/>
                <w:szCs w:val="16"/>
                <w:b w:val="1"/>
                <w:bCs w:val="1"/>
                <w:color w:val="auto"/>
                <w:w w:val="90"/>
              </w:rPr>
              <w:t>Committees:</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owned subsidiary of Burlington Resources, from 1994-1995,</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77"/>
        </w:trPr>
        <w:tc>
          <w:tcPr>
            <w:tcW w:w="460" w:type="dxa"/>
            <w:vAlign w:val="bottom"/>
            <w:tcBorders>
              <w:lef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tcBorders>
              <w:right w:val="single" w:sz="8" w:color="auto"/>
            </w:tcBorders>
            <w:gridSpan w:val="3"/>
            <w:vMerge w:val="continue"/>
          </w:tcPr>
          <w:p>
            <w:pPr>
              <w:spacing w:after="0"/>
              <w:rPr>
                <w:sz w:val="6"/>
                <w:szCs w:val="6"/>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8"/>
              </w:rPr>
              <w:t>and as President and Chief Executive Officer of Burlington</w:t>
            </w:r>
          </w:p>
        </w:tc>
        <w:tc>
          <w:tcPr>
            <w:tcW w:w="200" w:type="dxa"/>
            <w:vAlign w:val="bottom"/>
            <w:gridSpan w:val="2"/>
            <w:vMerge w:val="continue"/>
          </w:tcPr>
          <w:p>
            <w:pPr>
              <w:spacing w:after="0"/>
              <w:rPr>
                <w:sz w:val="6"/>
                <w:szCs w:val="6"/>
                <w:color w:val="auto"/>
              </w:rPr>
            </w:pPr>
          </w:p>
        </w:tc>
        <w:tc>
          <w:tcPr>
            <w:tcW w:w="19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1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line="20" w:lineRule="exact"/>
              <w:rPr>
                <w:sz w:val="1"/>
                <w:szCs w:val="1"/>
                <w:color w:val="auto"/>
              </w:rPr>
            </w:pPr>
          </w:p>
        </w:tc>
      </w:tr>
      <w:tr>
        <w:trPr>
          <w:trHeight w:val="78"/>
        </w:trPr>
        <w:tc>
          <w:tcPr>
            <w:tcW w:w="1920" w:type="dxa"/>
            <w:vAlign w:val="bottom"/>
            <w:tcBorders>
              <w:left w:val="single" w:sz="8" w:color="auto"/>
              <w:right w:val="single" w:sz="8" w:color="auto"/>
            </w:tcBorders>
            <w:gridSpan w:val="5"/>
            <w:vMerge w:val="restart"/>
          </w:tcPr>
          <w:p>
            <w:pPr>
              <w:jc w:val="center"/>
              <w:ind w:right="60"/>
              <w:spacing w:after="0"/>
              <w:rPr>
                <w:sz w:val="20"/>
                <w:szCs w:val="20"/>
                <w:color w:val="auto"/>
              </w:rPr>
            </w:pPr>
            <w:r>
              <w:rPr>
                <w:rFonts w:ascii="Arial" w:cs="Arial" w:eastAsia="Arial" w:hAnsi="Arial"/>
                <w:sz w:val="16"/>
                <w:szCs w:val="16"/>
                <w:color w:val="auto"/>
                <w:w w:val="91"/>
              </w:rPr>
              <w:t>Governance (chair)</w:t>
            </w: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20" w:type="dxa"/>
            <w:vAlign w:val="bottom"/>
            <w:tcBorders>
              <w:left w:val="single" w:sz="8" w:color="auto"/>
              <w:right w:val="single" w:sz="8" w:color="auto"/>
            </w:tcBorders>
            <w:gridSpan w:val="5"/>
            <w:vMerge w:val="continue"/>
          </w:tcPr>
          <w:p>
            <w:pPr>
              <w:spacing w:after="0"/>
              <w:rPr>
                <w:sz w:val="10"/>
                <w:szCs w:val="10"/>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Resources from 1995 until 2006. Mr. Shackouls currently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serves as a director and member of the audit and corporate</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governance committees of The Kroger Co., as a director,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chairman of the compensation committee and member of the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46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6"/>
              </w:rPr>
              <w:t>nominating and governance committee of Oasis Petroleum,</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6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46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 a director and member of the audit committee of</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6"/>
        </w:trPr>
        <w:tc>
          <w:tcPr>
            <w:tcW w:w="46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Quintana Energy Services. He served as a director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audit committee of PNGS GP LLC,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general partner of PAA Natural Gas Storage, L.P.,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April 2010 through December 2013. The Board has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Mr. Shackouls is “independent”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applicable NYSE rules. We believe that Mr. Shackouls’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extensive experience within the energy industry offers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valuable perspective and, in tandem with his long history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leadership as the CEO of a public company, make him highly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60" w:type="dxa"/>
            <w:vAlign w:val="bottom"/>
            <w:tcBorders>
              <w:left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qualified to serve as a member of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5212080" cy="5212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521208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480"/>
        <w:spacing w:after="0"/>
        <w:rPr>
          <w:sz w:val="20"/>
          <w:szCs w:val="20"/>
          <w:color w:val="auto"/>
        </w:rPr>
      </w:pPr>
      <w:r>
        <w:rPr>
          <w:rFonts w:ascii="Arial" w:cs="Arial" w:eastAsia="Arial" w:hAnsi="Arial"/>
          <w:sz w:val="16"/>
          <w:szCs w:val="16"/>
          <w:b w:val="1"/>
          <w:bCs w:val="1"/>
          <w:color w:val="auto"/>
        </w:rPr>
        <w:t>CHRISTOPHER M.</w:t>
      </w:r>
    </w:p>
    <w:p>
      <w:pPr>
        <w:spacing w:after="0" w:line="10" w:lineRule="exact"/>
        <w:rPr>
          <w:sz w:val="20"/>
          <w:szCs w:val="20"/>
          <w:color w:val="auto"/>
        </w:rPr>
      </w:pPr>
    </w:p>
    <w:p>
      <w:pPr>
        <w:jc w:val="center"/>
        <w:ind w:left="1480"/>
        <w:spacing w:after="0"/>
        <w:rPr>
          <w:sz w:val="20"/>
          <w:szCs w:val="20"/>
          <w:color w:val="auto"/>
        </w:rPr>
      </w:pPr>
      <w:r>
        <w:rPr>
          <w:rFonts w:ascii="Arial" w:cs="Arial" w:eastAsia="Arial" w:hAnsi="Arial"/>
          <w:sz w:val="16"/>
          <w:szCs w:val="16"/>
          <w:b w:val="1"/>
          <w:bCs w:val="1"/>
          <w:color w:val="auto"/>
        </w:rPr>
        <w:t>TEMPLE</w:t>
      </w:r>
    </w:p>
    <w:p>
      <w:pPr>
        <w:spacing w:after="0" w:line="82"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Independent</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4"/>
          <w:szCs w:val="14"/>
          <w:b w:val="1"/>
          <w:bCs w:val="1"/>
          <w:i w:val="1"/>
          <w:iCs w:val="1"/>
          <w:color w:val="auto"/>
        </w:rPr>
        <w:t>PAGP/PAA Director</w:t>
      </w:r>
    </w:p>
    <w:p>
      <w:pPr>
        <w:spacing w:after="0" w:line="29" w:lineRule="exact"/>
        <w:rPr>
          <w:sz w:val="20"/>
          <w:szCs w:val="20"/>
          <w:color w:val="auto"/>
        </w:rPr>
      </w:pPr>
    </w:p>
    <w:p>
      <w:pPr>
        <w:ind w:left="1840"/>
        <w:spacing w:after="0"/>
        <w:rPr>
          <w:sz w:val="20"/>
          <w:szCs w:val="20"/>
          <w:color w:val="auto"/>
        </w:rPr>
      </w:pPr>
      <w:r>
        <w:rPr>
          <w:rFonts w:ascii="Arial" w:cs="Arial" w:eastAsia="Arial" w:hAnsi="Arial"/>
          <w:sz w:val="16"/>
          <w:szCs w:val="16"/>
          <w:b w:val="1"/>
          <w:bCs w:val="1"/>
          <w:i w:val="1"/>
          <w:iCs w:val="1"/>
          <w:color w:val="auto"/>
        </w:rPr>
        <w:t>since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45" w:lineRule="auto"/>
        <w:rPr>
          <w:sz w:val="20"/>
          <w:szCs w:val="20"/>
          <w:color w:val="auto"/>
        </w:rPr>
      </w:pPr>
      <w:r>
        <w:rPr>
          <w:rFonts w:ascii="Arial" w:cs="Arial" w:eastAsia="Arial" w:hAnsi="Arial"/>
          <w:sz w:val="15"/>
          <w:szCs w:val="15"/>
          <w:i w:val="1"/>
          <w:iCs w:val="1"/>
          <w:color w:val="auto"/>
        </w:rPr>
        <w:t xml:space="preserve">Christopher M. Temple, age 52, </w:t>
      </w:r>
      <w:r>
        <w:rPr>
          <w:rFonts w:ascii="Arial" w:cs="Arial" w:eastAsia="Arial" w:hAnsi="Arial"/>
          <w:sz w:val="15"/>
          <w:szCs w:val="15"/>
          <w:color w:val="auto"/>
        </w:rPr>
        <w:t>has served as a director of</w:t>
      </w:r>
      <w:r>
        <w:rPr>
          <w:rFonts w:ascii="Arial" w:cs="Arial" w:eastAsia="Arial" w:hAnsi="Arial"/>
          <w:sz w:val="15"/>
          <w:szCs w:val="15"/>
          <w:i w:val="1"/>
          <w:iCs w:val="1"/>
          <w:color w:val="auto"/>
        </w:rPr>
        <w:t xml:space="preserve"> </w:t>
      </w:r>
      <w:r>
        <w:rPr>
          <w:rFonts w:ascii="Arial" w:cs="Arial" w:eastAsia="Arial" w:hAnsi="Arial"/>
          <w:sz w:val="15"/>
          <w:szCs w:val="15"/>
          <w:color w:val="auto"/>
        </w:rPr>
        <w:t>PAGP GP since November 2016. He served as a director of PAA’s general partner from May 2009 until November 2016. He is President of DelTex Capital LLC (a private investment firm) and serves as an Operating Executive/Consultant to Tailwind Capital. He served as Chairman of Brawler Industries, LLC, a Midland, Texas based distributor of engineered plastics used in the exploration and production of oil and gas, from September 2012 to July 2016. As part of his role as an Operating Executive with Tailwind Capital, Mr. Temple serves on the board of HMT Tank, LLC, a provider of above-ground storage tank products and services, as well as the board of Loenbro, Inc., an industrial services and construction contractor. He also serves on the board and is chairman of the audit committee of Owl Rock Capital Corporation, Owl Rock Capital Corporation II and Owl Rock Technology Finance Corporation, each of which are Business Development Companies providing debt and equity financing to middle-market companies across a variety of industries. Mr. Temple served as the President of Vulcan Capital, the private investment group of Vulcan Inc., from May 2009 until December 2009 and as Vice President of Vulcan Capital from September 2008 to May 2009.</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4"/>
          <w:szCs w:val="14"/>
          <w:color w:val="auto"/>
        </w:rPr>
        <w:t>Mr. Temple served on the board of directors and audit committee of Clear Channel Outdoor Holdings from</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April 2011 through May 2017.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Board Qualifications</w:t>
      </w:r>
      <w:r>
        <w:rPr>
          <w:rFonts w:ascii="Arial" w:cs="Arial" w:eastAsia="Arial" w:hAnsi="Arial"/>
          <w:sz w:val="16"/>
          <w:szCs w:val="16"/>
          <w:color w:val="auto"/>
        </w:rPr>
        <w:t>:</w:t>
      </w:r>
    </w:p>
    <w:p>
      <w:pPr>
        <w:spacing w:after="0" w:line="100" w:lineRule="exact"/>
        <w:rPr>
          <w:sz w:val="20"/>
          <w:szCs w:val="20"/>
          <w:color w:val="auto"/>
        </w:rPr>
      </w:pPr>
    </w:p>
    <w:p>
      <w:pPr>
        <w:ind w:left="160" w:right="1439" w:hanging="155"/>
        <w:spacing w:after="0" w:line="291" w:lineRule="auto"/>
        <w:tabs>
          <w:tab w:leader="none" w:pos="1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Public Company Experience</w:t>
      </w:r>
    </w:p>
    <w:p>
      <w:pPr>
        <w:spacing w:after="0" w:line="40" w:lineRule="exact"/>
        <w:rPr>
          <w:rFonts w:ascii="Arial" w:cs="Arial" w:eastAsia="Arial" w:hAnsi="Arial"/>
          <w:sz w:val="15"/>
          <w:szCs w:val="15"/>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86" w:lineRule="exact"/>
        <w:rPr>
          <w:rFonts w:ascii="Arial" w:cs="Arial" w:eastAsia="Arial" w:hAnsi="Arial"/>
          <w:sz w:val="16"/>
          <w:szCs w:val="16"/>
          <w:color w:val="auto"/>
        </w:rPr>
      </w:pPr>
    </w:p>
    <w:p>
      <w:pPr>
        <w:ind w:left="160" w:right="999" w:hanging="155"/>
        <w:spacing w:after="0" w:line="32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Business Development/ Strategy/Commercial</w:t>
      </w:r>
    </w:p>
    <w:p>
      <w:pPr>
        <w:spacing w:after="0" w:line="17" w:lineRule="exact"/>
        <w:rPr>
          <w:rFonts w:ascii="Arial" w:cs="Arial" w:eastAsia="Arial" w:hAnsi="Arial"/>
          <w:sz w:val="14"/>
          <w:szCs w:val="14"/>
          <w:color w:val="auto"/>
        </w:rPr>
      </w:pPr>
    </w:p>
    <w:p>
      <w:pPr>
        <w:ind w:left="160" w:right="1079" w:hanging="155"/>
        <w:spacing w:after="0" w:line="32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Legal/Governance/ Government Relations</w:t>
      </w:r>
    </w:p>
    <w:p>
      <w:pPr>
        <w:spacing w:after="0" w:line="17" w:lineRule="exact"/>
        <w:rPr>
          <w:rFonts w:ascii="Arial" w:cs="Arial" w:eastAsia="Arial" w:hAnsi="Arial"/>
          <w:sz w:val="14"/>
          <w:szCs w:val="14"/>
          <w:color w:val="auto"/>
        </w:rPr>
      </w:pPr>
    </w:p>
    <w:p>
      <w:pPr>
        <w:ind w:left="160" w:right="939" w:hanging="155"/>
        <w:spacing w:after="0" w:line="32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Operations/Engineering/ Construction</w:t>
      </w:r>
    </w:p>
    <w:p>
      <w:pPr>
        <w:spacing w:after="0" w:line="17" w:lineRule="exact"/>
        <w:rPr>
          <w:rFonts w:ascii="Arial" w:cs="Arial" w:eastAsia="Arial" w:hAnsi="Arial"/>
          <w:sz w:val="14"/>
          <w:szCs w:val="14"/>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Cybersecurity/IT</w:t>
      </w:r>
    </w:p>
    <w:p>
      <w:pPr>
        <w:spacing w:after="0" w:line="5185" w:lineRule="exact"/>
        <w:rPr>
          <w:sz w:val="20"/>
          <w:szCs w:val="20"/>
          <w:color w:val="auto"/>
        </w:rPr>
      </w:pPr>
    </w:p>
    <w:p>
      <w:pPr>
        <w:sectPr>
          <w:pgSz w:w="11900" w:h="16838" w:orient="portrait"/>
          <w:cols w:equalWidth="0" w:num="3">
            <w:col w:w="2900" w:space="360"/>
            <w:col w:w="3980" w:space="200"/>
            <w:col w:w="269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Directors (not part of a Class):</w:t>
      </w:r>
    </w:p>
    <w:p>
      <w:pPr>
        <w:spacing w:after="0" w:line="84"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GREG L.</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3"/>
              </w:rPr>
              <w:t xml:space="preserve">Greg L. Armstrong, age 61, </w:t>
            </w:r>
            <w:r>
              <w:rPr>
                <w:rFonts w:ascii="Arial" w:cs="Arial" w:eastAsia="Arial" w:hAnsi="Arial"/>
                <w:sz w:val="16"/>
                <w:szCs w:val="16"/>
                <w:color w:val="auto"/>
                <w:w w:val="93"/>
              </w:rPr>
              <w:t>has served as a director of PAGP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b w:val="1"/>
                <w:bCs w:val="1"/>
                <w:color w:val="auto"/>
              </w:rPr>
              <w:t>ARMSTRONG</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5"/>
              </w:rPr>
              <w:t>GP since 2013. He has also served as Senior Advisor to the</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Not Independent</w:t>
            </w: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CEO since January 1, 2020. Mr. Armstrong served as</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vMerge w:val="continue"/>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Chairman of the Board of PAGP GP from July 2013 until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January 2020 and as Chief Executive Officer of PAGP GP</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86"/>
              </w:rPr>
              <w:t>since 1998</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from July 2013 until his retirement in October 2018. He also</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35"/>
        </w:trPr>
        <w:tc>
          <w:tcPr>
            <w:tcW w:w="1920" w:type="dxa"/>
            <w:vAlign w:val="bottom"/>
            <w:tcBorders>
              <w:left w:val="single" w:sz="8" w:color="auto"/>
              <w:right w:val="single" w:sz="8" w:color="auto"/>
            </w:tcBorders>
          </w:tcPr>
          <w:p>
            <w:pPr>
              <w:spacing w:after="0"/>
              <w:rPr>
                <w:sz w:val="11"/>
                <w:szCs w:val="11"/>
                <w:color w:val="auto"/>
              </w:rPr>
            </w:pPr>
          </w:p>
        </w:tc>
        <w:tc>
          <w:tcPr>
            <w:tcW w:w="418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5"/>
                <w:szCs w:val="15"/>
                <w:color w:val="auto"/>
              </w:rPr>
              <w:t>served as Chief Executive Officer of GP LLC from PAA’s</w:t>
            </w:r>
          </w:p>
        </w:tc>
        <w:tc>
          <w:tcPr>
            <w:tcW w:w="200" w:type="dxa"/>
            <w:vAlign w:val="bottom"/>
            <w:gridSpan w:val="2"/>
            <w:vMerge w:val="continue"/>
          </w:tcPr>
          <w:p>
            <w:pPr>
              <w:spacing w:after="0"/>
              <w:rPr>
                <w:sz w:val="11"/>
                <w:szCs w:val="11"/>
                <w:color w:val="auto"/>
              </w:rPr>
            </w:pPr>
          </w:p>
        </w:tc>
        <w:tc>
          <w:tcPr>
            <w:tcW w:w="19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92"/>
              </w:rPr>
              <w:t>Former Chairman and</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formation in 1998 until his retirement from that position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93"/>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7"/>
              </w:rPr>
              <w:t>CEO</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October 2018. He served as a director of PAA’s general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6"/>
              </w:rPr>
              <w:t>partner or former general partner from PAA’s formation until</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November 2016 when the Board of PAGP GP assumed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responsibility for PAA in addition to PAGP and AAP. In</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addition, he was President, Chief Executive Officer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director of Plains Resources Inc. from 1992 to May 2001 and</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served in various roles of increasing responsibility from</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1981 to 1992. Mr. Armstrong is a director and Chairman of</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6"/>
        </w:trPr>
        <w:tc>
          <w:tcPr>
            <w:tcW w:w="1920" w:type="dxa"/>
            <w:vAlign w:val="bottom"/>
            <w:tcBorders>
              <w:left w:val="single" w:sz="8" w:color="auto"/>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the Federal Reserve Bank of Dallas, and a director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National Oilwell Varco, Inc. Mr. Armstrong is also a member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of the advisory board of the Maguire Energy Institute at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Cox School of Business at Southern Methodist University,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adjunct faculty for the University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Oklahoma’s Executive MBA in Energy program and is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Immediate Past Chairman of the National Petroleum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Council.</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WILLIE CHIANG</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w w:val="95"/>
              </w:rPr>
              <w:t xml:space="preserve">Willie Chiang, age 59, </w:t>
            </w:r>
            <w:r>
              <w:rPr>
                <w:rFonts w:ascii="Arial" w:cs="Arial" w:eastAsia="Arial" w:hAnsi="Arial"/>
                <w:sz w:val="16"/>
                <w:szCs w:val="16"/>
                <w:color w:val="auto"/>
                <w:w w:val="95"/>
              </w:rPr>
              <w:t>has served as a director of PAGP GP</w:t>
            </w:r>
          </w:p>
        </w:tc>
        <w:tc>
          <w:tcPr>
            <w:tcW w:w="80" w:type="dxa"/>
            <w:vAlign w:val="bottom"/>
          </w:tcPr>
          <w:p>
            <w:pPr>
              <w:spacing w:after="0"/>
              <w:rPr>
                <w:sz w:val="19"/>
                <w:szCs w:val="19"/>
                <w:color w:val="auto"/>
              </w:rPr>
            </w:pPr>
          </w:p>
        </w:tc>
        <w:tc>
          <w:tcPr>
            <w:tcW w:w="204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Not 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since February 2017, as Chief Executive Officer of PAGP</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4"/>
              </w:rPr>
              <w:t>GP and GP LLC since October 2018 and as Chairman of the</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Board since January 2020. He served as Executive Vice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86"/>
              </w:rPr>
              <w:t>since 2017</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President and Chief Operating Officer of PAGP GP and GP</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91"/>
              </w:rPr>
              <w:t>Chairman and CEO</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w w:val="97"/>
              </w:rPr>
              <w:t>LLC from January 2018 until October 2018. He also served</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as Executive Vice President and Chief Operating Officer</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(U.S.) of PAGP GP and GP LLC from August 2015 through</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December 2017. Prior to joining Plains, Mr. Chiang served</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as Executive Vice President — Operations for Occidental</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Petroleum Corporation from 2012 until 2015. From 1996</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until 2012, he served in various positions at ConocoPhillips,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including most recently as Senior Vice President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Refining, Marketing, Transportation and Commercial. He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5"/>
              </w:rPr>
              <w:t>serves as chair of the Society for the Performing Arts and as</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5"/>
              </w:rPr>
              <w:t>chair of the finance committee for the United Way of Greater</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6"/>
        </w:trPr>
        <w:tc>
          <w:tcPr>
            <w:tcW w:w="1920" w:type="dxa"/>
            <w:vAlign w:val="bottom"/>
            <w:tcBorders>
              <w:left w:val="single" w:sz="8" w:color="auto"/>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w w:val="96"/>
              </w:rPr>
              <w:t>Houston. He received a BS in Mechanical Engineering from</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South Dakota School of Mines and Technology and</w:t>
            </w:r>
          </w:p>
        </w:tc>
        <w:tc>
          <w:tcPr>
            <w:tcW w:w="200" w:type="dxa"/>
            <w:vAlign w:val="bottom"/>
            <w:gridSpan w:val="2"/>
            <w:vMerge w:val="continue"/>
          </w:tcPr>
          <w:p>
            <w:pPr>
              <w:spacing w:after="0"/>
              <w:rPr>
                <w:sz w:val="15"/>
                <w:szCs w:val="15"/>
                <w:color w:val="auto"/>
              </w:rPr>
            </w:pPr>
          </w:p>
        </w:tc>
        <w:tc>
          <w:tcPr>
            <w:tcW w:w="19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completed the Advanced Management Program at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University of Pennsylvania.</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HARRY N. PEFANIS</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6"/>
              </w:rPr>
              <w:t xml:space="preserve">Harry N. Pefanis, age 62, </w:t>
            </w:r>
            <w:r>
              <w:rPr>
                <w:rFonts w:ascii="Arial" w:cs="Arial" w:eastAsia="Arial" w:hAnsi="Arial"/>
                <w:sz w:val="16"/>
                <w:szCs w:val="16"/>
                <w:color w:val="auto"/>
                <w:w w:val="96"/>
              </w:rPr>
              <w:t>has served as a director of PAGP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Not 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GP since February 2017 and as President and Chief</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Commercial Officer of PAGP GP and GP LLC since</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6"/>
              </w:rPr>
              <w:t>January 2018. He served as President and Chief Operating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86"/>
              </w:rPr>
              <w:t>since 2017</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Officer of GP LLC from PAA’s formation in 1998 through</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President and Chief</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December 2017, and as President and Chief Operating</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Officer of PAGP GP from July 2013 through</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0"/>
              </w:rPr>
              <w:t>Commercial Officer</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2017. He was also a director of PAA’s former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general partner. In addition, he was Executive Vice President</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 Midstream of Plains Resources from May 1998 to</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3"/>
              </w:rPr>
              <w:t>May 2001. He previously served Plains Resources as: Senior</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Vice President from February 1996 until May 1998; Vice</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President — Products Marketing from 1988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February 1996; Manager of Products Marketing from 1987</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to 1988; and Special Assistant for Corporate Planning from</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1983 to 1987. Mr. Pefanis was also President of several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former midstream subsidiaries of Plains Resources prior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PAA’s formation. Mr. Pefanis is a director of Settoon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Towing. He also serves as lead independent director of Oasis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Midstream Partners, L.P.</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4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own a 100% managing member interest in GP LLC, which owns a non-economic general partner interest in AAP. As of March 23, 2020, we also owned, directly and through GP LLC, a 74.5% limited partner interest in AAP, which directly owns approximately 248.4 million of PAA’s outstanding common units (representing approximately 31% of PAA’s outstanding common units and Series A preferred units combined). AAP is the sole member of PAA GP LLC, which directly holds the non-economic general partner interest in PAA. PAGP GP holds a non-economic general partner interest in us and manages our operations and activities. We own a 77% membership interest in PAGP GP and the balance of the membership interests in PAGP GP are owned by various individuals and entities. The Board has responsibility for managing the business and affairs of PAGP, PAA and AAP.</w:t>
      </w:r>
    </w:p>
    <w:p>
      <w:pPr>
        <w:spacing w:after="0" w:line="12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We and our general partner have no employees. All of our officers and other personnel necessary for our business to function (to the extent not out-sourced) are employed by GP LLC.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112"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6"/>
          <w:szCs w:val="16"/>
          <w:color w:val="auto"/>
        </w:rPr>
        <w:t>Our Class A shareholders are limited partners and do not directly or indirectly participate in our management or operation. Unlike holders of common stock in a corporation, our shareholders have only limited voting rights on matters affecting our business or governance, subject in all cases to any specific shareholder rights contained in our partnership agreement. In connection with the Simplification Transactions completed in November 2016, we expanded the voting rights of our shareholders to include the election of directors and, in 2018, we began holding annual meetings for this purpose. For a description of the steps we have taken to expand the voting rights of our shareholders, as well as a description of our Board structure and information regarding the election of Directors, see “Proposal 1 — Election of Class I Directors — Board and Governance Structure” above.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4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Effective with the retirement of Mr. Armstrong as Chairman of the Board at the end of 2019, after carefully considering the issue over the course of several meetings, our Board determined that it was in the best interests of PAGP and PAA to re-combine the offices of CEO and Chairman of the Board, and Mr. Chiang assumed the role of Chairman of the Board while continuing to serve as CEO. The Board also approved an amendment to our governing documents that established a strong Lead Director role, requires that one of our independent directors serve as the Lead Director for so long as the CEO and Chairman roles are held by the same person, and clearly delineates the respective responsibilities of the Chairman and the Lead Director. The Board has no set policy with respect to the separation of the offices of Chairman and CEO; rather, the Board believes it is in the best interests of PAA and PAGP for the Board to review ongoing conditions and circumstances and to make an appropriate determination to separate, or maintain as combined, the CEO and Chairman roles at the time a new CEO succeeds the current CEO, or upon a significant change in circumstances. In connection with the re-combination of the Chairman and CEO roles effective January 1, 2020, the Board appointed Mr. Shackouls to serve as Lead Director.</w:t>
      </w:r>
    </w:p>
    <w:p>
      <w:pPr>
        <w:spacing w:after="0" w:line="113"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6"/>
          <w:szCs w:val="16"/>
          <w:color w:val="auto"/>
        </w:rPr>
        <w:t>The management of enterprise-level risk (ELR), including cybersecurity risks, may be defined as the process of identifying, managing and monitoring events that present opportunities and risks with respect to the operation of our business and the creation of value for our shareholders. The Board has delegated to management the primary responsibility for ELR management, while the Board has retained responsibility for oversight of management in that regard. Management provides a formal ELR assessment to the Board at least once every year.</w:t>
      </w:r>
    </w:p>
    <w:p>
      <w:pPr>
        <w:spacing w:after="0" w:line="92" w:lineRule="exact"/>
        <w:rPr>
          <w:sz w:val="20"/>
          <w:szCs w:val="20"/>
          <w:color w:val="auto"/>
        </w:rPr>
      </w:pPr>
    </w:p>
    <w:p>
      <w:pPr>
        <w:jc w:val="both"/>
        <w:ind w:left="1260" w:right="919" w:firstLine="360"/>
        <w:spacing w:after="0" w:line="294" w:lineRule="auto"/>
        <w:rPr>
          <w:sz w:val="20"/>
          <w:szCs w:val="20"/>
          <w:color w:val="auto"/>
        </w:rPr>
      </w:pPr>
      <w:r>
        <w:rPr>
          <w:rFonts w:ascii="Arial" w:cs="Arial" w:eastAsia="Arial" w:hAnsi="Arial"/>
          <w:sz w:val="16"/>
          <w:szCs w:val="16"/>
          <w:color w:val="auto"/>
        </w:rPr>
        <w:t>We believe that our Board leadership structure supports the Board’s risk oversight function by facilitating open and regular communication between management and the directors, which allows informed oversight of management’s processes for identifying and managing significant risks and their impact on</w:t>
      </w:r>
    </w:p>
    <w:p>
      <w:pPr>
        <w:spacing w:after="0" w:line="3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9" w:lineRule="auto"/>
        <w:rPr>
          <w:sz w:val="20"/>
          <w:szCs w:val="20"/>
          <w:color w:val="auto"/>
        </w:rPr>
      </w:pPr>
      <w:r>
        <w:rPr>
          <w:rFonts w:ascii="Arial" w:cs="Arial" w:eastAsia="Arial" w:hAnsi="Arial"/>
          <w:sz w:val="17"/>
          <w:szCs w:val="17"/>
          <w:color w:val="auto"/>
        </w:rPr>
        <w:t>PAA’s business. For example, in connection with its ongoing management and assessment of the risks facing PAA as a result of the impacts to its business resulting from the COVID-19 pandemic and OPEC related matters, management has assembled a cross-disciplinary crisis management team, which includes all of our executive officers, that is continuously monitoring the rapidly evolving situation. Executive management has been in regular communication with the Board, has had several meetings with the Board and has provided numerous updates and related information to the Board regarding the assessment and management of the significant risks to PAA and its business. In addition, the CEO/Chairman has been in regular contact with the Lead Director to make sure the Board is receiving the information it needs and has the opportunity to provide feedback and input to management, in each case as required for the Board to discharge its oversight role with respect to the risks facing PAA and its business in the current environment.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4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Non-management directors meet in executive session in connection with each regular Board meeting. During 2019, the Chairman of the Board acted as presiding director at each such regularly scheduled executive session. Beginning in 2020, these sessions have been and will continue to be presided over by the Lead Director. As circumstances warrant, non-management directors may also meet in executive sessions of special meetings of the Board.</w:t>
      </w:r>
    </w:p>
    <w:p>
      <w:pPr>
        <w:spacing w:after="0" w:line="120"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162"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Nonetheless, we recently modified the PAGP GP LLC Agreement to require that our Board have a majority of independent directors, and, as described further below, we have a compensation committee as well as a governance committee that effectively performs the functions of a nominating committee. We are required to have an audit committee consisting of at least three members, and each member of the audit committee is required to be “independent” as defined in applicable NYSE and SEC rules.</w:t>
      </w:r>
    </w:p>
    <w:p>
      <w:pPr>
        <w:spacing w:after="0" w:line="85"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To be considered independent under NYSE listing standards, our Board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Although the Board has not assessed the independence of our designated director (Mr. Sinnott), the Board has assessed the independence of the eight directors that are not current or former members of management (Messrs. Burk, Petersen, Raymond, Shackouls, Symonds, Temple, Ziemba and Ms. Pruner) and has concluded that all of such directors are independent under applicable NYSE and/or SEC standards.</w:t>
      </w:r>
    </w:p>
    <w:p>
      <w:pPr>
        <w:spacing w:after="0" w:line="111"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audit committee reviews our external financial reporting, engages our independent auditors, and reviews the adequacy of our internal accounting controls. The charter of our audit committee is available on our website. See “— Meetings and Other Information” for information on how to access or obtain copies of this charter. The Board has determined that each member of our audit committee (Messrs. Burk (chair), Symonds and Ms. Pruner) is (i) “independent” under applicable NYSE and SEC rules, (ii) financially literate, and (iii) an “Audit Committee Financial Expert,” as that term is defined in Item 407 of Regulation S-K.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62" w:lineRule="exact"/>
        <w:rPr>
          <w:sz w:val="20"/>
          <w:szCs w:val="20"/>
          <w:color w:val="auto"/>
        </w:rPr>
      </w:pPr>
    </w:p>
    <w:p>
      <w:pPr>
        <w:ind w:left="1260" w:right="799" w:firstLine="360"/>
        <w:spacing w:after="0" w:line="311" w:lineRule="auto"/>
        <w:rPr>
          <w:sz w:val="20"/>
          <w:szCs w:val="20"/>
          <w:color w:val="auto"/>
        </w:rPr>
      </w:pPr>
      <w:r>
        <w:rPr>
          <w:rFonts w:ascii="Arial" w:cs="Arial" w:eastAsia="Arial" w:hAnsi="Arial"/>
          <w:sz w:val="16"/>
          <w:szCs w:val="16"/>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compensation committee has delegated</w:t>
      </w: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87" w:lineRule="auto"/>
        <w:rPr>
          <w:sz w:val="20"/>
          <w:szCs w:val="20"/>
          <w:color w:val="auto"/>
        </w:rPr>
      </w:pPr>
      <w:r>
        <w:rPr>
          <w:rFonts w:ascii="Arial" w:cs="Arial" w:eastAsia="Arial" w:hAnsi="Arial"/>
          <w:sz w:val="16"/>
          <w:szCs w:val="16"/>
          <w:color w:val="auto"/>
        </w:rPr>
        <w:t>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Sinnott (chair), Petersen and Raymond. Under applicable stock exchange rules, none of the members of our compensation committee are required to be “independent.” Although the Board has not assessed the independence of Mr. Sinnott given his status as a designated director, the Board has determined that Messrs. Petersen and Raymond are independent under applicable stock exchange rules. The compensation committee has the sole authority to retain any compensation consultants to be used to assist the committee. During 2019, the compensation committee engaged Meridian Compensation Partners, LLC to conduct an independent review and benchmark study of our executive compensation program and practices. See “Compensation Discussion and Analysis” below for more information.</w:t>
      </w:r>
    </w:p>
    <w:p>
      <w:pPr>
        <w:spacing w:after="0" w:line="91" w:lineRule="exact"/>
        <w:rPr>
          <w:sz w:val="20"/>
          <w:szCs w:val="20"/>
          <w:color w:val="auto"/>
        </w:rPr>
      </w:pPr>
    </w:p>
    <w:p>
      <w:pPr>
        <w:ind w:left="1260" w:right="859" w:firstLine="360"/>
        <w:spacing w:after="0" w:line="293" w:lineRule="auto"/>
        <w:rPr>
          <w:sz w:val="20"/>
          <w:szCs w:val="20"/>
          <w:color w:val="auto"/>
        </w:rPr>
      </w:pPr>
      <w:r>
        <w:rPr>
          <w:rFonts w:ascii="Arial" w:cs="Arial" w:eastAsia="Arial" w:hAnsi="Arial"/>
          <w:sz w:val="16"/>
          <w:szCs w:val="16"/>
          <w:color w:val="auto"/>
        </w:rPr>
        <w:t>During 2019,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Mr. Raymond is associated with EMG and Mr. Sinnott is associated with Kayne Anderson and its affiliates. We have relationships with certain of these entities. See “Certain Relationships and Related Transactions.”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and Other Committees</w:t>
      </w:r>
    </w:p>
    <w:p>
      <w:pPr>
        <w:spacing w:after="0" w:line="162"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Although not required by NYSE listing standards, we also have a governance committee that periodically reviews our governance guidelines and other governance policies and documents, oversees the Board’s annual assessment process, and assists with identifying and assessing director nominees among other governance related matters. The charter of our governance committee is available on our website. See “— Meetings and Other Information” for information on how to access or obtain copies of this charter. The governance committee currently consists of Messrs. Shackouls (chair), Petersen and Symonds. Under applicable stock exchange rules, none of the members of our governance committee are required to be “independent;” however, the Board has determined that all of the current members of our governance committee are independent under applicable stock exchange rules.</w:t>
      </w:r>
    </w:p>
    <w:p>
      <w:pPr>
        <w:spacing w:after="0" w:line="113"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Transactions — Review, Approval or Ratification of Transactions with Related Persons.”</w:t>
      </w:r>
    </w:p>
    <w:p>
      <w:pPr>
        <w:spacing w:after="0" w:line="111" w:lineRule="exact"/>
        <w:rPr>
          <w:sz w:val="20"/>
          <w:szCs w:val="20"/>
          <w:color w:val="auto"/>
        </w:rPr>
      </w:pPr>
    </w:p>
    <w:p>
      <w:pPr>
        <w:ind w:left="1260" w:right="779" w:firstLine="360"/>
        <w:spacing w:after="0" w:line="301" w:lineRule="auto"/>
        <w:rPr>
          <w:sz w:val="20"/>
          <w:szCs w:val="20"/>
          <w:color w:val="auto"/>
        </w:rPr>
      </w:pPr>
      <w:r>
        <w:rPr>
          <w:rFonts w:ascii="Arial" w:cs="Arial" w:eastAsia="Arial" w:hAnsi="Arial"/>
          <w:sz w:val="16"/>
          <w:szCs w:val="16"/>
          <w:color w:val="auto"/>
        </w:rPr>
        <w:t>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Although our general partner has not exercised such discretion in the past, it may do so in the future.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96"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4600" w:type="dxa"/>
            <w:vAlign w:val="bottom"/>
            <w:tcBorders>
              <w:top w:val="single" w:sz="8" w:color="auto"/>
              <w:left w:val="single" w:sz="8" w:color="auto"/>
              <w:right w:val="single" w:sz="8" w:color="auto"/>
            </w:tcBorders>
          </w:tcPr>
          <w:p>
            <w:pPr>
              <w:spacing w:after="0"/>
              <w:rPr>
                <w:sz w:val="20"/>
                <w:szCs w:val="20"/>
                <w:color w:val="auto"/>
              </w:rPr>
            </w:pPr>
          </w:p>
        </w:tc>
        <w:tc>
          <w:tcPr>
            <w:tcW w:w="60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00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3"/>
              </w:rPr>
              <w:t>Governance</w:t>
            </w:r>
          </w:p>
        </w:tc>
      </w:tr>
      <w:tr>
        <w:trPr>
          <w:trHeight w:val="186"/>
        </w:trPr>
        <w:tc>
          <w:tcPr>
            <w:tcW w:w="460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Board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5"/>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44"/>
        </w:trPr>
        <w:tc>
          <w:tcPr>
            <w:tcW w:w="46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Number of Formal Meetings</w:t>
            </w:r>
          </w:p>
        </w:tc>
        <w:tc>
          <w:tcPr>
            <w:tcW w:w="60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7</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bl>
    <w:p>
      <w:pPr>
        <w:spacing w:after="0" w:line="121"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color w:val="auto"/>
        </w:rPr>
        <w:t>In addition to these formal meetings, members of our compensation committee and governance committee held numerous conference calls and discussions throughout the year on various compensation and governance related matters. All directors have access to members of management, and a substantial</w:t>
      </w: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79" w:lineRule="auto"/>
        <w:rPr>
          <w:sz w:val="20"/>
          <w:szCs w:val="20"/>
          <w:color w:val="auto"/>
        </w:rPr>
      </w:pPr>
      <w:r>
        <w:rPr>
          <w:rFonts w:ascii="Arial" w:cs="Arial" w:eastAsia="Arial" w:hAnsi="Arial"/>
          <w:sz w:val="17"/>
          <w:szCs w:val="17"/>
          <w:color w:val="auto"/>
        </w:rPr>
        <w:t>amount of information transfer and informal communication occurs between meetings. None of our directors attended fewer than 75% of the aggregate number of meetings of the Board and applicable committees of the Board on which the director served. We do not have a policy regarding Board member attendance at annual meetings; five Board members attended the 2019 annual meeting.</w:t>
      </w:r>
    </w:p>
    <w:p>
      <w:pPr>
        <w:spacing w:after="0" w:line="9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7"/>
          <w:szCs w:val="17"/>
          <w:i w:val="1"/>
          <w:iCs w:val="1"/>
          <w:color w:val="auto"/>
        </w:rPr>
        <w:t>http://www.plainsallamerican.com</w:t>
      </w:r>
      <w:r>
        <w:rPr>
          <w:rFonts w:ascii="Arial" w:cs="Arial" w:eastAsia="Arial" w:hAnsi="Arial"/>
          <w:sz w:val="17"/>
          <w:szCs w:val="17"/>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 xml:space="preserve">Section 16(a) of the Exchange Act requires directors, executive officers and persons who beneficially own more than 10%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20" w:lineRule="exact"/>
        <w:rPr>
          <w:sz w:val="20"/>
          <w:szCs w:val="20"/>
          <w:color w:val="auto"/>
        </w:rPr>
      </w:pPr>
    </w:p>
    <w:p>
      <w:pPr>
        <w:ind w:left="1260" w:right="679" w:firstLine="360"/>
        <w:spacing w:after="0" w:line="311" w:lineRule="auto"/>
        <w:rPr>
          <w:sz w:val="20"/>
          <w:szCs w:val="20"/>
          <w:color w:val="auto"/>
        </w:rPr>
      </w:pPr>
      <w:r>
        <w:rPr>
          <w:rFonts w:ascii="Arial" w:cs="Arial" w:eastAsia="Arial" w:hAnsi="Arial"/>
          <w:sz w:val="16"/>
          <w:szCs w:val="16"/>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both"/>
        <w:ind w:left="1260" w:right="999" w:firstLine="360"/>
        <w:spacing w:after="0" w:line="270" w:lineRule="auto"/>
        <w:rPr>
          <w:sz w:val="20"/>
          <w:szCs w:val="20"/>
          <w:color w:val="auto"/>
        </w:rPr>
      </w:pPr>
      <w:r>
        <w:rPr>
          <w:rFonts w:ascii="Arial" w:cs="Arial" w:eastAsia="Arial" w:hAnsi="Arial"/>
          <w:sz w:val="17"/>
          <w:szCs w:val="17"/>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8"/>
              </w:rPr>
              <w:t>Age (as of</w:t>
            </w:r>
          </w:p>
        </w:tc>
        <w:tc>
          <w:tcPr>
            <w:tcW w:w="2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86"/>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3/23/20)</w:t>
            </w:r>
          </w:p>
        </w:tc>
        <w:tc>
          <w:tcPr>
            <w:tcW w:w="200" w:type="dxa"/>
            <w:vAlign w:val="bottom"/>
          </w:tcPr>
          <w:p>
            <w:pPr>
              <w:spacing w:after="0"/>
              <w:rPr>
                <w:sz w:val="16"/>
                <w:szCs w:val="16"/>
                <w:color w:val="auto"/>
              </w:rPr>
            </w:pPr>
          </w:p>
        </w:tc>
        <w:tc>
          <w:tcPr>
            <w:tcW w:w="4660" w:type="dxa"/>
            <w:vAlign w:val="bottom"/>
          </w:tcPr>
          <w:p>
            <w:pPr>
              <w:ind w:left="20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0"/>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Willie Chiang*</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Chief Executive Officer</w:t>
            </w:r>
          </w:p>
        </w:tc>
      </w:tr>
      <w:tr>
        <w:trPr>
          <w:trHeight w:val="257"/>
        </w:trPr>
        <w:tc>
          <w:tcPr>
            <w:tcW w:w="2740" w:type="dxa"/>
            <w:vAlign w:val="bottom"/>
            <w:gridSpan w:val="3"/>
          </w:tcPr>
          <w:p>
            <w:pPr>
              <w:spacing w:after="0"/>
              <w:rPr>
                <w:sz w:val="20"/>
                <w:szCs w:val="20"/>
                <w:color w:val="auto"/>
              </w:rPr>
            </w:pPr>
            <w:r>
              <w:rPr>
                <w:rFonts w:ascii="Arial" w:cs="Arial" w:eastAsia="Arial" w:hAnsi="Arial"/>
                <w:sz w:val="18"/>
                <w:szCs w:val="18"/>
                <w:color w:val="auto"/>
              </w:rPr>
              <w:t>Harry N. Pefanis*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rPr>
              <w:t>President, Chief Commercial Officer and Director</w:t>
            </w:r>
          </w:p>
        </w:tc>
      </w:tr>
      <w:tr>
        <w:trPr>
          <w:trHeight w:val="257"/>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 Swanson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2740" w:type="dxa"/>
            <w:vAlign w:val="bottom"/>
            <w:gridSpan w:val="3"/>
          </w:tcPr>
          <w:p>
            <w:pPr>
              <w:spacing w:after="0"/>
              <w:rPr>
                <w:sz w:val="20"/>
                <w:szCs w:val="20"/>
                <w:color w:val="auto"/>
              </w:rPr>
            </w:pPr>
            <w:r>
              <w:rPr>
                <w:rFonts w:ascii="Arial" w:cs="Arial" w:eastAsia="Arial" w:hAnsi="Arial"/>
                <w:sz w:val="18"/>
                <w:szCs w:val="18"/>
                <w:color w:val="auto"/>
              </w:rPr>
              <w:t>Richard K. McGee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 R. Chandler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2740" w:type="dxa"/>
            <w:vAlign w:val="bottom"/>
            <w:gridSpan w:val="3"/>
          </w:tcPr>
          <w:p>
            <w:pPr>
              <w:spacing w:after="0"/>
              <w:rPr>
                <w:sz w:val="20"/>
                <w:szCs w:val="20"/>
                <w:color w:val="auto"/>
              </w:rPr>
            </w:pPr>
            <w:r>
              <w:rPr>
                <w:rFonts w:ascii="Arial" w:cs="Arial" w:eastAsia="Arial" w:hAnsi="Arial"/>
                <w:sz w:val="18"/>
                <w:szCs w:val="18"/>
                <w:color w:val="auto"/>
              </w:rPr>
              <w:t>Jeremy L. Goebel</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 Commercial</w:t>
            </w:r>
          </w:p>
        </w:tc>
      </w:tr>
      <w:tr>
        <w:trPr>
          <w:trHeight w:val="270"/>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 Herbold</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and Chief Accounting Officer</w:t>
            </w:r>
          </w:p>
        </w:tc>
      </w:tr>
      <w:tr>
        <w:trPr>
          <w:trHeight w:val="216"/>
        </w:trPr>
        <w:tc>
          <w:tcPr>
            <w:tcW w:w="19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-1319530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-1319530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620" w:right="819" w:hanging="358"/>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 Directors.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of GP LLC since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February 2011. He previously served as Senior Vice President and Chief Financial Officer from November 2008</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through February 2011, as Senior Vice President — Finance from August 2008 until November 2008 and as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Senior Vice President — Finance and Treasurer from August 2007 until August 2008. He served as Vice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President — Finance and Treasurer from August 2005 to August 2007, as Vice President and Treasurer from</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February 2004 to August 2005 and as Treasurer from May 2001 to February 2004. In addition, he held finance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related positions at Plains Resources including Treasurer from February 2001 to May 2001 and Director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Treasury from November 2000 to February 2001. Prior to joining Plains Resources, he served as Treasurer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Santa Fe Snyder Corporation from 1999 to October 2000 and in various capacities at Snyder Oil Corporation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Director of Corporate Finance from 1998, Controller — SOCO Offshore, Inc. from 1997, and</w:t>
      </w:r>
    </w:p>
    <w:p>
      <w:pPr>
        <w:ind w:left="1260"/>
        <w:spacing w:after="0"/>
        <w:rPr>
          <w:sz w:val="20"/>
          <w:szCs w:val="20"/>
          <w:color w:val="auto"/>
        </w:rPr>
      </w:pPr>
      <w:r>
        <w:rPr>
          <w:rFonts w:ascii="Arial" w:cs="Arial" w:eastAsia="Arial" w:hAnsi="Arial"/>
          <w:sz w:val="17"/>
          <w:szCs w:val="17"/>
          <w:color w:val="auto"/>
        </w:rPr>
        <w:t>Accounting Manager from 1992. Mr. Swanson began his career with Apache Corporation in 1986 serving 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internal audit and accounting. Mr. Swanson also serves as Executive Vice President and Chief Financial Officer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PAGP GP.</w:t>
      </w:r>
    </w:p>
    <w:p>
      <w:pPr>
        <w:spacing w:after="0" w:line="12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i w:val="1"/>
          <w:iCs w:val="1"/>
          <w:color w:val="auto"/>
        </w:rPr>
        <w:t xml:space="preserve">Richard K. McGee </w:t>
      </w:r>
      <w:r>
        <w:rPr>
          <w:rFonts w:ascii="Arial" w:cs="Arial" w:eastAsia="Arial" w:hAnsi="Arial"/>
          <w:sz w:val="17"/>
          <w:szCs w:val="17"/>
          <w:color w:val="auto"/>
        </w:rPr>
        <w:t>has served as Executive Vice President, General Counsel and Secretary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2013. He served as Vice President, General Counsel and Secretary from March 2012 until February 2013 and served as Vice President and Deputy General Counsel from August 2011 through</w:t>
      </w:r>
    </w:p>
    <w:p>
      <w:pPr>
        <w:ind w:left="1260" w:right="699"/>
        <w:spacing w:after="0" w:line="264" w:lineRule="auto"/>
        <w:rPr>
          <w:sz w:val="20"/>
          <w:szCs w:val="20"/>
          <w:color w:val="auto"/>
        </w:rPr>
      </w:pPr>
      <w:r>
        <w:rPr>
          <w:rFonts w:ascii="Arial" w:cs="Arial" w:eastAsia="Arial" w:hAnsi="Arial"/>
          <w:sz w:val="16"/>
          <w:szCs w:val="16"/>
          <w:color w:val="auto"/>
        </w:rPr>
        <w:t>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w:t>
      </w:r>
    </w:p>
    <w:p>
      <w:pPr>
        <w:ind w:left="1260" w:right="739"/>
        <w:spacing w:after="0" w:line="239" w:lineRule="auto"/>
        <w:rPr>
          <w:sz w:val="20"/>
          <w:szCs w:val="20"/>
          <w:color w:val="auto"/>
        </w:rPr>
      </w:pPr>
      <w:r>
        <w:rPr>
          <w:rFonts w:ascii="Arial" w:cs="Arial" w:eastAsia="Arial" w:hAnsi="Arial"/>
          <w:sz w:val="18"/>
          <w:szCs w:val="18"/>
          <w:color w:val="auto"/>
        </w:rPr>
        <w:t>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22"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2019. He served as Senior Vice President — Strategic Planning and Acquisitions since joining Plains in May 2018 until March 2019. Mr. Chandler has more than 20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110"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6"/>
          <w:szCs w:val="16"/>
          <w:i w:val="1"/>
          <w:iCs w:val="1"/>
          <w:color w:val="auto"/>
        </w:rPr>
        <w:t xml:space="preserve">Jeremy L. Goebel </w:t>
      </w:r>
      <w:r>
        <w:rPr>
          <w:rFonts w:ascii="Arial" w:cs="Arial" w:eastAsia="Arial" w:hAnsi="Arial"/>
          <w:sz w:val="16"/>
          <w:szCs w:val="16"/>
          <w:color w:val="auto"/>
        </w:rPr>
        <w:t>has served as Executive Vice President — Commercial of GP LLC since March 2019. 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Senior Group Vice President — Commercial from May 2018 to March 2019, as Senior Vice President</w:t>
      </w:r>
    </w:p>
    <w:p>
      <w:pPr>
        <w:spacing w:after="0" w:line="1" w:lineRule="exact"/>
        <w:rPr>
          <w:sz w:val="20"/>
          <w:szCs w:val="20"/>
          <w:color w:val="auto"/>
        </w:rPr>
      </w:pPr>
    </w:p>
    <w:p>
      <w:pPr>
        <w:ind w:left="1260" w:right="899"/>
        <w:spacing w:after="0" w:line="271" w:lineRule="auto"/>
        <w:rPr>
          <w:sz w:val="20"/>
          <w:szCs w:val="20"/>
          <w:color w:val="auto"/>
        </w:rPr>
      </w:pPr>
      <w:r>
        <w:rPr>
          <w:rFonts w:ascii="Arial" w:cs="Arial" w:eastAsia="Arial" w:hAnsi="Arial"/>
          <w:sz w:val="17"/>
          <w:szCs w:val="17"/>
          <w:color w:val="auto"/>
        </w:rPr>
        <w:t>— Acquisitions and Strategic Planning from April 2017 until May 2018, as Vice President — Acquisitions and Strategic Planning from July 2015 until April 2017, as Assistant Vice President — Lease</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 Commercial of PAGP GP.</w:t>
      </w:r>
    </w:p>
    <w:p>
      <w:pPr>
        <w:spacing w:after="0" w:line="106"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i w:val="1"/>
          <w:iCs w:val="1"/>
          <w:color w:val="auto"/>
        </w:rPr>
        <w:t xml:space="preserve">Chris Herbold </w:t>
      </w:r>
      <w:r>
        <w:rPr>
          <w:rFonts w:ascii="Arial" w:cs="Arial" w:eastAsia="Arial" w:hAnsi="Arial"/>
          <w:sz w:val="16"/>
          <w:szCs w:val="16"/>
          <w:color w:val="auto"/>
        </w:rPr>
        <w:t>has served as Senior Vice President and Chief Accounting Officer of GP LLC since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2018. He served as Vice President — Accounting and Chief 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w:t>
      </w:r>
    </w:p>
    <w:p>
      <w:pPr>
        <w:spacing w:after="0" w:line="2" w:lineRule="exact"/>
        <w:rPr>
          <w:sz w:val="20"/>
          <w:szCs w:val="20"/>
          <w:color w:val="auto"/>
        </w:rPr>
      </w:pPr>
    </w:p>
    <w:p>
      <w:pPr>
        <w:ind w:left="1260" w:right="719"/>
        <w:spacing w:after="0" w:line="260" w:lineRule="auto"/>
        <w:rPr>
          <w:sz w:val="20"/>
          <w:szCs w:val="20"/>
          <w:color w:val="auto"/>
        </w:rPr>
      </w:pPr>
      <w:r>
        <w:rPr>
          <w:rFonts w:ascii="Arial" w:cs="Arial" w:eastAsia="Arial" w:hAnsi="Arial"/>
          <w:sz w:val="18"/>
          <w:szCs w:val="18"/>
          <w:color w:val="auto"/>
        </w:rPr>
        <w:t>Mr. Herbold spent seven years working for the accounting firm Arthur Andersen LLP. Mr. Herbold also serves as Senior Vice President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6"/>
          <w:szCs w:val="16"/>
          <w:color w:val="auto"/>
        </w:rPr>
        <w:t>The compensation committee reviews and makes recommendations to the Board regarding the compensation for the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9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18"/>
          <w:szCs w:val="18"/>
          <w:i w:val="1"/>
          <w:iCs w:val="1"/>
          <w:color w:val="auto"/>
        </w:rPr>
        <w:t>Chairman</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Gary R. Petersen</w:t>
      </w:r>
    </w:p>
    <w:p>
      <w:pPr>
        <w:ind w:left="5220"/>
        <w:spacing w:after="0"/>
        <w:rPr>
          <w:sz w:val="20"/>
          <w:szCs w:val="20"/>
          <w:color w:val="auto"/>
        </w:rPr>
      </w:pPr>
      <w:r>
        <w:rPr>
          <w:rFonts w:ascii="Arial" w:cs="Arial" w:eastAsia="Arial" w:hAnsi="Arial"/>
          <w:sz w:val="18"/>
          <w:szCs w:val="18"/>
          <w:color w:val="auto"/>
        </w:rPr>
        <w:t>John T. Raymond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For 2019, our Named Executive Officers (sometimes referred to as “NEOs”) include our CEO, our President and Chief Commercial Officer, our CFO, and the three most highly compensated executive officers (other than our CEO and CFO). Our Named Executive Officers for 2019 include the following individuals:</w:t>
      </w:r>
    </w:p>
    <w:p>
      <w:pPr>
        <w:spacing w:after="0" w:line="3" w:lineRule="exact"/>
        <w:rPr>
          <w:sz w:val="20"/>
          <w:szCs w:val="20"/>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Willie Chiang</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Harry Pefanis</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 Swanson</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Richard McGee</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Chris Chandler</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Jeremy Goebel</w:t>
      </w:r>
    </w:p>
    <w:p>
      <w:pPr>
        <w:spacing w:after="0" w:line="144"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As a result of his request to not participate in the 2019 long-term incentive program, Mr. Pefanis is not one of the three most highly compensated executive officers, but he is included as a Named Executive Officer given the significance of his role (President and Chief Commercial Officer).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2019 Compensation Highlights</w:t>
      </w:r>
    </w:p>
    <w:p>
      <w:pPr>
        <w:spacing w:after="0" w:line="15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At our 2019 Annual Meeting, approximately 72% of the votes cast by our shareholders approved, on a non-binding advisory basis, the compensation paid to our Named Executive Officers for the year 2018 as described in our 2019 Proxy Statement. The compensation committee and the Board value the opinions of our shareholders and carefully consider the results of “say on pay” votes and direct feedback received from investors, among a variety of other factors, when making future compensation decisions for our Named Executive Officers. The discussion set forth below in this Compensation Discussion and Analysis describes our current approach to executive compensation and includes a description of a variety of actions taken and adjustments made with respect to our executive compensation program with the objective of achieving our overall executive compensation goals described below.</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Highlights of our 2019 executive compensation oversight and actions taken include the following:</w:t>
      </w:r>
    </w:p>
    <w:p>
      <w:pPr>
        <w:spacing w:after="0" w:line="117" w:lineRule="exact"/>
        <w:rPr>
          <w:sz w:val="20"/>
          <w:szCs w:val="20"/>
          <w:color w:val="auto"/>
        </w:rPr>
      </w:pPr>
    </w:p>
    <w:p>
      <w:pPr>
        <w:ind w:left="1800" w:right="799" w:hanging="178"/>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to employ a compensation philosophy that establishes salary levels for our executives that are generally lower than market comparable salaries and that emphasizes pay for performance with a significant portion of executive compensation at risk</w:t>
      </w:r>
    </w:p>
    <w:p>
      <w:pPr>
        <w:spacing w:after="0" w:line="75"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Utilized an objective and transparent structure for the determination of incentive payouts; this CD&amp;A enhances disclosure of those payouts in response to external feedback</w:t>
      </w:r>
    </w:p>
    <w:p>
      <w:pPr>
        <w:spacing w:after="0" w:line="62"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2019 bonuses downward for certain of our NEOs relative to established formulaic outcomes in light of our relative unit price performance during 2019</w:t>
      </w:r>
    </w:p>
    <w:p>
      <w:pPr>
        <w:spacing w:after="0" w:line="62" w:lineRule="exact"/>
        <w:rPr>
          <w:rFonts w:ascii="Arial" w:cs="Arial" w:eastAsia="Arial" w:hAnsi="Arial"/>
          <w:sz w:val="18"/>
          <w:szCs w:val="18"/>
          <w:color w:val="auto"/>
        </w:rPr>
      </w:pPr>
    </w:p>
    <w:p>
      <w:pPr>
        <w:ind w:left="1800" w:right="839" w:hanging="178"/>
        <w:spacing w:after="0" w:line="342" w:lineRule="auto"/>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compensation committee engaged a compensation consultant to conduct an independent review and benchmark study of our executive compensation program and practices, including an analysis</w:t>
      </w: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99"/>
        <w:spacing w:after="0" w:line="277" w:lineRule="auto"/>
        <w:rPr>
          <w:sz w:val="20"/>
          <w:szCs w:val="20"/>
          <w:color w:val="auto"/>
        </w:rPr>
      </w:pPr>
      <w:r>
        <w:rPr>
          <w:rFonts w:ascii="Arial" w:cs="Arial" w:eastAsia="Arial" w:hAnsi="Arial"/>
          <w:sz w:val="18"/>
          <w:szCs w:val="18"/>
          <w:color w:val="auto"/>
        </w:rPr>
        <w:t>of potential additional metrics for our long-term equity incentive awards that will enhance alignment of our NEOs with our unitholders</w:t>
      </w:r>
    </w:p>
    <w:p>
      <w:pPr>
        <w:spacing w:after="0" w:line="62" w:lineRule="exact"/>
        <w:rPr>
          <w:sz w:val="20"/>
          <w:szCs w:val="20"/>
          <w:color w:val="auto"/>
        </w:rPr>
      </w:pPr>
    </w:p>
    <w:p>
      <w:pPr>
        <w:ind w:left="1800" w:right="679" w:hanging="178"/>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compensation committee and Board approved adding relative total shareholder return as an additional performance metric for the long-term equity incentive awards to be granted pursuant to our executive compensation program beginning in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8" w:lineRule="exact"/>
        <w:rPr>
          <w:sz w:val="20"/>
          <w:szCs w:val="20"/>
          <w:color w:val="auto"/>
        </w:rPr>
      </w:pPr>
    </w:p>
    <w:p>
      <w:pPr>
        <w:ind w:left="1260" w:right="719" w:firstLine="360"/>
        <w:spacing w:after="0" w:line="276" w:lineRule="auto"/>
        <w:rPr>
          <w:sz w:val="20"/>
          <w:szCs w:val="20"/>
          <w:color w:val="auto"/>
        </w:rPr>
      </w:pPr>
      <w:r>
        <w:rPr>
          <w:rFonts w:ascii="Arial" w:cs="Arial" w:eastAsia="Arial" w:hAnsi="Arial"/>
          <w:sz w:val="16"/>
          <w:szCs w:val="16"/>
          <w:color w:val="auto"/>
        </w:rPr>
        <w:t>Since our inception, we have employed a compensation philosophy that emphasizes pay for performance, both on an individual and entity level, and places a significant portion of each Named Executive Officer’s compensation at risk. As demonstrated in the graphic below, in 2019, at target, almost 90% of our CEO’s compensation consisted of at-risk compensation. At-risk compensation is typically tied to the achievement of one or more performance metrics that measure value creation over both the near and longer term, as well as service period requirements. The primary near-term metric is annual earnings and cash flow levels as represented by Adjusted EBITDA</w:t>
      </w:r>
      <w:r>
        <w:rPr>
          <w:rFonts w:ascii="Arial" w:cs="Arial" w:eastAsia="Arial" w:hAnsi="Arial"/>
          <w:sz w:val="23"/>
          <w:szCs w:val="23"/>
          <w:color w:val="auto"/>
          <w:vertAlign w:val="superscript"/>
        </w:rPr>
        <w:t>3</w:t>
      </w:r>
      <w:r>
        <w:rPr>
          <w:rFonts w:ascii="Arial" w:cs="Arial" w:eastAsia="Arial" w:hAnsi="Arial"/>
          <w:sz w:val="16"/>
          <w:szCs w:val="16"/>
          <w:color w:val="auto"/>
        </w:rPr>
        <w:t>, and the primary long-term measure of our performance is our ability to sustain and increase our distributable cash flow (“DCF”) per common unit consistent with our overall financial strategy. For 2020, we are adding relative total shareholder return as an additional long-term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95885</wp:posOffset>
            </wp:positionV>
            <wp:extent cx="3368675" cy="3094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86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right="719" w:firstLine="360"/>
        <w:spacing w:after="0" w:line="301" w:lineRule="auto"/>
        <w:rPr>
          <w:sz w:val="20"/>
          <w:szCs w:val="20"/>
          <w:color w:val="auto"/>
        </w:rPr>
      </w:pPr>
      <w:r>
        <w:rPr>
          <w:rFonts w:ascii="Arial" w:cs="Arial" w:eastAsia="Arial" w:hAnsi="Arial"/>
          <w:sz w:val="16"/>
          <w:szCs w:val="16"/>
          <w:color w:val="auto"/>
        </w:rPr>
        <w:t>We believe our pay-for-performance approach aligns the interests of our executive officers with the interests of our equity holders, and at the same time enables us to maintain a lower level of base overhead in the event operating and financial performance is below expectations. We also believe that our pay-for-performance approach helps us achieve the overall objectives of our executive compensation program, which are to</w:t>
      </w:r>
    </w:p>
    <w:p>
      <w:pPr>
        <w:spacing w:after="0" w:line="49" w:lineRule="exact"/>
        <w:rPr>
          <w:sz w:val="20"/>
          <w:szCs w:val="20"/>
          <w:color w:val="auto"/>
        </w:rPr>
      </w:pPr>
    </w:p>
    <w:p>
      <w:pPr>
        <w:ind w:left="1800" w:right="129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and retain individuals with the background and skills necessary to successfully execute our business model in a demanding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57150</wp:posOffset>
            </wp:positionV>
            <wp:extent cx="12344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4" w:lineRule="exact"/>
        <w:rPr>
          <w:sz w:val="20"/>
          <w:szCs w:val="20"/>
          <w:color w:val="auto"/>
        </w:rPr>
      </w:pPr>
    </w:p>
    <w:p>
      <w:pPr>
        <w:ind w:left="1620" w:right="799" w:hanging="358"/>
        <w:spacing w:after="0" w:line="238" w:lineRule="auto"/>
        <w:tabs>
          <w:tab w:leader="none" w:pos="1620" w:val="left"/>
        </w:tabs>
        <w:numPr>
          <w:ilvl w:val="0"/>
          <w:numId w:val="35"/>
        </w:numPr>
        <w:rPr>
          <w:rFonts w:ascii="Arial" w:cs="Arial" w:eastAsia="Arial" w:hAnsi="Arial"/>
          <w:sz w:val="26"/>
          <w:szCs w:val="26"/>
          <w:color w:val="auto"/>
          <w:vertAlign w:val="superscript"/>
        </w:rPr>
      </w:pPr>
      <w:r>
        <w:rPr>
          <w:rFonts w:ascii="Arial" w:cs="Arial" w:eastAsia="Arial" w:hAnsi="Arial"/>
          <w:sz w:val="17"/>
          <w:szCs w:val="17"/>
          <w:color w:val="auto"/>
        </w:rPr>
        <w:t>Earnings before interest, taxes, depreciation and amortization (including our proportionate share of depreciation of and amortization of, and gains and losses on significant asset sales by, unconsolidated entities), gains and losses on asset sales and asset impairments, and gains on investments in unconsolidated entities, adjusted for certain selected items impacting comparability.</w:t>
      </w: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hanging="178"/>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motivate those individuals to reach near-term and long-term goals in a way that aligns their interests with the interests of our unitholders, and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reward success in reaching such goals.</w:t>
      </w:r>
    </w:p>
    <w:p>
      <w:pPr>
        <w:spacing w:after="0" w:line="15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6"/>
          <w:szCs w:val="16"/>
          <w:color w:val="auto"/>
        </w:rPr>
        <w:t>In order to demonstrate how the design of our executive pay program is aligned with the interests of our unitholders, the table and chart below compares the potentially realizable market value of long term incentive plan awards granted to Mr. Chiang since he joined the company in 2015 to the realized and/or realizable market value of such awards as of year-end 2019 and as of a recent date (March 27, 2020). The values utilized in the table and chart below are based on closing market prices of PAA’s common units to demonstrate how PAA’s unit price performance over time impacts the actual value realized and future realizable value of equity awards held by our NEOs. These values are different than the grant date fair values set forth in the summary compensation table, which are accounting-based values mandated by SEC requirements and which are calculated on the date of grant and not adjusted over time to reflect fluctuations in market price.</w:t>
      </w:r>
    </w:p>
    <w:p>
      <w:pPr>
        <w:spacing w:after="0" w:line="88"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7"/>
          <w:szCs w:val="17"/>
          <w:color w:val="auto"/>
        </w:rPr>
        <w:t>Since the date of Mr. Chiang’s first long term incentive plan award in August 2015, PAA’s common unit price has declined by approximately 42% through December 31, 2019 (from $31.66 per unit to $18.39 per unit), and by approximately 82% through March 27, 2020 (from $31.66 per unit to $5.53 per unit). Notably, the pricing and market values in the table below as of March 27, 2020 more fully reflect the impact of financial market disruptions associated with the COVID-19 pandemic and OPEC related matters. The table and chart below demonstrate that the realized and/or realizable market value of Mr. Chiang’s long term incentive plan awards over the same time periods (i.e., from August 2015 through year-end 2019 and through March 27, 2020) has declined by approximately 26% and 61%, respectively</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 Mr. Chiang’s experience with respect to his long-term equity awards is similar to the experience of our other NEOs during the same time period and demonstrates that there is a significant correlation and alignment between our NEOs’ long-term equity incentive compensation and the interests of our unitholders.</w:t>
      </w:r>
    </w:p>
    <w:p>
      <w:pPr>
        <w:spacing w:after="0" w:line="18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Realizable and Realized Market Value of CEO LTIPs*</w:t>
      </w:r>
    </w:p>
    <w:p>
      <w:pPr>
        <w:spacing w:after="0" w:line="122"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800" w:type="dxa"/>
            <w:vAlign w:val="bottom"/>
            <w:tcBorders>
              <w:left w:val="single" w:sz="8" w:color="697287"/>
            </w:tcBorders>
            <w:shd w:val="clear" w:color="auto" w:fill="434F69"/>
          </w:tcPr>
          <w:p>
            <w:pPr>
              <w:spacing w:after="0"/>
              <w:rPr>
                <w:sz w:val="20"/>
                <w:szCs w:val="20"/>
                <w:color w:val="auto"/>
              </w:rPr>
            </w:pPr>
          </w:p>
        </w:tc>
        <w:tc>
          <w:tcPr>
            <w:tcW w:w="1020" w:type="dxa"/>
            <w:vAlign w:val="bottom"/>
            <w:shd w:val="clear" w:color="auto" w:fill="434F69"/>
          </w:tcPr>
          <w:p>
            <w:pPr>
              <w:spacing w:after="0"/>
              <w:rPr>
                <w:sz w:val="20"/>
                <w:szCs w:val="20"/>
                <w:color w:val="auto"/>
              </w:rPr>
            </w:pPr>
          </w:p>
        </w:tc>
        <w:tc>
          <w:tcPr>
            <w:tcW w:w="260" w:type="dxa"/>
            <w:vAlign w:val="bottom"/>
            <w:shd w:val="clear" w:color="auto" w:fill="434F69"/>
          </w:tcPr>
          <w:p>
            <w:pPr>
              <w:spacing w:after="0"/>
              <w:rPr>
                <w:sz w:val="20"/>
                <w:szCs w:val="20"/>
                <w:color w:val="auto"/>
              </w:rPr>
            </w:pPr>
          </w:p>
        </w:tc>
        <w:tc>
          <w:tcPr>
            <w:tcW w:w="980" w:type="dxa"/>
            <w:vAlign w:val="bottom"/>
            <w:shd w:val="clear" w:color="auto" w:fill="434F69"/>
          </w:tcPr>
          <w:p>
            <w:pPr>
              <w:spacing w:after="0"/>
              <w:rPr>
                <w:sz w:val="20"/>
                <w:szCs w:val="20"/>
                <w:color w:val="auto"/>
              </w:rPr>
            </w:pPr>
          </w:p>
        </w:tc>
        <w:tc>
          <w:tcPr>
            <w:tcW w:w="800" w:type="dxa"/>
            <w:vAlign w:val="bottom"/>
            <w:shd w:val="clear" w:color="auto" w:fill="434F69"/>
          </w:tcPr>
          <w:p>
            <w:pPr>
              <w:spacing w:after="0"/>
              <w:rPr>
                <w:sz w:val="20"/>
                <w:szCs w:val="20"/>
                <w:color w:val="auto"/>
              </w:rPr>
            </w:pPr>
          </w:p>
        </w:tc>
        <w:tc>
          <w:tcPr>
            <w:tcW w:w="1100" w:type="dxa"/>
            <w:vAlign w:val="bottom"/>
            <w:gridSpan w:val="2"/>
            <w:shd w:val="clear" w:color="auto" w:fill="434F69"/>
          </w:tcPr>
          <w:p>
            <w:pPr>
              <w:ind w:left="100"/>
              <w:spacing w:after="0"/>
              <w:rPr>
                <w:sz w:val="20"/>
                <w:szCs w:val="20"/>
                <w:color w:val="auto"/>
              </w:rPr>
            </w:pPr>
            <w:r>
              <w:rPr>
                <w:rFonts w:ascii="Arial" w:cs="Arial" w:eastAsia="Arial" w:hAnsi="Arial"/>
                <w:sz w:val="14"/>
                <w:szCs w:val="14"/>
                <w:b w:val="1"/>
                <w:bCs w:val="1"/>
                <w:color w:val="FFFFFF"/>
              </w:rPr>
              <w:t>Total Realized</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5"/>
              </w:rPr>
              <w:t>12/31/19</w:t>
            </w:r>
          </w:p>
        </w:tc>
        <w:tc>
          <w:tcPr>
            <w:tcW w:w="1140" w:type="dxa"/>
            <w:vAlign w:val="bottom"/>
            <w:gridSpan w:val="2"/>
            <w:shd w:val="clear" w:color="auto" w:fill="434F69"/>
          </w:tcPr>
          <w:p>
            <w:pPr>
              <w:ind w:left="140"/>
              <w:spacing w:after="0"/>
              <w:rPr>
                <w:sz w:val="20"/>
                <w:szCs w:val="20"/>
                <w:color w:val="auto"/>
              </w:rPr>
            </w:pPr>
            <w:r>
              <w:rPr>
                <w:rFonts w:ascii="Arial" w:cs="Arial" w:eastAsia="Arial" w:hAnsi="Arial"/>
                <w:sz w:val="14"/>
                <w:szCs w:val="14"/>
                <w:b w:val="1"/>
                <w:bCs w:val="1"/>
                <w:color w:val="FFFFFF"/>
              </w:rPr>
              <w:t>Total Realized</w:t>
            </w:r>
          </w:p>
        </w:tc>
        <w:tc>
          <w:tcPr>
            <w:tcW w:w="106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3/27/20</w:t>
            </w:r>
          </w:p>
        </w:tc>
      </w:tr>
      <w:tr>
        <w:trPr>
          <w:trHeight w:val="162"/>
        </w:trPr>
        <w:tc>
          <w:tcPr>
            <w:tcW w:w="800" w:type="dxa"/>
            <w:vAlign w:val="bottom"/>
            <w:tcBorders>
              <w:left w:val="single" w:sz="8" w:color="697287"/>
            </w:tcBorders>
            <w:shd w:val="clear" w:color="auto" w:fill="434F69"/>
          </w:tcPr>
          <w:p>
            <w:pPr>
              <w:spacing w:after="0"/>
              <w:rPr>
                <w:sz w:val="14"/>
                <w:szCs w:val="14"/>
                <w:color w:val="auto"/>
              </w:rPr>
            </w:pPr>
          </w:p>
        </w:tc>
        <w:tc>
          <w:tcPr>
            <w:tcW w:w="1020" w:type="dxa"/>
            <w:vAlign w:val="bottom"/>
            <w:shd w:val="clear" w:color="auto" w:fill="434F69"/>
          </w:tcPr>
          <w:p>
            <w:pPr>
              <w:spacing w:after="0"/>
              <w:rPr>
                <w:sz w:val="14"/>
                <w:szCs w:val="14"/>
                <w:color w:val="auto"/>
              </w:rPr>
            </w:pPr>
          </w:p>
        </w:tc>
        <w:tc>
          <w:tcPr>
            <w:tcW w:w="26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800" w:type="dxa"/>
            <w:vAlign w:val="bottom"/>
            <w:shd w:val="clear" w:color="auto" w:fill="434F69"/>
          </w:tcPr>
          <w:p>
            <w:pPr>
              <w:spacing w:after="0"/>
              <w:rPr>
                <w:sz w:val="14"/>
                <w:szCs w:val="14"/>
                <w:color w:val="auto"/>
              </w:rPr>
            </w:pPr>
          </w:p>
        </w:tc>
        <w:tc>
          <w:tcPr>
            <w:tcW w:w="200" w:type="dxa"/>
            <w:vAlign w:val="bottom"/>
            <w:shd w:val="clear" w:color="auto" w:fill="434F69"/>
          </w:tcPr>
          <w:p>
            <w:pPr>
              <w:spacing w:after="0"/>
              <w:rPr>
                <w:sz w:val="14"/>
                <w:szCs w:val="14"/>
                <w:color w:val="auto"/>
              </w:rPr>
            </w:pPr>
          </w:p>
        </w:tc>
        <w:tc>
          <w:tcPr>
            <w:tcW w:w="900" w:type="dxa"/>
            <w:vAlign w:val="bottom"/>
            <w:shd w:val="clear" w:color="auto" w:fill="434F69"/>
          </w:tcPr>
          <w:p>
            <w:pPr>
              <w:jc w:val="center"/>
              <w:ind w:right="115"/>
              <w:spacing w:after="0"/>
              <w:rPr>
                <w:sz w:val="20"/>
                <w:szCs w:val="20"/>
                <w:color w:val="auto"/>
              </w:rPr>
            </w:pPr>
            <w:r>
              <w:rPr>
                <w:rFonts w:ascii="Arial" w:cs="Arial" w:eastAsia="Arial" w:hAnsi="Arial"/>
                <w:sz w:val="14"/>
                <w:szCs w:val="14"/>
                <w:b w:val="1"/>
                <w:bCs w:val="1"/>
                <w:color w:val="FFFFFF"/>
                <w:w w:val="91"/>
              </w:rPr>
              <w:t>Value of</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Realized and</w:t>
            </w:r>
          </w:p>
        </w:tc>
        <w:tc>
          <w:tcPr>
            <w:tcW w:w="220" w:type="dxa"/>
            <w:vAlign w:val="bottom"/>
            <w:shd w:val="clear" w:color="auto" w:fill="434F69"/>
          </w:tcPr>
          <w:p>
            <w:pPr>
              <w:spacing w:after="0"/>
              <w:rPr>
                <w:sz w:val="14"/>
                <w:szCs w:val="14"/>
                <w:color w:val="auto"/>
              </w:rPr>
            </w:pPr>
          </w:p>
        </w:tc>
        <w:tc>
          <w:tcPr>
            <w:tcW w:w="920" w:type="dxa"/>
            <w:vAlign w:val="bottom"/>
            <w:shd w:val="clear" w:color="auto" w:fill="434F69"/>
          </w:tcPr>
          <w:p>
            <w:pPr>
              <w:jc w:val="center"/>
              <w:ind w:right="175"/>
              <w:spacing w:after="0"/>
              <w:rPr>
                <w:sz w:val="20"/>
                <w:szCs w:val="20"/>
                <w:color w:val="auto"/>
              </w:rPr>
            </w:pPr>
            <w:r>
              <w:rPr>
                <w:rFonts w:ascii="Arial" w:cs="Arial" w:eastAsia="Arial" w:hAnsi="Arial"/>
                <w:sz w:val="14"/>
                <w:szCs w:val="14"/>
                <w:b w:val="1"/>
                <w:bCs w:val="1"/>
                <w:color w:val="FFFFFF"/>
                <w:w w:val="91"/>
              </w:rPr>
              <w:t>Value of</w:t>
            </w:r>
          </w:p>
        </w:tc>
        <w:tc>
          <w:tcPr>
            <w:tcW w:w="106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Realized and</w:t>
            </w:r>
          </w:p>
        </w:tc>
      </w:tr>
      <w:tr>
        <w:trPr>
          <w:trHeight w:val="162"/>
        </w:trPr>
        <w:tc>
          <w:tcPr>
            <w:tcW w:w="800" w:type="dxa"/>
            <w:vAlign w:val="bottom"/>
            <w:tcBorders>
              <w:left w:val="single" w:sz="8" w:color="697287"/>
            </w:tcBorders>
            <w:shd w:val="clear" w:color="auto" w:fill="434F69"/>
          </w:tcPr>
          <w:p>
            <w:pPr>
              <w:spacing w:after="0"/>
              <w:rPr>
                <w:sz w:val="14"/>
                <w:szCs w:val="14"/>
                <w:color w:val="auto"/>
              </w:rPr>
            </w:pPr>
          </w:p>
        </w:tc>
        <w:tc>
          <w:tcPr>
            <w:tcW w:w="1020" w:type="dxa"/>
            <w:vAlign w:val="bottom"/>
            <w:shd w:val="clear" w:color="auto" w:fill="434F69"/>
          </w:tcPr>
          <w:p>
            <w:pPr>
              <w:spacing w:after="0"/>
              <w:rPr>
                <w:sz w:val="14"/>
                <w:szCs w:val="14"/>
                <w:color w:val="auto"/>
              </w:rPr>
            </w:pPr>
          </w:p>
        </w:tc>
        <w:tc>
          <w:tcPr>
            <w:tcW w:w="26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800" w:type="dxa"/>
            <w:vAlign w:val="bottom"/>
            <w:shd w:val="clear" w:color="auto" w:fill="434F69"/>
          </w:tcPr>
          <w:p>
            <w:pPr>
              <w:spacing w:after="0"/>
              <w:rPr>
                <w:sz w:val="14"/>
                <w:szCs w:val="14"/>
                <w:color w:val="auto"/>
              </w:rPr>
            </w:pPr>
          </w:p>
        </w:tc>
        <w:tc>
          <w:tcPr>
            <w:tcW w:w="110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Vested Units</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Realizable</w:t>
            </w:r>
          </w:p>
        </w:tc>
        <w:tc>
          <w:tcPr>
            <w:tcW w:w="114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Vested Units</w:t>
            </w:r>
          </w:p>
        </w:tc>
        <w:tc>
          <w:tcPr>
            <w:tcW w:w="106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Realizable</w:t>
            </w:r>
          </w:p>
        </w:tc>
      </w:tr>
      <w:tr>
        <w:trPr>
          <w:trHeight w:val="162"/>
        </w:trPr>
        <w:tc>
          <w:tcPr>
            <w:tcW w:w="800" w:type="dxa"/>
            <w:vAlign w:val="bottom"/>
            <w:tcBorders>
              <w:left w:val="single" w:sz="8" w:color="697287"/>
            </w:tcBorders>
            <w:shd w:val="clear" w:color="auto" w:fill="434F69"/>
          </w:tcPr>
          <w:p>
            <w:pPr>
              <w:spacing w:after="0"/>
              <w:rPr>
                <w:sz w:val="14"/>
                <w:szCs w:val="14"/>
                <w:color w:val="auto"/>
              </w:rPr>
            </w:pPr>
          </w:p>
        </w:tc>
        <w:tc>
          <w:tcPr>
            <w:tcW w:w="1020" w:type="dxa"/>
            <w:vAlign w:val="bottom"/>
            <w:shd w:val="clear" w:color="auto" w:fill="434F69"/>
          </w:tcPr>
          <w:p>
            <w:pPr>
              <w:spacing w:after="0"/>
              <w:rPr>
                <w:sz w:val="14"/>
                <w:szCs w:val="14"/>
                <w:color w:val="auto"/>
              </w:rPr>
            </w:pPr>
          </w:p>
        </w:tc>
        <w:tc>
          <w:tcPr>
            <w:tcW w:w="260" w:type="dxa"/>
            <w:vAlign w:val="bottom"/>
            <w:shd w:val="clear" w:color="auto" w:fill="434F69"/>
          </w:tcPr>
          <w:p>
            <w:pPr>
              <w:spacing w:after="0"/>
              <w:rPr>
                <w:sz w:val="14"/>
                <w:szCs w:val="14"/>
                <w:color w:val="auto"/>
              </w:rPr>
            </w:pPr>
          </w:p>
        </w:tc>
        <w:tc>
          <w:tcPr>
            <w:tcW w:w="980" w:type="dxa"/>
            <w:vAlign w:val="bottom"/>
            <w:shd w:val="clear" w:color="auto" w:fill="434F69"/>
          </w:tcPr>
          <w:p>
            <w:pPr>
              <w:jc w:val="center"/>
              <w:ind w:right="174"/>
              <w:spacing w:after="0"/>
              <w:rPr>
                <w:sz w:val="20"/>
                <w:szCs w:val="20"/>
                <w:color w:val="auto"/>
              </w:rPr>
            </w:pPr>
            <w:r>
              <w:rPr>
                <w:rFonts w:ascii="Arial" w:cs="Arial" w:eastAsia="Arial" w:hAnsi="Arial"/>
                <w:sz w:val="14"/>
                <w:szCs w:val="14"/>
                <w:b w:val="1"/>
                <w:bCs w:val="1"/>
                <w:color w:val="FFFFFF"/>
                <w:w w:val="93"/>
              </w:rPr>
              <w:t>Realizable</w:t>
            </w:r>
          </w:p>
        </w:tc>
        <w:tc>
          <w:tcPr>
            <w:tcW w:w="800" w:type="dxa"/>
            <w:vAlign w:val="bottom"/>
            <w:shd w:val="clear" w:color="auto" w:fill="434F69"/>
          </w:tcPr>
          <w:p>
            <w:pPr>
              <w:spacing w:after="0"/>
              <w:rPr>
                <w:sz w:val="14"/>
                <w:szCs w:val="14"/>
                <w:color w:val="auto"/>
              </w:rPr>
            </w:pPr>
          </w:p>
        </w:tc>
        <w:tc>
          <w:tcPr>
            <w:tcW w:w="1100" w:type="dxa"/>
            <w:vAlign w:val="bottom"/>
            <w:gridSpan w:val="2"/>
            <w:shd w:val="clear" w:color="auto" w:fill="434F69"/>
          </w:tcPr>
          <w:p>
            <w:pPr>
              <w:ind w:left="80"/>
              <w:spacing w:after="0"/>
              <w:rPr>
                <w:sz w:val="20"/>
                <w:szCs w:val="20"/>
                <w:color w:val="auto"/>
              </w:rPr>
            </w:pPr>
            <w:r>
              <w:rPr>
                <w:rFonts w:ascii="Arial" w:cs="Arial" w:eastAsia="Arial" w:hAnsi="Arial"/>
                <w:sz w:val="14"/>
                <w:szCs w:val="14"/>
                <w:b w:val="1"/>
                <w:bCs w:val="1"/>
                <w:color w:val="FFFFFF"/>
              </w:rPr>
              <w:t>and Realizable</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Value as % of</w:t>
            </w:r>
          </w:p>
        </w:tc>
        <w:tc>
          <w:tcPr>
            <w:tcW w:w="1140" w:type="dxa"/>
            <w:vAlign w:val="bottom"/>
            <w:gridSpan w:val="2"/>
            <w:shd w:val="clear" w:color="auto" w:fill="434F69"/>
          </w:tcPr>
          <w:p>
            <w:pPr>
              <w:ind w:left="120"/>
              <w:spacing w:after="0"/>
              <w:rPr>
                <w:sz w:val="20"/>
                <w:szCs w:val="20"/>
                <w:color w:val="auto"/>
              </w:rPr>
            </w:pPr>
            <w:r>
              <w:rPr>
                <w:rFonts w:ascii="Arial" w:cs="Arial" w:eastAsia="Arial" w:hAnsi="Arial"/>
                <w:sz w:val="14"/>
                <w:szCs w:val="14"/>
                <w:b w:val="1"/>
                <w:bCs w:val="1"/>
                <w:color w:val="FFFFFF"/>
              </w:rPr>
              <w:t>and Realizable</w:t>
            </w:r>
          </w:p>
        </w:tc>
        <w:tc>
          <w:tcPr>
            <w:tcW w:w="106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Value as % of</w:t>
            </w:r>
          </w:p>
        </w:tc>
      </w:tr>
      <w:tr>
        <w:trPr>
          <w:trHeight w:val="162"/>
        </w:trPr>
        <w:tc>
          <w:tcPr>
            <w:tcW w:w="800" w:type="dxa"/>
            <w:vAlign w:val="bottom"/>
            <w:tcBorders>
              <w:left w:val="single" w:sz="8" w:color="697287"/>
            </w:tcBorders>
            <w:shd w:val="clear" w:color="auto" w:fill="434F69"/>
          </w:tcPr>
          <w:p>
            <w:pPr>
              <w:spacing w:after="0"/>
              <w:rPr>
                <w:sz w:val="14"/>
                <w:szCs w:val="14"/>
                <w:color w:val="auto"/>
              </w:rPr>
            </w:pPr>
          </w:p>
        </w:tc>
        <w:tc>
          <w:tcPr>
            <w:tcW w:w="1020" w:type="dxa"/>
            <w:vAlign w:val="bottom"/>
            <w:shd w:val="clear" w:color="auto" w:fill="434F69"/>
          </w:tcPr>
          <w:p>
            <w:pPr>
              <w:spacing w:after="0"/>
              <w:rPr>
                <w:sz w:val="14"/>
                <w:szCs w:val="14"/>
                <w:color w:val="auto"/>
              </w:rPr>
            </w:pPr>
          </w:p>
        </w:tc>
        <w:tc>
          <w:tcPr>
            <w:tcW w:w="260" w:type="dxa"/>
            <w:vAlign w:val="bottom"/>
            <w:shd w:val="clear" w:color="auto" w:fill="434F69"/>
          </w:tcPr>
          <w:p>
            <w:pPr>
              <w:spacing w:after="0"/>
              <w:rPr>
                <w:sz w:val="14"/>
                <w:szCs w:val="14"/>
                <w:color w:val="auto"/>
              </w:rPr>
            </w:pPr>
          </w:p>
        </w:tc>
        <w:tc>
          <w:tcPr>
            <w:tcW w:w="980" w:type="dxa"/>
            <w:vAlign w:val="bottom"/>
            <w:shd w:val="clear" w:color="auto" w:fill="434F69"/>
          </w:tcPr>
          <w:p>
            <w:pPr>
              <w:jc w:val="center"/>
              <w:ind w:right="194"/>
              <w:spacing w:after="0"/>
              <w:rPr>
                <w:sz w:val="20"/>
                <w:szCs w:val="20"/>
                <w:color w:val="auto"/>
              </w:rPr>
            </w:pPr>
            <w:r>
              <w:rPr>
                <w:rFonts w:ascii="Arial" w:cs="Arial" w:eastAsia="Arial" w:hAnsi="Arial"/>
                <w:sz w:val="14"/>
                <w:szCs w:val="14"/>
                <w:b w:val="1"/>
                <w:bCs w:val="1"/>
                <w:color w:val="FFFFFF"/>
                <w:w w:val="97"/>
              </w:rPr>
              <w:t>Grant Date</w:t>
            </w:r>
          </w:p>
        </w:tc>
        <w:tc>
          <w:tcPr>
            <w:tcW w:w="8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10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Value of O/S</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Realizable</w:t>
            </w:r>
          </w:p>
        </w:tc>
        <w:tc>
          <w:tcPr>
            <w:tcW w:w="114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Value of O/S</w:t>
            </w:r>
          </w:p>
        </w:tc>
        <w:tc>
          <w:tcPr>
            <w:tcW w:w="106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Realizable</w:t>
            </w:r>
          </w:p>
        </w:tc>
      </w:tr>
      <w:tr>
        <w:trPr>
          <w:trHeight w:val="158"/>
        </w:trPr>
        <w:tc>
          <w:tcPr>
            <w:tcW w:w="800" w:type="dxa"/>
            <w:vAlign w:val="bottom"/>
            <w:tcBorders>
              <w:left w:val="single" w:sz="8" w:color="697287"/>
            </w:tcBorders>
            <w:shd w:val="clear" w:color="auto" w:fill="434F69"/>
          </w:tcPr>
          <w:p>
            <w:pPr>
              <w:ind w:left="60"/>
              <w:spacing w:after="0" w:line="158" w:lineRule="exact"/>
              <w:rPr>
                <w:sz w:val="20"/>
                <w:szCs w:val="20"/>
                <w:color w:val="auto"/>
              </w:rPr>
            </w:pPr>
            <w:r>
              <w:rPr>
                <w:rFonts w:ascii="Arial" w:cs="Arial" w:eastAsia="Arial" w:hAnsi="Arial"/>
                <w:sz w:val="14"/>
                <w:szCs w:val="14"/>
                <w:b w:val="1"/>
                <w:bCs w:val="1"/>
                <w:color w:val="FFFFFF"/>
              </w:rPr>
              <w:t>Grant</w:t>
            </w:r>
          </w:p>
        </w:tc>
        <w:tc>
          <w:tcPr>
            <w:tcW w:w="1020" w:type="dxa"/>
            <w:vAlign w:val="bottom"/>
            <w:shd w:val="clear" w:color="auto" w:fill="434F69"/>
          </w:tcPr>
          <w:p>
            <w:pPr>
              <w:jc w:val="right"/>
              <w:ind w:right="14"/>
              <w:spacing w:after="0" w:line="158" w:lineRule="exact"/>
              <w:rPr>
                <w:sz w:val="20"/>
                <w:szCs w:val="20"/>
                <w:color w:val="auto"/>
              </w:rPr>
            </w:pPr>
            <w:r>
              <w:rPr>
                <w:rFonts w:ascii="Arial" w:cs="Arial" w:eastAsia="Arial" w:hAnsi="Arial"/>
                <w:sz w:val="14"/>
                <w:szCs w:val="14"/>
                <w:b w:val="1"/>
                <w:bCs w:val="1"/>
                <w:color w:val="FFFFFF"/>
              </w:rPr>
              <w:t>Initial Units</w:t>
            </w:r>
          </w:p>
        </w:tc>
        <w:tc>
          <w:tcPr>
            <w:tcW w:w="1240" w:type="dxa"/>
            <w:vAlign w:val="bottom"/>
            <w:gridSpan w:val="2"/>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7"/>
              </w:rPr>
              <w:t>Market Value</w:t>
            </w:r>
          </w:p>
        </w:tc>
        <w:tc>
          <w:tcPr>
            <w:tcW w:w="80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1"/>
              </w:rPr>
              <w:t>Unvested</w:t>
            </w:r>
          </w:p>
        </w:tc>
        <w:tc>
          <w:tcPr>
            <w:tcW w:w="200" w:type="dxa"/>
            <w:vAlign w:val="bottom"/>
            <w:shd w:val="clear" w:color="auto" w:fill="434F69"/>
          </w:tcPr>
          <w:p>
            <w:pPr>
              <w:spacing w:after="0"/>
              <w:rPr>
                <w:sz w:val="13"/>
                <w:szCs w:val="13"/>
                <w:color w:val="auto"/>
              </w:rPr>
            </w:pPr>
          </w:p>
        </w:tc>
        <w:tc>
          <w:tcPr>
            <w:tcW w:w="900" w:type="dxa"/>
            <w:vAlign w:val="bottom"/>
            <w:shd w:val="clear" w:color="auto" w:fill="434F69"/>
          </w:tcPr>
          <w:p>
            <w:pPr>
              <w:jc w:val="center"/>
              <w:ind w:right="135"/>
              <w:spacing w:after="0" w:line="158" w:lineRule="exact"/>
              <w:rPr>
                <w:sz w:val="20"/>
                <w:szCs w:val="20"/>
                <w:color w:val="auto"/>
              </w:rPr>
            </w:pPr>
            <w:r>
              <w:rPr>
                <w:rFonts w:ascii="Arial" w:cs="Arial" w:eastAsia="Arial" w:hAnsi="Arial"/>
                <w:sz w:val="14"/>
                <w:szCs w:val="14"/>
                <w:b w:val="1"/>
                <w:bCs w:val="1"/>
                <w:color w:val="FFFFFF"/>
                <w:w w:val="89"/>
              </w:rPr>
              <w:t>Units as of</w:t>
            </w:r>
          </w:p>
        </w:tc>
        <w:tc>
          <w:tcPr>
            <w:tcW w:w="106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7"/>
              </w:rPr>
              <w:t>Grant Date</w:t>
            </w:r>
          </w:p>
        </w:tc>
        <w:tc>
          <w:tcPr>
            <w:tcW w:w="220" w:type="dxa"/>
            <w:vAlign w:val="bottom"/>
            <w:shd w:val="clear" w:color="auto" w:fill="434F69"/>
          </w:tcPr>
          <w:p>
            <w:pPr>
              <w:spacing w:after="0"/>
              <w:rPr>
                <w:sz w:val="13"/>
                <w:szCs w:val="13"/>
                <w:color w:val="auto"/>
              </w:rPr>
            </w:pPr>
          </w:p>
        </w:tc>
        <w:tc>
          <w:tcPr>
            <w:tcW w:w="920" w:type="dxa"/>
            <w:vAlign w:val="bottom"/>
            <w:shd w:val="clear" w:color="auto" w:fill="434F69"/>
          </w:tcPr>
          <w:p>
            <w:pPr>
              <w:jc w:val="center"/>
              <w:ind w:right="135"/>
              <w:spacing w:after="0" w:line="158" w:lineRule="exact"/>
              <w:rPr>
                <w:sz w:val="20"/>
                <w:szCs w:val="20"/>
                <w:color w:val="auto"/>
              </w:rPr>
            </w:pPr>
            <w:r>
              <w:rPr>
                <w:rFonts w:ascii="Arial" w:cs="Arial" w:eastAsia="Arial" w:hAnsi="Arial"/>
                <w:sz w:val="14"/>
                <w:szCs w:val="14"/>
                <w:b w:val="1"/>
                <w:bCs w:val="1"/>
                <w:color w:val="FFFFFF"/>
                <w:w w:val="92"/>
              </w:rPr>
              <w:t>Units as of</w:t>
            </w:r>
          </w:p>
        </w:tc>
        <w:tc>
          <w:tcPr>
            <w:tcW w:w="1060" w:type="dxa"/>
            <w:vAlign w:val="bottom"/>
            <w:tcBorders>
              <w:right w:val="single" w:sz="8" w:color="697287"/>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7"/>
              </w:rPr>
              <w:t>Grant Date</w:t>
            </w:r>
          </w:p>
        </w:tc>
      </w:tr>
      <w:tr>
        <w:trPr>
          <w:trHeight w:val="230"/>
        </w:trPr>
        <w:tc>
          <w:tcPr>
            <w:tcW w:w="800" w:type="dxa"/>
            <w:vAlign w:val="bottom"/>
            <w:tcBorders>
              <w:left w:val="single" w:sz="8" w:color="697287"/>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Date</w:t>
            </w:r>
          </w:p>
        </w:tc>
        <w:tc>
          <w:tcPr>
            <w:tcW w:w="1020" w:type="dxa"/>
            <w:vAlign w:val="bottom"/>
            <w:shd w:val="clear" w:color="auto" w:fill="434F69"/>
          </w:tcPr>
          <w:p>
            <w:pPr>
              <w:jc w:val="right"/>
              <w:ind w:right="114"/>
              <w:spacing w:after="0"/>
              <w:rPr>
                <w:sz w:val="20"/>
                <w:szCs w:val="20"/>
                <w:color w:val="auto"/>
              </w:rPr>
            </w:pPr>
            <w:r>
              <w:rPr>
                <w:rFonts w:ascii="Arial" w:cs="Arial" w:eastAsia="Arial" w:hAnsi="Arial"/>
                <w:sz w:val="14"/>
                <w:szCs w:val="14"/>
                <w:b w:val="1"/>
                <w:bCs w:val="1"/>
                <w:color w:val="FFFFFF"/>
              </w:rPr>
              <w:t>Granted</w:t>
            </w:r>
          </w:p>
        </w:tc>
        <w:tc>
          <w:tcPr>
            <w:tcW w:w="1240" w:type="dxa"/>
            <w:vAlign w:val="bottom"/>
            <w:gridSpan w:val="2"/>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92"/>
              </w:rPr>
              <w:t>of Initial Units</w:t>
            </w:r>
            <w:r>
              <w:rPr>
                <w:rFonts w:ascii="Arial" w:cs="Arial" w:eastAsia="Arial" w:hAnsi="Arial"/>
                <w:sz w:val="21"/>
                <w:szCs w:val="21"/>
                <w:b w:val="1"/>
                <w:bCs w:val="1"/>
                <w:color w:val="FFFFFF"/>
                <w:w w:val="92"/>
                <w:vertAlign w:val="superscript"/>
              </w:rPr>
              <w:t>(1)</w:t>
            </w:r>
          </w:p>
        </w:tc>
        <w:tc>
          <w:tcPr>
            <w:tcW w:w="8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Units</w:t>
            </w:r>
          </w:p>
        </w:tc>
        <w:tc>
          <w:tcPr>
            <w:tcW w:w="200" w:type="dxa"/>
            <w:vAlign w:val="bottom"/>
            <w:shd w:val="clear" w:color="auto" w:fill="434F69"/>
          </w:tcPr>
          <w:p>
            <w:pPr>
              <w:spacing w:after="0"/>
              <w:rPr>
                <w:sz w:val="19"/>
                <w:szCs w:val="19"/>
                <w:color w:val="auto"/>
              </w:rPr>
            </w:pPr>
          </w:p>
        </w:tc>
        <w:tc>
          <w:tcPr>
            <w:tcW w:w="900" w:type="dxa"/>
            <w:vAlign w:val="bottom"/>
            <w:shd w:val="clear" w:color="auto" w:fill="434F69"/>
          </w:tcPr>
          <w:p>
            <w:pPr>
              <w:jc w:val="center"/>
              <w:ind w:right="135"/>
              <w:spacing w:after="0" w:line="230" w:lineRule="exact"/>
              <w:rPr>
                <w:sz w:val="20"/>
                <w:szCs w:val="20"/>
                <w:color w:val="auto"/>
              </w:rPr>
            </w:pPr>
            <w:r>
              <w:rPr>
                <w:rFonts w:ascii="Arial" w:cs="Arial" w:eastAsia="Arial" w:hAnsi="Arial"/>
                <w:sz w:val="14"/>
                <w:szCs w:val="14"/>
                <w:b w:val="1"/>
                <w:bCs w:val="1"/>
                <w:color w:val="FFFFFF"/>
                <w:w w:val="89"/>
              </w:rPr>
              <w:t>12/31/19</w:t>
            </w:r>
            <w:r>
              <w:rPr>
                <w:rFonts w:ascii="Arial" w:cs="Arial" w:eastAsia="Arial" w:hAnsi="Arial"/>
                <w:sz w:val="21"/>
                <w:szCs w:val="21"/>
                <w:b w:val="1"/>
                <w:bCs w:val="1"/>
                <w:color w:val="FFFFFF"/>
                <w:w w:val="89"/>
                <w:vertAlign w:val="superscript"/>
              </w:rPr>
              <w:t>(2)</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Market Value</w:t>
            </w:r>
          </w:p>
        </w:tc>
        <w:tc>
          <w:tcPr>
            <w:tcW w:w="220" w:type="dxa"/>
            <w:vAlign w:val="bottom"/>
            <w:shd w:val="clear" w:color="auto" w:fill="434F69"/>
          </w:tcPr>
          <w:p>
            <w:pPr>
              <w:spacing w:after="0"/>
              <w:rPr>
                <w:sz w:val="19"/>
                <w:szCs w:val="19"/>
                <w:color w:val="auto"/>
              </w:rPr>
            </w:pPr>
          </w:p>
        </w:tc>
        <w:tc>
          <w:tcPr>
            <w:tcW w:w="920" w:type="dxa"/>
            <w:vAlign w:val="bottom"/>
            <w:shd w:val="clear" w:color="auto" w:fill="434F69"/>
          </w:tcPr>
          <w:p>
            <w:pPr>
              <w:jc w:val="center"/>
              <w:ind w:right="135"/>
              <w:spacing w:after="0" w:line="230" w:lineRule="exact"/>
              <w:rPr>
                <w:sz w:val="20"/>
                <w:szCs w:val="20"/>
                <w:color w:val="auto"/>
              </w:rPr>
            </w:pPr>
            <w:r>
              <w:rPr>
                <w:rFonts w:ascii="Arial" w:cs="Arial" w:eastAsia="Arial" w:hAnsi="Arial"/>
                <w:sz w:val="14"/>
                <w:szCs w:val="14"/>
                <w:b w:val="1"/>
                <w:bCs w:val="1"/>
                <w:color w:val="FFFFFF"/>
                <w:w w:val="90"/>
              </w:rPr>
              <w:t>3/27/20</w:t>
            </w:r>
            <w:r>
              <w:rPr>
                <w:rFonts w:ascii="Arial" w:cs="Arial" w:eastAsia="Arial" w:hAnsi="Arial"/>
                <w:sz w:val="21"/>
                <w:szCs w:val="21"/>
                <w:b w:val="1"/>
                <w:bCs w:val="1"/>
                <w:color w:val="FFFFFF"/>
                <w:w w:val="90"/>
                <w:vertAlign w:val="superscript"/>
              </w:rPr>
              <w:t>(3)</w:t>
            </w:r>
          </w:p>
        </w:tc>
        <w:tc>
          <w:tcPr>
            <w:tcW w:w="106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Market Value</w:t>
            </w:r>
          </w:p>
        </w:tc>
      </w:tr>
      <w:tr>
        <w:trPr>
          <w:trHeight w:val="263"/>
        </w:trPr>
        <w:tc>
          <w:tcPr>
            <w:tcW w:w="80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8/24/15</w:t>
            </w:r>
          </w:p>
        </w:tc>
        <w:tc>
          <w:tcPr>
            <w:tcW w:w="1020" w:type="dxa"/>
            <w:vAlign w:val="bottom"/>
            <w:tcBorders>
              <w:bottom w:val="single" w:sz="8" w:color="434F69"/>
            </w:tcBorders>
            <w:shd w:val="clear" w:color="auto" w:fill="D9DCE1"/>
          </w:tcPr>
          <w:p>
            <w:pPr>
              <w:jc w:val="right"/>
              <w:ind w:right="14"/>
              <w:spacing w:after="0"/>
              <w:rPr>
                <w:sz w:val="20"/>
                <w:szCs w:val="20"/>
                <w:color w:val="auto"/>
              </w:rPr>
            </w:pPr>
            <w:r>
              <w:rPr>
                <w:rFonts w:ascii="Arial" w:cs="Arial" w:eastAsia="Arial" w:hAnsi="Arial"/>
                <w:sz w:val="18"/>
                <w:szCs w:val="18"/>
                <w:color w:val="auto"/>
              </w:rPr>
              <w:t>120,000</w:t>
            </w:r>
          </w:p>
        </w:tc>
        <w:tc>
          <w:tcPr>
            <w:tcW w:w="2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shd w:val="clear" w:color="auto" w:fill="D9DCE1"/>
          </w:tcPr>
          <w:p>
            <w:pPr>
              <w:jc w:val="right"/>
              <w:ind w:right="74"/>
              <w:spacing w:after="0"/>
              <w:rPr>
                <w:sz w:val="20"/>
                <w:szCs w:val="20"/>
                <w:color w:val="auto"/>
              </w:rPr>
            </w:pPr>
            <w:r>
              <w:rPr>
                <w:rFonts w:ascii="Arial" w:cs="Arial" w:eastAsia="Arial" w:hAnsi="Arial"/>
                <w:sz w:val="18"/>
                <w:szCs w:val="18"/>
                <w:color w:val="auto"/>
                <w:w w:val="99"/>
              </w:rPr>
              <w:t>3,799,200</w:t>
            </w:r>
          </w:p>
        </w:tc>
        <w:tc>
          <w:tcPr>
            <w:tcW w:w="8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rPr>
              <w:t>36,000</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w w:val="97"/>
              </w:rPr>
              <w:t>2,587,440</w:t>
            </w:r>
          </w:p>
        </w:tc>
        <w:tc>
          <w:tcPr>
            <w:tcW w:w="1060" w:type="dxa"/>
            <w:vAlign w:val="bottom"/>
            <w:tcBorders>
              <w:bottom w:val="single" w:sz="8" w:color="434F69"/>
            </w:tcBorders>
            <w:shd w:val="clear" w:color="auto" w:fill="D9DCE1"/>
          </w:tcPr>
          <w:p>
            <w:pPr>
              <w:ind w:left="380"/>
              <w:spacing w:after="0"/>
              <w:rPr>
                <w:sz w:val="20"/>
                <w:szCs w:val="20"/>
                <w:color w:val="auto"/>
              </w:rPr>
            </w:pPr>
            <w:r>
              <w:rPr>
                <w:rFonts w:ascii="Arial" w:cs="Arial" w:eastAsia="Arial" w:hAnsi="Arial"/>
                <w:sz w:val="18"/>
                <w:szCs w:val="18"/>
                <w:color w:val="auto"/>
              </w:rPr>
              <w:t>68.1%</w:t>
            </w:r>
          </w:p>
        </w:tc>
        <w:tc>
          <w:tcPr>
            <w:tcW w:w="22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434F69"/>
            </w:tcBorders>
            <w:shd w:val="clear" w:color="auto" w:fill="D9DCE1"/>
          </w:tcPr>
          <w:p>
            <w:pPr>
              <w:jc w:val="right"/>
              <w:ind w:right="35"/>
              <w:spacing w:after="0"/>
              <w:rPr>
                <w:sz w:val="20"/>
                <w:szCs w:val="20"/>
                <w:color w:val="auto"/>
              </w:rPr>
            </w:pPr>
            <w:r>
              <w:rPr>
                <w:rFonts w:ascii="Arial" w:cs="Arial" w:eastAsia="Arial" w:hAnsi="Arial"/>
                <w:sz w:val="18"/>
                <w:szCs w:val="18"/>
                <w:color w:val="auto"/>
                <w:w w:val="97"/>
              </w:rPr>
              <w:t>2,124,480</w:t>
            </w:r>
          </w:p>
        </w:tc>
        <w:tc>
          <w:tcPr>
            <w:tcW w:w="1060" w:type="dxa"/>
            <w:vAlign w:val="bottom"/>
            <w:tcBorders>
              <w:bottom w:val="single" w:sz="8" w:color="434F69"/>
              <w:right w:val="single" w:sz="8" w:color="697287"/>
            </w:tcBorders>
            <w:shd w:val="clear" w:color="auto" w:fill="D9DCE1"/>
          </w:tcPr>
          <w:p>
            <w:pPr>
              <w:ind w:left="380"/>
              <w:spacing w:after="0"/>
              <w:rPr>
                <w:sz w:val="20"/>
                <w:szCs w:val="20"/>
                <w:color w:val="auto"/>
              </w:rPr>
            </w:pPr>
            <w:r>
              <w:rPr>
                <w:rFonts w:ascii="Arial" w:cs="Arial" w:eastAsia="Arial" w:hAnsi="Arial"/>
                <w:sz w:val="18"/>
                <w:szCs w:val="18"/>
                <w:color w:val="auto"/>
              </w:rPr>
              <w:t>55.9%</w:t>
            </w:r>
          </w:p>
        </w:tc>
      </w:tr>
      <w:tr>
        <w:trPr>
          <w:trHeight w:val="264"/>
        </w:trPr>
        <w:tc>
          <w:tcPr>
            <w:tcW w:w="80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8/25/16</w:t>
            </w:r>
          </w:p>
        </w:tc>
        <w:tc>
          <w:tcPr>
            <w:tcW w:w="1020" w:type="dxa"/>
            <w:vAlign w:val="bottom"/>
            <w:tcBorders>
              <w:bottom w:val="single" w:sz="8" w:color="434F69"/>
            </w:tcBorders>
          </w:tcPr>
          <w:p>
            <w:pPr>
              <w:jc w:val="right"/>
              <w:ind w:right="14"/>
              <w:spacing w:after="0"/>
              <w:rPr>
                <w:sz w:val="20"/>
                <w:szCs w:val="20"/>
                <w:color w:val="auto"/>
              </w:rPr>
            </w:pPr>
            <w:r>
              <w:rPr>
                <w:rFonts w:ascii="Arial" w:cs="Arial" w:eastAsia="Arial" w:hAnsi="Arial"/>
                <w:sz w:val="18"/>
                <w:szCs w:val="18"/>
                <w:color w:val="auto"/>
              </w:rPr>
              <w:t>165,000</w:t>
            </w:r>
          </w:p>
        </w:tc>
        <w:tc>
          <w:tcPr>
            <w:tcW w:w="2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tcPr>
          <w:p>
            <w:pPr>
              <w:jc w:val="right"/>
              <w:ind w:right="74"/>
              <w:spacing w:after="0"/>
              <w:rPr>
                <w:sz w:val="20"/>
                <w:szCs w:val="20"/>
                <w:color w:val="auto"/>
              </w:rPr>
            </w:pPr>
            <w:r>
              <w:rPr>
                <w:rFonts w:ascii="Arial" w:cs="Arial" w:eastAsia="Arial" w:hAnsi="Arial"/>
                <w:sz w:val="18"/>
                <w:szCs w:val="18"/>
                <w:color w:val="auto"/>
                <w:w w:val="99"/>
              </w:rPr>
              <w:t>4,707,450</w:t>
            </w:r>
          </w:p>
        </w:tc>
        <w:tc>
          <w:tcPr>
            <w:tcW w:w="8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rPr>
              <w:t>55,000</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w w:val="97"/>
              </w:rPr>
              <w:t>3,523,850</w:t>
            </w:r>
          </w:p>
        </w:tc>
        <w:tc>
          <w:tcPr>
            <w:tcW w:w="1060" w:type="dxa"/>
            <w:vAlign w:val="bottom"/>
            <w:tcBorders>
              <w:bottom w:val="single" w:sz="8" w:color="434F69"/>
            </w:tcBorders>
          </w:tcPr>
          <w:p>
            <w:pPr>
              <w:ind w:left="380"/>
              <w:spacing w:after="0"/>
              <w:rPr>
                <w:sz w:val="20"/>
                <w:szCs w:val="20"/>
                <w:color w:val="auto"/>
              </w:rPr>
            </w:pPr>
            <w:r>
              <w:rPr>
                <w:rFonts w:ascii="Arial" w:cs="Arial" w:eastAsia="Arial" w:hAnsi="Arial"/>
                <w:sz w:val="18"/>
                <w:szCs w:val="18"/>
                <w:color w:val="auto"/>
              </w:rPr>
              <w:t>74.9%</w:t>
            </w:r>
          </w:p>
        </w:tc>
        <w:tc>
          <w:tcPr>
            <w:tcW w:w="22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434F69"/>
            </w:tcBorders>
          </w:tcPr>
          <w:p>
            <w:pPr>
              <w:jc w:val="right"/>
              <w:ind w:right="35"/>
              <w:spacing w:after="0"/>
              <w:rPr>
                <w:sz w:val="20"/>
                <w:szCs w:val="20"/>
                <w:color w:val="auto"/>
              </w:rPr>
            </w:pPr>
            <w:r>
              <w:rPr>
                <w:rFonts w:ascii="Arial" w:cs="Arial" w:eastAsia="Arial" w:hAnsi="Arial"/>
                <w:sz w:val="18"/>
                <w:szCs w:val="18"/>
                <w:color w:val="auto"/>
                <w:w w:val="97"/>
              </w:rPr>
              <w:t>2,816,550</w:t>
            </w:r>
          </w:p>
        </w:tc>
        <w:tc>
          <w:tcPr>
            <w:tcW w:w="1060" w:type="dxa"/>
            <w:vAlign w:val="bottom"/>
            <w:tcBorders>
              <w:bottom w:val="single" w:sz="8" w:color="434F69"/>
              <w:right w:val="single" w:sz="8" w:color="697287"/>
            </w:tcBorders>
          </w:tcPr>
          <w:p>
            <w:pPr>
              <w:ind w:left="380"/>
              <w:spacing w:after="0"/>
              <w:rPr>
                <w:sz w:val="20"/>
                <w:szCs w:val="20"/>
                <w:color w:val="auto"/>
              </w:rPr>
            </w:pPr>
            <w:r>
              <w:rPr>
                <w:rFonts w:ascii="Arial" w:cs="Arial" w:eastAsia="Arial" w:hAnsi="Arial"/>
                <w:sz w:val="18"/>
                <w:szCs w:val="18"/>
                <w:color w:val="auto"/>
              </w:rPr>
              <w:t>59.8%</w:t>
            </w:r>
          </w:p>
        </w:tc>
      </w:tr>
      <w:tr>
        <w:trPr>
          <w:trHeight w:val="263"/>
        </w:trPr>
        <w:tc>
          <w:tcPr>
            <w:tcW w:w="80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7/5/17</w:t>
            </w:r>
          </w:p>
        </w:tc>
        <w:tc>
          <w:tcPr>
            <w:tcW w:w="10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65,000</w:t>
            </w:r>
          </w:p>
        </w:tc>
        <w:tc>
          <w:tcPr>
            <w:tcW w:w="2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shd w:val="clear" w:color="auto" w:fill="D9DCE1"/>
          </w:tcPr>
          <w:p>
            <w:pPr>
              <w:jc w:val="right"/>
              <w:ind w:right="74"/>
              <w:spacing w:after="0"/>
              <w:rPr>
                <w:sz w:val="20"/>
                <w:szCs w:val="20"/>
                <w:color w:val="auto"/>
              </w:rPr>
            </w:pPr>
            <w:r>
              <w:rPr>
                <w:rFonts w:ascii="Arial" w:cs="Arial" w:eastAsia="Arial" w:hAnsi="Arial"/>
                <w:sz w:val="18"/>
                <w:szCs w:val="18"/>
                <w:color w:val="auto"/>
                <w:w w:val="99"/>
              </w:rPr>
              <w:t>1,714,700</w:t>
            </w:r>
          </w:p>
        </w:tc>
        <w:tc>
          <w:tcPr>
            <w:tcW w:w="8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w w:val="97"/>
              </w:rPr>
              <w:t>1,555,450</w:t>
            </w:r>
          </w:p>
        </w:tc>
        <w:tc>
          <w:tcPr>
            <w:tcW w:w="1060" w:type="dxa"/>
            <w:vAlign w:val="bottom"/>
            <w:tcBorders>
              <w:bottom w:val="single" w:sz="8" w:color="434F69"/>
            </w:tcBorders>
            <w:shd w:val="clear" w:color="auto" w:fill="D9DCE1"/>
          </w:tcPr>
          <w:p>
            <w:pPr>
              <w:ind w:left="380"/>
              <w:spacing w:after="0"/>
              <w:rPr>
                <w:sz w:val="20"/>
                <w:szCs w:val="20"/>
                <w:color w:val="auto"/>
              </w:rPr>
            </w:pPr>
            <w:r>
              <w:rPr>
                <w:rFonts w:ascii="Arial" w:cs="Arial" w:eastAsia="Arial" w:hAnsi="Arial"/>
                <w:sz w:val="18"/>
                <w:szCs w:val="18"/>
                <w:color w:val="auto"/>
              </w:rPr>
              <w:t>90.7%</w:t>
            </w:r>
          </w:p>
        </w:tc>
        <w:tc>
          <w:tcPr>
            <w:tcW w:w="22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434F69"/>
            </w:tcBorders>
            <w:shd w:val="clear" w:color="auto" w:fill="D9DCE1"/>
          </w:tcPr>
          <w:p>
            <w:pPr>
              <w:jc w:val="right"/>
              <w:ind w:right="35"/>
              <w:spacing w:after="0"/>
              <w:rPr>
                <w:sz w:val="20"/>
                <w:szCs w:val="20"/>
                <w:color w:val="auto"/>
              </w:rPr>
            </w:pPr>
            <w:r>
              <w:rPr>
                <w:rFonts w:ascii="Arial" w:cs="Arial" w:eastAsia="Arial" w:hAnsi="Arial"/>
                <w:sz w:val="18"/>
                <w:szCs w:val="18"/>
                <w:color w:val="auto"/>
                <w:w w:val="97"/>
              </w:rPr>
              <w:t>1,555,450</w:t>
            </w:r>
          </w:p>
        </w:tc>
        <w:tc>
          <w:tcPr>
            <w:tcW w:w="1060" w:type="dxa"/>
            <w:vAlign w:val="bottom"/>
            <w:tcBorders>
              <w:bottom w:val="single" w:sz="8" w:color="434F69"/>
              <w:right w:val="single" w:sz="8" w:color="697287"/>
            </w:tcBorders>
            <w:shd w:val="clear" w:color="auto" w:fill="D9DCE1"/>
          </w:tcPr>
          <w:p>
            <w:pPr>
              <w:ind w:left="380"/>
              <w:spacing w:after="0"/>
              <w:rPr>
                <w:sz w:val="20"/>
                <w:szCs w:val="20"/>
                <w:color w:val="auto"/>
              </w:rPr>
            </w:pPr>
            <w:r>
              <w:rPr>
                <w:rFonts w:ascii="Arial" w:cs="Arial" w:eastAsia="Arial" w:hAnsi="Arial"/>
                <w:sz w:val="18"/>
                <w:szCs w:val="18"/>
                <w:color w:val="auto"/>
              </w:rPr>
              <w:t>90.7%</w:t>
            </w:r>
          </w:p>
        </w:tc>
      </w:tr>
      <w:tr>
        <w:trPr>
          <w:trHeight w:val="263"/>
        </w:trPr>
        <w:tc>
          <w:tcPr>
            <w:tcW w:w="80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3/22/18</w:t>
            </w:r>
          </w:p>
        </w:tc>
        <w:tc>
          <w:tcPr>
            <w:tcW w:w="10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tcPr>
          <w:p>
            <w:pPr>
              <w:jc w:val="right"/>
              <w:ind w:right="74"/>
              <w:spacing w:after="0"/>
              <w:rPr>
                <w:sz w:val="20"/>
                <w:szCs w:val="20"/>
                <w:color w:val="auto"/>
              </w:rPr>
            </w:pPr>
            <w:r>
              <w:rPr>
                <w:rFonts w:ascii="Arial" w:cs="Arial" w:eastAsia="Arial" w:hAnsi="Arial"/>
                <w:sz w:val="18"/>
                <w:szCs w:val="18"/>
                <w:color w:val="auto"/>
                <w:w w:val="99"/>
              </w:rPr>
              <w:t>1,088,500</w:t>
            </w:r>
          </w:p>
        </w:tc>
        <w:tc>
          <w:tcPr>
            <w:tcW w:w="8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rPr>
              <w:t>25,000</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w w:val="97"/>
              </w:rPr>
              <w:t>1,054,750</w:t>
            </w:r>
          </w:p>
        </w:tc>
        <w:tc>
          <w:tcPr>
            <w:tcW w:w="1060" w:type="dxa"/>
            <w:vAlign w:val="bottom"/>
            <w:tcBorders>
              <w:bottom w:val="single" w:sz="8" w:color="434F69"/>
            </w:tcBorders>
          </w:tcPr>
          <w:p>
            <w:pPr>
              <w:ind w:left="380"/>
              <w:spacing w:after="0"/>
              <w:rPr>
                <w:sz w:val="20"/>
                <w:szCs w:val="20"/>
                <w:color w:val="auto"/>
              </w:rPr>
            </w:pPr>
            <w:r>
              <w:rPr>
                <w:rFonts w:ascii="Arial" w:cs="Arial" w:eastAsia="Arial" w:hAnsi="Arial"/>
                <w:sz w:val="18"/>
                <w:szCs w:val="18"/>
                <w:color w:val="auto"/>
              </w:rPr>
              <w:t>96.9%</w:t>
            </w:r>
          </w:p>
        </w:tc>
        <w:tc>
          <w:tcPr>
            <w:tcW w:w="22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434F69"/>
            </w:tcBorders>
          </w:tcPr>
          <w:p>
            <w:pPr>
              <w:jc w:val="right"/>
              <w:ind w:right="35"/>
              <w:spacing w:after="0"/>
              <w:rPr>
                <w:sz w:val="20"/>
                <w:szCs w:val="20"/>
                <w:color w:val="auto"/>
              </w:rPr>
            </w:pPr>
            <w:r>
              <w:rPr>
                <w:rFonts w:ascii="Arial" w:cs="Arial" w:eastAsia="Arial" w:hAnsi="Arial"/>
                <w:sz w:val="18"/>
                <w:szCs w:val="18"/>
                <w:color w:val="auto"/>
              </w:rPr>
              <w:t>733,250</w:t>
            </w:r>
          </w:p>
        </w:tc>
        <w:tc>
          <w:tcPr>
            <w:tcW w:w="1060" w:type="dxa"/>
            <w:vAlign w:val="bottom"/>
            <w:tcBorders>
              <w:bottom w:val="single" w:sz="8" w:color="434F69"/>
              <w:right w:val="single" w:sz="8" w:color="697287"/>
            </w:tcBorders>
          </w:tcPr>
          <w:p>
            <w:pPr>
              <w:ind w:left="380"/>
              <w:spacing w:after="0"/>
              <w:rPr>
                <w:sz w:val="20"/>
                <w:szCs w:val="20"/>
                <w:color w:val="auto"/>
              </w:rPr>
            </w:pPr>
            <w:r>
              <w:rPr>
                <w:rFonts w:ascii="Arial" w:cs="Arial" w:eastAsia="Arial" w:hAnsi="Arial"/>
                <w:sz w:val="18"/>
                <w:szCs w:val="18"/>
                <w:color w:val="auto"/>
              </w:rPr>
              <w:t>67.4%</w:t>
            </w:r>
          </w:p>
        </w:tc>
      </w:tr>
      <w:tr>
        <w:trPr>
          <w:trHeight w:val="264"/>
        </w:trPr>
        <w:tc>
          <w:tcPr>
            <w:tcW w:w="80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8/16/18</w:t>
            </w:r>
          </w:p>
        </w:tc>
        <w:tc>
          <w:tcPr>
            <w:tcW w:w="1020" w:type="dxa"/>
            <w:vAlign w:val="bottom"/>
            <w:tcBorders>
              <w:bottom w:val="single" w:sz="8" w:color="434F69"/>
            </w:tcBorders>
            <w:shd w:val="clear" w:color="auto" w:fill="D9DCE1"/>
          </w:tcPr>
          <w:p>
            <w:pPr>
              <w:jc w:val="right"/>
              <w:ind w:right="14"/>
              <w:spacing w:after="0"/>
              <w:rPr>
                <w:sz w:val="20"/>
                <w:szCs w:val="20"/>
                <w:color w:val="auto"/>
              </w:rPr>
            </w:pPr>
            <w:r>
              <w:rPr>
                <w:rFonts w:ascii="Arial" w:cs="Arial" w:eastAsia="Arial" w:hAnsi="Arial"/>
                <w:sz w:val="18"/>
                <w:szCs w:val="18"/>
                <w:color w:val="auto"/>
              </w:rPr>
              <w:t>500,000</w:t>
            </w:r>
          </w:p>
        </w:tc>
        <w:tc>
          <w:tcPr>
            <w:tcW w:w="2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shd w:val="clear" w:color="auto" w:fill="D9DCE1"/>
          </w:tcPr>
          <w:p>
            <w:pPr>
              <w:jc w:val="right"/>
              <w:ind w:right="74"/>
              <w:spacing w:after="0"/>
              <w:rPr>
                <w:sz w:val="20"/>
                <w:szCs w:val="20"/>
                <w:color w:val="auto"/>
              </w:rPr>
            </w:pPr>
            <w:r>
              <w:rPr>
                <w:rFonts w:ascii="Arial" w:cs="Arial" w:eastAsia="Arial" w:hAnsi="Arial"/>
                <w:sz w:val="18"/>
                <w:szCs w:val="18"/>
                <w:color w:val="auto"/>
                <w:w w:val="88"/>
              </w:rPr>
              <w:t>13,425,000</w:t>
            </w:r>
          </w:p>
        </w:tc>
        <w:tc>
          <w:tcPr>
            <w:tcW w:w="8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rPr>
              <w:t>500,000</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w w:val="97"/>
              </w:rPr>
              <w:t>9,195,000</w:t>
            </w:r>
          </w:p>
        </w:tc>
        <w:tc>
          <w:tcPr>
            <w:tcW w:w="1060" w:type="dxa"/>
            <w:vAlign w:val="bottom"/>
            <w:tcBorders>
              <w:bottom w:val="single" w:sz="8" w:color="434F69"/>
            </w:tcBorders>
            <w:shd w:val="clear" w:color="auto" w:fill="D9DCE1"/>
          </w:tcPr>
          <w:p>
            <w:pPr>
              <w:ind w:left="380"/>
              <w:spacing w:after="0"/>
              <w:rPr>
                <w:sz w:val="20"/>
                <w:szCs w:val="20"/>
                <w:color w:val="auto"/>
              </w:rPr>
            </w:pPr>
            <w:r>
              <w:rPr>
                <w:rFonts w:ascii="Arial" w:cs="Arial" w:eastAsia="Arial" w:hAnsi="Arial"/>
                <w:sz w:val="18"/>
                <w:szCs w:val="18"/>
                <w:color w:val="auto"/>
              </w:rPr>
              <w:t>68.5%</w:t>
            </w:r>
          </w:p>
        </w:tc>
        <w:tc>
          <w:tcPr>
            <w:tcW w:w="22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434F69"/>
            </w:tcBorders>
            <w:shd w:val="clear" w:color="auto" w:fill="D9DCE1"/>
          </w:tcPr>
          <w:p>
            <w:pPr>
              <w:jc w:val="right"/>
              <w:ind w:right="35"/>
              <w:spacing w:after="0"/>
              <w:rPr>
                <w:sz w:val="20"/>
                <w:szCs w:val="20"/>
                <w:color w:val="auto"/>
              </w:rPr>
            </w:pPr>
            <w:r>
              <w:rPr>
                <w:rFonts w:ascii="Arial" w:cs="Arial" w:eastAsia="Arial" w:hAnsi="Arial"/>
                <w:sz w:val="18"/>
                <w:szCs w:val="18"/>
                <w:color w:val="auto"/>
                <w:w w:val="97"/>
              </w:rPr>
              <w:t>2,765,000</w:t>
            </w:r>
          </w:p>
        </w:tc>
        <w:tc>
          <w:tcPr>
            <w:tcW w:w="1060" w:type="dxa"/>
            <w:vAlign w:val="bottom"/>
            <w:tcBorders>
              <w:bottom w:val="single" w:sz="8" w:color="434F69"/>
              <w:right w:val="single" w:sz="8" w:color="697287"/>
            </w:tcBorders>
            <w:shd w:val="clear" w:color="auto" w:fill="D9DCE1"/>
          </w:tcPr>
          <w:p>
            <w:pPr>
              <w:ind w:left="380"/>
              <w:spacing w:after="0"/>
              <w:rPr>
                <w:sz w:val="20"/>
                <w:szCs w:val="20"/>
                <w:color w:val="auto"/>
              </w:rPr>
            </w:pPr>
            <w:r>
              <w:rPr>
                <w:rFonts w:ascii="Arial" w:cs="Arial" w:eastAsia="Arial" w:hAnsi="Arial"/>
                <w:sz w:val="18"/>
                <w:szCs w:val="18"/>
                <w:color w:val="auto"/>
              </w:rPr>
              <w:t>20.6%</w:t>
            </w:r>
          </w:p>
        </w:tc>
      </w:tr>
      <w:tr>
        <w:trPr>
          <w:trHeight w:val="263"/>
        </w:trPr>
        <w:tc>
          <w:tcPr>
            <w:tcW w:w="80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8/15/19</w:t>
            </w:r>
          </w:p>
        </w:tc>
        <w:tc>
          <w:tcPr>
            <w:tcW w:w="1020" w:type="dxa"/>
            <w:vAlign w:val="bottom"/>
            <w:tcBorders>
              <w:bottom w:val="single" w:sz="8" w:color="434F69"/>
            </w:tcBorders>
          </w:tcPr>
          <w:p>
            <w:pPr>
              <w:jc w:val="right"/>
              <w:ind w:right="14"/>
              <w:spacing w:after="0"/>
              <w:rPr>
                <w:sz w:val="20"/>
                <w:szCs w:val="20"/>
                <w:color w:val="auto"/>
              </w:rPr>
            </w:pPr>
            <w:r>
              <w:rPr>
                <w:rFonts w:ascii="Arial" w:cs="Arial" w:eastAsia="Arial" w:hAnsi="Arial"/>
                <w:sz w:val="18"/>
                <w:szCs w:val="18"/>
                <w:color w:val="auto"/>
              </w:rPr>
              <w:t>125,740</w:t>
            </w:r>
          </w:p>
        </w:tc>
        <w:tc>
          <w:tcPr>
            <w:tcW w:w="2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tcPr>
          <w:p>
            <w:pPr>
              <w:jc w:val="right"/>
              <w:ind w:right="74"/>
              <w:spacing w:after="0"/>
              <w:rPr>
                <w:sz w:val="20"/>
                <w:szCs w:val="20"/>
                <w:color w:val="auto"/>
              </w:rPr>
            </w:pPr>
            <w:r>
              <w:rPr>
                <w:rFonts w:ascii="Arial" w:cs="Arial" w:eastAsia="Arial" w:hAnsi="Arial"/>
                <w:sz w:val="18"/>
                <w:szCs w:val="18"/>
                <w:color w:val="auto"/>
                <w:w w:val="99"/>
              </w:rPr>
              <w:t>2,683,292</w:t>
            </w:r>
          </w:p>
        </w:tc>
        <w:tc>
          <w:tcPr>
            <w:tcW w:w="8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rPr>
              <w:t>125,740</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w w:val="97"/>
              </w:rPr>
              <w:t>2,312,359</w:t>
            </w:r>
          </w:p>
        </w:tc>
        <w:tc>
          <w:tcPr>
            <w:tcW w:w="1060" w:type="dxa"/>
            <w:vAlign w:val="bottom"/>
            <w:tcBorders>
              <w:bottom w:val="single" w:sz="8" w:color="434F69"/>
            </w:tcBorders>
          </w:tcPr>
          <w:p>
            <w:pPr>
              <w:ind w:left="380"/>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434F69"/>
            </w:tcBorders>
          </w:tcPr>
          <w:p>
            <w:pPr>
              <w:jc w:val="right"/>
              <w:ind w:right="35"/>
              <w:spacing w:after="0"/>
              <w:rPr>
                <w:sz w:val="20"/>
                <w:szCs w:val="20"/>
                <w:color w:val="auto"/>
              </w:rPr>
            </w:pPr>
            <w:r>
              <w:rPr>
                <w:rFonts w:ascii="Arial" w:cs="Arial" w:eastAsia="Arial" w:hAnsi="Arial"/>
                <w:sz w:val="18"/>
                <w:szCs w:val="18"/>
                <w:color w:val="auto"/>
              </w:rPr>
              <w:t>695,342</w:t>
            </w:r>
          </w:p>
        </w:tc>
        <w:tc>
          <w:tcPr>
            <w:tcW w:w="1060" w:type="dxa"/>
            <w:vAlign w:val="bottom"/>
            <w:tcBorders>
              <w:bottom w:val="single" w:sz="8" w:color="434F69"/>
              <w:right w:val="single" w:sz="8" w:color="697287"/>
            </w:tcBorders>
          </w:tcPr>
          <w:p>
            <w:pPr>
              <w:ind w:left="380"/>
              <w:spacing w:after="0"/>
              <w:rPr>
                <w:sz w:val="20"/>
                <w:szCs w:val="20"/>
                <w:color w:val="auto"/>
              </w:rPr>
            </w:pPr>
            <w:r>
              <w:rPr>
                <w:rFonts w:ascii="Arial" w:cs="Arial" w:eastAsia="Arial" w:hAnsi="Arial"/>
                <w:sz w:val="18"/>
                <w:szCs w:val="18"/>
                <w:color w:val="auto"/>
              </w:rPr>
              <w:t>25.9%</w:t>
            </w:r>
          </w:p>
        </w:tc>
      </w:tr>
      <w:tr>
        <w:trPr>
          <w:trHeight w:val="263"/>
        </w:trPr>
        <w:tc>
          <w:tcPr>
            <w:tcW w:w="800" w:type="dxa"/>
            <w:vAlign w:val="bottom"/>
            <w:tcBorders>
              <w:left w:val="single" w:sz="8" w:color="697287"/>
              <w:bottom w:val="single" w:sz="8" w:color="697287"/>
            </w:tcBorders>
            <w:shd w:val="clear" w:color="auto" w:fill="D9DCE1"/>
          </w:tcPr>
          <w:p>
            <w:pPr>
              <w:ind w:left="240"/>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697287"/>
            </w:tcBorders>
            <w:shd w:val="clear" w:color="auto" w:fill="D9DCE1"/>
          </w:tcPr>
          <w:p>
            <w:pPr>
              <w:jc w:val="right"/>
              <w:ind w:right="14"/>
              <w:spacing w:after="0"/>
              <w:rPr>
                <w:sz w:val="20"/>
                <w:szCs w:val="20"/>
                <w:color w:val="auto"/>
              </w:rPr>
            </w:pPr>
            <w:r>
              <w:rPr>
                <w:rFonts w:ascii="Arial" w:cs="Arial" w:eastAsia="Arial" w:hAnsi="Arial"/>
                <w:sz w:val="18"/>
                <w:szCs w:val="18"/>
                <w:b w:val="1"/>
                <w:bCs w:val="1"/>
                <w:color w:val="auto"/>
              </w:rPr>
              <w:t>1,025,740</w:t>
            </w:r>
          </w:p>
        </w:tc>
        <w:tc>
          <w:tcPr>
            <w:tcW w:w="260" w:type="dxa"/>
            <w:vAlign w:val="bottom"/>
            <w:tcBorders>
              <w:bottom w:val="single" w:sz="8" w:color="697287"/>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697287"/>
            </w:tcBorders>
            <w:shd w:val="clear" w:color="auto" w:fill="D9DCE1"/>
          </w:tcPr>
          <w:p>
            <w:pPr>
              <w:jc w:val="right"/>
              <w:ind w:right="74"/>
              <w:spacing w:after="0"/>
              <w:rPr>
                <w:sz w:val="20"/>
                <w:szCs w:val="20"/>
                <w:color w:val="auto"/>
              </w:rPr>
            </w:pPr>
            <w:r>
              <w:rPr>
                <w:rFonts w:ascii="Arial" w:cs="Arial" w:eastAsia="Arial" w:hAnsi="Arial"/>
                <w:sz w:val="18"/>
                <w:szCs w:val="18"/>
                <w:b w:val="1"/>
                <w:bCs w:val="1"/>
                <w:color w:val="auto"/>
                <w:w w:val="88"/>
              </w:rPr>
              <w:t>27,418,142</w:t>
            </w:r>
          </w:p>
        </w:tc>
        <w:tc>
          <w:tcPr>
            <w:tcW w:w="800" w:type="dxa"/>
            <w:vAlign w:val="bottom"/>
            <w:tcBorders>
              <w:bottom w:val="single" w:sz="8" w:color="697287"/>
            </w:tcBorders>
            <w:shd w:val="clear" w:color="auto" w:fill="D9DCE1"/>
          </w:tcPr>
          <w:p>
            <w:pPr>
              <w:jc w:val="right"/>
              <w:ind w:right="15"/>
              <w:spacing w:after="0"/>
              <w:rPr>
                <w:sz w:val="20"/>
                <w:szCs w:val="20"/>
                <w:color w:val="auto"/>
              </w:rPr>
            </w:pPr>
            <w:r>
              <w:rPr>
                <w:rFonts w:ascii="Arial" w:cs="Arial" w:eastAsia="Arial" w:hAnsi="Arial"/>
                <w:sz w:val="18"/>
                <w:szCs w:val="18"/>
                <w:b w:val="1"/>
                <w:bCs w:val="1"/>
                <w:color w:val="auto"/>
              </w:rPr>
              <w:t>741,740</w:t>
            </w:r>
          </w:p>
        </w:tc>
        <w:tc>
          <w:tcPr>
            <w:tcW w:w="200" w:type="dxa"/>
            <w:vAlign w:val="bottom"/>
            <w:tcBorders>
              <w:bottom w:val="single" w:sz="8" w:color="697287"/>
            </w:tcBorders>
            <w:shd w:val="clear" w:color="auto" w:fill="D9DCE1"/>
          </w:tcPr>
          <w:p>
            <w:pPr>
              <w:ind w:left="10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697287"/>
            </w:tcBorders>
            <w:shd w:val="clear" w:color="auto" w:fill="D9DCE1"/>
          </w:tcPr>
          <w:p>
            <w:pPr>
              <w:jc w:val="right"/>
              <w:ind w:right="15"/>
              <w:spacing w:after="0"/>
              <w:rPr>
                <w:sz w:val="20"/>
                <w:szCs w:val="20"/>
                <w:color w:val="auto"/>
              </w:rPr>
            </w:pPr>
            <w:r>
              <w:rPr>
                <w:rFonts w:ascii="Arial" w:cs="Arial" w:eastAsia="Arial" w:hAnsi="Arial"/>
                <w:sz w:val="18"/>
                <w:szCs w:val="18"/>
                <w:b w:val="1"/>
                <w:bCs w:val="1"/>
                <w:color w:val="auto"/>
                <w:w w:val="86"/>
              </w:rPr>
              <w:t>20,228,849</w:t>
            </w:r>
          </w:p>
        </w:tc>
        <w:tc>
          <w:tcPr>
            <w:tcW w:w="1060" w:type="dxa"/>
            <w:vAlign w:val="bottom"/>
            <w:tcBorders>
              <w:bottom w:val="single" w:sz="8" w:color="697287"/>
            </w:tcBorders>
            <w:shd w:val="clear" w:color="auto" w:fill="D9DCE1"/>
          </w:tcPr>
          <w:p>
            <w:pPr>
              <w:ind w:left="380"/>
              <w:spacing w:after="0"/>
              <w:rPr>
                <w:sz w:val="20"/>
                <w:szCs w:val="20"/>
                <w:color w:val="auto"/>
              </w:rPr>
            </w:pPr>
            <w:r>
              <w:rPr>
                <w:rFonts w:ascii="Arial" w:cs="Arial" w:eastAsia="Arial" w:hAnsi="Arial"/>
                <w:sz w:val="18"/>
                <w:szCs w:val="18"/>
                <w:b w:val="1"/>
                <w:bCs w:val="1"/>
                <w:color w:val="auto"/>
              </w:rPr>
              <w:t>73.8%</w:t>
            </w:r>
          </w:p>
        </w:tc>
        <w:tc>
          <w:tcPr>
            <w:tcW w:w="220" w:type="dxa"/>
            <w:vAlign w:val="bottom"/>
            <w:tcBorders>
              <w:bottom w:val="single" w:sz="8" w:color="697287"/>
            </w:tcBorders>
            <w:shd w:val="clear" w:color="auto" w:fill="D9DCE1"/>
          </w:tcPr>
          <w:p>
            <w:pPr>
              <w:ind w:left="12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697287"/>
            </w:tcBorders>
            <w:shd w:val="clear" w:color="auto" w:fill="D9DCE1"/>
          </w:tcPr>
          <w:p>
            <w:pPr>
              <w:jc w:val="right"/>
              <w:ind w:right="35"/>
              <w:spacing w:after="0"/>
              <w:rPr>
                <w:sz w:val="20"/>
                <w:szCs w:val="20"/>
                <w:color w:val="auto"/>
              </w:rPr>
            </w:pPr>
            <w:r>
              <w:rPr>
                <w:rFonts w:ascii="Arial" w:cs="Arial" w:eastAsia="Arial" w:hAnsi="Arial"/>
                <w:sz w:val="18"/>
                <w:szCs w:val="18"/>
                <w:b w:val="1"/>
                <w:bCs w:val="1"/>
                <w:color w:val="auto"/>
                <w:w w:val="86"/>
              </w:rPr>
              <w:t>10,690,072</w:t>
            </w:r>
          </w:p>
        </w:tc>
        <w:tc>
          <w:tcPr>
            <w:tcW w:w="1060" w:type="dxa"/>
            <w:vAlign w:val="bottom"/>
            <w:tcBorders>
              <w:bottom w:val="single" w:sz="8" w:color="697287"/>
              <w:right w:val="single" w:sz="8" w:color="697287"/>
            </w:tcBorders>
            <w:shd w:val="clear" w:color="auto" w:fill="D9DCE1"/>
          </w:tcPr>
          <w:p>
            <w:pPr>
              <w:ind w:left="380"/>
              <w:spacing w:after="0"/>
              <w:rPr>
                <w:sz w:val="20"/>
                <w:szCs w:val="20"/>
                <w:color w:val="auto"/>
              </w:rPr>
            </w:pPr>
            <w:r>
              <w:rPr>
                <w:rFonts w:ascii="Arial" w:cs="Arial" w:eastAsia="Arial" w:hAnsi="Arial"/>
                <w:sz w:val="18"/>
                <w:szCs w:val="18"/>
                <w:b w:val="1"/>
                <w:bCs w:val="1"/>
                <w:color w:val="auto"/>
              </w:rPr>
              <w:t>39.0%</w:t>
            </w:r>
          </w:p>
        </w:tc>
      </w:tr>
    </w:tbl>
    <w:p>
      <w:pPr>
        <w:spacing w:after="0" w:line="13" w:lineRule="exact"/>
        <w:rPr>
          <w:sz w:val="20"/>
          <w:szCs w:val="20"/>
          <w:color w:val="auto"/>
        </w:rPr>
      </w:pPr>
    </w:p>
    <w:p>
      <w:pPr>
        <w:jc w:val="both"/>
        <w:ind w:left="1620" w:right="899" w:hanging="358"/>
        <w:spacing w:after="0" w:line="263"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Values in table exclude value of distributions received or payments made with respect to DERs, as well as any value associated with AAP Management Units granted to Mr. Chiang in connection with his hiring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160020</wp:posOffset>
            </wp:positionV>
            <wp:extent cx="1234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620" w:hanging="358"/>
        <w:spacing w:after="0"/>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This analyses does not discount the value of Mr. Chiang’s August 16, 2018 phantom unit award for</w:t>
      </w:r>
    </w:p>
    <w:p>
      <w:pPr>
        <w:spacing w:after="0" w:line="1" w:lineRule="exact"/>
        <w:rPr>
          <w:rFonts w:ascii="Arial" w:cs="Arial" w:eastAsia="Arial" w:hAnsi="Arial"/>
          <w:sz w:val="27"/>
          <w:szCs w:val="27"/>
          <w:color w:val="auto"/>
          <w:vertAlign w:val="superscript"/>
        </w:rPr>
      </w:pPr>
    </w:p>
    <w:p>
      <w:pPr>
        <w:jc w:val="both"/>
        <w:ind w:left="1620" w:right="739"/>
        <w:spacing w:after="0" w:line="281" w:lineRule="auto"/>
        <w:rPr>
          <w:rFonts w:ascii="Arial" w:cs="Arial" w:eastAsia="Arial" w:hAnsi="Arial"/>
          <w:sz w:val="27"/>
          <w:szCs w:val="27"/>
          <w:color w:val="auto"/>
          <w:vertAlign w:val="superscript"/>
        </w:rPr>
      </w:pPr>
      <w:r>
        <w:rPr>
          <w:rFonts w:ascii="Arial" w:cs="Arial" w:eastAsia="Arial" w:hAnsi="Arial"/>
          <w:sz w:val="16"/>
          <w:szCs w:val="16"/>
          <w:color w:val="auto"/>
        </w:rPr>
        <w:t>500,000 units based on the probability of achieving the performance metrics of DCF per PAA common unit of at least $3.00 on a trailing four quarter basis as to 25% of such award and DCF per PAA common unit of at least $3.50 on a trailing four quarter basis as to 75% of such award, neither of which metrics are currently deemed probable of occurring pursuant to FASB ASC Topic 718. If the 500,000 units covered by</w:t>
      </w:r>
    </w:p>
    <w:p>
      <w:pPr>
        <w:ind w:left="1620" w:right="679"/>
        <w:spacing w:after="0" w:line="302" w:lineRule="auto"/>
        <w:rPr>
          <w:rFonts w:ascii="Arial" w:cs="Arial" w:eastAsia="Arial" w:hAnsi="Arial"/>
          <w:sz w:val="27"/>
          <w:szCs w:val="27"/>
          <w:color w:val="auto"/>
          <w:vertAlign w:val="superscript"/>
        </w:rPr>
      </w:pPr>
      <w:r>
        <w:rPr>
          <w:rFonts w:ascii="Arial" w:cs="Arial" w:eastAsia="Arial" w:hAnsi="Arial"/>
          <w:sz w:val="16"/>
          <w:szCs w:val="16"/>
          <w:color w:val="auto"/>
        </w:rPr>
        <w:t>Mr. Chiang’s August 16, 2018 grant were attributed no value based on the current improbability of achieving such performance metrics, the realized and/or realizable value of Mr. Chiang’s long-term incentive plan awards from August 2015 through March 27, 2020 would have declined by approximately 71%.</w:t>
      </w: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hanging="358"/>
        <w:spacing w:after="0" w:line="219"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Realizable Grant Date Market Value of Initial Units calculated by multiplying closing price of PAA common units on applicable grant date by number of units granted with no discount for performance thresholds or service.</w:t>
      </w:r>
    </w:p>
    <w:p>
      <w:pPr>
        <w:spacing w:after="0" w:line="54" w:lineRule="exact"/>
        <w:rPr>
          <w:rFonts w:ascii="Arial" w:cs="Arial" w:eastAsia="Arial" w:hAnsi="Arial"/>
          <w:sz w:val="27"/>
          <w:szCs w:val="27"/>
          <w:color w:val="auto"/>
          <w:vertAlign w:val="superscript"/>
        </w:rPr>
      </w:pPr>
    </w:p>
    <w:p>
      <w:pPr>
        <w:ind w:left="1620" w:right="759" w:hanging="358"/>
        <w:spacing w:after="0" w:line="219"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Equals market value of units that have already vested based on closing price on applicable vesting date plus realizable market value of outstanding unvested units based on 12/31/19 closing price of $18.39 per PAA common unit.</w:t>
      </w:r>
    </w:p>
    <w:p>
      <w:pPr>
        <w:spacing w:after="0" w:line="54" w:lineRule="exact"/>
        <w:rPr>
          <w:rFonts w:ascii="Arial" w:cs="Arial" w:eastAsia="Arial" w:hAnsi="Arial"/>
          <w:sz w:val="27"/>
          <w:szCs w:val="27"/>
          <w:color w:val="auto"/>
          <w:vertAlign w:val="superscript"/>
        </w:rPr>
      </w:pPr>
    </w:p>
    <w:p>
      <w:pPr>
        <w:ind w:left="1620" w:right="759" w:hanging="358"/>
        <w:spacing w:after="0" w:line="219"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Equals market value of units that have already vested based on closing price on applicable vesting date plus realizable market value of outstanding unvested units based on 3/27/20 closing price of $5.53 per PAA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112395</wp:posOffset>
            </wp:positionV>
            <wp:extent cx="5151755" cy="3737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5175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use three primary elements of compensation to achieve our executive compensation program objectives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salary, cash bonuses and long-term equity incentive awards:</w:t>
      </w:r>
    </w:p>
    <w:p>
      <w:pPr>
        <w:spacing w:after="0" w:line="87" w:lineRule="exact"/>
        <w:rPr>
          <w:sz w:val="20"/>
          <w:szCs w:val="20"/>
          <w:color w:val="auto"/>
        </w:rPr>
      </w:pPr>
    </w:p>
    <w:p>
      <w:pPr>
        <w:ind w:left="1800" w:right="739" w:hanging="178"/>
        <w:spacing w:after="0" w:line="257"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Base Salary — </w:t>
      </w:r>
      <w:r>
        <w:rPr>
          <w:rFonts w:ascii="Arial" w:cs="Arial" w:eastAsia="Arial" w:hAnsi="Arial"/>
          <w:sz w:val="18"/>
          <w:szCs w:val="18"/>
          <w:color w:val="auto"/>
        </w:rPr>
        <w:t>Base salary is a foundational element of the compensation program for our NEOs,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major elements of compensation are set based on a relationship to base salary. We deliberately establish salary levels for our NEOs that are generally lower than market comparable salaries with the goal of providing a higher portion of our NEOs’ compensation as performance based, at-risk compensation.</w:t>
      </w:r>
    </w:p>
    <w:p>
      <w:pPr>
        <w:spacing w:after="0" w:line="79" w:lineRule="exact"/>
        <w:rPr>
          <w:rFonts w:ascii="Arial" w:cs="Arial" w:eastAsia="Arial" w:hAnsi="Arial"/>
          <w:sz w:val="18"/>
          <w:szCs w:val="18"/>
          <w:color w:val="auto"/>
        </w:rPr>
      </w:pPr>
    </w:p>
    <w:p>
      <w:pPr>
        <w:ind w:left="1800" w:right="719" w:hanging="178"/>
        <w:spacing w:after="0" w:line="291" w:lineRule="auto"/>
        <w:tabs>
          <w:tab w:leader="none" w:pos="1800"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Bonuses and Equity Incentives — </w:t>
      </w:r>
      <w:r>
        <w:rPr>
          <w:rFonts w:ascii="Arial" w:cs="Arial" w:eastAsia="Arial" w:hAnsi="Arial"/>
          <w:sz w:val="16"/>
          <w:szCs w:val="16"/>
          <w:color w:val="auto"/>
        </w:rPr>
        <w:t>Cash bonuses and equity incentives represent the performance driven</w:t>
      </w:r>
      <w:r>
        <w:rPr>
          <w:rFonts w:ascii="Arial" w:cs="Arial" w:eastAsia="Arial" w:hAnsi="Arial"/>
          <w:sz w:val="16"/>
          <w:szCs w:val="16"/>
          <w:i w:val="1"/>
          <w:iCs w:val="1"/>
          <w:color w:val="auto"/>
        </w:rPr>
        <w:t xml:space="preserve"> </w:t>
      </w:r>
      <w:r>
        <w:rPr>
          <w:rFonts w:ascii="Arial" w:cs="Arial" w:eastAsia="Arial" w:hAnsi="Arial"/>
          <w:sz w:val="16"/>
          <w:szCs w:val="16"/>
          <w:color w:val="auto"/>
        </w:rPr>
        <w:t>elements and reflect our significant weighting towards performance based, at-risk compensation. Cash bonuses provide motivation and reward for achieving the annual goals established at the beginning of each year. Salaries and cash bonuses, as well as currently payable distributions associated with contingent equity grants, serve as near-term retention tools. Contingent equity grants in the form of phantom unit awards and associated distribution equivalent rights (“DERs”) under our long-term incentive plans provide motivation and reward over both the near-term and long-term for</w:t>
      </w:r>
    </w:p>
    <w:p>
      <w:pPr>
        <w:sectPr>
          <w:pgSz w:w="11900" w:h="16838" w:orient="portrait"/>
          <w:cols w:equalWidth="0" w:num="1">
            <w:col w:w="10139"/>
          </w:cols>
          <w:pgMar w:left="320" w:top="131" w:right="1440" w:bottom="1440" w:gutter="0" w:footer="0" w:header="0"/>
        </w:sectPr>
      </w:pP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spacing w:after="0" w:line="311" w:lineRule="auto"/>
        <w:rPr>
          <w:sz w:val="20"/>
          <w:szCs w:val="20"/>
          <w:color w:val="auto"/>
        </w:rPr>
      </w:pPr>
      <w:r>
        <w:rPr>
          <w:rFonts w:ascii="Arial" w:cs="Arial" w:eastAsia="Arial" w:hAnsi="Arial"/>
          <w:sz w:val="16"/>
          <w:szCs w:val="16"/>
          <w:color w:val="auto"/>
        </w:rPr>
        <w:t>achieving performance thresholds necessary for such awards to become earned and vested. Longer-term retention is also facilitated by minimum service periods associated with phantom unit awards and the long-term vesting profile of the AAP Management Units (defined and described below).</w:t>
      </w:r>
    </w:p>
    <w:p>
      <w:pPr>
        <w:spacing w:after="0" w:line="54" w:lineRule="exact"/>
        <w:rPr>
          <w:sz w:val="20"/>
          <w:szCs w:val="20"/>
          <w:color w:val="auto"/>
        </w:rPr>
      </w:pPr>
    </w:p>
    <w:p>
      <w:pPr>
        <w:ind w:left="1800" w:right="739" w:hanging="178"/>
        <w:spacing w:after="0" w:line="301" w:lineRule="auto"/>
        <w:tabs>
          <w:tab w:leader="none" w:pos="18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Other Compensation and Benefits — </w:t>
      </w:r>
      <w:r>
        <w:rPr>
          <w:rFonts w:ascii="Arial" w:cs="Arial" w:eastAsia="Arial" w:hAnsi="Arial"/>
          <w:sz w:val="16"/>
          <w:szCs w:val="16"/>
          <w:color w:val="auto"/>
        </w:rPr>
        <w:t>We do not maintain a defined benefit or pension plan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including the Named Executive Officers, as we believe such plans primarily reward longevity and not performance. We provide a basic benefits package generally to all employees, including the Named Executive Officers, which includes a 401(k) plan and health, disability and life insurance.</w:t>
      </w:r>
    </w:p>
    <w:p>
      <w:pPr>
        <w:spacing w:after="0" w:line="90"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By stressing the performance-based compensation elements as described above, we strive to create a performance-driven environment in which our executive officers are:</w:t>
      </w:r>
    </w:p>
    <w:p>
      <w:pPr>
        <w:spacing w:after="0" w:line="76" w:lineRule="exact"/>
        <w:rPr>
          <w:sz w:val="20"/>
          <w:szCs w:val="20"/>
          <w:color w:val="auto"/>
        </w:rPr>
      </w:pPr>
    </w:p>
    <w:p>
      <w:pPr>
        <w:ind w:left="1800" w:hanging="178"/>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incentivized to perform over both the short term and the long term</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rewarded for their services</w:t>
      </w:r>
    </w:p>
    <w:p>
      <w:pPr>
        <w:spacing w:after="0" w:line="144"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encouraged to remain with us even after meeting long-term performance thresholds in order to meet the minimum service periods and realize the opportunity to earn future rewards</w:t>
      </w:r>
    </w:p>
    <w:p>
      <w:pPr>
        <w:spacing w:after="0" w:line="89"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We believe our compensation philosophy as implemented by application of the three primary compensation elements (i) aligns the interests of the Named Executive Officers with our unitholders, (ii) positions us to achieve our business goals, and (iii) effectively encourages the exercise of sound judgment and risk-taking that is conducive to creating and sustaining long-term value.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2019 Independent Review of Executive Compensation Program and Practices</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Although we did not formally benchmark salary, bonus or equity incentive levels for 2019, during 2019 our compensation committee engaged Meridian Compensation Partners, LLC to, among other things, conduct an independent benchmark study of our executive officer compensation program and practices and to assess and recommend potential enhancements for 2020 and beyond to our short-term and long-term executive incentive compensation programs. In its engagement of Meridian, the compensation committee evaluated and confirmed Meridian’s independence relative to existing PAA or PAGP relationships or potential conflicts, in line with NYSE requirements.</w:t>
      </w:r>
    </w:p>
    <w:p>
      <w:pPr>
        <w:spacing w:after="0" w:line="127"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color w:val="auto"/>
        </w:rPr>
        <w:t>The companies in our executive compensation benchmarking peer group have a range of revenues, assets, market capitalization and enterprise value. Business consolidation and unique operating models create some challenges in identifying comparative companies. Accordingly, we take a broad view of comparability to include organizations that are similar to ours and that we believe we compete with for attracting and retaining executive talent. Our peer group included 11 companies that are primarily engaged in the midstream business in the United States, as set forth in the table below. We referred to publicly available information to analyze compensation practices of the companies in the peer group, including how pay is divided among long-term incentives, annual incentives, base pay and other forms of compensation. We also compared the total compensation and components thereof for our executive officers to the total compensation and components thereof for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Executive Compensation Benchmarking Peer Group — Plains All American Pipeline, L.P.</w:t>
      </w:r>
    </w:p>
    <w:p>
      <w:pPr>
        <w:spacing w:after="0" w:line="120"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60" w:type="dxa"/>
            <w:vAlign w:val="bottom"/>
            <w:tcBorders>
              <w:left w:val="single" w:sz="8" w:color="697287"/>
              <w:bottom w:val="single" w:sz="8" w:color="434F69"/>
            </w:tcBorders>
            <w:shd w:val="clear" w:color="auto" w:fill="434F69"/>
          </w:tcPr>
          <w:p>
            <w:pPr>
              <w:spacing w:after="0"/>
              <w:rPr>
                <w:sz w:val="24"/>
                <w:szCs w:val="24"/>
                <w:color w:val="auto"/>
              </w:rPr>
            </w:pPr>
          </w:p>
        </w:tc>
        <w:tc>
          <w:tcPr>
            <w:tcW w:w="120" w:type="dxa"/>
            <w:vAlign w:val="bottom"/>
            <w:tcBorders>
              <w:bottom w:val="single" w:sz="8" w:color="434F69"/>
            </w:tcBorders>
            <w:shd w:val="clear" w:color="auto" w:fill="434F69"/>
          </w:tcPr>
          <w:p>
            <w:pPr>
              <w:spacing w:after="0"/>
              <w:rPr>
                <w:sz w:val="24"/>
                <w:szCs w:val="24"/>
                <w:color w:val="auto"/>
              </w:rPr>
            </w:pPr>
          </w:p>
        </w:tc>
        <w:tc>
          <w:tcPr>
            <w:tcW w:w="920" w:type="dxa"/>
            <w:vAlign w:val="bottom"/>
            <w:tcBorders>
              <w:bottom w:val="single" w:sz="8" w:color="434F69"/>
            </w:tcBorders>
            <w:shd w:val="clear" w:color="auto" w:fill="434F69"/>
          </w:tcPr>
          <w:p>
            <w:pPr>
              <w:spacing w:after="0"/>
              <w:rPr>
                <w:sz w:val="24"/>
                <w:szCs w:val="24"/>
                <w:color w:val="auto"/>
              </w:rPr>
            </w:pPr>
          </w:p>
        </w:tc>
        <w:tc>
          <w:tcPr>
            <w:tcW w:w="4400" w:type="dxa"/>
            <w:vAlign w:val="bottom"/>
            <w:tcBorders>
              <w:bottom w:val="single" w:sz="8" w:color="434F69"/>
            </w:tcBorders>
            <w:gridSpan w:val="2"/>
            <w:shd w:val="clear" w:color="auto" w:fill="434F69"/>
          </w:tcPr>
          <w:p>
            <w:pPr>
              <w:ind w:left="620"/>
              <w:spacing w:after="0"/>
              <w:rPr>
                <w:sz w:val="20"/>
                <w:szCs w:val="20"/>
                <w:color w:val="auto"/>
              </w:rPr>
            </w:pPr>
            <w:r>
              <w:rPr>
                <w:rFonts w:ascii="Arial" w:cs="Arial" w:eastAsia="Arial" w:hAnsi="Arial"/>
                <w:sz w:val="14"/>
                <w:szCs w:val="14"/>
                <w:b w:val="1"/>
                <w:bCs w:val="1"/>
                <w:color w:val="FFFFFF"/>
              </w:rPr>
              <w:t>Company</w:t>
            </w:r>
          </w:p>
        </w:tc>
        <w:tc>
          <w:tcPr>
            <w:tcW w:w="2720" w:type="dxa"/>
            <w:vAlign w:val="bottom"/>
            <w:tcBorders>
              <w:bottom w:val="single" w:sz="8" w:color="434F69"/>
              <w:right w:val="single" w:sz="8" w:color="697287"/>
            </w:tcBorders>
            <w:gridSpan w:val="2"/>
            <w:shd w:val="clear" w:color="auto" w:fill="434F69"/>
          </w:tcPr>
          <w:p>
            <w:pPr>
              <w:jc w:val="right"/>
              <w:ind w:right="1370"/>
              <w:spacing w:after="0"/>
              <w:rPr>
                <w:sz w:val="20"/>
                <w:szCs w:val="20"/>
                <w:color w:val="auto"/>
              </w:rPr>
            </w:pPr>
            <w:r>
              <w:rPr>
                <w:rFonts w:ascii="Arial" w:cs="Arial" w:eastAsia="Arial" w:hAnsi="Arial"/>
                <w:sz w:val="14"/>
                <w:szCs w:val="14"/>
                <w:b w:val="1"/>
                <w:bCs w:val="1"/>
                <w:color w:val="FFFFFF"/>
                <w:w w:val="97"/>
              </w:rPr>
              <w:t>Total Assets (MM)</w:t>
            </w:r>
            <w:r>
              <w:rPr>
                <w:rFonts w:ascii="Arial" w:cs="Arial" w:eastAsia="Arial" w:hAnsi="Arial"/>
                <w:sz w:val="21"/>
                <w:szCs w:val="21"/>
                <w:b w:val="1"/>
                <w:bCs w:val="1"/>
                <w:color w:val="FFFFFF"/>
                <w:w w:val="97"/>
                <w:vertAlign w:val="superscript"/>
              </w:rPr>
              <w:t>1</w:t>
            </w:r>
          </w:p>
        </w:tc>
      </w:tr>
      <w:tr>
        <w:trPr>
          <w:trHeight w:val="244"/>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Energy Transfer LP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w w:val="83"/>
              </w:rPr>
              <w:t>98,880</w:t>
            </w:r>
          </w:p>
        </w:tc>
      </w:tr>
      <w:tr>
        <w:trPr>
          <w:trHeight w:val="250"/>
        </w:trPr>
        <w:tc>
          <w:tcPr>
            <w:tcW w:w="60" w:type="dxa"/>
            <w:vAlign w:val="bottom"/>
            <w:tcBorders>
              <w:left w:val="single" w:sz="8" w:color="697287"/>
              <w:bottom w:val="single" w:sz="8" w:color="434F69"/>
            </w:tcBorders>
          </w:tcPr>
          <w:p>
            <w:pPr>
              <w:spacing w:after="0"/>
              <w:rPr>
                <w:sz w:val="21"/>
                <w:szCs w:val="21"/>
                <w:color w:val="auto"/>
              </w:rPr>
            </w:pPr>
          </w:p>
        </w:tc>
        <w:tc>
          <w:tcPr>
            <w:tcW w:w="4060" w:type="dxa"/>
            <w:vAlign w:val="bottom"/>
            <w:tcBorders>
              <w:bottom w:val="single" w:sz="8" w:color="434F69"/>
              <w:right w:val="single" w:sz="8" w:color="434F69"/>
            </w:tcBorders>
            <w:gridSpan w:val="3"/>
          </w:tcPr>
          <w:p>
            <w:pPr>
              <w:spacing w:after="0"/>
              <w:rPr>
                <w:sz w:val="20"/>
                <w:szCs w:val="20"/>
                <w:color w:val="auto"/>
              </w:rPr>
            </w:pPr>
            <w:r>
              <w:rPr>
                <w:rFonts w:ascii="Arial" w:cs="Arial" w:eastAsia="Arial" w:hAnsi="Arial"/>
                <w:sz w:val="18"/>
                <w:szCs w:val="18"/>
                <w:color w:val="auto"/>
              </w:rPr>
              <w:t>Kinder Morgan, Inc.</w:t>
            </w:r>
          </w:p>
        </w:tc>
        <w:tc>
          <w:tcPr>
            <w:tcW w:w="1380" w:type="dxa"/>
            <w:vAlign w:val="bottom"/>
            <w:tcBorders>
              <w:bottom w:val="single" w:sz="8" w:color="434F69"/>
            </w:tcBorders>
          </w:tcPr>
          <w:p>
            <w:pPr>
              <w:spacing w:after="0"/>
              <w:rPr>
                <w:sz w:val="21"/>
                <w:szCs w:val="21"/>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w w:val="83"/>
              </w:rPr>
              <w:t>74,157</w:t>
            </w:r>
          </w:p>
        </w:tc>
      </w:tr>
      <w:tr>
        <w:trPr>
          <w:trHeight w:val="250"/>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Enterprise Products Partners L.P.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w w:val="83"/>
              </w:rPr>
              <w:t>61,733</w:t>
            </w:r>
          </w:p>
        </w:tc>
      </w:tr>
      <w:tr>
        <w:trPr>
          <w:trHeight w:val="250"/>
        </w:trPr>
        <w:tc>
          <w:tcPr>
            <w:tcW w:w="60" w:type="dxa"/>
            <w:vAlign w:val="bottom"/>
            <w:tcBorders>
              <w:left w:val="single" w:sz="8" w:color="697287"/>
              <w:bottom w:val="single" w:sz="8" w:color="434F69"/>
            </w:tcBorders>
          </w:tcPr>
          <w:p>
            <w:pPr>
              <w:spacing w:after="0"/>
              <w:rPr>
                <w:sz w:val="21"/>
                <w:szCs w:val="21"/>
                <w:color w:val="auto"/>
              </w:rPr>
            </w:pPr>
          </w:p>
        </w:tc>
        <w:tc>
          <w:tcPr>
            <w:tcW w:w="4060" w:type="dxa"/>
            <w:vAlign w:val="bottom"/>
            <w:tcBorders>
              <w:bottom w:val="single" w:sz="8" w:color="434F69"/>
              <w:right w:val="single" w:sz="8" w:color="434F69"/>
            </w:tcBorders>
            <w:gridSpan w:val="3"/>
          </w:tcPr>
          <w:p>
            <w:pPr>
              <w:spacing w:after="0"/>
              <w:rPr>
                <w:sz w:val="20"/>
                <w:szCs w:val="20"/>
                <w:color w:val="auto"/>
              </w:rPr>
            </w:pPr>
            <w:r>
              <w:rPr>
                <w:rFonts w:ascii="Arial" w:cs="Arial" w:eastAsia="Arial" w:hAnsi="Arial"/>
                <w:sz w:val="18"/>
                <w:szCs w:val="18"/>
                <w:color w:val="auto"/>
              </w:rPr>
              <w:t>The Williams Companies, Inc.</w:t>
            </w:r>
          </w:p>
        </w:tc>
        <w:tc>
          <w:tcPr>
            <w:tcW w:w="1380" w:type="dxa"/>
            <w:vAlign w:val="bottom"/>
            <w:tcBorders>
              <w:bottom w:val="single" w:sz="8" w:color="434F69"/>
            </w:tcBorders>
          </w:tcPr>
          <w:p>
            <w:pPr>
              <w:spacing w:after="0"/>
              <w:rPr>
                <w:sz w:val="21"/>
                <w:szCs w:val="21"/>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w w:val="83"/>
              </w:rPr>
              <w:t>46,040</w:t>
            </w:r>
          </w:p>
        </w:tc>
      </w:tr>
      <w:tr>
        <w:trPr>
          <w:trHeight w:val="250"/>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MPLX LP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w w:val="83"/>
              </w:rPr>
              <w:t>40,430</w:t>
            </w:r>
          </w:p>
        </w:tc>
      </w:tr>
      <w:tr>
        <w:trPr>
          <w:trHeight w:val="250"/>
        </w:trPr>
        <w:tc>
          <w:tcPr>
            <w:tcW w:w="60" w:type="dxa"/>
            <w:vAlign w:val="bottom"/>
            <w:tcBorders>
              <w:left w:val="single" w:sz="8" w:color="697287"/>
              <w:bottom w:val="single" w:sz="8" w:color="434F69"/>
            </w:tcBorders>
          </w:tcPr>
          <w:p>
            <w:pPr>
              <w:spacing w:after="0"/>
              <w:rPr>
                <w:sz w:val="21"/>
                <w:szCs w:val="21"/>
                <w:color w:val="auto"/>
              </w:rPr>
            </w:pPr>
          </w:p>
        </w:tc>
        <w:tc>
          <w:tcPr>
            <w:tcW w:w="4060" w:type="dxa"/>
            <w:vAlign w:val="bottom"/>
            <w:tcBorders>
              <w:bottom w:val="single" w:sz="8" w:color="434F69"/>
              <w:right w:val="single" w:sz="8" w:color="434F69"/>
            </w:tcBorders>
            <w:gridSpan w:val="3"/>
          </w:tcPr>
          <w:p>
            <w:pPr>
              <w:spacing w:after="0"/>
              <w:rPr>
                <w:sz w:val="20"/>
                <w:szCs w:val="20"/>
                <w:color w:val="auto"/>
              </w:rPr>
            </w:pPr>
            <w:r>
              <w:rPr>
                <w:rFonts w:ascii="Arial" w:cs="Arial" w:eastAsia="Arial" w:hAnsi="Arial"/>
                <w:sz w:val="18"/>
                <w:szCs w:val="18"/>
                <w:color w:val="auto"/>
              </w:rPr>
              <w:t>ONEOK, Inc.</w:t>
            </w:r>
          </w:p>
        </w:tc>
        <w:tc>
          <w:tcPr>
            <w:tcW w:w="1380" w:type="dxa"/>
            <w:vAlign w:val="bottom"/>
            <w:tcBorders>
              <w:bottom w:val="single" w:sz="8" w:color="434F69"/>
            </w:tcBorders>
          </w:tcPr>
          <w:p>
            <w:pPr>
              <w:spacing w:after="0"/>
              <w:rPr>
                <w:sz w:val="21"/>
                <w:szCs w:val="21"/>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w w:val="83"/>
              </w:rPr>
              <w:t>21,812</w:t>
            </w:r>
          </w:p>
        </w:tc>
      </w:tr>
      <w:tr>
        <w:trPr>
          <w:trHeight w:val="250"/>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Targa Resources Corp.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w w:val="83"/>
              </w:rPr>
              <w:t>18,815</w:t>
            </w:r>
          </w:p>
        </w:tc>
      </w:tr>
      <w:tr>
        <w:trPr>
          <w:trHeight w:val="250"/>
        </w:trPr>
        <w:tc>
          <w:tcPr>
            <w:tcW w:w="60" w:type="dxa"/>
            <w:vAlign w:val="bottom"/>
            <w:tcBorders>
              <w:left w:val="single" w:sz="8" w:color="697287"/>
              <w:bottom w:val="single" w:sz="8" w:color="434F69"/>
            </w:tcBorders>
          </w:tcPr>
          <w:p>
            <w:pPr>
              <w:spacing w:after="0"/>
              <w:rPr>
                <w:sz w:val="21"/>
                <w:szCs w:val="21"/>
                <w:color w:val="auto"/>
              </w:rPr>
            </w:pPr>
          </w:p>
        </w:tc>
        <w:tc>
          <w:tcPr>
            <w:tcW w:w="4060" w:type="dxa"/>
            <w:vAlign w:val="bottom"/>
            <w:tcBorders>
              <w:bottom w:val="single" w:sz="8" w:color="434F69"/>
              <w:right w:val="single" w:sz="8" w:color="434F69"/>
            </w:tcBorders>
            <w:gridSpan w:val="3"/>
          </w:tcPr>
          <w:p>
            <w:pPr>
              <w:spacing w:after="0"/>
              <w:rPr>
                <w:sz w:val="20"/>
                <w:szCs w:val="20"/>
                <w:color w:val="auto"/>
              </w:rPr>
            </w:pPr>
            <w:r>
              <w:rPr>
                <w:rFonts w:ascii="Arial" w:cs="Arial" w:eastAsia="Arial" w:hAnsi="Arial"/>
                <w:sz w:val="18"/>
                <w:szCs w:val="18"/>
                <w:color w:val="auto"/>
              </w:rPr>
              <w:t>Enable Midstream Partners, LP</w:t>
            </w:r>
          </w:p>
        </w:tc>
        <w:tc>
          <w:tcPr>
            <w:tcW w:w="1380" w:type="dxa"/>
            <w:vAlign w:val="bottom"/>
            <w:tcBorders>
              <w:bottom w:val="single" w:sz="8" w:color="434F69"/>
            </w:tcBorders>
          </w:tcPr>
          <w:p>
            <w:pPr>
              <w:spacing w:after="0"/>
              <w:rPr>
                <w:sz w:val="21"/>
                <w:szCs w:val="21"/>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w w:val="83"/>
              </w:rPr>
              <w:t>12,266</w:t>
            </w:r>
          </w:p>
        </w:tc>
      </w:tr>
      <w:tr>
        <w:trPr>
          <w:trHeight w:val="250"/>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EnLink Midstream, LLC</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rPr>
              <w:t>9,336</w:t>
            </w:r>
          </w:p>
        </w:tc>
      </w:tr>
      <w:tr>
        <w:trPr>
          <w:trHeight w:val="270"/>
        </w:trPr>
        <w:tc>
          <w:tcPr>
            <w:tcW w:w="60" w:type="dxa"/>
            <w:vAlign w:val="bottom"/>
            <w:tcBorders>
              <w:left w:val="single" w:sz="8" w:color="697287"/>
              <w:bottom w:val="single" w:sz="8" w:color="434F69"/>
            </w:tcBorders>
          </w:tcPr>
          <w:p>
            <w:pPr>
              <w:spacing w:after="0"/>
              <w:rPr>
                <w:sz w:val="23"/>
                <w:szCs w:val="23"/>
                <w:color w:val="auto"/>
              </w:rPr>
            </w:pPr>
          </w:p>
        </w:tc>
        <w:tc>
          <w:tcPr>
            <w:tcW w:w="4060" w:type="dxa"/>
            <w:vAlign w:val="bottom"/>
            <w:tcBorders>
              <w:bottom w:val="single" w:sz="8" w:color="434F69"/>
              <w:right w:val="single" w:sz="8" w:color="434F69"/>
            </w:tcBorders>
            <w:gridSpan w:val="3"/>
          </w:tcPr>
          <w:p>
            <w:pPr>
              <w:spacing w:after="0" w:line="270" w:lineRule="exact"/>
              <w:rPr>
                <w:sz w:val="20"/>
                <w:szCs w:val="20"/>
                <w:color w:val="auto"/>
              </w:rPr>
            </w:pPr>
            <w:r>
              <w:rPr>
                <w:rFonts w:ascii="Arial" w:cs="Arial" w:eastAsia="Arial" w:hAnsi="Arial"/>
                <w:sz w:val="18"/>
                <w:szCs w:val="18"/>
                <w:color w:val="auto"/>
              </w:rPr>
              <w:t>Buckeye Partners, L.P.</w:t>
            </w:r>
            <w:r>
              <w:rPr>
                <w:rFonts w:ascii="Arial" w:cs="Arial" w:eastAsia="Arial" w:hAnsi="Arial"/>
                <w:sz w:val="26"/>
                <w:szCs w:val="26"/>
                <w:color w:val="auto"/>
                <w:vertAlign w:val="superscript"/>
              </w:rPr>
              <w:t>2</w:t>
            </w:r>
          </w:p>
        </w:tc>
        <w:tc>
          <w:tcPr>
            <w:tcW w:w="1380" w:type="dxa"/>
            <w:vAlign w:val="bottom"/>
            <w:tcBorders>
              <w:bottom w:val="single" w:sz="8" w:color="434F69"/>
            </w:tcBorders>
          </w:tcPr>
          <w:p>
            <w:pPr>
              <w:spacing w:after="0"/>
              <w:rPr>
                <w:sz w:val="23"/>
                <w:szCs w:val="23"/>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rPr>
              <w:t>8,510</w:t>
            </w:r>
          </w:p>
        </w:tc>
      </w:tr>
      <w:tr>
        <w:trPr>
          <w:trHeight w:val="244"/>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Magellan Midstream Partners, L.P.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rPr>
              <w:t>8,438</w:t>
            </w:r>
          </w:p>
        </w:tc>
      </w:tr>
      <w:tr>
        <w:trPr>
          <w:trHeight w:val="270"/>
        </w:trPr>
        <w:tc>
          <w:tcPr>
            <w:tcW w:w="180" w:type="dxa"/>
            <w:vAlign w:val="bottom"/>
            <w:tcBorders>
              <w:left w:val="single" w:sz="8" w:color="697287"/>
            </w:tcBorders>
            <w:gridSpan w:val="2"/>
          </w:tcPr>
          <w:p>
            <w:pPr>
              <w:ind w:left="60"/>
              <w:spacing w:after="0"/>
              <w:rPr>
                <w:sz w:val="20"/>
                <w:szCs w:val="20"/>
                <w:color w:val="auto"/>
              </w:rPr>
            </w:pPr>
            <w:r>
              <w:rPr>
                <w:rFonts w:ascii="Arial" w:cs="Arial" w:eastAsia="Arial" w:hAnsi="Arial"/>
                <w:sz w:val="13"/>
                <w:szCs w:val="13"/>
                <w:i w:val="1"/>
                <w:iCs w:val="1"/>
                <w:color w:val="auto"/>
              </w:rPr>
              <w:t>1</w:t>
            </w:r>
          </w:p>
        </w:tc>
        <w:tc>
          <w:tcPr>
            <w:tcW w:w="5320" w:type="dxa"/>
            <w:vAlign w:val="bottom"/>
            <w:gridSpan w:val="3"/>
          </w:tcPr>
          <w:p>
            <w:pPr>
              <w:ind w:left="60"/>
              <w:spacing w:after="0"/>
              <w:rPr>
                <w:sz w:val="20"/>
                <w:szCs w:val="20"/>
                <w:color w:val="auto"/>
              </w:rPr>
            </w:pPr>
            <w:r>
              <w:rPr>
                <w:rFonts w:ascii="Arial" w:cs="Arial" w:eastAsia="Arial" w:hAnsi="Arial"/>
                <w:sz w:val="18"/>
                <w:szCs w:val="18"/>
                <w:i w:val="1"/>
                <w:iCs w:val="1"/>
                <w:color w:val="auto"/>
                <w:w w:val="90"/>
              </w:rPr>
              <w:t>Total asset value per public disclosures as of the most recent fiscal year.</w:t>
            </w:r>
          </w:p>
        </w:tc>
        <w:tc>
          <w:tcPr>
            <w:tcW w:w="480" w:type="dxa"/>
            <w:vAlign w:val="bottom"/>
          </w:tcPr>
          <w:p>
            <w:pPr>
              <w:spacing w:after="0"/>
              <w:rPr>
                <w:sz w:val="23"/>
                <w:szCs w:val="23"/>
                <w:color w:val="auto"/>
              </w:rPr>
            </w:pPr>
          </w:p>
        </w:tc>
        <w:tc>
          <w:tcPr>
            <w:tcW w:w="2240" w:type="dxa"/>
            <w:vAlign w:val="bottom"/>
            <w:tcBorders>
              <w:right w:val="single" w:sz="8" w:color="697287"/>
            </w:tcBorders>
          </w:tcPr>
          <w:p>
            <w:pPr>
              <w:spacing w:after="0"/>
              <w:rPr>
                <w:sz w:val="23"/>
                <w:szCs w:val="23"/>
                <w:color w:val="auto"/>
              </w:rPr>
            </w:pPr>
          </w:p>
        </w:tc>
      </w:tr>
      <w:tr>
        <w:trPr>
          <w:trHeight w:val="209"/>
        </w:trPr>
        <w:tc>
          <w:tcPr>
            <w:tcW w:w="180" w:type="dxa"/>
            <w:vAlign w:val="bottom"/>
            <w:tcBorders>
              <w:top w:val="single" w:sz="8" w:color="434F69"/>
              <w:left w:val="single" w:sz="8" w:color="697287"/>
            </w:tcBorders>
            <w:gridSpan w:val="2"/>
            <w:shd w:val="clear" w:color="auto" w:fill="D9DCE1"/>
          </w:tcPr>
          <w:p>
            <w:pPr>
              <w:ind w:left="60"/>
              <w:spacing w:after="0"/>
              <w:rPr>
                <w:sz w:val="20"/>
                <w:szCs w:val="20"/>
                <w:color w:val="auto"/>
              </w:rPr>
            </w:pPr>
            <w:r>
              <w:rPr>
                <w:rFonts w:ascii="Arial" w:cs="Arial" w:eastAsia="Arial" w:hAnsi="Arial"/>
                <w:sz w:val="13"/>
                <w:szCs w:val="13"/>
                <w:i w:val="1"/>
                <w:iCs w:val="1"/>
                <w:color w:val="auto"/>
              </w:rPr>
              <w:t>2</w:t>
            </w:r>
          </w:p>
        </w:tc>
        <w:tc>
          <w:tcPr>
            <w:tcW w:w="8040" w:type="dxa"/>
            <w:vAlign w:val="bottom"/>
            <w:tcBorders>
              <w:top w:val="single" w:sz="8" w:color="434F69"/>
              <w:right w:val="single" w:sz="8" w:color="697287"/>
            </w:tcBorders>
            <w:gridSpan w:val="5"/>
            <w:shd w:val="clear" w:color="auto" w:fill="D9DCE1"/>
          </w:tcPr>
          <w:p>
            <w:pPr>
              <w:ind w:left="60"/>
              <w:spacing w:after="0"/>
              <w:rPr>
                <w:sz w:val="20"/>
                <w:szCs w:val="20"/>
                <w:color w:val="auto"/>
              </w:rPr>
            </w:pPr>
            <w:r>
              <w:rPr>
                <w:rFonts w:ascii="Arial" w:cs="Arial" w:eastAsia="Arial" w:hAnsi="Arial"/>
                <w:sz w:val="18"/>
                <w:szCs w:val="18"/>
                <w:i w:val="1"/>
                <w:iCs w:val="1"/>
                <w:color w:val="auto"/>
                <w:w w:val="92"/>
              </w:rPr>
              <w:t>Buckeye Partners, L.P. was acquired by IFM Investors Pty Ltd on November 1, 2019. Its total asset value is</w:t>
            </w:r>
          </w:p>
        </w:tc>
      </w:tr>
      <w:tr>
        <w:trPr>
          <w:trHeight w:val="262"/>
        </w:trPr>
        <w:tc>
          <w:tcPr>
            <w:tcW w:w="60" w:type="dxa"/>
            <w:vAlign w:val="bottom"/>
            <w:tcBorders>
              <w:left w:val="single" w:sz="8" w:color="697287"/>
              <w:bottom w:val="single" w:sz="8" w:color="D9DCE1"/>
            </w:tcBorders>
            <w:shd w:val="clear" w:color="auto" w:fill="D9DCE1"/>
          </w:tcPr>
          <w:p>
            <w:pPr>
              <w:spacing w:after="0"/>
              <w:rPr>
                <w:sz w:val="22"/>
                <w:szCs w:val="22"/>
                <w:color w:val="auto"/>
              </w:rPr>
            </w:pPr>
          </w:p>
        </w:tc>
        <w:tc>
          <w:tcPr>
            <w:tcW w:w="120" w:type="dxa"/>
            <w:vAlign w:val="bottom"/>
            <w:tcBorders>
              <w:bottom w:val="single" w:sz="8" w:color="D9DCE1"/>
            </w:tcBorders>
            <w:shd w:val="clear" w:color="auto" w:fill="D9DCE1"/>
          </w:tcPr>
          <w:p>
            <w:pPr>
              <w:spacing w:after="0"/>
              <w:rPr>
                <w:sz w:val="22"/>
                <w:szCs w:val="22"/>
                <w:color w:val="auto"/>
              </w:rPr>
            </w:pPr>
          </w:p>
        </w:tc>
        <w:tc>
          <w:tcPr>
            <w:tcW w:w="8040" w:type="dxa"/>
            <w:vAlign w:val="bottom"/>
            <w:tcBorders>
              <w:bottom w:val="single" w:sz="8" w:color="D9DCE1"/>
              <w:right w:val="single" w:sz="8" w:color="697287"/>
            </w:tcBorders>
            <w:gridSpan w:val="5"/>
            <w:shd w:val="clear" w:color="auto" w:fill="D9DCE1"/>
          </w:tcPr>
          <w:p>
            <w:pPr>
              <w:ind w:left="60"/>
              <w:spacing w:after="0"/>
              <w:rPr>
                <w:sz w:val="20"/>
                <w:szCs w:val="20"/>
                <w:color w:val="auto"/>
              </w:rPr>
            </w:pPr>
            <w:r>
              <w:rPr>
                <w:rFonts w:ascii="Arial" w:cs="Arial" w:eastAsia="Arial" w:hAnsi="Arial"/>
                <w:sz w:val="18"/>
                <w:szCs w:val="18"/>
                <w:i w:val="1"/>
                <w:iCs w:val="1"/>
                <w:color w:val="auto"/>
              </w:rPr>
              <w:t>derived from its Q3 2019 disclosure released prior to being acquired. Source: S&amp;P Capital IQ.</w:t>
            </w:r>
          </w:p>
        </w:tc>
      </w:tr>
      <w:tr>
        <w:trPr>
          <w:trHeight w:val="183"/>
        </w:trPr>
        <w:tc>
          <w:tcPr>
            <w:tcW w:w="60" w:type="dxa"/>
            <w:vAlign w:val="bottom"/>
            <w:tcBorders>
              <w:top w:val="single" w:sz="8" w:color="434F69"/>
              <w:left w:val="single" w:sz="8" w:color="697287"/>
            </w:tcBorders>
          </w:tcPr>
          <w:p>
            <w:pPr>
              <w:spacing w:after="0"/>
              <w:rPr>
                <w:sz w:val="15"/>
                <w:szCs w:val="15"/>
                <w:color w:val="auto"/>
              </w:rPr>
            </w:pPr>
          </w:p>
        </w:tc>
        <w:tc>
          <w:tcPr>
            <w:tcW w:w="4060" w:type="dxa"/>
            <w:vAlign w:val="bottom"/>
            <w:tcBorders>
              <w:top w:val="single" w:sz="8" w:color="434F69"/>
              <w:right w:val="single" w:sz="8" w:color="434F69"/>
            </w:tcBorders>
            <w:gridSpan w:val="3"/>
          </w:tcPr>
          <w:p>
            <w:pPr>
              <w:spacing w:after="0" w:line="182" w:lineRule="exact"/>
              <w:rPr>
                <w:sz w:val="20"/>
                <w:szCs w:val="20"/>
                <w:color w:val="auto"/>
              </w:rPr>
            </w:pPr>
            <w:r>
              <w:rPr>
                <w:rFonts w:ascii="Arial" w:cs="Arial" w:eastAsia="Arial" w:hAnsi="Arial"/>
                <w:sz w:val="18"/>
                <w:szCs w:val="18"/>
                <w:b w:val="1"/>
                <w:bCs w:val="1"/>
                <w:color w:val="auto"/>
              </w:rPr>
              <w:t>For reference:</w:t>
            </w:r>
          </w:p>
        </w:tc>
        <w:tc>
          <w:tcPr>
            <w:tcW w:w="1380" w:type="dxa"/>
            <w:vAlign w:val="bottom"/>
            <w:tcBorders>
              <w:top w:val="single" w:sz="8" w:color="434F69"/>
            </w:tcBorders>
          </w:tcPr>
          <w:p>
            <w:pPr>
              <w:spacing w:after="0"/>
              <w:rPr>
                <w:sz w:val="15"/>
                <w:szCs w:val="15"/>
                <w:color w:val="auto"/>
              </w:rPr>
            </w:pPr>
          </w:p>
        </w:tc>
        <w:tc>
          <w:tcPr>
            <w:tcW w:w="480" w:type="dxa"/>
            <w:vAlign w:val="bottom"/>
            <w:tcBorders>
              <w:top w:val="single" w:sz="8" w:color="434F69"/>
            </w:tcBorders>
          </w:tcPr>
          <w:p>
            <w:pPr>
              <w:spacing w:after="0"/>
              <w:rPr>
                <w:sz w:val="15"/>
                <w:szCs w:val="15"/>
                <w:color w:val="auto"/>
              </w:rPr>
            </w:pPr>
          </w:p>
        </w:tc>
        <w:tc>
          <w:tcPr>
            <w:tcW w:w="2240" w:type="dxa"/>
            <w:vAlign w:val="bottom"/>
            <w:tcBorders>
              <w:top w:val="single" w:sz="8" w:color="434F69"/>
              <w:right w:val="single" w:sz="8" w:color="697287"/>
            </w:tcBorders>
          </w:tcPr>
          <w:p>
            <w:pPr>
              <w:spacing w:after="0"/>
              <w:rPr>
                <w:sz w:val="15"/>
                <w:szCs w:val="15"/>
                <w:color w:val="auto"/>
              </w:rPr>
            </w:pPr>
          </w:p>
        </w:tc>
      </w:tr>
      <w:tr>
        <w:trPr>
          <w:trHeight w:val="20"/>
        </w:trPr>
        <w:tc>
          <w:tcPr>
            <w:tcW w:w="60" w:type="dxa"/>
            <w:vAlign w:val="bottom"/>
            <w:tcBorders>
              <w:left w:val="single" w:sz="8" w:color="697287"/>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020" w:type="dxa"/>
            <w:vAlign w:val="bottom"/>
            <w:tcBorders>
              <w:right w:val="single" w:sz="8" w:color="434F69"/>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Borders>
              <w:right w:val="single" w:sz="8" w:color="697287"/>
            </w:tcBorders>
          </w:tcPr>
          <w:p>
            <w:pPr>
              <w:spacing w:after="0" w:line="20" w:lineRule="exact"/>
              <w:rPr>
                <w:sz w:val="1"/>
                <w:szCs w:val="1"/>
                <w:color w:val="auto"/>
              </w:rPr>
            </w:pPr>
          </w:p>
        </w:tc>
      </w:tr>
      <w:tr>
        <w:trPr>
          <w:trHeight w:val="263"/>
        </w:trPr>
        <w:tc>
          <w:tcPr>
            <w:tcW w:w="60" w:type="dxa"/>
            <w:vAlign w:val="bottom"/>
            <w:tcBorders>
              <w:left w:val="single" w:sz="8" w:color="697287"/>
            </w:tcBorders>
          </w:tcPr>
          <w:p>
            <w:pPr>
              <w:spacing w:after="0"/>
              <w:rPr>
                <w:sz w:val="22"/>
                <w:szCs w:val="22"/>
                <w:color w:val="auto"/>
              </w:rPr>
            </w:pPr>
          </w:p>
        </w:tc>
        <w:tc>
          <w:tcPr>
            <w:tcW w:w="4060" w:type="dxa"/>
            <w:vAlign w:val="bottom"/>
            <w:tcBorders>
              <w:right w:val="single" w:sz="8" w:color="434F69"/>
            </w:tcBorders>
            <w:gridSpan w:val="3"/>
          </w:tcPr>
          <w:p>
            <w:pPr>
              <w:spacing w:after="0"/>
              <w:rPr>
                <w:sz w:val="20"/>
                <w:szCs w:val="20"/>
                <w:color w:val="auto"/>
              </w:rPr>
            </w:pPr>
            <w:r>
              <w:rPr>
                <w:rFonts w:ascii="Arial" w:cs="Arial" w:eastAsia="Arial" w:hAnsi="Arial"/>
                <w:sz w:val="18"/>
                <w:szCs w:val="18"/>
                <w:b w:val="1"/>
                <w:bCs w:val="1"/>
                <w:color w:val="auto"/>
              </w:rPr>
              <w:t>Plains All American Pipeline, L.P.</w:t>
            </w:r>
          </w:p>
        </w:tc>
        <w:tc>
          <w:tcPr>
            <w:tcW w:w="13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40" w:type="dxa"/>
            <w:vAlign w:val="bottom"/>
            <w:tcBorders>
              <w:right w:val="single" w:sz="8" w:color="697287"/>
            </w:tcBorders>
          </w:tcPr>
          <w:p>
            <w:pPr>
              <w:jc w:val="right"/>
              <w:ind w:right="1670"/>
              <w:spacing w:after="0"/>
              <w:rPr>
                <w:sz w:val="20"/>
                <w:szCs w:val="20"/>
                <w:color w:val="auto"/>
              </w:rPr>
            </w:pPr>
            <w:r>
              <w:rPr>
                <w:rFonts w:ascii="Arial" w:cs="Arial" w:eastAsia="Arial" w:hAnsi="Arial"/>
                <w:sz w:val="18"/>
                <w:szCs w:val="18"/>
                <w:b w:val="1"/>
                <w:bCs w:val="1"/>
                <w:color w:val="auto"/>
                <w:w w:val="83"/>
              </w:rPr>
              <w:t>28,677</w:t>
            </w:r>
          </w:p>
        </w:tc>
      </w:tr>
      <w:tr>
        <w:trPr>
          <w:trHeight w:val="20"/>
        </w:trPr>
        <w:tc>
          <w:tcPr>
            <w:tcW w:w="60" w:type="dxa"/>
            <w:vAlign w:val="bottom"/>
            <w:tcBorders>
              <w:left w:val="single" w:sz="8" w:color="434F69"/>
            </w:tcBorders>
            <w:shd w:val="clear" w:color="auto" w:fill="434F69"/>
          </w:tcPr>
          <w:p>
            <w:pPr>
              <w:spacing w:after="0" w:line="20" w:lineRule="exact"/>
              <w:rPr>
                <w:sz w:val="1"/>
                <w:szCs w:val="1"/>
                <w:color w:val="auto"/>
              </w:rPr>
            </w:pPr>
          </w:p>
        </w:tc>
        <w:tc>
          <w:tcPr>
            <w:tcW w:w="120" w:type="dxa"/>
            <w:vAlign w:val="bottom"/>
            <w:shd w:val="clear" w:color="auto" w:fill="434F69"/>
          </w:tcPr>
          <w:p>
            <w:pPr>
              <w:spacing w:after="0" w:line="20" w:lineRule="exact"/>
              <w:rPr>
                <w:sz w:val="1"/>
                <w:szCs w:val="1"/>
                <w:color w:val="auto"/>
              </w:rPr>
            </w:pPr>
          </w:p>
        </w:tc>
        <w:tc>
          <w:tcPr>
            <w:tcW w:w="920" w:type="dxa"/>
            <w:vAlign w:val="bottom"/>
            <w:shd w:val="clear" w:color="auto" w:fill="434F69"/>
          </w:tcPr>
          <w:p>
            <w:pPr>
              <w:spacing w:after="0" w:line="20" w:lineRule="exact"/>
              <w:rPr>
                <w:sz w:val="1"/>
                <w:szCs w:val="1"/>
                <w:color w:val="auto"/>
              </w:rPr>
            </w:pPr>
          </w:p>
        </w:tc>
        <w:tc>
          <w:tcPr>
            <w:tcW w:w="3020" w:type="dxa"/>
            <w:vAlign w:val="bottom"/>
            <w:tcBorders>
              <w:right w:val="single" w:sz="8" w:color="434F69"/>
            </w:tcBorders>
            <w:shd w:val="clear" w:color="auto" w:fill="434F69"/>
          </w:tcPr>
          <w:p>
            <w:pPr>
              <w:spacing w:after="0" w:line="20" w:lineRule="exact"/>
              <w:rPr>
                <w:sz w:val="1"/>
                <w:szCs w:val="1"/>
                <w:color w:val="auto"/>
              </w:rPr>
            </w:pPr>
          </w:p>
        </w:tc>
        <w:tc>
          <w:tcPr>
            <w:tcW w:w="1380" w:type="dxa"/>
            <w:vAlign w:val="bottom"/>
            <w:shd w:val="clear" w:color="auto" w:fill="434F69"/>
          </w:tcPr>
          <w:p>
            <w:pPr>
              <w:spacing w:after="0" w:line="20" w:lineRule="exact"/>
              <w:rPr>
                <w:sz w:val="1"/>
                <w:szCs w:val="1"/>
                <w:color w:val="auto"/>
              </w:rPr>
            </w:pPr>
          </w:p>
        </w:tc>
        <w:tc>
          <w:tcPr>
            <w:tcW w:w="480" w:type="dxa"/>
            <w:vAlign w:val="bottom"/>
            <w:shd w:val="clear" w:color="auto" w:fill="434F69"/>
          </w:tcPr>
          <w:p>
            <w:pPr>
              <w:spacing w:after="0" w:line="20" w:lineRule="exact"/>
              <w:rPr>
                <w:sz w:val="1"/>
                <w:szCs w:val="1"/>
                <w:color w:val="auto"/>
              </w:rPr>
            </w:pPr>
          </w:p>
        </w:tc>
        <w:tc>
          <w:tcPr>
            <w:tcW w:w="2240" w:type="dxa"/>
            <w:vAlign w:val="bottom"/>
            <w:tcBorders>
              <w:right w:val="single" w:sz="8" w:color="434F69"/>
            </w:tcBorders>
            <w:shd w:val="clear" w:color="auto" w:fill="434F69"/>
          </w:tcPr>
          <w:p>
            <w:pPr>
              <w:spacing w:after="0" w:line="20" w:lineRule="exact"/>
              <w:rPr>
                <w:sz w:val="1"/>
                <w:szCs w:val="1"/>
                <w:color w:val="auto"/>
              </w:rPr>
            </w:pPr>
          </w:p>
        </w:tc>
      </w:tr>
    </w:tbl>
    <w:p>
      <w:pPr>
        <w:spacing w:after="0" w:line="14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compensation committee also considered similar information from a broader sample of companies in other oil and gas sectors, including upstream, refining and regulated utilities, although the peer group listed above served as the primary source of external comparative information.</w:t>
      </w:r>
    </w:p>
    <w:p>
      <w:pPr>
        <w:spacing w:after="0" w:line="116"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Although the study prepared by Meridian was completed after our 2019 compensation targets were established for our NEOs, the results of Meridian’s study validate our view that our base salary levels are generally lower than market comparable salaries and our aggregate cash compensation levels (salary and bonus) and our total compensation levels (cash plus equity) are generally competitive with the midstream industry benchmarks provided by our peer group for top executive roles, but are moderate relative to the larger and broader spectrum of energy industry competitors that compete for similar talent.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15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Set forth below is additional information regarding our compensation practices as they relate to the elements of our compensation program:</w:t>
      </w:r>
    </w:p>
    <w:p>
      <w:pPr>
        <w:spacing w:after="0" w:line="89"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do not make systematic annual adjustments to the base salaries of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but we do make salary adjustments in connection with promotions or taking on increased responsibilities.</w:t>
      </w:r>
    </w:p>
    <w:p>
      <w:pPr>
        <w:spacing w:after="0" w:line="11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i w:val="1"/>
          <w:iCs w:val="1"/>
          <w:color w:val="auto"/>
        </w:rPr>
        <w:t xml:space="preserve">Annual Bonuses. </w:t>
      </w:r>
      <w:r>
        <w:rPr>
          <w:rFonts w:ascii="Arial" w:cs="Arial" w:eastAsia="Arial" w:hAnsi="Arial"/>
          <w:sz w:val="16"/>
          <w:szCs w:val="16"/>
          <w:color w:val="auto"/>
        </w:rPr>
        <w:t>Since 2018, we have utilized a more formulaic approach for determining annual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bonuses for the Named Executive Officers are determined within a formulaic framework that includes an annual bonus target for each Named Executive Officer, expressed as a percentage of base salary, and the determination of an actual payout as a percentage of such target bonus amount based on company performance relative to specific goals and individual contributions with respect thereto. Annual company goals typically include financial, safety, environmental and other specified goals, and each goal, as well as the individual performance component, is assigned a weighting or percentage share of the total bonus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bonus opportunity. The final amounts that are paid may be adjusted by the compensation committee and the Board based on factors it deems relevant. Such adjustments may be positive or negative depending on the circumstance; for</w:t>
      </w:r>
    </w:p>
    <w:p>
      <w:pPr>
        <w:sectPr>
          <w:pgSz w:w="11900" w:h="16838" w:orient="portrait"/>
          <w:cols w:equalWidth="0" w:num="1">
            <w:col w:w="10139"/>
          </w:cols>
          <w:pgMar w:left="320" w:top="131" w:right="1440" w:bottom="1440" w:gutter="0" w:footer="0" w:header="0"/>
        </w:sectPr>
      </w:pPr>
    </w:p>
    <w:p>
      <w:pPr>
        <w:spacing w:after="0" w:line="34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342" w:lineRule="auto"/>
        <w:rPr>
          <w:sz w:val="20"/>
          <w:szCs w:val="20"/>
          <w:color w:val="auto"/>
        </w:rPr>
      </w:pPr>
      <w:r>
        <w:rPr>
          <w:rFonts w:ascii="Arial" w:cs="Arial" w:eastAsia="Arial" w:hAnsi="Arial"/>
          <w:sz w:val="16"/>
          <w:szCs w:val="16"/>
          <w:color w:val="auto"/>
        </w:rPr>
        <w:t>example, with respect to 2019, the annual bonuses for certain NEOs were adjusted downward due to the relative equity price performance of the publicly traded units and shares of PAA and PAGP, respectively, during 2019.</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2019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137160</wp:posOffset>
            </wp:positionV>
            <wp:extent cx="3874770" cy="1645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477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At the end of each year, the CEO performs an assessment of our performance relative to goals. Key quantitative measures within the annual bonus framework include Adjusted EBITDA, as well as DCF per PAA common unit and various safety and environmental metrics. The CEO’s written analysis of our performance examines accomplishments and shortfalls relative to established objectives and also assesses overall performance against opportunities and challenges, taking into account controllable and non-controllable factors encountered during the year. The CEO’s report also includes an assessment of the individual performance and contributions of each NEO (other than himself). The CEO submits his report and the supporting detail to the compensation committee and Board for review and comment. Based on the conclusions set forth in the annual performance review and the framework described above, the CEO submits the results of the bonus calculations along with any recommendations for adjustments to the compensation committee for all Named Executive Officers other than himself. The CEO considers various factors, including:</w:t>
      </w:r>
    </w:p>
    <w:p>
      <w:pPr>
        <w:spacing w:after="0" w:line="91" w:lineRule="exact"/>
        <w:rPr>
          <w:sz w:val="20"/>
          <w:szCs w:val="20"/>
          <w:color w:val="auto"/>
        </w:rPr>
      </w:pPr>
    </w:p>
    <w:p>
      <w:pPr>
        <w:ind w:left="2160" w:right="919" w:hanging="178"/>
        <w:spacing w:after="0" w:line="277" w:lineRule="auto"/>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75" w:lineRule="exact"/>
        <w:rPr>
          <w:rFonts w:ascii="Arial" w:cs="Arial" w:eastAsia="Arial" w:hAnsi="Arial"/>
          <w:sz w:val="18"/>
          <w:szCs w:val="18"/>
          <w:color w:val="auto"/>
        </w:rPr>
      </w:pPr>
    </w:p>
    <w:p>
      <w:pPr>
        <w:ind w:left="2160" w:right="1179" w:hanging="178"/>
        <w:spacing w:after="0" w:line="277" w:lineRule="auto"/>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75" w:lineRule="exact"/>
        <w:rPr>
          <w:rFonts w:ascii="Arial" w:cs="Arial" w:eastAsia="Arial" w:hAnsi="Arial"/>
          <w:sz w:val="18"/>
          <w:szCs w:val="18"/>
          <w:color w:val="auto"/>
        </w:rPr>
      </w:pPr>
    </w:p>
    <w:p>
      <w:pPr>
        <w:ind w:left="2160" w:right="959" w:hanging="178"/>
        <w:spacing w:after="0" w:line="277" w:lineRule="auto"/>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75" w:lineRule="exact"/>
        <w:rPr>
          <w:rFonts w:ascii="Arial" w:cs="Arial" w:eastAsia="Arial" w:hAnsi="Arial"/>
          <w:sz w:val="18"/>
          <w:szCs w:val="18"/>
          <w:color w:val="auto"/>
        </w:rPr>
      </w:pPr>
    </w:p>
    <w:p>
      <w:pPr>
        <w:ind w:left="2160" w:hanging="178"/>
        <w:spacing w:after="0"/>
        <w:tabs>
          <w:tab w:leader="none" w:pos="2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significant transactions or accomplishments for the period not included in the goals for the year;</w:t>
      </w:r>
    </w:p>
    <w:p>
      <w:pPr>
        <w:spacing w:after="0" w:line="155" w:lineRule="exact"/>
        <w:rPr>
          <w:rFonts w:ascii="Arial" w:cs="Arial" w:eastAsia="Arial" w:hAnsi="Arial"/>
          <w:sz w:val="17"/>
          <w:szCs w:val="17"/>
          <w:color w:val="auto"/>
        </w:rPr>
      </w:pPr>
    </w:p>
    <w:p>
      <w:pPr>
        <w:ind w:left="2160" w:hanging="178"/>
        <w:spacing w:after="0"/>
        <w:tabs>
          <w:tab w:leader="none" w:pos="2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relative prospects at the end of the year with respect to future growth and performance; and</w:t>
      </w:r>
    </w:p>
    <w:p>
      <w:pPr>
        <w:spacing w:after="0" w:line="142" w:lineRule="exact"/>
        <w:rPr>
          <w:rFonts w:ascii="Arial" w:cs="Arial" w:eastAsia="Arial" w:hAnsi="Arial"/>
          <w:sz w:val="17"/>
          <w:szCs w:val="17"/>
          <w:color w:val="auto"/>
        </w:rPr>
      </w:pPr>
    </w:p>
    <w:p>
      <w:pPr>
        <w:ind w:left="2160" w:right="899" w:hanging="178"/>
        <w:spacing w:after="0" w:line="277" w:lineRule="auto"/>
        <w:tabs>
          <w:tab w:leader="none" w:pos="2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credit profile.</w:t>
      </w:r>
    </w:p>
    <w:p>
      <w:pPr>
        <w:spacing w:after="0" w:line="103" w:lineRule="exact"/>
        <w:rPr>
          <w:sz w:val="20"/>
          <w:szCs w:val="20"/>
          <w:color w:val="auto"/>
        </w:rPr>
      </w:pPr>
    </w:p>
    <w:p>
      <w:pPr>
        <w:ind w:left="1260" w:right="919"/>
        <w:spacing w:after="0" w:line="257" w:lineRule="auto"/>
        <w:rPr>
          <w:sz w:val="20"/>
          <w:szCs w:val="20"/>
          <w:color w:val="auto"/>
        </w:rPr>
      </w:pPr>
      <w:r>
        <w:rPr>
          <w:rFonts w:ascii="Arial" w:cs="Arial" w:eastAsia="Arial" w:hAnsi="Arial"/>
          <w:sz w:val="18"/>
          <w:szCs w:val="18"/>
          <w:color w:val="auto"/>
        </w:rPr>
        <w:t>The CEO takes these factors into consideration, as well as the relative contributions of each of the Named Executive Officers to the year’s performance, in developing his recommendations for bonus amounts. The compensation committee also references in its deliberations a “tally sheet” that sets forth comprehensive historical compensation information (including cash, equity and other benefits and perquisites, if any) for each NEO.</w:t>
      </w:r>
    </w:p>
    <w:p>
      <w:pPr>
        <w:spacing w:after="0" w:line="107"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In their review, the compensation committee may adjust the CEO’s recommendations upward or downward in their discretion. The compensation committee’s recommendations are then submitted to the Board for its review and approval.</w:t>
      </w: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As noted above, the CEO’s bonus recommendation leaves blank the amount for the CEO’s bonus. The compensation committee typically assesses the CEO’s contribution toward meeting goals, and recommends to the Board the CEO total bonus payout it believes to be commensurate with such contribution.</w:t>
      </w:r>
    </w:p>
    <w:p>
      <w:pPr>
        <w:spacing w:after="0" w:line="84"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performance-based phantom unit grants issued under our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Plans to encourage and reward timely achievement of targeted metrics designed to align the long-term interests of the Named Executive Officers with those of our unitholders.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2019 Annual LTIP Award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146050</wp:posOffset>
            </wp:positionV>
            <wp:extent cx="4183380" cy="1329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Named Executive Officers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 We may also grant “off cycle” awards from time to time to retain talent and incentivize performance during challenging market conditions.</w:t>
      </w:r>
    </w:p>
    <w:p>
      <w:pPr>
        <w:spacing w:after="0" w:line="107"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These grants typically require minimum service periods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tied to certain DCF per PAA common unit levels, and continued employment for periods ranging from two to five years. As noted above, a portion of the phantom unit grants to be awarded in 2020 will include relative TSR as a performance metric. Phantom unit grants also typically provide for the Named Executive Officers to receive DERs on the applicable phantom units prior to vesting in the underlying PAA common units.</w:t>
      </w:r>
    </w:p>
    <w:p>
      <w:pPr>
        <w:spacing w:after="0" w:line="129"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7"/>
          <w:szCs w:val="17"/>
          <w:color w:val="auto"/>
        </w:rPr>
        <w:t>An additional equity incentive tool that has been used in the past involved the issuance to executives of Class B units of AAP (“AAP Management Units”). While no AAP Management Unit awards were granted in 2019, certain Named Executive Officers held such awards during 2019. See “Outstanding Equity Awards at Fiscal Year-End” and “Certain Relationships and Related Transactions — AAP Management Units” below for more information regarding the AAP Management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2019 Performance Overview and Specific Application of Compensation Elements in 2019</w:t>
      </w:r>
    </w:p>
    <w:p>
      <w:pPr>
        <w:spacing w:after="0" w:line="144" w:lineRule="exact"/>
        <w:rPr>
          <w:sz w:val="20"/>
          <w:szCs w:val="20"/>
          <w:color w:val="auto"/>
        </w:rPr>
      </w:pPr>
    </w:p>
    <w:p>
      <w:pPr>
        <w:ind w:left="1260" w:right="1339" w:firstLine="360"/>
        <w:spacing w:after="0" w:line="324" w:lineRule="auto"/>
        <w:rPr>
          <w:sz w:val="20"/>
          <w:szCs w:val="20"/>
          <w:color w:val="auto"/>
        </w:rPr>
      </w:pPr>
      <w:r>
        <w:rPr>
          <w:rFonts w:ascii="Arial" w:cs="Arial" w:eastAsia="Arial" w:hAnsi="Arial"/>
          <w:sz w:val="16"/>
          <w:szCs w:val="16"/>
          <w:color w:val="auto"/>
        </w:rPr>
        <w:t>At the beginning of 2019, we established key qualitative goals and quantitative financial, safety and environmental objectives. We also set important commercial, operational and organizational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wp:posOffset>
            </wp:positionV>
            <wp:extent cx="5212080" cy="2872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2872105"/>
                    </a:xfrm>
                    <a:prstGeom prst="rect">
                      <a:avLst/>
                    </a:prstGeom>
                    <a:noFill/>
                  </pic:spPr>
                </pic:pic>
              </a:graphicData>
            </a:graphic>
          </wp:anchor>
        </w:drawing>
      </w:r>
    </w:p>
    <w:p>
      <w:pPr>
        <w:spacing w:after="0" w:line="69"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FFFFFF"/>
        </w:rPr>
        <w:t>2019 Performance Objectives and Results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264"/>
        </w:trPr>
        <w:tc>
          <w:tcPr>
            <w:tcW w:w="2740" w:type="dxa"/>
            <w:vAlign w:val="bottom"/>
            <w:tcBorders>
              <w:top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Quantitative Goals</w:t>
            </w:r>
          </w:p>
        </w:tc>
        <w:tc>
          <w:tcPr>
            <w:tcW w:w="2760" w:type="dxa"/>
            <w:vAlign w:val="bottom"/>
            <w:tcBorders>
              <w:top w:val="single" w:sz="8" w:color="434F69"/>
              <w:bottom w:val="single" w:sz="8" w:color="434F69"/>
              <w:right w:val="single" w:sz="8" w:color="434F69"/>
            </w:tcBorders>
            <w:shd w:val="clear" w:color="auto" w:fill="D9DCE1"/>
          </w:tcPr>
          <w:p>
            <w:pPr>
              <w:spacing w:after="0"/>
              <w:rPr>
                <w:sz w:val="22"/>
                <w:szCs w:val="22"/>
                <w:color w:val="auto"/>
              </w:rPr>
            </w:pPr>
          </w:p>
        </w:tc>
        <w:tc>
          <w:tcPr>
            <w:tcW w:w="2700" w:type="dxa"/>
            <w:vAlign w:val="bottom"/>
            <w:tcBorders>
              <w:top w:val="single" w:sz="8" w:color="434F69"/>
              <w:bottom w:val="single" w:sz="8" w:color="434F69"/>
            </w:tcBorders>
            <w:shd w:val="clear" w:color="auto" w:fill="D9DCE1"/>
          </w:tcPr>
          <w:p>
            <w:pPr>
              <w:spacing w:after="0"/>
              <w:rPr>
                <w:sz w:val="22"/>
                <w:szCs w:val="22"/>
                <w:color w:val="auto"/>
              </w:rPr>
            </w:pPr>
          </w:p>
        </w:tc>
        <w:tc>
          <w:tcPr>
            <w:tcW w:w="20" w:type="dxa"/>
            <w:vAlign w:val="bottom"/>
            <w:tcBorders>
              <w:top w:val="single" w:sz="8" w:color="434F69"/>
              <w:bottom w:val="single" w:sz="8" w:color="434F69"/>
            </w:tcBorders>
          </w:tcPr>
          <w:p>
            <w:pPr>
              <w:spacing w:after="0"/>
              <w:rPr>
                <w:sz w:val="22"/>
                <w:szCs w:val="22"/>
                <w:color w:val="auto"/>
              </w:rPr>
            </w:pPr>
          </w:p>
        </w:tc>
      </w:tr>
      <w:tr>
        <w:trPr>
          <w:trHeight w:val="250"/>
        </w:trPr>
        <w:tc>
          <w:tcPr>
            <w:tcW w:w="2740" w:type="dxa"/>
            <w:vAlign w:val="bottom"/>
            <w:tcBorders>
              <w:bottom w:val="single" w:sz="8" w:color="434F69"/>
              <w:right w:val="single" w:sz="8" w:color="434F69"/>
            </w:tcBorders>
          </w:tcPr>
          <w:p>
            <w:pPr>
              <w:ind w:left="60"/>
              <w:spacing w:after="0"/>
              <w:rPr>
                <w:sz w:val="20"/>
                <w:szCs w:val="20"/>
                <w:color w:val="auto"/>
              </w:rPr>
            </w:pPr>
            <w:r>
              <w:rPr>
                <w:rFonts w:ascii="Arial" w:cs="Arial" w:eastAsia="Arial" w:hAnsi="Arial"/>
                <w:sz w:val="18"/>
                <w:szCs w:val="18"/>
                <w:b w:val="1"/>
                <w:bCs w:val="1"/>
                <w:color w:val="auto"/>
              </w:rPr>
              <w:t>Metrics</w:t>
            </w:r>
          </w:p>
        </w:tc>
        <w:tc>
          <w:tcPr>
            <w:tcW w:w="276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b w:val="1"/>
                <w:bCs w:val="1"/>
                <w:color w:val="auto"/>
              </w:rPr>
              <w:t>2019 Goals</w:t>
            </w:r>
          </w:p>
        </w:tc>
        <w:tc>
          <w:tcPr>
            <w:tcW w:w="2700" w:type="dxa"/>
            <w:vAlign w:val="bottom"/>
            <w:tcBorders>
              <w:bottom w:val="single" w:sz="8" w:color="434F69"/>
            </w:tcBorders>
          </w:tcPr>
          <w:p>
            <w:pPr>
              <w:ind w:left="100"/>
              <w:spacing w:after="0"/>
              <w:rPr>
                <w:sz w:val="20"/>
                <w:szCs w:val="20"/>
                <w:color w:val="auto"/>
              </w:rPr>
            </w:pPr>
            <w:r>
              <w:rPr>
                <w:rFonts w:ascii="Arial" w:cs="Arial" w:eastAsia="Arial" w:hAnsi="Arial"/>
                <w:sz w:val="18"/>
                <w:szCs w:val="18"/>
                <w:b w:val="1"/>
                <w:bCs w:val="1"/>
                <w:color w:val="auto"/>
              </w:rPr>
              <w:t>2019 Results</w:t>
            </w:r>
          </w:p>
        </w:tc>
        <w:tc>
          <w:tcPr>
            <w:tcW w:w="20" w:type="dxa"/>
            <w:vAlign w:val="bottom"/>
            <w:tcBorders>
              <w:bottom w:val="single" w:sz="8" w:color="434F69"/>
            </w:tcBorders>
          </w:tcPr>
          <w:p>
            <w:pPr>
              <w:spacing w:after="0"/>
              <w:rPr>
                <w:sz w:val="21"/>
                <w:szCs w:val="21"/>
                <w:color w:val="auto"/>
              </w:rPr>
            </w:pPr>
          </w:p>
        </w:tc>
      </w:tr>
      <w:tr>
        <w:trPr>
          <w:trHeight w:val="270"/>
        </w:trPr>
        <w:tc>
          <w:tcPr>
            <w:tcW w:w="2740" w:type="dxa"/>
            <w:vAlign w:val="bottom"/>
            <w:tcBorders>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5</w:t>
            </w:r>
          </w:p>
        </w:tc>
        <w:tc>
          <w:tcPr>
            <w:tcW w:w="2760" w:type="dxa"/>
            <w:vAlign w:val="bottom"/>
            <w:tcBorders>
              <w:bottom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$2.8 billion</w:t>
            </w:r>
          </w:p>
        </w:tc>
        <w:tc>
          <w:tcPr>
            <w:tcW w:w="27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$3.24 billion</w:t>
            </w:r>
          </w:p>
        </w:tc>
        <w:tc>
          <w:tcPr>
            <w:tcW w:w="20" w:type="dxa"/>
            <w:vAlign w:val="bottom"/>
            <w:tcBorders>
              <w:bottom w:val="single" w:sz="8" w:color="434F69"/>
            </w:tcBorders>
          </w:tcPr>
          <w:p>
            <w:pPr>
              <w:spacing w:after="0"/>
              <w:rPr>
                <w:sz w:val="23"/>
                <w:szCs w:val="23"/>
                <w:color w:val="auto"/>
              </w:rPr>
            </w:pPr>
          </w:p>
        </w:tc>
      </w:tr>
      <w:tr>
        <w:trPr>
          <w:trHeight w:val="244"/>
        </w:trPr>
        <w:tc>
          <w:tcPr>
            <w:tcW w:w="2740" w:type="dxa"/>
            <w:vAlign w:val="bottom"/>
            <w:tcBorders>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DCF per common unit</w:t>
            </w:r>
          </w:p>
        </w:tc>
        <w:tc>
          <w:tcPr>
            <w:tcW w:w="276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$2.64</w:t>
            </w:r>
          </w:p>
        </w:tc>
        <w:tc>
          <w:tcPr>
            <w:tcW w:w="27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434F69"/>
            </w:tcBorders>
          </w:tcPr>
          <w:p>
            <w:pPr>
              <w:spacing w:after="0"/>
              <w:rPr>
                <w:sz w:val="21"/>
                <w:szCs w:val="21"/>
                <w:color w:val="auto"/>
              </w:rPr>
            </w:pPr>
          </w:p>
        </w:tc>
      </w:tr>
      <w:tr>
        <w:trPr>
          <w:trHeight w:val="215"/>
        </w:trPr>
        <w:tc>
          <w:tcPr>
            <w:tcW w:w="2740" w:type="dxa"/>
            <w:vAlign w:val="bottom"/>
            <w:tcBorders>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Safety and Environmental</w:t>
            </w:r>
          </w:p>
        </w:tc>
        <w:tc>
          <w:tcPr>
            <w:tcW w:w="2760" w:type="dxa"/>
            <w:vAlign w:val="bottom"/>
            <w:tcBorders>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w w:val="99"/>
              </w:rPr>
              <w:t>20% year over year improvement</w:t>
            </w:r>
          </w:p>
        </w:tc>
        <w:tc>
          <w:tcPr>
            <w:tcW w:w="2700" w:type="dxa"/>
            <w:vAlign w:val="bottom"/>
            <w:shd w:val="clear" w:color="auto" w:fill="D9DCE1"/>
          </w:tcPr>
          <w:p>
            <w:pPr>
              <w:ind w:left="100"/>
              <w:spacing w:after="0"/>
              <w:rPr>
                <w:sz w:val="20"/>
                <w:szCs w:val="20"/>
                <w:color w:val="auto"/>
              </w:rPr>
            </w:pPr>
            <w:r>
              <w:rPr>
                <w:rFonts w:ascii="Arial" w:cs="Arial" w:eastAsia="Arial" w:hAnsi="Arial"/>
                <w:sz w:val="18"/>
                <w:szCs w:val="18"/>
                <w:color w:val="auto"/>
              </w:rPr>
              <w:t>•  30% reduction in recordable</w:t>
            </w:r>
          </w:p>
        </w:tc>
        <w:tc>
          <w:tcPr>
            <w:tcW w:w="20" w:type="dxa"/>
            <w:vAlign w:val="bottom"/>
          </w:tcPr>
          <w:p>
            <w:pPr>
              <w:spacing w:after="0"/>
              <w:rPr>
                <w:sz w:val="18"/>
                <w:szCs w:val="18"/>
                <w:color w:val="auto"/>
              </w:rPr>
            </w:pPr>
          </w:p>
        </w:tc>
      </w:tr>
      <w:tr>
        <w:trPr>
          <w:trHeight w:val="216"/>
        </w:trPr>
        <w:tc>
          <w:tcPr>
            <w:tcW w:w="2740" w:type="dxa"/>
            <w:vAlign w:val="bottom"/>
            <w:tcBorders>
              <w:right w:val="single" w:sz="8" w:color="434F69"/>
            </w:tcBorders>
            <w:shd w:val="clear" w:color="auto" w:fill="D9DCE1"/>
          </w:tcPr>
          <w:p>
            <w:pPr>
              <w:spacing w:after="0"/>
              <w:rPr>
                <w:sz w:val="18"/>
                <w:szCs w:val="18"/>
                <w:color w:val="auto"/>
              </w:rPr>
            </w:pPr>
          </w:p>
        </w:tc>
        <w:tc>
          <w:tcPr>
            <w:tcW w:w="2760" w:type="dxa"/>
            <w:vAlign w:val="bottom"/>
            <w:tcBorders>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w w:val="94"/>
              </w:rPr>
              <w:t>in certain safety and environmental</w:t>
            </w:r>
          </w:p>
        </w:tc>
        <w:tc>
          <w:tcPr>
            <w:tcW w:w="2700" w:type="dxa"/>
            <w:vAlign w:val="bottom"/>
            <w:shd w:val="clear" w:color="auto" w:fill="D9DCE1"/>
          </w:tcPr>
          <w:p>
            <w:pPr>
              <w:ind w:left="280"/>
              <w:spacing w:after="0"/>
              <w:rPr>
                <w:sz w:val="20"/>
                <w:szCs w:val="20"/>
                <w:color w:val="auto"/>
              </w:rPr>
            </w:pPr>
            <w:r>
              <w:rPr>
                <w:rFonts w:ascii="Arial" w:cs="Arial" w:eastAsia="Arial" w:hAnsi="Arial"/>
                <w:sz w:val="18"/>
                <w:szCs w:val="18"/>
                <w:color w:val="auto"/>
              </w:rPr>
              <w:t>injury rate</w:t>
            </w:r>
          </w:p>
        </w:tc>
        <w:tc>
          <w:tcPr>
            <w:tcW w:w="20" w:type="dxa"/>
            <w:vAlign w:val="bottom"/>
          </w:tcPr>
          <w:p>
            <w:pPr>
              <w:spacing w:after="0"/>
              <w:rPr>
                <w:sz w:val="18"/>
                <w:szCs w:val="18"/>
                <w:color w:val="auto"/>
              </w:rPr>
            </w:pPr>
          </w:p>
        </w:tc>
      </w:tr>
      <w:tr>
        <w:trPr>
          <w:trHeight w:val="270"/>
        </w:trPr>
        <w:tc>
          <w:tcPr>
            <w:tcW w:w="2740" w:type="dxa"/>
            <w:vAlign w:val="bottom"/>
            <w:tcBorders>
              <w:right w:val="single" w:sz="8" w:color="434F69"/>
            </w:tcBorders>
            <w:shd w:val="clear" w:color="auto" w:fill="D9DCE1"/>
          </w:tcPr>
          <w:p>
            <w:pPr>
              <w:spacing w:after="0"/>
              <w:rPr>
                <w:sz w:val="23"/>
                <w:szCs w:val="23"/>
                <w:color w:val="auto"/>
              </w:rPr>
            </w:pPr>
          </w:p>
        </w:tc>
        <w:tc>
          <w:tcPr>
            <w:tcW w:w="2760" w:type="dxa"/>
            <w:vAlign w:val="bottom"/>
            <w:tcBorders>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metrics</w:t>
            </w:r>
          </w:p>
        </w:tc>
        <w:tc>
          <w:tcPr>
            <w:tcW w:w="2700" w:type="dxa"/>
            <w:vAlign w:val="bottom"/>
            <w:shd w:val="clear" w:color="auto" w:fill="D9DCE1"/>
          </w:tcPr>
          <w:p>
            <w:pPr>
              <w:ind w:left="100"/>
              <w:spacing w:after="0"/>
              <w:rPr>
                <w:sz w:val="20"/>
                <w:szCs w:val="20"/>
                <w:color w:val="auto"/>
              </w:rPr>
            </w:pPr>
            <w:r>
              <w:rPr>
                <w:rFonts w:ascii="Arial" w:cs="Arial" w:eastAsia="Arial" w:hAnsi="Arial"/>
                <w:sz w:val="18"/>
                <w:szCs w:val="18"/>
                <w:color w:val="auto"/>
              </w:rPr>
              <w:t>•  25% reduction in federally</w:t>
            </w:r>
          </w:p>
        </w:tc>
        <w:tc>
          <w:tcPr>
            <w:tcW w:w="20" w:type="dxa"/>
            <w:vAlign w:val="bottom"/>
          </w:tcPr>
          <w:p>
            <w:pPr>
              <w:spacing w:after="0"/>
              <w:rPr>
                <w:sz w:val="23"/>
                <w:szCs w:val="23"/>
                <w:color w:val="auto"/>
              </w:rPr>
            </w:pPr>
          </w:p>
        </w:tc>
      </w:tr>
      <w:tr>
        <w:trPr>
          <w:trHeight w:val="251"/>
        </w:trPr>
        <w:tc>
          <w:tcPr>
            <w:tcW w:w="2740" w:type="dxa"/>
            <w:vAlign w:val="bottom"/>
            <w:tcBorders>
              <w:bottom w:val="single" w:sz="8" w:color="D9DCE1"/>
              <w:right w:val="single" w:sz="8" w:color="434F69"/>
            </w:tcBorders>
            <w:shd w:val="clear" w:color="auto" w:fill="D9DCE1"/>
          </w:tcPr>
          <w:p>
            <w:pPr>
              <w:spacing w:after="0"/>
              <w:rPr>
                <w:sz w:val="21"/>
                <w:szCs w:val="21"/>
                <w:color w:val="auto"/>
              </w:rPr>
            </w:pPr>
          </w:p>
        </w:tc>
        <w:tc>
          <w:tcPr>
            <w:tcW w:w="2760" w:type="dxa"/>
            <w:vAlign w:val="bottom"/>
            <w:tcBorders>
              <w:bottom w:val="single" w:sz="8" w:color="D9DCE1"/>
              <w:right w:val="single" w:sz="8" w:color="434F69"/>
            </w:tcBorders>
            <w:shd w:val="clear" w:color="auto" w:fill="D9DCE1"/>
          </w:tcPr>
          <w:p>
            <w:pPr>
              <w:spacing w:after="0"/>
              <w:rPr>
                <w:sz w:val="21"/>
                <w:szCs w:val="21"/>
                <w:color w:val="auto"/>
              </w:rPr>
            </w:pPr>
          </w:p>
        </w:tc>
        <w:tc>
          <w:tcPr>
            <w:tcW w:w="2700" w:type="dxa"/>
            <w:vAlign w:val="bottom"/>
            <w:tcBorders>
              <w:bottom w:val="single" w:sz="8" w:color="D9DCE1"/>
            </w:tcBorders>
            <w:shd w:val="clear" w:color="auto" w:fill="D9DCE1"/>
          </w:tcPr>
          <w:p>
            <w:pPr>
              <w:ind w:left="280"/>
              <w:spacing w:after="0"/>
              <w:rPr>
                <w:sz w:val="20"/>
                <w:szCs w:val="20"/>
                <w:color w:val="auto"/>
              </w:rPr>
            </w:pPr>
            <w:r>
              <w:rPr>
                <w:rFonts w:ascii="Arial" w:cs="Arial" w:eastAsia="Arial" w:hAnsi="Arial"/>
                <w:sz w:val="18"/>
                <w:szCs w:val="18"/>
                <w:color w:val="auto"/>
              </w:rPr>
              <w:t>reportable releases</w:t>
            </w:r>
          </w:p>
        </w:tc>
        <w:tc>
          <w:tcPr>
            <w:tcW w:w="20" w:type="dxa"/>
            <w:vAlign w:val="bottom"/>
          </w:tcPr>
          <w:p>
            <w:pPr>
              <w:spacing w:after="0"/>
              <w:rPr>
                <w:sz w:val="21"/>
                <w:szCs w:val="21"/>
                <w:color w:val="auto"/>
              </w:rPr>
            </w:pPr>
          </w:p>
        </w:tc>
      </w:tr>
      <w:tr>
        <w:trPr>
          <w:trHeight w:val="20"/>
        </w:trPr>
        <w:tc>
          <w:tcPr>
            <w:tcW w:w="2740" w:type="dxa"/>
            <w:vAlign w:val="bottom"/>
            <w:tcBorders>
              <w:right w:val="single" w:sz="8" w:color="434F69"/>
            </w:tcBorders>
            <w:shd w:val="clear" w:color="auto" w:fill="434F69"/>
          </w:tcPr>
          <w:p>
            <w:pPr>
              <w:spacing w:after="0" w:line="20" w:lineRule="exact"/>
              <w:rPr>
                <w:sz w:val="1"/>
                <w:szCs w:val="1"/>
                <w:color w:val="auto"/>
              </w:rPr>
            </w:pPr>
          </w:p>
        </w:tc>
        <w:tc>
          <w:tcPr>
            <w:tcW w:w="2760" w:type="dxa"/>
            <w:vAlign w:val="bottom"/>
            <w:tcBorders>
              <w:right w:val="single" w:sz="8" w:color="434F69"/>
            </w:tcBorders>
            <w:shd w:val="clear" w:color="auto" w:fill="434F69"/>
          </w:tcPr>
          <w:p>
            <w:pPr>
              <w:spacing w:after="0" w:line="20" w:lineRule="exact"/>
              <w:rPr>
                <w:sz w:val="1"/>
                <w:szCs w:val="1"/>
                <w:color w:val="auto"/>
              </w:rPr>
            </w:pPr>
          </w:p>
        </w:tc>
        <w:tc>
          <w:tcPr>
            <w:tcW w:w="2700" w:type="dxa"/>
            <w:vAlign w:val="bottom"/>
            <w:shd w:val="clear" w:color="auto" w:fill="434F69"/>
          </w:tcPr>
          <w:p>
            <w:pPr>
              <w:spacing w:after="0" w:line="20" w:lineRule="exact"/>
              <w:rPr>
                <w:sz w:val="1"/>
                <w:szCs w:val="1"/>
                <w:color w:val="auto"/>
              </w:rPr>
            </w:pPr>
          </w:p>
        </w:tc>
        <w:tc>
          <w:tcPr>
            <w:tcW w:w="20" w:type="dxa"/>
            <w:vAlign w:val="bottom"/>
            <w:shd w:val="clear" w:color="auto" w:fill="434F69"/>
          </w:tcPr>
          <w:p>
            <w:pPr>
              <w:spacing w:after="0" w:line="20" w:lineRule="exact"/>
              <w:rPr>
                <w:sz w:val="1"/>
                <w:szCs w:val="1"/>
                <w:color w:val="auto"/>
              </w:rPr>
            </w:pPr>
          </w:p>
        </w:tc>
      </w:tr>
    </w:tbl>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Qualitative Goals</w:t>
      </w:r>
    </w:p>
    <w:p>
      <w:pPr>
        <w:spacing w:after="0" w:line="54" w:lineRule="exact"/>
        <w:rPr>
          <w:sz w:val="20"/>
          <w:szCs w:val="20"/>
          <w:color w:val="auto"/>
        </w:rPr>
      </w:pPr>
    </w:p>
    <w:p>
      <w:pPr>
        <w:ind w:left="1500" w:right="739" w:hanging="179"/>
        <w:spacing w:after="0" w:line="263" w:lineRule="auto"/>
        <w:tabs>
          <w:tab w:leader="none" w:pos="1480" w:val="left"/>
        </w:tabs>
        <w:rPr>
          <w:sz w:val="20"/>
          <w:szCs w:val="20"/>
          <w:color w:val="auto"/>
        </w:rPr>
      </w:pPr>
      <w:r>
        <w:rPr>
          <w:rFonts w:ascii="Arial" w:cs="Arial" w:eastAsia="Arial" w:hAnsi="Arial"/>
          <w:sz w:val="18"/>
          <w:szCs w:val="18"/>
          <w:color w:val="auto"/>
        </w:rPr>
        <w:t>•</w:t>
        <w:tab/>
        <w:t>Financial: complete our 2017 deleveraging plan, develop and execute a comprehensive capital allocation strategy, achieve a total debt to adjusted EBITDA ratio of 4.3x or lower by year end and maintain distribution coverage of at least 130%</w:t>
      </w:r>
    </w:p>
    <w:p>
      <w:pPr>
        <w:spacing w:after="0" w:line="22" w:lineRule="exact"/>
        <w:rPr>
          <w:sz w:val="20"/>
          <w:szCs w:val="20"/>
          <w:color w:val="auto"/>
        </w:rPr>
      </w:pPr>
    </w:p>
    <w:p>
      <w:pPr>
        <w:ind w:left="1500" w:right="879" w:hanging="179"/>
        <w:spacing w:after="0" w:line="277" w:lineRule="auto"/>
        <w:tabs>
          <w:tab w:leader="none" w:pos="1480" w:val="left"/>
        </w:tabs>
        <w:rPr>
          <w:sz w:val="20"/>
          <w:szCs w:val="20"/>
          <w:color w:val="auto"/>
        </w:rPr>
      </w:pPr>
      <w:r>
        <w:rPr>
          <w:rFonts w:ascii="Arial" w:cs="Arial" w:eastAsia="Arial" w:hAnsi="Arial"/>
          <w:sz w:val="18"/>
          <w:szCs w:val="18"/>
          <w:color w:val="auto"/>
        </w:rPr>
        <w:t>•</w:t>
        <w:tab/>
        <w:t>Investment: advance key projects that will support future growth and returns and utilize existing capacity of existing assets</w:t>
      </w:r>
    </w:p>
    <w:p>
      <w:pPr>
        <w:spacing w:after="0" w:line="8" w:lineRule="exact"/>
        <w:rPr>
          <w:sz w:val="20"/>
          <w:szCs w:val="20"/>
          <w:color w:val="auto"/>
        </w:rPr>
      </w:pPr>
    </w:p>
    <w:p>
      <w:pPr>
        <w:ind w:left="1500" w:right="999" w:hanging="179"/>
        <w:spacing w:after="0" w:line="263" w:lineRule="auto"/>
        <w:tabs>
          <w:tab w:leader="none" w:pos="1480" w:val="left"/>
        </w:tabs>
        <w:rPr>
          <w:sz w:val="20"/>
          <w:szCs w:val="20"/>
          <w:color w:val="auto"/>
        </w:rPr>
      </w:pPr>
      <w:r>
        <w:rPr>
          <w:rFonts w:ascii="Arial" w:cs="Arial" w:eastAsia="Arial" w:hAnsi="Arial"/>
          <w:sz w:val="18"/>
          <w:szCs w:val="18"/>
          <w:color w:val="auto"/>
        </w:rPr>
        <w:t>•</w:t>
        <w:tab/>
        <w:t>Operations and Management: advance and complete key programs and initiatives designed to improve the efficiency and scalability of our business processes and information systems, and advance key initiatives related to talent development/management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212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0" w:lineRule="exact"/>
        <w:rPr>
          <w:sz w:val="20"/>
          <w:szCs w:val="20"/>
          <w:color w:val="auto"/>
        </w:rPr>
      </w:pPr>
    </w:p>
    <w:p>
      <w:pPr>
        <w:ind w:left="1260" w:right="859" w:firstLine="360"/>
        <w:spacing w:after="0" w:line="228" w:lineRule="auto"/>
        <w:rPr>
          <w:sz w:val="20"/>
          <w:szCs w:val="20"/>
          <w:color w:val="auto"/>
        </w:rPr>
      </w:pPr>
      <w:r>
        <w:rPr>
          <w:rFonts w:ascii="Arial" w:cs="Arial" w:eastAsia="Arial" w:hAnsi="Arial"/>
          <w:sz w:val="18"/>
          <w:szCs w:val="18"/>
          <w:color w:val="auto"/>
        </w:rPr>
        <w:t>In addition to the results set forth in the table above, we also reported Implied DCF</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of approximately $2.38 billion, which exceeded our beginning of the year plan by approximately 8%, and Adjusted Net Income Attributable to PAA</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of approximately $2.06 billion, which exceeded our beginning of the year plan by approximately 14%. We also generated more than $1.1 billion of cash flow in excess of distributions and ended the year with a distribution coverage ratio of 2.17x.</w:t>
      </w:r>
    </w:p>
    <w:p>
      <w:pPr>
        <w:spacing w:after="0" w:line="121"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During 2019, we also completed the deleveraging program that was initiated in 2017 and exited the year with a long term debt to Adjusted EBITDA multiple of 2.8x and approximately $2.5 billion of committed liquidity.</w:t>
      </w:r>
    </w:p>
    <w:p>
      <w:pPr>
        <w:spacing w:after="0" w:line="116"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With respect to our stated goals regarding safety and environmental metrics, we exceeded our 20% reduction targets for federally reportable releases and safety-related total recordable injury rate, achieving a 30% reduction in recordable injuries and a 25% reduction in federally reportable releases.</w:t>
      </w:r>
    </w:p>
    <w:p>
      <w:pPr>
        <w:spacing w:after="0" w:line="103" w:lineRule="exact"/>
        <w:rPr>
          <w:sz w:val="20"/>
          <w:szCs w:val="20"/>
          <w:color w:val="auto"/>
        </w:rPr>
      </w:pPr>
    </w:p>
    <w:p>
      <w:pPr>
        <w:ind w:left="1260" w:right="979" w:firstLine="360"/>
        <w:spacing w:after="0" w:line="254" w:lineRule="auto"/>
        <w:rPr>
          <w:sz w:val="20"/>
          <w:szCs w:val="20"/>
          <w:color w:val="auto"/>
        </w:rPr>
      </w:pPr>
      <w:r>
        <w:rPr>
          <w:rFonts w:ascii="Arial" w:cs="Arial" w:eastAsia="Arial" w:hAnsi="Arial"/>
          <w:sz w:val="18"/>
          <w:szCs w:val="18"/>
          <w:color w:val="auto"/>
        </w:rPr>
        <w:t>In developing his annual bonus compensation recommendations, our CEO primarily considered the quantitative factors and context described above. However, in his annual performance review provided to the Board, he also noted the fact that despite strong financial and operating performance, PAA common units and PAGP Class A shares traded down in the second half of 2019, generally underperforming our peer group and relevant indices, resulting in full-year price performance of -10.5%/-8.3% and total returns of -4.8%/-2.3%, respectively. Other factors noted by our CEO included the following qualitative factors and positive achievements:</w:t>
      </w:r>
    </w:p>
    <w:p>
      <w:pPr>
        <w:spacing w:after="0" w:line="87" w:lineRule="exact"/>
        <w:rPr>
          <w:sz w:val="20"/>
          <w:szCs w:val="20"/>
          <w:color w:val="auto"/>
        </w:rPr>
      </w:pPr>
    </w:p>
    <w:p>
      <w:pPr>
        <w:ind w:left="1800" w:right="879" w:hanging="178"/>
        <w:spacing w:after="0" w:line="342" w:lineRule="auto"/>
        <w:tabs>
          <w:tab w:leader="none" w:pos="1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Executed a $1.34 billion expansion capital program generally on time (or ahead of time) and on budget, including development and expansion of key assets in the Permian Basin and in other areas;</w:t>
      </w:r>
    </w:p>
    <w:p>
      <w:pPr>
        <w:spacing w:after="0" w:line="15" w:lineRule="exact"/>
        <w:rPr>
          <w:rFonts w:ascii="Arial" w:cs="Arial" w:eastAsia="Arial" w:hAnsi="Arial"/>
          <w:sz w:val="16"/>
          <w:szCs w:val="16"/>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Advanced several key strategic initiatives with long-term industry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92075</wp:posOffset>
            </wp:positionV>
            <wp:extent cx="123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9" w:lineRule="exact"/>
        <w:rPr>
          <w:sz w:val="20"/>
          <w:szCs w:val="20"/>
          <w:color w:val="auto"/>
        </w:rPr>
      </w:pPr>
    </w:p>
    <w:p>
      <w:pPr>
        <w:ind w:left="1620" w:right="719" w:hanging="358"/>
        <w:spacing w:after="0" w:line="230"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Adjusted EBITDA, Implied DCF and Adjusted Net Income Attributable to PAA are non-GAAP financial measures. Information regarding these non-GAAP financial measures, including a reconciliation to the most directly comparable GAAP measures, is included under the caption “Non-GAAP Financial Measures” beginning on page 87 of PAA’s Annual Report on Form 10-K for the year ended December 31, 2019 as filed with the SEC.</w:t>
      </w:r>
    </w:p>
    <w:p>
      <w:pPr>
        <w:sectPr>
          <w:pgSz w:w="11900" w:h="16838" w:orient="portrait"/>
          <w:cols w:equalWidth="0" w:num="1">
            <w:col w:w="10139"/>
          </w:cols>
          <w:pgMar w:left="320" w:top="131" w:right="1440" w:bottom="1440" w:gutter="0" w:footer="0" w:header="0"/>
        </w:sectPr>
      </w:pPr>
    </w:p>
    <w:p>
      <w:pPr>
        <w:spacing w:after="0" w:line="39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79" w:hanging="178"/>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Improved our contracted fee-based earnings mix by adding significant additional dedicated acreage and term-contracted lease volumes in the Permian basin; and</w:t>
      </w:r>
    </w:p>
    <w:p>
      <w:pPr>
        <w:spacing w:after="0" w:line="75" w:lineRule="exact"/>
        <w:rPr>
          <w:rFonts w:ascii="Arial" w:cs="Arial" w:eastAsia="Arial" w:hAnsi="Arial"/>
          <w:sz w:val="18"/>
          <w:szCs w:val="18"/>
          <w:color w:val="auto"/>
        </w:rPr>
      </w:pPr>
    </w:p>
    <w:p>
      <w:pPr>
        <w:ind w:left="1800" w:right="899" w:hanging="178"/>
        <w:spacing w:after="0" w:line="308" w:lineRule="auto"/>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Completed approximately $205 million of asset sales, and advanced other potential strategic asset sales and acquisitions, including a transaction with Felix Midstream that closed in early 2020.</w:t>
      </w:r>
    </w:p>
    <w:p>
      <w:pPr>
        <w:spacing w:after="0" w:line="79"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We also continued to plan for the future within our organizational structure and made a number of changes to improve effectiveness and efficiency, including the completion of key transitions within our executive team, advancement of plans to improve internal systems and processes, and continuation of improvements in the areas of safety, integrity, and environmental compliance.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Compensation Elements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2019, the elements of compensation were applied as described below.</w:t>
      </w:r>
    </w:p>
    <w:p>
      <w:pPr>
        <w:spacing w:after="0" w:line="14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March 2019, the base salaries for each of Messrs. Chandler and Goebel were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$375,000 to $400,000 in connection with their promotions to the executive vice president level. No other salary adjustments for Named Executive Officers were recommended or made during 2019, and base salaries for our NEOs were not increased for 2020.</w:t>
      </w:r>
    </w:p>
    <w:p>
      <w:pPr>
        <w:spacing w:after="0" w:line="119"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For 2019, annual bonus targets for the Named Executive Officers, expressed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of base salary,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91440</wp:posOffset>
            </wp:positionV>
            <wp:extent cx="4749165" cy="1320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49165" cy="1320165"/>
                    </a:xfrm>
                    <a:prstGeom prst="rect">
                      <a:avLst/>
                    </a:prstGeom>
                    <a:noFill/>
                  </pic:spPr>
                </pic:pic>
              </a:graphicData>
            </a:graphic>
          </wp:anchor>
        </w:drawing>
      </w:r>
    </w:p>
    <w:p>
      <w:pPr>
        <w:spacing w:after="0" w:line="124"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620" w:type="dxa"/>
            <w:vAlign w:val="bottom"/>
            <w:shd w:val="clear" w:color="auto" w:fill="434F69"/>
          </w:tcPr>
          <w:p>
            <w:pPr>
              <w:spacing w:after="0"/>
              <w:rPr>
                <w:sz w:val="20"/>
                <w:szCs w:val="20"/>
                <w:color w:val="auto"/>
              </w:rPr>
            </w:pPr>
          </w:p>
        </w:tc>
        <w:tc>
          <w:tcPr>
            <w:tcW w:w="3860" w:type="dxa"/>
            <w:vAlign w:val="bottom"/>
            <w:shd w:val="clear" w:color="auto" w:fill="434F69"/>
          </w:tcPr>
          <w:p>
            <w:pPr>
              <w:jc w:val="center"/>
              <w:ind w:left="68"/>
              <w:spacing w:after="0"/>
              <w:rPr>
                <w:sz w:val="20"/>
                <w:szCs w:val="20"/>
                <w:color w:val="auto"/>
              </w:rPr>
            </w:pPr>
            <w:r>
              <w:rPr>
                <w:rFonts w:ascii="Arial" w:cs="Arial" w:eastAsia="Arial" w:hAnsi="Arial"/>
                <w:sz w:val="14"/>
                <w:szCs w:val="14"/>
                <w:b w:val="1"/>
                <w:bCs w:val="1"/>
                <w:color w:val="FFFFFF"/>
                <w:w w:val="93"/>
              </w:rPr>
              <w:t>Annual Bonus Target</w:t>
            </w:r>
          </w:p>
        </w:tc>
      </w:tr>
      <w:tr>
        <w:trPr>
          <w:trHeight w:val="186"/>
        </w:trPr>
        <w:tc>
          <w:tcPr>
            <w:tcW w:w="3620" w:type="dxa"/>
            <w:vAlign w:val="bottom"/>
            <w:shd w:val="clear" w:color="auto" w:fill="434F69"/>
          </w:tcPr>
          <w:p>
            <w:pPr>
              <w:ind w:left="1060"/>
              <w:spacing w:after="0"/>
              <w:rPr>
                <w:sz w:val="20"/>
                <w:szCs w:val="20"/>
                <w:color w:val="auto"/>
              </w:rPr>
            </w:pPr>
            <w:r>
              <w:rPr>
                <w:rFonts w:ascii="Arial" w:cs="Arial" w:eastAsia="Arial" w:hAnsi="Arial"/>
                <w:sz w:val="14"/>
                <w:szCs w:val="14"/>
                <w:b w:val="1"/>
                <w:bCs w:val="1"/>
                <w:color w:val="FFFFFF"/>
              </w:rPr>
              <w:t>Named Executive Officer</w:t>
            </w:r>
          </w:p>
        </w:tc>
        <w:tc>
          <w:tcPr>
            <w:tcW w:w="3860" w:type="dxa"/>
            <w:vAlign w:val="bottom"/>
            <w:shd w:val="clear" w:color="auto" w:fill="434F69"/>
          </w:tcPr>
          <w:p>
            <w:pPr>
              <w:jc w:val="center"/>
              <w:ind w:left="68"/>
              <w:spacing w:after="0"/>
              <w:rPr>
                <w:sz w:val="20"/>
                <w:szCs w:val="20"/>
                <w:color w:val="auto"/>
              </w:rPr>
            </w:pPr>
            <w:r>
              <w:rPr>
                <w:rFonts w:ascii="Arial" w:cs="Arial" w:eastAsia="Arial" w:hAnsi="Arial"/>
                <w:sz w:val="14"/>
                <w:szCs w:val="14"/>
                <w:b w:val="1"/>
                <w:bCs w:val="1"/>
                <w:color w:val="FFFFFF"/>
                <w:w w:val="90"/>
              </w:rPr>
              <w:t>(as a Percentage of Base Salary)</w:t>
            </w:r>
          </w:p>
        </w:tc>
      </w:tr>
      <w:tr>
        <w:trPr>
          <w:trHeight w:val="26"/>
        </w:trPr>
        <w:tc>
          <w:tcPr>
            <w:tcW w:w="3620" w:type="dxa"/>
            <w:vAlign w:val="bottom"/>
            <w:shd w:val="clear" w:color="auto" w:fill="434F69"/>
          </w:tcPr>
          <w:p>
            <w:pPr>
              <w:spacing w:after="0"/>
              <w:rPr>
                <w:sz w:val="2"/>
                <w:szCs w:val="2"/>
                <w:color w:val="auto"/>
              </w:rPr>
            </w:pPr>
          </w:p>
        </w:tc>
        <w:tc>
          <w:tcPr>
            <w:tcW w:w="3860" w:type="dxa"/>
            <w:vAlign w:val="bottom"/>
            <w:shd w:val="clear" w:color="auto" w:fill="434F69"/>
          </w:tcPr>
          <w:p>
            <w:pPr>
              <w:spacing w:after="0"/>
              <w:rPr>
                <w:sz w:val="2"/>
                <w:szCs w:val="2"/>
                <w:color w:val="auto"/>
              </w:rPr>
            </w:pPr>
          </w:p>
        </w:tc>
      </w:tr>
    </w:tbl>
    <w:p>
      <w:pPr>
        <w:spacing w:after="0" w:line="26" w:lineRule="exact"/>
        <w:rPr>
          <w:sz w:val="20"/>
          <w:szCs w:val="20"/>
          <w:color w:val="auto"/>
        </w:rPr>
      </w:pPr>
    </w:p>
    <w:p>
      <w:pPr>
        <w:sectPr>
          <w:pgSz w:w="11900" w:h="16838" w:orient="portrait"/>
          <w:cols w:equalWidth="0" w:num="1">
            <w:col w:w="10139"/>
          </w:cols>
          <w:pgMar w:left="320" w:top="131" w:right="1440" w:bottom="1440" w:gutter="0" w:footer="0" w:header="0"/>
        </w:sectPr>
      </w:pPr>
    </w:p>
    <w:p>
      <w:pPr>
        <w:ind w:left="168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Harry N. Pefanis</w:t>
      </w:r>
    </w:p>
    <w:p>
      <w:pPr>
        <w:spacing w:after="0" w:line="8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Richard McGee</w:t>
      </w:r>
    </w:p>
    <w:p>
      <w:pPr>
        <w:spacing w:after="0" w:line="7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Chris Chandler</w:t>
      </w:r>
    </w:p>
    <w:p>
      <w:pPr>
        <w:spacing w:after="0" w:line="7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Jeremy Goebel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250%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211" w:lineRule="exact"/>
        <w:rPr>
          <w:sz w:val="20"/>
          <w:szCs w:val="20"/>
          <w:color w:val="auto"/>
        </w:rPr>
      </w:pPr>
    </w:p>
    <w:p>
      <w:pPr>
        <w:sectPr>
          <w:pgSz w:w="11900" w:h="16838" w:orient="portrait"/>
          <w:cols w:equalWidth="0" w:num="2">
            <w:col w:w="6380" w:space="720"/>
            <w:col w:w="3039"/>
          </w:cols>
          <w:pgMar w:left="320" w:top="131" w:right="1440" w:bottom="1440" w:gutter="0" w:footer="0" w:header="0"/>
          <w:type w:val="continuous"/>
        </w:sectPr>
      </w:pPr>
    </w:p>
    <w:p>
      <w:pPr>
        <w:spacing w:after="0" w:line="1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goals (and weightings) for 2019 established at the beginning of the year were company performance (67% overall weighting allocated among Adjusted EBITDA (40%), DCF per common unit (40%) and safety/ environmental (20%)) and individual performance (33% weighting). The minimum and maximum payout levels of 0% and 200%, respectively, for Adjusted EBITDA and DCF per common unit were set at 92.5% and 110%, respectively, of the applicable target with linear interpolation between those points, while the minimum and maximum payout levels of 0% and 200%, respectively, for safety and environmental metrics were set at 0% improvement (i.e., same as 2018 levels) and 40% improvement, respectively, with linear interpolation between those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39" w:firstLine="360"/>
        <w:spacing w:after="0" w:line="259" w:lineRule="auto"/>
        <w:rPr>
          <w:sz w:val="20"/>
          <w:szCs w:val="20"/>
          <w:color w:val="auto"/>
        </w:rPr>
      </w:pPr>
      <w:r>
        <w:rPr>
          <w:rFonts w:ascii="Arial" w:cs="Arial" w:eastAsia="Arial" w:hAnsi="Arial"/>
          <w:sz w:val="18"/>
          <w:szCs w:val="18"/>
          <w:color w:val="auto"/>
        </w:rPr>
        <w:t>The table below reflects the weighting, payout range and actual results for each company performance metric and the individual performance metric (individual performance metric payout determined by the compensation committee based on its assessment of individual contributions towards our 2019 goals and objectives).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108" w:lineRule="exact"/>
        <w:rPr>
          <w:sz w:val="20"/>
          <w:szCs w:val="20"/>
          <w:color w:val="auto"/>
        </w:rPr>
      </w:pPr>
    </w:p>
    <w:tbl>
      <w:tblPr>
        <w:tblLayout w:type="fixed"/>
        <w:tblInd w:w="1270" w:type="dxa"/>
        <w:tblCellMar>
          <w:top w:w="0" w:type="dxa"/>
          <w:left w:w="0" w:type="dxa"/>
          <w:bottom w:w="0" w:type="dxa"/>
          <w:right w:w="0" w:type="dxa"/>
        </w:tblCellMar>
      </w:tblPr>
      <w:tr>
        <w:trPr>
          <w:trHeight w:val="277"/>
        </w:trPr>
        <w:tc>
          <w:tcPr>
            <w:tcW w:w="2140" w:type="dxa"/>
            <w:vAlign w:val="bottom"/>
            <w:tcBorders>
              <w:left w:val="single" w:sz="8" w:color="697287"/>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(67% weighting)</w:t>
            </w:r>
          </w:p>
        </w:tc>
        <w:tc>
          <w:tcPr>
            <w:tcW w:w="500" w:type="dxa"/>
            <w:vAlign w:val="bottom"/>
            <w:tcBorders>
              <w:bottom w:val="single" w:sz="8" w:color="434F69"/>
            </w:tcBorders>
            <w:shd w:val="clear" w:color="auto" w:fill="434F69"/>
          </w:tcPr>
          <w:p>
            <w:pPr>
              <w:spacing w:after="0"/>
              <w:rPr>
                <w:sz w:val="24"/>
                <w:szCs w:val="24"/>
                <w:color w:val="auto"/>
              </w:rPr>
            </w:pPr>
          </w:p>
        </w:tc>
        <w:tc>
          <w:tcPr>
            <w:tcW w:w="640" w:type="dxa"/>
            <w:vAlign w:val="bottom"/>
            <w:tcBorders>
              <w:bottom w:val="single" w:sz="8" w:color="434F69"/>
            </w:tcBorders>
            <w:shd w:val="clear" w:color="auto" w:fill="434F69"/>
          </w:tcPr>
          <w:p>
            <w:pPr>
              <w:spacing w:after="0"/>
              <w:rPr>
                <w:sz w:val="24"/>
                <w:szCs w:val="24"/>
                <w:color w:val="auto"/>
              </w:rPr>
            </w:pPr>
          </w:p>
        </w:tc>
        <w:tc>
          <w:tcPr>
            <w:tcW w:w="940" w:type="dxa"/>
            <w:vAlign w:val="bottom"/>
            <w:tcBorders>
              <w:bottom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Threshold</w:t>
            </w:r>
          </w:p>
        </w:tc>
        <w:tc>
          <w:tcPr>
            <w:tcW w:w="1220" w:type="dxa"/>
            <w:vAlign w:val="bottom"/>
            <w:tcBorders>
              <w:bottom w:val="single" w:sz="8" w:color="434F69"/>
            </w:tcBorders>
            <w:gridSpan w:val="2"/>
            <w:shd w:val="clear" w:color="auto" w:fill="434F69"/>
          </w:tcPr>
          <w:p>
            <w:pPr>
              <w:jc w:val="right"/>
              <w:ind w:right="320"/>
              <w:spacing w:after="0"/>
              <w:rPr>
                <w:sz w:val="20"/>
                <w:szCs w:val="20"/>
                <w:color w:val="auto"/>
              </w:rPr>
            </w:pPr>
            <w:r>
              <w:rPr>
                <w:rFonts w:ascii="Arial" w:cs="Arial" w:eastAsia="Arial" w:hAnsi="Arial"/>
                <w:sz w:val="14"/>
                <w:szCs w:val="14"/>
                <w:b w:val="1"/>
                <w:bCs w:val="1"/>
                <w:color w:val="FFFFFF"/>
              </w:rPr>
              <w:t>Target</w:t>
            </w:r>
          </w:p>
        </w:tc>
        <w:tc>
          <w:tcPr>
            <w:tcW w:w="620" w:type="dxa"/>
            <w:vAlign w:val="bottom"/>
            <w:tcBorders>
              <w:bottom w:val="single" w:sz="8" w:color="434F69"/>
              <w:right w:val="single" w:sz="8" w:color="697287"/>
            </w:tcBorders>
            <w:shd w:val="clear" w:color="auto" w:fill="434F69"/>
          </w:tcPr>
          <w:p>
            <w:pPr>
              <w:jc w:val="right"/>
              <w:ind w:right="221"/>
              <w:spacing w:after="0"/>
              <w:rPr>
                <w:sz w:val="20"/>
                <w:szCs w:val="20"/>
                <w:color w:val="auto"/>
              </w:rPr>
            </w:pPr>
            <w:r>
              <w:rPr>
                <w:rFonts w:ascii="Arial" w:cs="Arial" w:eastAsia="Arial" w:hAnsi="Arial"/>
                <w:sz w:val="14"/>
                <w:szCs w:val="14"/>
                <w:b w:val="1"/>
                <w:bCs w:val="1"/>
                <w:color w:val="FFFFFF"/>
              </w:rPr>
              <w:t>Max</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80" w:type="dxa"/>
            <w:vAlign w:val="bottom"/>
            <w:tcBorders>
              <w:left w:val="single" w:sz="8" w:color="697287"/>
              <w:bottom w:val="single" w:sz="8" w:color="434F69"/>
            </w:tcBorders>
            <w:gridSpan w:val="3"/>
            <w:shd w:val="clear" w:color="auto" w:fill="D9DCE1"/>
          </w:tcPr>
          <w:p>
            <w:pPr>
              <w:jc w:val="right"/>
              <w:ind w:right="44"/>
              <w:spacing w:after="0"/>
              <w:rPr>
                <w:sz w:val="20"/>
                <w:szCs w:val="20"/>
                <w:color w:val="auto"/>
              </w:rPr>
            </w:pPr>
            <w:r>
              <w:rPr>
                <w:rFonts w:ascii="Arial" w:cs="Arial" w:eastAsia="Arial" w:hAnsi="Arial"/>
                <w:sz w:val="16"/>
                <w:szCs w:val="16"/>
                <w:color w:val="auto"/>
              </w:rPr>
              <w:t>EBITDA/DCF (% Target)</w:t>
            </w:r>
          </w:p>
        </w:tc>
        <w:tc>
          <w:tcPr>
            <w:tcW w:w="9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92.50%</w:t>
            </w:r>
          </w:p>
        </w:tc>
        <w:tc>
          <w:tcPr>
            <w:tcW w:w="480" w:type="dxa"/>
            <w:vAlign w:val="bottom"/>
            <w:tcBorders>
              <w:bottom w:val="single" w:sz="8" w:color="434F69"/>
            </w:tcBorders>
            <w:shd w:val="clear" w:color="auto" w:fill="D9DCE1"/>
          </w:tcPr>
          <w:p>
            <w:pPr>
              <w:spacing w:after="0"/>
              <w:rPr>
                <w:sz w:val="21"/>
                <w:szCs w:val="21"/>
                <w:color w:val="auto"/>
              </w:rPr>
            </w:pPr>
          </w:p>
        </w:tc>
        <w:tc>
          <w:tcPr>
            <w:tcW w:w="740" w:type="dxa"/>
            <w:vAlign w:val="bottom"/>
            <w:tcBorders>
              <w:bottom w:val="single" w:sz="8" w:color="434F69"/>
            </w:tcBorders>
            <w:shd w:val="clear" w:color="auto" w:fill="D9DCE1"/>
          </w:tcPr>
          <w:p>
            <w:pPr>
              <w:jc w:val="right"/>
              <w:ind w:right="260"/>
              <w:spacing w:after="0"/>
              <w:rPr>
                <w:sz w:val="20"/>
                <w:szCs w:val="20"/>
                <w:color w:val="auto"/>
              </w:rPr>
            </w:pPr>
            <w:r>
              <w:rPr>
                <w:rFonts w:ascii="Arial" w:cs="Arial" w:eastAsia="Arial" w:hAnsi="Arial"/>
                <w:sz w:val="16"/>
                <w:szCs w:val="16"/>
                <w:color w:val="auto"/>
                <w:w w:val="92"/>
              </w:rPr>
              <w:t>100%</w:t>
            </w:r>
          </w:p>
        </w:tc>
        <w:tc>
          <w:tcPr>
            <w:tcW w:w="620" w:type="dxa"/>
            <w:vAlign w:val="bottom"/>
            <w:tcBorders>
              <w:bottom w:val="single" w:sz="8" w:color="434F69"/>
              <w:right w:val="single" w:sz="8" w:color="697287"/>
            </w:tcBorders>
            <w:shd w:val="clear" w:color="auto" w:fill="D9DCE1"/>
          </w:tcPr>
          <w:p>
            <w:pPr>
              <w:jc w:val="right"/>
              <w:ind w:right="101"/>
              <w:spacing w:after="0"/>
              <w:rPr>
                <w:sz w:val="20"/>
                <w:szCs w:val="20"/>
                <w:color w:val="auto"/>
              </w:rPr>
            </w:pPr>
            <w:r>
              <w:rPr>
                <w:rFonts w:ascii="Arial" w:cs="Arial" w:eastAsia="Arial" w:hAnsi="Arial"/>
                <w:sz w:val="16"/>
                <w:szCs w:val="16"/>
                <w:color w:val="auto"/>
              </w:rPr>
              <w:t>110%</w:t>
            </w: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80" w:type="dxa"/>
            <w:vAlign w:val="bottom"/>
            <w:tcBorders>
              <w:left w:val="single" w:sz="8" w:color="697287"/>
              <w:bottom w:val="single" w:sz="8" w:color="434F69"/>
            </w:tcBorders>
            <w:gridSpan w:val="3"/>
          </w:tcPr>
          <w:p>
            <w:pPr>
              <w:jc w:val="right"/>
              <w:ind w:right="44"/>
              <w:spacing w:after="0"/>
              <w:rPr>
                <w:sz w:val="20"/>
                <w:szCs w:val="20"/>
                <w:color w:val="auto"/>
              </w:rPr>
            </w:pPr>
            <w:r>
              <w:rPr>
                <w:rFonts w:ascii="Arial" w:cs="Arial" w:eastAsia="Arial" w:hAnsi="Arial"/>
                <w:sz w:val="16"/>
                <w:szCs w:val="16"/>
                <w:color w:val="auto"/>
              </w:rPr>
              <w:t>Safety/Env Reduction vs. ’18 (% Target)</w:t>
            </w:r>
          </w:p>
        </w:tc>
        <w:tc>
          <w:tcPr>
            <w:tcW w:w="94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434F69"/>
            </w:tcBorders>
          </w:tcPr>
          <w:p>
            <w:pPr>
              <w:spacing w:after="0"/>
              <w:rPr>
                <w:sz w:val="22"/>
                <w:szCs w:val="22"/>
                <w:color w:val="auto"/>
              </w:rPr>
            </w:pPr>
          </w:p>
        </w:tc>
        <w:tc>
          <w:tcPr>
            <w:tcW w:w="740" w:type="dxa"/>
            <w:vAlign w:val="bottom"/>
            <w:tcBorders>
              <w:bottom w:val="single" w:sz="8" w:color="434F69"/>
            </w:tcBorders>
          </w:tcPr>
          <w:p>
            <w:pPr>
              <w:jc w:val="right"/>
              <w:ind w:right="260"/>
              <w:spacing w:after="0"/>
              <w:rPr>
                <w:sz w:val="20"/>
                <w:szCs w:val="20"/>
                <w:color w:val="auto"/>
              </w:rPr>
            </w:pPr>
            <w:r>
              <w:rPr>
                <w:rFonts w:ascii="Arial" w:cs="Arial" w:eastAsia="Arial" w:hAnsi="Arial"/>
                <w:sz w:val="16"/>
                <w:szCs w:val="16"/>
                <w:color w:val="auto"/>
              </w:rPr>
              <w:t>-20%</w:t>
            </w:r>
          </w:p>
        </w:tc>
        <w:tc>
          <w:tcPr>
            <w:tcW w:w="620" w:type="dxa"/>
            <w:vAlign w:val="bottom"/>
            <w:tcBorders>
              <w:bottom w:val="single" w:sz="8" w:color="434F69"/>
              <w:right w:val="single" w:sz="8" w:color="697287"/>
            </w:tcBorders>
          </w:tcPr>
          <w:p>
            <w:pPr>
              <w:jc w:val="right"/>
              <w:ind w:right="101"/>
              <w:spacing w:after="0"/>
              <w:rPr>
                <w:sz w:val="20"/>
                <w:szCs w:val="20"/>
                <w:color w:val="auto"/>
              </w:rPr>
            </w:pPr>
            <w:r>
              <w:rPr>
                <w:rFonts w:ascii="Arial" w:cs="Arial" w:eastAsia="Arial" w:hAnsi="Arial"/>
                <w:sz w:val="16"/>
                <w:szCs w:val="16"/>
                <w:color w:val="auto"/>
              </w:rPr>
              <w:t>-40%</w:t>
            </w:r>
          </w:p>
        </w:tc>
        <w:tc>
          <w:tcPr>
            <w:tcW w:w="214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auto"/>
                <w:w w:val="99"/>
              </w:rPr>
              <w:t>2019 Formulaic Payout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2140" w:type="dxa"/>
            <w:vAlign w:val="bottom"/>
            <w:tcBorders>
              <w:left w:val="single" w:sz="8" w:color="697287"/>
            </w:tcBorders>
            <w:shd w:val="clear" w:color="auto" w:fill="D9DCE1"/>
          </w:tcPr>
          <w:p>
            <w:pPr>
              <w:spacing w:after="0"/>
              <w:rPr>
                <w:sz w:val="8"/>
                <w:szCs w:val="8"/>
                <w:color w:val="auto"/>
              </w:rPr>
            </w:pPr>
          </w:p>
        </w:tc>
        <w:tc>
          <w:tcPr>
            <w:tcW w:w="500" w:type="dxa"/>
            <w:vAlign w:val="bottom"/>
            <w:shd w:val="clear" w:color="auto" w:fill="D9DCE1"/>
          </w:tcPr>
          <w:p>
            <w:pPr>
              <w:spacing w:after="0"/>
              <w:rPr>
                <w:sz w:val="8"/>
                <w:szCs w:val="8"/>
                <w:color w:val="auto"/>
              </w:rPr>
            </w:pPr>
          </w:p>
        </w:tc>
        <w:tc>
          <w:tcPr>
            <w:tcW w:w="640" w:type="dxa"/>
            <w:vAlign w:val="bottom"/>
            <w:vMerge w:val="restart"/>
            <w:shd w:val="clear" w:color="auto" w:fill="D9DCE1"/>
          </w:tcPr>
          <w:p>
            <w:pPr>
              <w:jc w:val="right"/>
              <w:ind w:right="44"/>
              <w:spacing w:after="0"/>
              <w:rPr>
                <w:sz w:val="20"/>
                <w:szCs w:val="20"/>
                <w:color w:val="auto"/>
              </w:rPr>
            </w:pPr>
            <w:r>
              <w:rPr>
                <w:rFonts w:ascii="Arial" w:cs="Arial" w:eastAsia="Arial" w:hAnsi="Arial"/>
                <w:sz w:val="16"/>
                <w:szCs w:val="16"/>
                <w:color w:val="auto"/>
              </w:rPr>
              <w:t>Payout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6"/>
                <w:szCs w:val="16"/>
                <w:color w:val="auto"/>
              </w:rPr>
              <w:t>0%</w:t>
            </w:r>
          </w:p>
        </w:tc>
        <w:tc>
          <w:tcPr>
            <w:tcW w:w="480" w:type="dxa"/>
            <w:vAlign w:val="bottom"/>
            <w:shd w:val="clear" w:color="auto" w:fill="D9DCE1"/>
          </w:tcPr>
          <w:p>
            <w:pPr>
              <w:spacing w:after="0"/>
              <w:rPr>
                <w:sz w:val="8"/>
                <w:szCs w:val="8"/>
                <w:color w:val="auto"/>
              </w:rPr>
            </w:pPr>
          </w:p>
        </w:tc>
        <w:tc>
          <w:tcPr>
            <w:tcW w:w="740" w:type="dxa"/>
            <w:vAlign w:val="bottom"/>
            <w:vMerge w:val="restart"/>
            <w:shd w:val="clear" w:color="auto" w:fill="D9DCE1"/>
          </w:tcPr>
          <w:p>
            <w:pPr>
              <w:jc w:val="right"/>
              <w:ind w:right="260"/>
              <w:spacing w:after="0"/>
              <w:rPr>
                <w:sz w:val="20"/>
                <w:szCs w:val="20"/>
                <w:color w:val="auto"/>
              </w:rPr>
            </w:pPr>
            <w:r>
              <w:rPr>
                <w:rFonts w:ascii="Arial" w:cs="Arial" w:eastAsia="Arial" w:hAnsi="Arial"/>
                <w:sz w:val="16"/>
                <w:szCs w:val="16"/>
                <w:color w:val="auto"/>
                <w:w w:val="92"/>
              </w:rPr>
              <w:t>100%</w:t>
            </w:r>
          </w:p>
        </w:tc>
        <w:tc>
          <w:tcPr>
            <w:tcW w:w="620" w:type="dxa"/>
            <w:vAlign w:val="bottom"/>
            <w:tcBorders>
              <w:right w:val="single" w:sz="8" w:color="697287"/>
            </w:tcBorders>
            <w:vMerge w:val="restart"/>
            <w:shd w:val="clear" w:color="auto" w:fill="D9DCE1"/>
          </w:tcPr>
          <w:p>
            <w:pPr>
              <w:jc w:val="right"/>
              <w:ind w:right="101"/>
              <w:spacing w:after="0"/>
              <w:rPr>
                <w:sz w:val="20"/>
                <w:szCs w:val="20"/>
                <w:color w:val="auto"/>
              </w:rPr>
            </w:pPr>
            <w:r>
              <w:rPr>
                <w:rFonts w:ascii="Arial" w:cs="Arial" w:eastAsia="Arial" w:hAnsi="Arial"/>
                <w:sz w:val="16"/>
                <w:szCs w:val="16"/>
                <w:color w:val="auto"/>
              </w:rPr>
              <w:t>200%</w:t>
            </w:r>
          </w:p>
        </w:tc>
        <w:tc>
          <w:tcPr>
            <w:tcW w:w="21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140" w:type="dxa"/>
            <w:vAlign w:val="bottom"/>
            <w:tcBorders>
              <w:left w:val="single" w:sz="8" w:color="697287"/>
              <w:bottom w:val="single" w:sz="8" w:color="697287"/>
            </w:tcBorders>
            <w:shd w:val="clear" w:color="auto" w:fill="D9DCE1"/>
          </w:tcPr>
          <w:p>
            <w:pPr>
              <w:spacing w:after="0"/>
              <w:rPr>
                <w:sz w:val="12"/>
                <w:szCs w:val="12"/>
                <w:color w:val="auto"/>
              </w:rPr>
            </w:pPr>
          </w:p>
        </w:tc>
        <w:tc>
          <w:tcPr>
            <w:tcW w:w="500" w:type="dxa"/>
            <w:vAlign w:val="bottom"/>
            <w:tcBorders>
              <w:bottom w:val="single" w:sz="8" w:color="697287"/>
            </w:tcBorders>
            <w:shd w:val="clear" w:color="auto" w:fill="D9DCE1"/>
          </w:tcPr>
          <w:p>
            <w:pPr>
              <w:spacing w:after="0"/>
              <w:rPr>
                <w:sz w:val="12"/>
                <w:szCs w:val="12"/>
                <w:color w:val="auto"/>
              </w:rPr>
            </w:pPr>
          </w:p>
        </w:tc>
        <w:tc>
          <w:tcPr>
            <w:tcW w:w="640" w:type="dxa"/>
            <w:vAlign w:val="bottom"/>
            <w:tcBorders>
              <w:bottom w:val="single" w:sz="8" w:color="697287"/>
            </w:tcBorders>
            <w:vMerge w:val="continue"/>
            <w:shd w:val="clear" w:color="auto" w:fill="D9DCE1"/>
          </w:tcPr>
          <w:p>
            <w:pPr>
              <w:spacing w:after="0"/>
              <w:rPr>
                <w:sz w:val="12"/>
                <w:szCs w:val="12"/>
                <w:color w:val="auto"/>
              </w:rPr>
            </w:pPr>
          </w:p>
        </w:tc>
        <w:tc>
          <w:tcPr>
            <w:tcW w:w="940" w:type="dxa"/>
            <w:vAlign w:val="bottom"/>
            <w:tcBorders>
              <w:bottom w:val="single" w:sz="8" w:color="697287"/>
            </w:tcBorders>
            <w:vMerge w:val="continue"/>
            <w:shd w:val="clear" w:color="auto" w:fill="D9DCE1"/>
          </w:tcPr>
          <w:p>
            <w:pPr>
              <w:spacing w:after="0"/>
              <w:rPr>
                <w:sz w:val="12"/>
                <w:szCs w:val="12"/>
                <w:color w:val="auto"/>
              </w:rPr>
            </w:pPr>
          </w:p>
        </w:tc>
        <w:tc>
          <w:tcPr>
            <w:tcW w:w="480" w:type="dxa"/>
            <w:vAlign w:val="bottom"/>
            <w:tcBorders>
              <w:bottom w:val="single" w:sz="8" w:color="697287"/>
            </w:tcBorders>
            <w:shd w:val="clear" w:color="auto" w:fill="D9DCE1"/>
          </w:tcPr>
          <w:p>
            <w:pPr>
              <w:spacing w:after="0"/>
              <w:rPr>
                <w:sz w:val="12"/>
                <w:szCs w:val="12"/>
                <w:color w:val="auto"/>
              </w:rPr>
            </w:pPr>
          </w:p>
        </w:tc>
        <w:tc>
          <w:tcPr>
            <w:tcW w:w="740" w:type="dxa"/>
            <w:vAlign w:val="bottom"/>
            <w:tcBorders>
              <w:bottom w:val="single" w:sz="8" w:color="697287"/>
            </w:tcBorders>
            <w:vMerge w:val="continue"/>
            <w:shd w:val="clear" w:color="auto" w:fill="D9DCE1"/>
          </w:tcPr>
          <w:p>
            <w:pPr>
              <w:spacing w:after="0"/>
              <w:rPr>
                <w:sz w:val="12"/>
                <w:szCs w:val="12"/>
                <w:color w:val="auto"/>
              </w:rPr>
            </w:pPr>
          </w:p>
        </w:tc>
        <w:tc>
          <w:tcPr>
            <w:tcW w:w="620" w:type="dxa"/>
            <w:vAlign w:val="bottom"/>
            <w:tcBorders>
              <w:bottom w:val="single" w:sz="8" w:color="697287"/>
              <w:right w:val="single" w:sz="8" w:color="697287"/>
            </w:tcBorders>
            <w:vMerge w:val="continue"/>
            <w:shd w:val="clear" w:color="auto" w:fill="D9DCE1"/>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6"/>
              </w:rPr>
              <w:t>Calculation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140" w:type="dxa"/>
            <w:vAlign w:val="bottom"/>
            <w:tcBorders>
              <w:left w:val="single" w:sz="8" w:color="697287"/>
            </w:tcBorders>
            <w:shd w:val="clear" w:color="auto" w:fill="434F69"/>
          </w:tcPr>
          <w:p>
            <w:pPr>
              <w:ind w:left="60"/>
              <w:spacing w:after="0"/>
              <w:rPr>
                <w:sz w:val="20"/>
                <w:szCs w:val="20"/>
                <w:color w:val="auto"/>
              </w:rPr>
            </w:pPr>
            <w:r>
              <w:rPr>
                <w:rFonts w:ascii="Arial" w:cs="Arial" w:eastAsia="Arial" w:hAnsi="Arial"/>
                <w:sz w:val="14"/>
                <w:szCs w:val="14"/>
                <w:b w:val="1"/>
                <w:bCs w:val="1"/>
                <w:color w:val="FFFFFF"/>
                <w:w w:val="99"/>
              </w:rPr>
              <w:t>Company Performance Metrics</w:t>
            </w:r>
          </w:p>
        </w:tc>
        <w:tc>
          <w:tcPr>
            <w:tcW w:w="500" w:type="dxa"/>
            <w:vAlign w:val="bottom"/>
            <w:shd w:val="clear" w:color="auto" w:fill="434F69"/>
          </w:tcPr>
          <w:p>
            <w:pPr>
              <w:spacing w:after="0"/>
              <w:rPr>
                <w:sz w:val="22"/>
                <w:szCs w:val="22"/>
                <w:color w:val="auto"/>
              </w:rPr>
            </w:pPr>
          </w:p>
        </w:tc>
        <w:tc>
          <w:tcPr>
            <w:tcW w:w="640" w:type="dxa"/>
            <w:vAlign w:val="bottom"/>
            <w:shd w:val="clear" w:color="auto" w:fill="434F69"/>
          </w:tcPr>
          <w:p>
            <w:pPr>
              <w:jc w:val="right"/>
              <w:ind w:right="24"/>
              <w:spacing w:after="0"/>
              <w:rPr>
                <w:sz w:val="20"/>
                <w:szCs w:val="20"/>
                <w:color w:val="auto"/>
              </w:rPr>
            </w:pPr>
            <w:r>
              <w:rPr>
                <w:rFonts w:ascii="Arial" w:cs="Arial" w:eastAsia="Arial" w:hAnsi="Arial"/>
                <w:sz w:val="14"/>
                <w:szCs w:val="14"/>
                <w:b w:val="1"/>
                <w:bCs w:val="1"/>
                <w:color w:val="FFFFFF"/>
              </w:rPr>
              <w:t>Weight</w:t>
            </w:r>
          </w:p>
        </w:tc>
        <w:tc>
          <w:tcPr>
            <w:tcW w:w="940" w:type="dxa"/>
            <w:vAlign w:val="bottom"/>
            <w:shd w:val="clear" w:color="auto" w:fill="434F69"/>
          </w:tcPr>
          <w:p>
            <w:pPr>
              <w:jc w:val="right"/>
              <w:ind w:right="141"/>
              <w:spacing w:after="0"/>
              <w:rPr>
                <w:sz w:val="20"/>
                <w:szCs w:val="20"/>
                <w:color w:val="auto"/>
              </w:rPr>
            </w:pPr>
            <w:r>
              <w:rPr>
                <w:rFonts w:ascii="Arial" w:cs="Arial" w:eastAsia="Arial" w:hAnsi="Arial"/>
                <w:sz w:val="14"/>
                <w:szCs w:val="14"/>
                <w:b w:val="1"/>
                <w:bCs w:val="1"/>
                <w:color w:val="FFFFFF"/>
              </w:rPr>
              <w:t>Threshold</w:t>
            </w:r>
          </w:p>
        </w:tc>
        <w:tc>
          <w:tcPr>
            <w:tcW w:w="48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rPr>
              <w:t>Target</w:t>
            </w:r>
          </w:p>
        </w:tc>
        <w:tc>
          <w:tcPr>
            <w:tcW w:w="740" w:type="dxa"/>
            <w:vAlign w:val="bottom"/>
            <w:shd w:val="clear" w:color="auto" w:fill="434F69"/>
          </w:tcPr>
          <w:p>
            <w:pPr>
              <w:jc w:val="right"/>
              <w:ind w:right="20"/>
              <w:spacing w:after="0"/>
              <w:rPr>
                <w:sz w:val="20"/>
                <w:szCs w:val="20"/>
                <w:color w:val="auto"/>
              </w:rPr>
            </w:pPr>
            <w:r>
              <w:rPr>
                <w:rFonts w:ascii="Arial" w:cs="Arial" w:eastAsia="Arial" w:hAnsi="Arial"/>
                <w:sz w:val="14"/>
                <w:szCs w:val="14"/>
                <w:b w:val="1"/>
                <w:bCs w:val="1"/>
                <w:color w:val="FFFFFF"/>
              </w:rPr>
              <w:t>Max</w:t>
            </w:r>
          </w:p>
        </w:tc>
        <w:tc>
          <w:tcPr>
            <w:tcW w:w="620" w:type="dxa"/>
            <w:vAlign w:val="bottom"/>
            <w:tcBorders>
              <w:right w:val="single" w:sz="8" w:color="434F69"/>
            </w:tcBorders>
            <w:shd w:val="clear" w:color="auto" w:fill="434F69"/>
          </w:tcPr>
          <w:p>
            <w:pPr>
              <w:spacing w:after="0"/>
              <w:rPr>
                <w:sz w:val="22"/>
                <w:szCs w:val="22"/>
                <w:color w:val="auto"/>
              </w:rPr>
            </w:pPr>
          </w:p>
        </w:tc>
        <w:tc>
          <w:tcPr>
            <w:tcW w:w="600" w:type="dxa"/>
            <w:vAlign w:val="bottom"/>
            <w:shd w:val="clear" w:color="auto" w:fill="434F69"/>
          </w:tcPr>
          <w:p>
            <w:pPr>
              <w:jc w:val="right"/>
              <w:ind w:right="39"/>
              <w:spacing w:after="0"/>
              <w:rPr>
                <w:sz w:val="20"/>
                <w:szCs w:val="20"/>
                <w:color w:val="auto"/>
              </w:rPr>
            </w:pPr>
            <w:r>
              <w:rPr>
                <w:rFonts w:ascii="Arial" w:cs="Arial" w:eastAsia="Arial" w:hAnsi="Arial"/>
                <w:sz w:val="14"/>
                <w:szCs w:val="14"/>
                <w:b w:val="1"/>
                <w:bCs w:val="1"/>
                <w:color w:val="FFFFFF"/>
              </w:rPr>
              <w:t>Result</w:t>
            </w:r>
          </w:p>
        </w:tc>
        <w:tc>
          <w:tcPr>
            <w:tcW w:w="960" w:type="dxa"/>
            <w:vAlign w:val="bottom"/>
            <w:gridSpan w:val="2"/>
            <w:shd w:val="clear" w:color="auto" w:fill="434F69"/>
          </w:tcPr>
          <w:p>
            <w:pPr>
              <w:jc w:val="right"/>
              <w:ind w:right="220"/>
              <w:spacing w:after="0"/>
              <w:rPr>
                <w:sz w:val="20"/>
                <w:szCs w:val="20"/>
                <w:color w:val="auto"/>
              </w:rPr>
            </w:pPr>
            <w:r>
              <w:rPr>
                <w:rFonts w:ascii="Arial" w:cs="Arial" w:eastAsia="Arial" w:hAnsi="Arial"/>
                <w:sz w:val="14"/>
                <w:szCs w:val="14"/>
                <w:b w:val="1"/>
                <w:bCs w:val="1"/>
                <w:color w:val="FFFFFF"/>
              </w:rPr>
              <w:t>Payout %</w:t>
            </w:r>
          </w:p>
        </w:tc>
        <w:tc>
          <w:tcPr>
            <w:tcW w:w="58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w w:val="97"/>
              </w:rPr>
              <w:t>Wgtd %</w:t>
            </w:r>
          </w:p>
        </w:tc>
        <w:tc>
          <w:tcPr>
            <w:tcW w:w="20" w:type="dxa"/>
            <w:vAlign w:val="bottom"/>
            <w:shd w:val="clear" w:color="auto" w:fill="697287"/>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6"/>
                <w:szCs w:val="16"/>
                <w:color w:val="auto"/>
              </w:rPr>
              <w:t>Adjusted EBITDA</w:t>
            </w:r>
          </w:p>
        </w:tc>
        <w:tc>
          <w:tcPr>
            <w:tcW w:w="1140" w:type="dxa"/>
            <w:vAlign w:val="bottom"/>
            <w:tcBorders>
              <w:bottom w:val="single" w:sz="8" w:color="434F69"/>
            </w:tcBorders>
            <w:gridSpan w:val="2"/>
            <w:shd w:val="clear" w:color="auto" w:fill="D9DCE1"/>
          </w:tcPr>
          <w:p>
            <w:pPr>
              <w:jc w:val="right"/>
              <w:spacing w:after="0"/>
              <w:rPr>
                <w:sz w:val="20"/>
                <w:szCs w:val="20"/>
                <w:color w:val="auto"/>
              </w:rPr>
            </w:pPr>
            <w:r>
              <w:rPr>
                <w:rFonts w:ascii="Arial" w:cs="Arial" w:eastAsia="Arial" w:hAnsi="Arial"/>
                <w:sz w:val="16"/>
                <w:szCs w:val="16"/>
                <w:color w:val="auto"/>
              </w:rPr>
              <w:t>27%</w:t>
            </w:r>
          </w:p>
        </w:tc>
        <w:tc>
          <w:tcPr>
            <w:tcW w:w="940" w:type="dxa"/>
            <w:vAlign w:val="bottom"/>
            <w:tcBorders>
              <w:bottom w:val="single" w:sz="8" w:color="434F69"/>
            </w:tcBorders>
            <w:shd w:val="clear" w:color="auto" w:fill="D9DCE1"/>
          </w:tcPr>
          <w:p>
            <w:pPr>
              <w:jc w:val="right"/>
              <w:ind w:right="221"/>
              <w:spacing w:after="0"/>
              <w:rPr>
                <w:sz w:val="20"/>
                <w:szCs w:val="20"/>
                <w:color w:val="auto"/>
              </w:rPr>
            </w:pPr>
            <w:r>
              <w:rPr>
                <w:rFonts w:ascii="Arial" w:cs="Arial" w:eastAsia="Arial" w:hAnsi="Arial"/>
                <w:sz w:val="16"/>
                <w:szCs w:val="16"/>
                <w:color w:val="auto"/>
              </w:rPr>
              <w:t>$2,590</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w w:val="93"/>
              </w:rPr>
              <w:t>$2,800</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$3,080</w:t>
            </w:r>
          </w:p>
        </w:tc>
        <w:tc>
          <w:tcPr>
            <w:tcW w:w="620" w:type="dxa"/>
            <w:vAlign w:val="bottom"/>
            <w:tcBorders>
              <w:bottom w:val="single" w:sz="8" w:color="434F69"/>
              <w:right w:val="single" w:sz="8" w:color="D9DCE1"/>
            </w:tcBorders>
            <w:shd w:val="clear" w:color="auto" w:fill="D9DCE1"/>
          </w:tcPr>
          <w:p>
            <w:pPr>
              <w:spacing w:after="0"/>
              <w:rPr>
                <w:sz w:val="21"/>
                <w:szCs w:val="21"/>
                <w:color w:val="auto"/>
              </w:rPr>
            </w:pPr>
          </w:p>
        </w:tc>
        <w:tc>
          <w:tcPr>
            <w:tcW w:w="600" w:type="dxa"/>
            <w:vAlign w:val="bottom"/>
            <w:tcBorders>
              <w:bottom w:val="single" w:sz="8" w:color="434F69"/>
            </w:tcBorders>
            <w:shd w:val="clear" w:color="auto" w:fill="D9DCE1"/>
          </w:tcPr>
          <w:p>
            <w:pPr>
              <w:jc w:val="right"/>
              <w:ind w:right="19"/>
              <w:spacing w:after="0"/>
              <w:rPr>
                <w:sz w:val="20"/>
                <w:szCs w:val="20"/>
                <w:color w:val="auto"/>
              </w:rPr>
            </w:pPr>
            <w:r>
              <w:rPr>
                <w:rFonts w:ascii="Arial" w:cs="Arial" w:eastAsia="Arial" w:hAnsi="Arial"/>
                <w:sz w:val="16"/>
                <w:szCs w:val="16"/>
                <w:color w:val="auto"/>
                <w:w w:val="98"/>
              </w:rPr>
              <w:t>$3,237</w:t>
            </w:r>
          </w:p>
        </w:tc>
        <w:tc>
          <w:tcPr>
            <w:tcW w:w="960" w:type="dxa"/>
            <w:vAlign w:val="bottom"/>
            <w:tcBorders>
              <w:bottom w:val="single" w:sz="8" w:color="434F69"/>
            </w:tcBorders>
            <w:gridSpan w:val="2"/>
            <w:shd w:val="clear" w:color="auto" w:fill="D9DCE1"/>
          </w:tcPr>
          <w:p>
            <w:pPr>
              <w:jc w:val="right"/>
              <w:ind w:right="80"/>
              <w:spacing w:after="0"/>
              <w:rPr>
                <w:sz w:val="20"/>
                <w:szCs w:val="20"/>
                <w:color w:val="auto"/>
              </w:rPr>
            </w:pPr>
            <w:r>
              <w:rPr>
                <w:rFonts w:ascii="Arial" w:cs="Arial" w:eastAsia="Arial" w:hAnsi="Arial"/>
                <w:sz w:val="16"/>
                <w:szCs w:val="16"/>
                <w:color w:val="auto"/>
              </w:rPr>
              <w:t>200%</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6"/>
                <w:szCs w:val="16"/>
                <w:color w:val="auto"/>
              </w:rPr>
              <w:t>DCF/Common Unit</w:t>
            </w:r>
          </w:p>
        </w:tc>
        <w:tc>
          <w:tcPr>
            <w:tcW w:w="1140" w:type="dxa"/>
            <w:vAlign w:val="bottom"/>
            <w:tcBorders>
              <w:bottom w:val="single" w:sz="8" w:color="434F69"/>
            </w:tcBorders>
            <w:gridSpan w:val="2"/>
          </w:tcPr>
          <w:p>
            <w:pPr>
              <w:jc w:val="right"/>
              <w:spacing w:after="0"/>
              <w:rPr>
                <w:sz w:val="20"/>
                <w:szCs w:val="20"/>
                <w:color w:val="auto"/>
              </w:rPr>
            </w:pPr>
            <w:r>
              <w:rPr>
                <w:rFonts w:ascii="Arial" w:cs="Arial" w:eastAsia="Arial" w:hAnsi="Arial"/>
                <w:sz w:val="16"/>
                <w:szCs w:val="16"/>
                <w:color w:val="auto"/>
              </w:rPr>
              <w:t>27%</w:t>
            </w:r>
          </w:p>
        </w:tc>
        <w:tc>
          <w:tcPr>
            <w:tcW w:w="940" w:type="dxa"/>
            <w:vAlign w:val="bottom"/>
            <w:tcBorders>
              <w:bottom w:val="single" w:sz="8" w:color="434F69"/>
            </w:tcBorders>
          </w:tcPr>
          <w:p>
            <w:pPr>
              <w:jc w:val="right"/>
              <w:ind w:right="221"/>
              <w:spacing w:after="0"/>
              <w:rPr>
                <w:sz w:val="20"/>
                <w:szCs w:val="20"/>
                <w:color w:val="auto"/>
              </w:rPr>
            </w:pPr>
            <w:r>
              <w:rPr>
                <w:rFonts w:ascii="Arial" w:cs="Arial" w:eastAsia="Arial" w:hAnsi="Arial"/>
                <w:sz w:val="16"/>
                <w:szCs w:val="16"/>
                <w:color w:val="auto"/>
              </w:rPr>
              <w:t>$ 2.44</w:t>
            </w: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$ 2.64</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$ 2.90</w:t>
            </w:r>
          </w:p>
        </w:tc>
        <w:tc>
          <w:tcPr>
            <w:tcW w:w="620" w:type="dxa"/>
            <w:vAlign w:val="bottom"/>
            <w:tcBorders>
              <w:bottom w:val="single" w:sz="8" w:color="434F69"/>
            </w:tcBorders>
          </w:tcPr>
          <w:p>
            <w:pPr>
              <w:spacing w:after="0"/>
              <w:rPr>
                <w:sz w:val="21"/>
                <w:szCs w:val="21"/>
                <w:color w:val="auto"/>
              </w:rPr>
            </w:pPr>
          </w:p>
        </w:tc>
        <w:tc>
          <w:tcPr>
            <w:tcW w:w="600" w:type="dxa"/>
            <w:vAlign w:val="bottom"/>
            <w:tcBorders>
              <w:bottom w:val="single" w:sz="8" w:color="434F69"/>
            </w:tcBorders>
          </w:tcPr>
          <w:p>
            <w:pPr>
              <w:jc w:val="right"/>
              <w:ind w:right="19"/>
              <w:spacing w:after="0"/>
              <w:rPr>
                <w:sz w:val="20"/>
                <w:szCs w:val="20"/>
                <w:color w:val="auto"/>
              </w:rPr>
            </w:pPr>
            <w:r>
              <w:rPr>
                <w:rFonts w:ascii="Arial" w:cs="Arial" w:eastAsia="Arial" w:hAnsi="Arial"/>
                <w:sz w:val="16"/>
                <w:szCs w:val="16"/>
                <w:color w:val="auto"/>
              </w:rPr>
              <w:t>$ 2.99</w:t>
            </w:r>
          </w:p>
        </w:tc>
        <w:tc>
          <w:tcPr>
            <w:tcW w:w="960" w:type="dxa"/>
            <w:vAlign w:val="bottom"/>
            <w:tcBorders>
              <w:bottom w:val="single" w:sz="8" w:color="434F69"/>
            </w:tcBorders>
            <w:gridSpan w:val="2"/>
          </w:tcPr>
          <w:p>
            <w:pPr>
              <w:jc w:val="right"/>
              <w:ind w:right="80"/>
              <w:spacing w:after="0"/>
              <w:rPr>
                <w:sz w:val="20"/>
                <w:szCs w:val="20"/>
                <w:color w:val="auto"/>
              </w:rPr>
            </w:pPr>
            <w:r>
              <w:rPr>
                <w:rFonts w:ascii="Arial" w:cs="Arial" w:eastAsia="Arial" w:hAnsi="Arial"/>
                <w:sz w:val="16"/>
                <w:szCs w:val="16"/>
                <w:color w:val="auto"/>
              </w:rPr>
              <w:t>200%</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6"/>
                <w:szCs w:val="16"/>
                <w:color w:val="auto"/>
              </w:rPr>
              <w:t>Safety (TRIR)</w:t>
            </w:r>
          </w:p>
        </w:tc>
        <w:tc>
          <w:tcPr>
            <w:tcW w:w="1140" w:type="dxa"/>
            <w:vAlign w:val="bottom"/>
            <w:tcBorders>
              <w:bottom w:val="single" w:sz="8" w:color="434F69"/>
            </w:tcBorders>
            <w:gridSpan w:val="2"/>
            <w:shd w:val="clear" w:color="auto" w:fill="D9DCE1"/>
          </w:tcPr>
          <w:p>
            <w:pPr>
              <w:jc w:val="right"/>
              <w:spacing w:after="0"/>
              <w:rPr>
                <w:sz w:val="20"/>
                <w:szCs w:val="20"/>
                <w:color w:val="auto"/>
              </w:rPr>
            </w:pPr>
            <w:r>
              <w:rPr>
                <w:rFonts w:ascii="Arial" w:cs="Arial" w:eastAsia="Arial" w:hAnsi="Arial"/>
                <w:sz w:val="16"/>
                <w:szCs w:val="16"/>
                <w:color w:val="auto"/>
              </w:rPr>
              <w:t>7%</w:t>
            </w:r>
          </w:p>
        </w:tc>
        <w:tc>
          <w:tcPr>
            <w:tcW w:w="940" w:type="dxa"/>
            <w:vAlign w:val="bottom"/>
            <w:tcBorders>
              <w:bottom w:val="single" w:sz="8" w:color="434F69"/>
            </w:tcBorders>
            <w:shd w:val="clear" w:color="auto" w:fill="D9DCE1"/>
          </w:tcPr>
          <w:p>
            <w:pPr>
              <w:jc w:val="right"/>
              <w:ind w:right="221"/>
              <w:spacing w:after="0"/>
              <w:rPr>
                <w:sz w:val="20"/>
                <w:szCs w:val="20"/>
                <w:color w:val="auto"/>
              </w:rPr>
            </w:pPr>
            <w:r>
              <w:rPr>
                <w:rFonts w:ascii="Arial" w:cs="Arial" w:eastAsia="Arial" w:hAnsi="Arial"/>
                <w:sz w:val="16"/>
                <w:szCs w:val="16"/>
                <w:color w:val="auto"/>
              </w:rPr>
              <w:t>0.71</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0.59</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0.47</w:t>
            </w:r>
          </w:p>
        </w:tc>
        <w:tc>
          <w:tcPr>
            <w:tcW w:w="620" w:type="dxa"/>
            <w:vAlign w:val="bottom"/>
            <w:tcBorders>
              <w:bottom w:val="single" w:sz="8" w:color="434F69"/>
              <w:right w:val="single" w:sz="8" w:color="D9DCE1"/>
            </w:tcBorders>
            <w:shd w:val="clear" w:color="auto" w:fill="D9DCE1"/>
          </w:tcPr>
          <w:p>
            <w:pPr>
              <w:spacing w:after="0"/>
              <w:rPr>
                <w:sz w:val="21"/>
                <w:szCs w:val="21"/>
                <w:color w:val="auto"/>
              </w:rPr>
            </w:pPr>
          </w:p>
        </w:tc>
        <w:tc>
          <w:tcPr>
            <w:tcW w:w="600" w:type="dxa"/>
            <w:vAlign w:val="bottom"/>
            <w:tcBorders>
              <w:bottom w:val="single" w:sz="8" w:color="434F69"/>
            </w:tcBorders>
            <w:shd w:val="clear" w:color="auto" w:fill="D9DCE1"/>
          </w:tcPr>
          <w:p>
            <w:pPr>
              <w:jc w:val="right"/>
              <w:ind w:right="19"/>
              <w:spacing w:after="0"/>
              <w:rPr>
                <w:sz w:val="20"/>
                <w:szCs w:val="20"/>
                <w:color w:val="auto"/>
              </w:rPr>
            </w:pPr>
            <w:r>
              <w:rPr>
                <w:rFonts w:ascii="Arial" w:cs="Arial" w:eastAsia="Arial" w:hAnsi="Arial"/>
                <w:sz w:val="16"/>
                <w:szCs w:val="16"/>
                <w:color w:val="auto"/>
              </w:rPr>
              <w:t>0.52</w:t>
            </w:r>
          </w:p>
        </w:tc>
        <w:tc>
          <w:tcPr>
            <w:tcW w:w="960" w:type="dxa"/>
            <w:vAlign w:val="bottom"/>
            <w:tcBorders>
              <w:bottom w:val="single" w:sz="8" w:color="434F69"/>
            </w:tcBorders>
            <w:gridSpan w:val="2"/>
            <w:shd w:val="clear" w:color="auto" w:fill="D9DCE1"/>
          </w:tcPr>
          <w:p>
            <w:pPr>
              <w:jc w:val="right"/>
              <w:ind w:right="80"/>
              <w:spacing w:after="0"/>
              <w:rPr>
                <w:sz w:val="20"/>
                <w:szCs w:val="20"/>
                <w:color w:val="auto"/>
              </w:rPr>
            </w:pPr>
            <w:r>
              <w:rPr>
                <w:rFonts w:ascii="Arial" w:cs="Arial" w:eastAsia="Arial" w:hAnsi="Arial"/>
                <w:sz w:val="16"/>
                <w:szCs w:val="16"/>
                <w:color w:val="auto"/>
              </w:rPr>
              <w:t>158%</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6"/>
                <w:szCs w:val="16"/>
                <w:color w:val="auto"/>
                <w:w w:val="95"/>
              </w:rPr>
              <w:t>Environmental (DOT releases)</w:t>
            </w:r>
          </w:p>
        </w:tc>
        <w:tc>
          <w:tcPr>
            <w:tcW w:w="1140" w:type="dxa"/>
            <w:vAlign w:val="bottom"/>
            <w:tcBorders>
              <w:bottom w:val="single" w:sz="8" w:color="434F69"/>
            </w:tcBorders>
            <w:gridSpan w:val="2"/>
          </w:tcPr>
          <w:p>
            <w:pPr>
              <w:jc w:val="right"/>
              <w:spacing w:after="0"/>
              <w:rPr>
                <w:sz w:val="20"/>
                <w:szCs w:val="20"/>
                <w:color w:val="auto"/>
              </w:rPr>
            </w:pPr>
            <w:r>
              <w:rPr>
                <w:rFonts w:ascii="Arial" w:cs="Arial" w:eastAsia="Arial" w:hAnsi="Arial"/>
                <w:sz w:val="16"/>
                <w:szCs w:val="16"/>
                <w:color w:val="auto"/>
              </w:rPr>
              <w:t>7%</w:t>
            </w:r>
          </w:p>
        </w:tc>
        <w:tc>
          <w:tcPr>
            <w:tcW w:w="940" w:type="dxa"/>
            <w:vAlign w:val="bottom"/>
            <w:tcBorders>
              <w:bottom w:val="single" w:sz="8" w:color="434F69"/>
            </w:tcBorders>
          </w:tcPr>
          <w:p>
            <w:pPr>
              <w:jc w:val="right"/>
              <w:ind w:right="221"/>
              <w:spacing w:after="0"/>
              <w:rPr>
                <w:sz w:val="20"/>
                <w:szCs w:val="20"/>
                <w:color w:val="auto"/>
              </w:rPr>
            </w:pPr>
            <w:r>
              <w:rPr>
                <w:rFonts w:ascii="Arial" w:cs="Arial" w:eastAsia="Arial" w:hAnsi="Arial"/>
                <w:sz w:val="16"/>
                <w:szCs w:val="16"/>
                <w:color w:val="auto"/>
              </w:rPr>
              <w:t>31</w:t>
            </w: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25</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19</w:t>
            </w:r>
          </w:p>
        </w:tc>
        <w:tc>
          <w:tcPr>
            <w:tcW w:w="620" w:type="dxa"/>
            <w:vAlign w:val="bottom"/>
            <w:tcBorders>
              <w:bottom w:val="single" w:sz="8" w:color="434F69"/>
            </w:tcBorders>
          </w:tcPr>
          <w:p>
            <w:pPr>
              <w:spacing w:after="0"/>
              <w:rPr>
                <w:sz w:val="21"/>
                <w:szCs w:val="21"/>
                <w:color w:val="auto"/>
              </w:rPr>
            </w:pPr>
          </w:p>
        </w:tc>
        <w:tc>
          <w:tcPr>
            <w:tcW w:w="600" w:type="dxa"/>
            <w:vAlign w:val="bottom"/>
            <w:tcBorders>
              <w:bottom w:val="single" w:sz="8" w:color="434F69"/>
            </w:tcBorders>
          </w:tcPr>
          <w:p>
            <w:pPr>
              <w:jc w:val="right"/>
              <w:ind w:right="19"/>
              <w:spacing w:after="0"/>
              <w:rPr>
                <w:sz w:val="20"/>
                <w:szCs w:val="20"/>
                <w:color w:val="auto"/>
              </w:rPr>
            </w:pPr>
            <w:r>
              <w:rPr>
                <w:rFonts w:ascii="Arial" w:cs="Arial" w:eastAsia="Arial" w:hAnsi="Arial"/>
                <w:sz w:val="16"/>
                <w:szCs w:val="16"/>
                <w:color w:val="auto"/>
              </w:rPr>
              <w:t>23</w:t>
            </w:r>
          </w:p>
        </w:tc>
        <w:tc>
          <w:tcPr>
            <w:tcW w:w="960" w:type="dxa"/>
            <w:vAlign w:val="bottom"/>
            <w:tcBorders>
              <w:bottom w:val="single" w:sz="8" w:color="434F69"/>
            </w:tcBorders>
            <w:gridSpan w:val="2"/>
          </w:tcPr>
          <w:p>
            <w:pPr>
              <w:jc w:val="right"/>
              <w:ind w:right="80"/>
              <w:spacing w:after="0"/>
              <w:rPr>
                <w:sz w:val="20"/>
                <w:szCs w:val="20"/>
                <w:color w:val="auto"/>
              </w:rPr>
            </w:pPr>
            <w:r>
              <w:rPr>
                <w:rFonts w:ascii="Arial" w:cs="Arial" w:eastAsia="Arial" w:hAnsi="Arial"/>
                <w:sz w:val="16"/>
                <w:szCs w:val="16"/>
                <w:color w:val="auto"/>
              </w:rPr>
              <w:t>133%</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shd w:val="clear" w:color="auto" w:fill="D9DCE1"/>
          </w:tcPr>
          <w:p>
            <w:pPr>
              <w:spacing w:after="0"/>
              <w:rPr>
                <w:sz w:val="21"/>
                <w:szCs w:val="21"/>
                <w:color w:val="auto"/>
              </w:rPr>
            </w:pPr>
          </w:p>
        </w:tc>
        <w:tc>
          <w:tcPr>
            <w:tcW w:w="500" w:type="dxa"/>
            <w:vAlign w:val="bottom"/>
            <w:tcBorders>
              <w:bottom w:val="single" w:sz="8" w:color="434F69"/>
            </w:tcBorders>
            <w:shd w:val="clear" w:color="auto" w:fill="D9DCE1"/>
          </w:tcPr>
          <w:p>
            <w:pPr>
              <w:spacing w:after="0"/>
              <w:rPr>
                <w:sz w:val="21"/>
                <w:szCs w:val="21"/>
                <w:color w:val="auto"/>
              </w:rPr>
            </w:pPr>
          </w:p>
        </w:tc>
        <w:tc>
          <w:tcPr>
            <w:tcW w:w="640" w:type="dxa"/>
            <w:vAlign w:val="bottom"/>
            <w:tcBorders>
              <w:bottom w:val="single" w:sz="8" w:color="434F69"/>
            </w:tcBorders>
            <w:shd w:val="clear" w:color="auto" w:fill="D9DCE1"/>
          </w:tcPr>
          <w:p>
            <w:pPr>
              <w:spacing w:after="0"/>
              <w:rPr>
                <w:sz w:val="21"/>
                <w:szCs w:val="21"/>
                <w:color w:val="auto"/>
              </w:rPr>
            </w:pPr>
          </w:p>
        </w:tc>
        <w:tc>
          <w:tcPr>
            <w:tcW w:w="94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spacing w:after="0"/>
              <w:rPr>
                <w:sz w:val="21"/>
                <w:szCs w:val="21"/>
                <w:color w:val="auto"/>
              </w:rPr>
            </w:pPr>
          </w:p>
        </w:tc>
        <w:tc>
          <w:tcPr>
            <w:tcW w:w="740" w:type="dxa"/>
            <w:vAlign w:val="bottom"/>
            <w:tcBorders>
              <w:bottom w:val="single" w:sz="8" w:color="434F69"/>
            </w:tcBorders>
            <w:shd w:val="clear" w:color="auto" w:fill="D9DCE1"/>
          </w:tcPr>
          <w:p>
            <w:pPr>
              <w:spacing w:after="0"/>
              <w:rPr>
                <w:sz w:val="21"/>
                <w:szCs w:val="21"/>
                <w:color w:val="auto"/>
              </w:rPr>
            </w:pPr>
          </w:p>
        </w:tc>
        <w:tc>
          <w:tcPr>
            <w:tcW w:w="620" w:type="dxa"/>
            <w:vAlign w:val="bottom"/>
            <w:tcBorders>
              <w:bottom w:val="single" w:sz="8" w:color="434F69"/>
              <w:right w:val="single" w:sz="8" w:color="D9DCE1"/>
            </w:tcBorders>
            <w:shd w:val="clear" w:color="auto" w:fill="D9DCE1"/>
          </w:tcPr>
          <w:p>
            <w:pPr>
              <w:spacing w:after="0"/>
              <w:rPr>
                <w:sz w:val="21"/>
                <w:szCs w:val="21"/>
                <w:color w:val="auto"/>
              </w:rPr>
            </w:pPr>
          </w:p>
        </w:tc>
        <w:tc>
          <w:tcPr>
            <w:tcW w:w="600" w:type="dxa"/>
            <w:vAlign w:val="bottom"/>
            <w:tcBorders>
              <w:bottom w:val="single" w:sz="8" w:color="434F69"/>
            </w:tcBorders>
            <w:shd w:val="clear" w:color="auto" w:fill="D9DCE1"/>
          </w:tcPr>
          <w:p>
            <w:pPr>
              <w:spacing w:after="0"/>
              <w:rPr>
                <w:sz w:val="21"/>
                <w:szCs w:val="21"/>
                <w:color w:val="auto"/>
              </w:rPr>
            </w:pPr>
          </w:p>
        </w:tc>
        <w:tc>
          <w:tcPr>
            <w:tcW w:w="960" w:type="dxa"/>
            <w:vAlign w:val="bottom"/>
            <w:tcBorders>
              <w:bottom w:val="single" w:sz="8" w:color="434F69"/>
            </w:tcBorders>
            <w:gridSpan w:val="2"/>
            <w:shd w:val="clear" w:color="auto" w:fill="D9DCE1"/>
          </w:tcPr>
          <w:p>
            <w:pPr>
              <w:jc w:val="right"/>
              <w:ind w:right="220"/>
              <w:spacing w:after="0"/>
              <w:rPr>
                <w:sz w:val="20"/>
                <w:szCs w:val="20"/>
                <w:color w:val="auto"/>
              </w:rPr>
            </w:pPr>
            <w:r>
              <w:rPr>
                <w:rFonts w:ascii="Arial" w:cs="Arial" w:eastAsia="Arial" w:hAnsi="Arial"/>
                <w:sz w:val="16"/>
                <w:szCs w:val="16"/>
                <w:color w:val="auto"/>
              </w:rPr>
              <w:t>Subtotal</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128%</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1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6"/>
                <w:szCs w:val="16"/>
                <w:color w:val="auto"/>
              </w:rPr>
              <w:t>Individual Performance</w:t>
            </w:r>
          </w:p>
        </w:tc>
        <w:tc>
          <w:tcPr>
            <w:tcW w:w="1140" w:type="dxa"/>
            <w:vAlign w:val="bottom"/>
            <w:tcBorders>
              <w:bottom w:val="single" w:sz="8" w:color="434F69"/>
            </w:tcBorders>
            <w:gridSpan w:val="2"/>
          </w:tcPr>
          <w:p>
            <w:pPr>
              <w:jc w:val="right"/>
              <w:spacing w:after="0"/>
              <w:rPr>
                <w:sz w:val="20"/>
                <w:szCs w:val="20"/>
                <w:color w:val="auto"/>
              </w:rPr>
            </w:pPr>
            <w:r>
              <w:rPr>
                <w:rFonts w:ascii="Arial" w:cs="Arial" w:eastAsia="Arial" w:hAnsi="Arial"/>
                <w:sz w:val="16"/>
                <w:szCs w:val="16"/>
                <w:color w:val="auto"/>
              </w:rPr>
              <w:t>33%</w:t>
            </w:r>
          </w:p>
        </w:tc>
        <w:tc>
          <w:tcPr>
            <w:tcW w:w="3380" w:type="dxa"/>
            <w:vAlign w:val="bottom"/>
            <w:tcBorders>
              <w:bottom w:val="single" w:sz="8" w:color="434F69"/>
            </w:tcBorders>
            <w:gridSpan w:val="5"/>
          </w:tcPr>
          <w:p>
            <w:pPr>
              <w:jc w:val="right"/>
              <w:spacing w:after="0"/>
              <w:rPr>
                <w:sz w:val="20"/>
                <w:szCs w:val="20"/>
                <w:color w:val="auto"/>
              </w:rPr>
            </w:pPr>
            <w:r>
              <w:rPr>
                <w:rFonts w:ascii="Arial" w:cs="Arial" w:eastAsia="Arial" w:hAnsi="Arial"/>
                <w:sz w:val="16"/>
                <w:szCs w:val="16"/>
                <w:color w:val="auto"/>
              </w:rPr>
              <w:t>Ind. Payout Determined by Comp Committee</w:t>
            </w:r>
          </w:p>
        </w:tc>
        <w:tc>
          <w:tcPr>
            <w:tcW w:w="960" w:type="dxa"/>
            <w:vAlign w:val="bottom"/>
            <w:tcBorders>
              <w:bottom w:val="single" w:sz="8" w:color="434F69"/>
            </w:tcBorders>
            <w:gridSpan w:val="2"/>
          </w:tcPr>
          <w:p>
            <w:pPr>
              <w:jc w:val="right"/>
              <w:ind w:right="80"/>
              <w:spacing w:after="0"/>
              <w:rPr>
                <w:sz w:val="20"/>
                <w:szCs w:val="20"/>
                <w:color w:val="auto"/>
              </w:rPr>
            </w:pPr>
            <w:r>
              <w:rPr>
                <w:rFonts w:ascii="Arial" w:cs="Arial" w:eastAsia="Arial" w:hAnsi="Arial"/>
                <w:sz w:val="16"/>
                <w:szCs w:val="16"/>
                <w:color w:val="auto"/>
              </w:rPr>
              <w:t>140%</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434F69"/>
            </w:tcBorders>
            <w:shd w:val="clear" w:color="auto" w:fill="697287"/>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2140" w:type="dxa"/>
            <w:vAlign w:val="bottom"/>
            <w:tcBorders>
              <w:left w:val="single" w:sz="8" w:color="697287"/>
            </w:tcBorders>
            <w:shd w:val="clear" w:color="auto" w:fill="D9DCE1"/>
          </w:tcPr>
          <w:p>
            <w:pPr>
              <w:ind w:left="60"/>
              <w:spacing w:after="0"/>
              <w:rPr>
                <w:sz w:val="20"/>
                <w:szCs w:val="20"/>
                <w:color w:val="auto"/>
              </w:rPr>
            </w:pPr>
            <w:r>
              <w:rPr>
                <w:rFonts w:ascii="Arial" w:cs="Arial" w:eastAsia="Arial" w:hAnsi="Arial"/>
                <w:sz w:val="16"/>
                <w:szCs w:val="16"/>
                <w:color w:val="auto"/>
              </w:rPr>
              <w:t>(33% weighting)</w:t>
            </w:r>
          </w:p>
        </w:tc>
        <w:tc>
          <w:tcPr>
            <w:tcW w:w="1140" w:type="dxa"/>
            <w:vAlign w:val="bottom"/>
            <w:gridSpan w:val="2"/>
            <w:shd w:val="clear" w:color="auto" w:fill="D9DCE1"/>
          </w:tcPr>
          <w:p>
            <w:pPr>
              <w:jc w:val="right"/>
              <w:spacing w:after="0"/>
              <w:rPr>
                <w:sz w:val="20"/>
                <w:szCs w:val="20"/>
                <w:color w:val="auto"/>
              </w:rPr>
            </w:pPr>
            <w:r>
              <w:rPr>
                <w:rFonts w:ascii="Arial" w:cs="Arial" w:eastAsia="Arial" w:hAnsi="Arial"/>
                <w:sz w:val="16"/>
                <w:szCs w:val="16"/>
                <w:color w:val="auto"/>
              </w:rPr>
              <w:t xml:space="preserve">Total    </w:t>
            </w:r>
            <w:r>
              <w:rPr>
                <w:rFonts w:ascii="Arial" w:cs="Arial" w:eastAsia="Arial" w:hAnsi="Arial"/>
                <w:sz w:val="16"/>
                <w:szCs w:val="16"/>
                <w:b w:val="1"/>
                <w:bCs w:val="1"/>
                <w:color w:val="auto"/>
              </w:rPr>
              <w:t>100%</w:t>
            </w:r>
          </w:p>
        </w:tc>
        <w:tc>
          <w:tcPr>
            <w:tcW w:w="940" w:type="dxa"/>
            <w:vAlign w:val="bottom"/>
            <w:shd w:val="clear" w:color="auto" w:fill="D9DCE1"/>
          </w:tcPr>
          <w:p>
            <w:pPr>
              <w:spacing w:after="0"/>
              <w:rPr>
                <w:sz w:val="24"/>
                <w:szCs w:val="24"/>
                <w:color w:val="auto"/>
              </w:rPr>
            </w:pPr>
          </w:p>
        </w:tc>
        <w:tc>
          <w:tcPr>
            <w:tcW w:w="480" w:type="dxa"/>
            <w:vAlign w:val="bottom"/>
            <w:shd w:val="clear" w:color="auto" w:fill="D9DCE1"/>
          </w:tcPr>
          <w:p>
            <w:pPr>
              <w:spacing w:after="0"/>
              <w:rPr>
                <w:sz w:val="24"/>
                <w:szCs w:val="24"/>
                <w:color w:val="auto"/>
              </w:rPr>
            </w:pPr>
          </w:p>
        </w:tc>
        <w:tc>
          <w:tcPr>
            <w:tcW w:w="740" w:type="dxa"/>
            <w:vAlign w:val="bottom"/>
            <w:shd w:val="clear" w:color="auto" w:fill="D9DCE1"/>
          </w:tcPr>
          <w:p>
            <w:pPr>
              <w:spacing w:after="0"/>
              <w:rPr>
                <w:sz w:val="24"/>
                <w:szCs w:val="24"/>
                <w:color w:val="auto"/>
              </w:rPr>
            </w:pPr>
          </w:p>
        </w:tc>
        <w:tc>
          <w:tcPr>
            <w:tcW w:w="620" w:type="dxa"/>
            <w:vAlign w:val="bottom"/>
            <w:tcBorders>
              <w:right w:val="single" w:sz="8" w:color="D9DCE1"/>
            </w:tcBorders>
            <w:shd w:val="clear" w:color="auto" w:fill="D9DCE1"/>
          </w:tcPr>
          <w:p>
            <w:pPr>
              <w:spacing w:after="0"/>
              <w:rPr>
                <w:sz w:val="24"/>
                <w:szCs w:val="24"/>
                <w:color w:val="auto"/>
              </w:rPr>
            </w:pPr>
          </w:p>
        </w:tc>
        <w:tc>
          <w:tcPr>
            <w:tcW w:w="600" w:type="dxa"/>
            <w:vAlign w:val="bottom"/>
            <w:shd w:val="clear" w:color="auto" w:fill="D9DCE1"/>
          </w:tcPr>
          <w:p>
            <w:pPr>
              <w:spacing w:after="0"/>
              <w:rPr>
                <w:sz w:val="24"/>
                <w:szCs w:val="24"/>
                <w:color w:val="auto"/>
              </w:rPr>
            </w:pPr>
          </w:p>
        </w:tc>
        <w:tc>
          <w:tcPr>
            <w:tcW w:w="960" w:type="dxa"/>
            <w:vAlign w:val="bottom"/>
            <w:gridSpan w:val="2"/>
            <w:shd w:val="clear" w:color="auto" w:fill="D9DCE1"/>
          </w:tcPr>
          <w:p>
            <w:pPr>
              <w:jc w:val="right"/>
              <w:ind w:right="220"/>
              <w:spacing w:after="0"/>
              <w:rPr>
                <w:sz w:val="20"/>
                <w:szCs w:val="20"/>
                <w:color w:val="auto"/>
              </w:rPr>
            </w:pPr>
            <w:r>
              <w:rPr>
                <w:rFonts w:ascii="Arial" w:cs="Arial" w:eastAsia="Arial" w:hAnsi="Arial"/>
                <w:sz w:val="16"/>
                <w:szCs w:val="16"/>
                <w:color w:val="auto"/>
              </w:rPr>
              <w:t>Total</w:t>
            </w:r>
          </w:p>
        </w:tc>
        <w:tc>
          <w:tcPr>
            <w:tcW w:w="580" w:type="dxa"/>
            <w:vAlign w:val="bottom"/>
            <w:shd w:val="clear" w:color="auto" w:fill="D9DCE1"/>
          </w:tcPr>
          <w:p>
            <w:pPr>
              <w:jc w:val="right"/>
              <w:spacing w:after="0"/>
              <w:rPr>
                <w:sz w:val="20"/>
                <w:szCs w:val="20"/>
                <w:color w:val="auto"/>
              </w:rPr>
            </w:pPr>
            <w:r>
              <w:rPr>
                <w:rFonts w:ascii="Arial" w:cs="Arial" w:eastAsia="Arial" w:hAnsi="Arial"/>
                <w:sz w:val="16"/>
                <w:szCs w:val="16"/>
                <w:color w:val="auto"/>
              </w:rPr>
              <w:t>175%</w:t>
            </w:r>
          </w:p>
        </w:tc>
        <w:tc>
          <w:tcPr>
            <w:tcW w:w="20" w:type="dxa"/>
            <w:vAlign w:val="bottom"/>
            <w:shd w:val="clear" w:color="auto" w:fill="69728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D9DCE1"/>
              <w:left w:val="single" w:sz="8" w:color="697287"/>
            </w:tcBorders>
            <w:shd w:val="clear" w:color="auto" w:fill="697287"/>
          </w:tcPr>
          <w:p>
            <w:pPr>
              <w:spacing w:after="0" w:line="20" w:lineRule="exact"/>
              <w:rPr>
                <w:sz w:val="1"/>
                <w:szCs w:val="1"/>
                <w:color w:val="auto"/>
              </w:rPr>
            </w:pPr>
          </w:p>
        </w:tc>
        <w:tc>
          <w:tcPr>
            <w:tcW w:w="500" w:type="dxa"/>
            <w:vAlign w:val="bottom"/>
            <w:tcBorders>
              <w:top w:val="single" w:sz="8" w:color="D9DCE1"/>
            </w:tcBorders>
            <w:shd w:val="clear" w:color="auto" w:fill="697287"/>
          </w:tcPr>
          <w:p>
            <w:pPr>
              <w:spacing w:after="0" w:line="20" w:lineRule="exact"/>
              <w:rPr>
                <w:sz w:val="1"/>
                <w:szCs w:val="1"/>
                <w:color w:val="auto"/>
              </w:rPr>
            </w:pPr>
          </w:p>
        </w:tc>
        <w:tc>
          <w:tcPr>
            <w:tcW w:w="640" w:type="dxa"/>
            <w:vAlign w:val="bottom"/>
            <w:tcBorders>
              <w:top w:val="single" w:sz="8" w:color="434F69"/>
            </w:tcBorders>
            <w:shd w:val="clear" w:color="auto" w:fill="697287"/>
          </w:tcPr>
          <w:p>
            <w:pPr>
              <w:spacing w:after="0" w:line="20" w:lineRule="exact"/>
              <w:rPr>
                <w:sz w:val="1"/>
                <w:szCs w:val="1"/>
                <w:color w:val="auto"/>
              </w:rPr>
            </w:pPr>
          </w:p>
        </w:tc>
        <w:tc>
          <w:tcPr>
            <w:tcW w:w="940" w:type="dxa"/>
            <w:vAlign w:val="bottom"/>
            <w:tcBorders>
              <w:top w:val="single" w:sz="8" w:color="D9DCE1"/>
            </w:tcBorders>
            <w:shd w:val="clear" w:color="auto" w:fill="697287"/>
          </w:tcPr>
          <w:p>
            <w:pPr>
              <w:spacing w:after="0" w:line="20" w:lineRule="exact"/>
              <w:rPr>
                <w:sz w:val="1"/>
                <w:szCs w:val="1"/>
                <w:color w:val="auto"/>
              </w:rPr>
            </w:pPr>
          </w:p>
        </w:tc>
        <w:tc>
          <w:tcPr>
            <w:tcW w:w="480" w:type="dxa"/>
            <w:vAlign w:val="bottom"/>
            <w:tcBorders>
              <w:top w:val="single" w:sz="8" w:color="D9DCE1"/>
            </w:tcBorders>
            <w:shd w:val="clear" w:color="auto" w:fill="697287"/>
          </w:tcPr>
          <w:p>
            <w:pPr>
              <w:spacing w:after="0" w:line="20" w:lineRule="exact"/>
              <w:rPr>
                <w:sz w:val="1"/>
                <w:szCs w:val="1"/>
                <w:color w:val="auto"/>
              </w:rPr>
            </w:pPr>
          </w:p>
        </w:tc>
        <w:tc>
          <w:tcPr>
            <w:tcW w:w="740" w:type="dxa"/>
            <w:vAlign w:val="bottom"/>
            <w:tcBorders>
              <w:top w:val="single" w:sz="8" w:color="D9DCE1"/>
            </w:tcBorders>
            <w:shd w:val="clear" w:color="auto" w:fill="697287"/>
          </w:tcPr>
          <w:p>
            <w:pPr>
              <w:spacing w:after="0" w:line="20" w:lineRule="exact"/>
              <w:rPr>
                <w:sz w:val="1"/>
                <w:szCs w:val="1"/>
                <w:color w:val="auto"/>
              </w:rPr>
            </w:pPr>
          </w:p>
        </w:tc>
        <w:tc>
          <w:tcPr>
            <w:tcW w:w="620" w:type="dxa"/>
            <w:vAlign w:val="bottom"/>
            <w:tcBorders>
              <w:top w:val="single" w:sz="8" w:color="D9DCE1"/>
              <w:right w:val="single" w:sz="8" w:color="697287"/>
            </w:tcBorders>
            <w:shd w:val="clear" w:color="auto" w:fill="697287"/>
          </w:tcPr>
          <w:p>
            <w:pPr>
              <w:spacing w:after="0" w:line="20" w:lineRule="exact"/>
              <w:rPr>
                <w:sz w:val="1"/>
                <w:szCs w:val="1"/>
                <w:color w:val="auto"/>
              </w:rPr>
            </w:pPr>
          </w:p>
        </w:tc>
        <w:tc>
          <w:tcPr>
            <w:tcW w:w="600" w:type="dxa"/>
            <w:vAlign w:val="bottom"/>
            <w:tcBorders>
              <w:top w:val="single" w:sz="8" w:color="D9DCE1"/>
            </w:tcBorders>
            <w:shd w:val="clear" w:color="auto" w:fill="697287"/>
          </w:tcPr>
          <w:p>
            <w:pPr>
              <w:spacing w:after="0" w:line="20" w:lineRule="exact"/>
              <w:rPr>
                <w:sz w:val="1"/>
                <w:szCs w:val="1"/>
                <w:color w:val="auto"/>
              </w:rPr>
            </w:pPr>
          </w:p>
        </w:tc>
        <w:tc>
          <w:tcPr>
            <w:tcW w:w="840" w:type="dxa"/>
            <w:vAlign w:val="bottom"/>
            <w:tcBorders>
              <w:top w:val="single" w:sz="8" w:color="D9DCE1"/>
            </w:tcBorders>
            <w:shd w:val="clear" w:color="auto" w:fill="697287"/>
          </w:tcPr>
          <w:p>
            <w:pPr>
              <w:spacing w:after="0" w:line="20" w:lineRule="exact"/>
              <w:rPr>
                <w:sz w:val="1"/>
                <w:szCs w:val="1"/>
                <w:color w:val="auto"/>
              </w:rPr>
            </w:pPr>
          </w:p>
        </w:tc>
        <w:tc>
          <w:tcPr>
            <w:tcW w:w="120" w:type="dxa"/>
            <w:vAlign w:val="bottom"/>
            <w:tcBorders>
              <w:top w:val="single" w:sz="8" w:color="434F69"/>
            </w:tcBorders>
            <w:shd w:val="clear" w:color="auto" w:fill="697287"/>
          </w:tcPr>
          <w:p>
            <w:pPr>
              <w:spacing w:after="0" w:line="20" w:lineRule="exact"/>
              <w:rPr>
                <w:sz w:val="1"/>
                <w:szCs w:val="1"/>
                <w:color w:val="auto"/>
              </w:rPr>
            </w:pPr>
          </w:p>
        </w:tc>
        <w:tc>
          <w:tcPr>
            <w:tcW w:w="580" w:type="dxa"/>
            <w:vAlign w:val="bottom"/>
            <w:tcBorders>
              <w:top w:val="single" w:sz="8" w:color="434F69"/>
            </w:tcBorders>
            <w:shd w:val="clear" w:color="auto" w:fill="697287"/>
          </w:tcPr>
          <w:p>
            <w:pPr>
              <w:spacing w:after="0" w:line="20" w:lineRule="exact"/>
              <w:rPr>
                <w:sz w:val="1"/>
                <w:szCs w:val="1"/>
                <w:color w:val="auto"/>
              </w:rPr>
            </w:pPr>
          </w:p>
        </w:tc>
        <w:tc>
          <w:tcPr>
            <w:tcW w:w="20" w:type="dxa"/>
            <w:vAlign w:val="bottom"/>
            <w:tcBorders>
              <w:top w:val="single" w:sz="8" w:color="434F6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-33655</wp:posOffset>
            </wp:positionV>
            <wp:extent cx="88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1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For 2019, the unadjusted total formulaic payout calculation for our NEOs was 175%; however, as indicated in the table below, which sets forth the calculation of the actual 2019 bonus paid to each of our NEOs, the overall payout percentage for Messrs. Chiang, Pefanis, Swanson and McGee was adjusted downward by 25 percentage points from 175% to 150% (14% overall reduction of formulaic result). Such negative adjustment was recommended by management and approved by the compensation committee and the Board due to the price performance of PAA’s common units and PAGP’s Class A shares during 2019 relative to its peer group and relevant indices.</w:t>
      </w:r>
    </w:p>
    <w:p>
      <w:pPr>
        <w:spacing w:after="0" w:line="182"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1840" w:type="dxa"/>
            <w:vAlign w:val="bottom"/>
            <w:tcBorders>
              <w:left w:val="single" w:sz="8" w:color="697287"/>
            </w:tcBorders>
            <w:shd w:val="clear" w:color="auto" w:fill="434F69"/>
          </w:tcPr>
          <w:p>
            <w:pPr>
              <w:spacing w:after="0"/>
              <w:rPr>
                <w:sz w:val="20"/>
                <w:szCs w:val="20"/>
                <w:color w:val="auto"/>
              </w:rPr>
            </w:pPr>
          </w:p>
        </w:tc>
        <w:tc>
          <w:tcPr>
            <w:tcW w:w="1540" w:type="dxa"/>
            <w:vAlign w:val="bottom"/>
            <w:gridSpan w:val="2"/>
            <w:shd w:val="clear" w:color="auto" w:fill="434F69"/>
          </w:tcPr>
          <w:p>
            <w:pPr>
              <w:jc w:val="right"/>
              <w:ind w:right="93"/>
              <w:spacing w:after="0"/>
              <w:rPr>
                <w:sz w:val="20"/>
                <w:szCs w:val="20"/>
                <w:color w:val="auto"/>
              </w:rPr>
            </w:pPr>
            <w:r>
              <w:rPr>
                <w:rFonts w:ascii="Arial" w:cs="Arial" w:eastAsia="Arial" w:hAnsi="Arial"/>
                <w:sz w:val="14"/>
                <w:szCs w:val="14"/>
                <w:b w:val="1"/>
                <w:bCs w:val="1"/>
                <w:color w:val="FFFFFF"/>
              </w:rPr>
              <w:t>2019 Target Bonus</w:t>
            </w:r>
          </w:p>
        </w:tc>
        <w:tc>
          <w:tcPr>
            <w:tcW w:w="1400" w:type="dxa"/>
            <w:vAlign w:val="bottom"/>
            <w:shd w:val="clear" w:color="auto" w:fill="434F69"/>
          </w:tcPr>
          <w:p>
            <w:pPr>
              <w:jc w:val="right"/>
              <w:ind w:right="95"/>
              <w:spacing w:after="0"/>
              <w:rPr>
                <w:sz w:val="20"/>
                <w:szCs w:val="20"/>
                <w:color w:val="auto"/>
              </w:rPr>
            </w:pPr>
            <w:r>
              <w:rPr>
                <w:rFonts w:ascii="Arial" w:cs="Arial" w:eastAsia="Arial" w:hAnsi="Arial"/>
                <w:sz w:val="14"/>
                <w:szCs w:val="14"/>
                <w:b w:val="1"/>
                <w:bCs w:val="1"/>
                <w:color w:val="FFFFFF"/>
              </w:rPr>
              <w:t>Formulaic Bonus</w:t>
            </w:r>
          </w:p>
        </w:tc>
        <w:tc>
          <w:tcPr>
            <w:tcW w:w="1060" w:type="dxa"/>
            <w:vAlign w:val="bottom"/>
            <w:shd w:val="clear" w:color="auto" w:fill="434F69"/>
          </w:tcPr>
          <w:p>
            <w:pPr>
              <w:ind w:left="260"/>
              <w:spacing w:after="0"/>
              <w:rPr>
                <w:sz w:val="20"/>
                <w:szCs w:val="20"/>
                <w:color w:val="auto"/>
              </w:rPr>
            </w:pPr>
            <w:r>
              <w:rPr>
                <w:rFonts w:ascii="Arial" w:cs="Arial" w:eastAsia="Arial" w:hAnsi="Arial"/>
                <w:sz w:val="14"/>
                <w:szCs w:val="14"/>
                <w:b w:val="1"/>
                <w:bCs w:val="1"/>
                <w:color w:val="FFFFFF"/>
              </w:rPr>
              <w:t>Negative</w:t>
            </w:r>
          </w:p>
        </w:tc>
        <w:tc>
          <w:tcPr>
            <w:tcW w:w="960" w:type="dxa"/>
            <w:vAlign w:val="bottom"/>
            <w:shd w:val="clear" w:color="auto" w:fill="434F69"/>
          </w:tcPr>
          <w:p>
            <w:pPr>
              <w:jc w:val="right"/>
              <w:ind w:right="255"/>
              <w:spacing w:after="0"/>
              <w:rPr>
                <w:sz w:val="20"/>
                <w:szCs w:val="20"/>
                <w:color w:val="auto"/>
              </w:rPr>
            </w:pPr>
            <w:r>
              <w:rPr>
                <w:rFonts w:ascii="Arial" w:cs="Arial" w:eastAsia="Arial" w:hAnsi="Arial"/>
                <w:sz w:val="14"/>
                <w:szCs w:val="14"/>
                <w:b w:val="1"/>
                <w:bCs w:val="1"/>
                <w:color w:val="FFFFFF"/>
              </w:rPr>
              <w:t>Final</w:t>
            </w:r>
          </w:p>
        </w:tc>
        <w:tc>
          <w:tcPr>
            <w:tcW w:w="142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2019 Actual Bonus</w:t>
            </w:r>
          </w:p>
        </w:tc>
      </w:tr>
      <w:tr>
        <w:trPr>
          <w:trHeight w:val="192"/>
        </w:trPr>
        <w:tc>
          <w:tcPr>
            <w:tcW w:w="1840" w:type="dxa"/>
            <w:vAlign w:val="bottom"/>
            <w:tcBorders>
              <w:left w:val="single" w:sz="8" w:color="697287"/>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80" w:type="dxa"/>
            <w:vAlign w:val="bottom"/>
            <w:tcBorders>
              <w:bottom w:val="single" w:sz="8" w:color="434F69"/>
            </w:tcBorders>
            <w:shd w:val="clear" w:color="auto" w:fill="434F69"/>
          </w:tcPr>
          <w:p>
            <w:pPr>
              <w:spacing w:after="0"/>
              <w:rPr>
                <w:sz w:val="16"/>
                <w:szCs w:val="16"/>
                <w:color w:val="auto"/>
              </w:rPr>
            </w:pPr>
          </w:p>
        </w:tc>
        <w:tc>
          <w:tcPr>
            <w:tcW w:w="1060" w:type="dxa"/>
            <w:vAlign w:val="bottom"/>
            <w:tcBorders>
              <w:bottom w:val="single" w:sz="8" w:color="434F69"/>
            </w:tcBorders>
            <w:shd w:val="clear" w:color="auto" w:fill="434F69"/>
          </w:tcPr>
          <w:p>
            <w:pPr>
              <w:jc w:val="right"/>
              <w:ind w:right="393"/>
              <w:spacing w:after="0"/>
              <w:rPr>
                <w:sz w:val="20"/>
                <w:szCs w:val="20"/>
                <w:color w:val="auto"/>
              </w:rPr>
            </w:pPr>
            <w:r>
              <w:rPr>
                <w:rFonts w:ascii="Arial" w:cs="Arial" w:eastAsia="Arial" w:hAnsi="Arial"/>
                <w:sz w:val="14"/>
                <w:szCs w:val="14"/>
                <w:b w:val="1"/>
                <w:bCs w:val="1"/>
                <w:color w:val="FFFFFF"/>
              </w:rPr>
              <w:t>Amount</w:t>
            </w:r>
          </w:p>
        </w:tc>
        <w:tc>
          <w:tcPr>
            <w:tcW w:w="1400" w:type="dxa"/>
            <w:vAlign w:val="bottom"/>
            <w:tcBorders>
              <w:bottom w:val="single" w:sz="8" w:color="434F69"/>
            </w:tcBorders>
            <w:shd w:val="clear" w:color="auto" w:fill="434F69"/>
          </w:tcPr>
          <w:p>
            <w:pPr>
              <w:jc w:val="right"/>
              <w:ind w:right="295"/>
              <w:spacing w:after="0"/>
              <w:rPr>
                <w:sz w:val="20"/>
                <w:szCs w:val="20"/>
                <w:color w:val="auto"/>
              </w:rPr>
            </w:pPr>
            <w:r>
              <w:rPr>
                <w:rFonts w:ascii="Arial" w:cs="Arial" w:eastAsia="Arial" w:hAnsi="Arial"/>
                <w:sz w:val="14"/>
                <w:szCs w:val="14"/>
                <w:b w:val="1"/>
                <w:bCs w:val="1"/>
                <w:color w:val="FFFFFF"/>
              </w:rPr>
              <w:t>Payout %</w:t>
            </w:r>
          </w:p>
        </w:tc>
        <w:tc>
          <w:tcPr>
            <w:tcW w:w="1060" w:type="dxa"/>
            <w:vAlign w:val="bottom"/>
            <w:tcBorders>
              <w:bottom w:val="single" w:sz="8" w:color="434F69"/>
            </w:tcBorders>
            <w:shd w:val="clear" w:color="auto" w:fill="434F69"/>
          </w:tcPr>
          <w:p>
            <w:pPr>
              <w:ind w:left="180"/>
              <w:spacing w:after="0"/>
              <w:rPr>
                <w:sz w:val="20"/>
                <w:szCs w:val="20"/>
                <w:color w:val="auto"/>
              </w:rPr>
            </w:pPr>
            <w:r>
              <w:rPr>
                <w:rFonts w:ascii="Arial" w:cs="Arial" w:eastAsia="Arial" w:hAnsi="Arial"/>
                <w:sz w:val="14"/>
                <w:szCs w:val="14"/>
                <w:b w:val="1"/>
                <w:bCs w:val="1"/>
                <w:color w:val="FFFFFF"/>
              </w:rPr>
              <w:t>Adjustment</w:t>
            </w:r>
          </w:p>
        </w:tc>
        <w:tc>
          <w:tcPr>
            <w:tcW w:w="960" w:type="dxa"/>
            <w:vAlign w:val="bottom"/>
            <w:tcBorders>
              <w:bottom w:val="single" w:sz="8" w:color="434F69"/>
            </w:tcBorders>
            <w:shd w:val="clear" w:color="auto" w:fill="434F69"/>
          </w:tcPr>
          <w:p>
            <w:pPr>
              <w:jc w:val="right"/>
              <w:ind w:right="95"/>
              <w:spacing w:after="0"/>
              <w:rPr>
                <w:sz w:val="20"/>
                <w:szCs w:val="20"/>
                <w:color w:val="auto"/>
              </w:rPr>
            </w:pPr>
            <w:r>
              <w:rPr>
                <w:rFonts w:ascii="Arial" w:cs="Arial" w:eastAsia="Arial" w:hAnsi="Arial"/>
                <w:sz w:val="14"/>
                <w:szCs w:val="14"/>
                <w:b w:val="1"/>
                <w:bCs w:val="1"/>
                <w:color w:val="FFFFFF"/>
              </w:rPr>
              <w:t>Payout %</w:t>
            </w:r>
          </w:p>
        </w:tc>
        <w:tc>
          <w:tcPr>
            <w:tcW w:w="1420" w:type="dxa"/>
            <w:vAlign w:val="bottom"/>
            <w:tcBorders>
              <w:bottom w:val="single" w:sz="8" w:color="434F69"/>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Amount</w:t>
            </w:r>
          </w:p>
        </w:tc>
      </w:tr>
      <w:tr>
        <w:trPr>
          <w:trHeight w:val="250"/>
        </w:trPr>
        <w:tc>
          <w:tcPr>
            <w:tcW w:w="18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shd w:val="clear" w:color="auto" w:fill="D9DCE1"/>
          </w:tcPr>
          <w:p>
            <w:pPr>
              <w:jc w:val="right"/>
              <w:ind w:right="233"/>
              <w:spacing w:after="0"/>
              <w:rPr>
                <w:sz w:val="20"/>
                <w:szCs w:val="20"/>
                <w:color w:val="auto"/>
              </w:rPr>
            </w:pPr>
            <w:r>
              <w:rPr>
                <w:rFonts w:ascii="Arial" w:cs="Arial" w:eastAsia="Arial" w:hAnsi="Arial"/>
                <w:sz w:val="18"/>
                <w:szCs w:val="18"/>
                <w:color w:val="auto"/>
                <w:w w:val="89"/>
              </w:rPr>
              <w:t>1,500,000</w:t>
            </w:r>
          </w:p>
        </w:tc>
        <w:tc>
          <w:tcPr>
            <w:tcW w:w="1400" w:type="dxa"/>
            <w:vAlign w:val="bottom"/>
            <w:tcBorders>
              <w:bottom w:val="single" w:sz="8" w:color="434F69"/>
            </w:tcBorders>
            <w:shd w:val="clear" w:color="auto" w:fill="D9DCE1"/>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shd w:val="clear" w:color="auto" w:fill="D9DCE1"/>
          </w:tcPr>
          <w:p>
            <w:pPr>
              <w:ind w:left="420"/>
              <w:spacing w:after="0"/>
              <w:rPr>
                <w:sz w:val="20"/>
                <w:szCs w:val="20"/>
                <w:color w:val="auto"/>
              </w:rPr>
            </w:pPr>
            <w:r>
              <w:rPr>
                <w:rFonts w:ascii="Arial" w:cs="Arial" w:eastAsia="Arial" w:hAnsi="Arial"/>
                <w:sz w:val="18"/>
                <w:szCs w:val="18"/>
                <w:color w:val="BD4F5C"/>
              </w:rPr>
              <w:t>-25%</w:t>
            </w:r>
          </w:p>
        </w:tc>
        <w:tc>
          <w:tcPr>
            <w:tcW w:w="960" w:type="dxa"/>
            <w:vAlign w:val="bottom"/>
            <w:tcBorders>
              <w:bottom w:val="single" w:sz="8" w:color="434F69"/>
            </w:tcBorders>
            <w:shd w:val="clear" w:color="auto" w:fill="D9DCE1"/>
          </w:tcPr>
          <w:p>
            <w:pPr>
              <w:jc w:val="right"/>
              <w:ind w:right="115"/>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88"/>
              </w:rPr>
              <w:t>$ 2,250,000</w:t>
            </w:r>
          </w:p>
        </w:tc>
      </w:tr>
      <w:tr>
        <w:trPr>
          <w:trHeight w:val="250"/>
        </w:trPr>
        <w:tc>
          <w:tcPr>
            <w:tcW w:w="18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tcPr>
          <w:p>
            <w:pPr>
              <w:jc w:val="right"/>
              <w:ind w:right="233"/>
              <w:spacing w:after="0"/>
              <w:rPr>
                <w:sz w:val="20"/>
                <w:szCs w:val="20"/>
                <w:color w:val="auto"/>
              </w:rPr>
            </w:pPr>
            <w:r>
              <w:rPr>
                <w:rFonts w:ascii="Arial" w:cs="Arial" w:eastAsia="Arial" w:hAnsi="Arial"/>
                <w:sz w:val="18"/>
                <w:szCs w:val="18"/>
                <w:color w:val="auto"/>
                <w:w w:val="89"/>
              </w:rPr>
              <w:t>1,000,000</w:t>
            </w:r>
          </w:p>
        </w:tc>
        <w:tc>
          <w:tcPr>
            <w:tcW w:w="1400" w:type="dxa"/>
            <w:vAlign w:val="bottom"/>
            <w:tcBorders>
              <w:bottom w:val="single" w:sz="8" w:color="434F69"/>
            </w:tcBorders>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tcPr>
          <w:p>
            <w:pPr>
              <w:ind w:left="420"/>
              <w:spacing w:after="0"/>
              <w:rPr>
                <w:sz w:val="20"/>
                <w:szCs w:val="20"/>
                <w:color w:val="auto"/>
              </w:rPr>
            </w:pPr>
            <w:r>
              <w:rPr>
                <w:rFonts w:ascii="Arial" w:cs="Arial" w:eastAsia="Arial" w:hAnsi="Arial"/>
                <w:sz w:val="18"/>
                <w:szCs w:val="18"/>
                <w:color w:val="BD4F5C"/>
              </w:rPr>
              <w:t>-25%</w:t>
            </w:r>
          </w:p>
        </w:tc>
        <w:tc>
          <w:tcPr>
            <w:tcW w:w="960" w:type="dxa"/>
            <w:vAlign w:val="bottom"/>
            <w:tcBorders>
              <w:bottom w:val="single" w:sz="8" w:color="434F69"/>
            </w:tcBorders>
          </w:tcPr>
          <w:p>
            <w:pPr>
              <w:jc w:val="right"/>
              <w:ind w:right="115"/>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434F69"/>
              <w:right w:val="single" w:sz="8" w:color="697287"/>
            </w:tcBorders>
          </w:tcPr>
          <w:p>
            <w:pPr>
              <w:jc w:val="center"/>
              <w:spacing w:after="0"/>
              <w:rPr>
                <w:sz w:val="20"/>
                <w:szCs w:val="20"/>
                <w:color w:val="auto"/>
              </w:rPr>
            </w:pPr>
            <w:r>
              <w:rPr>
                <w:rFonts w:ascii="Arial" w:cs="Arial" w:eastAsia="Arial" w:hAnsi="Arial"/>
                <w:sz w:val="18"/>
                <w:szCs w:val="18"/>
                <w:color w:val="auto"/>
                <w:w w:val="88"/>
              </w:rPr>
              <w:t>$ 1,500,000</w:t>
            </w:r>
          </w:p>
        </w:tc>
      </w:tr>
      <w:tr>
        <w:trPr>
          <w:trHeight w:val="250"/>
        </w:trPr>
        <w:tc>
          <w:tcPr>
            <w:tcW w:w="18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shd w:val="clear" w:color="auto" w:fill="D9DCE1"/>
          </w:tcPr>
          <w:p>
            <w:pPr>
              <w:jc w:val="right"/>
              <w:ind w:right="233"/>
              <w:spacing w:after="0"/>
              <w:rPr>
                <w:sz w:val="20"/>
                <w:szCs w:val="20"/>
                <w:color w:val="auto"/>
              </w:rPr>
            </w:pPr>
            <w:r>
              <w:rPr>
                <w:rFonts w:ascii="Arial" w:cs="Arial" w:eastAsia="Arial" w:hAnsi="Arial"/>
                <w:sz w:val="18"/>
                <w:szCs w:val="18"/>
                <w:color w:val="auto"/>
              </w:rPr>
              <w:t>800,000</w:t>
            </w:r>
          </w:p>
        </w:tc>
        <w:tc>
          <w:tcPr>
            <w:tcW w:w="1400" w:type="dxa"/>
            <w:vAlign w:val="bottom"/>
            <w:tcBorders>
              <w:bottom w:val="single" w:sz="8" w:color="434F69"/>
            </w:tcBorders>
            <w:shd w:val="clear" w:color="auto" w:fill="D9DCE1"/>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shd w:val="clear" w:color="auto" w:fill="D9DCE1"/>
          </w:tcPr>
          <w:p>
            <w:pPr>
              <w:ind w:left="420"/>
              <w:spacing w:after="0"/>
              <w:rPr>
                <w:sz w:val="20"/>
                <w:szCs w:val="20"/>
                <w:color w:val="auto"/>
              </w:rPr>
            </w:pPr>
            <w:r>
              <w:rPr>
                <w:rFonts w:ascii="Arial" w:cs="Arial" w:eastAsia="Arial" w:hAnsi="Arial"/>
                <w:sz w:val="18"/>
                <w:szCs w:val="18"/>
                <w:color w:val="BD4F5C"/>
              </w:rPr>
              <w:t>-25%</w:t>
            </w:r>
          </w:p>
        </w:tc>
        <w:tc>
          <w:tcPr>
            <w:tcW w:w="960" w:type="dxa"/>
            <w:vAlign w:val="bottom"/>
            <w:tcBorders>
              <w:bottom w:val="single" w:sz="8" w:color="434F69"/>
            </w:tcBorders>
            <w:shd w:val="clear" w:color="auto" w:fill="D9DCE1"/>
          </w:tcPr>
          <w:p>
            <w:pPr>
              <w:jc w:val="right"/>
              <w:ind w:right="115"/>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88"/>
              </w:rPr>
              <w:t>$ 1,200,000</w:t>
            </w:r>
          </w:p>
        </w:tc>
      </w:tr>
      <w:tr>
        <w:trPr>
          <w:trHeight w:val="250"/>
        </w:trPr>
        <w:tc>
          <w:tcPr>
            <w:tcW w:w="18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tcPr>
          <w:p>
            <w:pPr>
              <w:jc w:val="right"/>
              <w:ind w:right="233"/>
              <w:spacing w:after="0"/>
              <w:rPr>
                <w:sz w:val="20"/>
                <w:szCs w:val="20"/>
                <w:color w:val="auto"/>
              </w:rPr>
            </w:pPr>
            <w:r>
              <w:rPr>
                <w:rFonts w:ascii="Arial" w:cs="Arial" w:eastAsia="Arial" w:hAnsi="Arial"/>
                <w:sz w:val="18"/>
                <w:szCs w:val="18"/>
                <w:color w:val="auto"/>
              </w:rPr>
              <w:t>800,000</w:t>
            </w:r>
          </w:p>
        </w:tc>
        <w:tc>
          <w:tcPr>
            <w:tcW w:w="1400" w:type="dxa"/>
            <w:vAlign w:val="bottom"/>
            <w:tcBorders>
              <w:bottom w:val="single" w:sz="8" w:color="434F69"/>
            </w:tcBorders>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tcPr>
          <w:p>
            <w:pPr>
              <w:ind w:left="420"/>
              <w:spacing w:after="0"/>
              <w:rPr>
                <w:sz w:val="20"/>
                <w:szCs w:val="20"/>
                <w:color w:val="auto"/>
              </w:rPr>
            </w:pPr>
            <w:r>
              <w:rPr>
                <w:rFonts w:ascii="Arial" w:cs="Arial" w:eastAsia="Arial" w:hAnsi="Arial"/>
                <w:sz w:val="18"/>
                <w:szCs w:val="18"/>
                <w:color w:val="BD4F5C"/>
              </w:rPr>
              <w:t>-25%</w:t>
            </w:r>
          </w:p>
        </w:tc>
        <w:tc>
          <w:tcPr>
            <w:tcW w:w="960" w:type="dxa"/>
            <w:vAlign w:val="bottom"/>
            <w:tcBorders>
              <w:bottom w:val="single" w:sz="8" w:color="434F69"/>
            </w:tcBorders>
          </w:tcPr>
          <w:p>
            <w:pPr>
              <w:jc w:val="right"/>
              <w:ind w:right="115"/>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434F69"/>
              <w:right w:val="single" w:sz="8" w:color="697287"/>
            </w:tcBorders>
          </w:tcPr>
          <w:p>
            <w:pPr>
              <w:jc w:val="center"/>
              <w:spacing w:after="0"/>
              <w:rPr>
                <w:sz w:val="20"/>
                <w:szCs w:val="20"/>
                <w:color w:val="auto"/>
              </w:rPr>
            </w:pPr>
            <w:r>
              <w:rPr>
                <w:rFonts w:ascii="Arial" w:cs="Arial" w:eastAsia="Arial" w:hAnsi="Arial"/>
                <w:sz w:val="18"/>
                <w:szCs w:val="18"/>
                <w:color w:val="auto"/>
                <w:w w:val="88"/>
              </w:rPr>
              <w:t>$ 1,200,000</w:t>
            </w:r>
          </w:p>
        </w:tc>
      </w:tr>
      <w:tr>
        <w:trPr>
          <w:trHeight w:val="250"/>
        </w:trPr>
        <w:tc>
          <w:tcPr>
            <w:tcW w:w="18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shd w:val="clear" w:color="auto" w:fill="D9DCE1"/>
          </w:tcPr>
          <w:p>
            <w:pPr>
              <w:jc w:val="right"/>
              <w:ind w:right="233"/>
              <w:spacing w:after="0"/>
              <w:rPr>
                <w:sz w:val="20"/>
                <w:szCs w:val="20"/>
                <w:color w:val="auto"/>
              </w:rPr>
            </w:pPr>
            <w:r>
              <w:rPr>
                <w:rFonts w:ascii="Arial" w:cs="Arial" w:eastAsia="Arial" w:hAnsi="Arial"/>
                <w:sz w:val="18"/>
                <w:szCs w:val="18"/>
                <w:color w:val="auto"/>
              </w:rPr>
              <w:t>800,000</w:t>
            </w:r>
          </w:p>
        </w:tc>
        <w:tc>
          <w:tcPr>
            <w:tcW w:w="1400" w:type="dxa"/>
            <w:vAlign w:val="bottom"/>
            <w:tcBorders>
              <w:bottom w:val="single" w:sz="8" w:color="434F69"/>
            </w:tcBorders>
            <w:shd w:val="clear" w:color="auto" w:fill="D9DCE1"/>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shd w:val="clear" w:color="auto" w:fill="D9DCE1"/>
          </w:tcPr>
          <w:p>
            <w:pPr>
              <w:ind w:left="4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434F69"/>
            </w:tcBorders>
            <w:shd w:val="clear" w:color="auto" w:fill="D9DCE1"/>
          </w:tcPr>
          <w:p>
            <w:pPr>
              <w:jc w:val="right"/>
              <w:ind w:right="115"/>
              <w:spacing w:after="0"/>
              <w:rPr>
                <w:sz w:val="20"/>
                <w:szCs w:val="20"/>
                <w:color w:val="auto"/>
              </w:rPr>
            </w:pPr>
            <w:r>
              <w:rPr>
                <w:rFonts w:ascii="Arial" w:cs="Arial" w:eastAsia="Arial" w:hAnsi="Arial"/>
                <w:sz w:val="18"/>
                <w:szCs w:val="18"/>
                <w:color w:val="auto"/>
              </w:rPr>
              <w:t>175%</w:t>
            </w:r>
          </w:p>
        </w:tc>
        <w:tc>
          <w:tcPr>
            <w:tcW w:w="142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88"/>
              </w:rPr>
              <w:t>$ 1,400,000</w:t>
            </w:r>
          </w:p>
        </w:tc>
      </w:tr>
      <w:tr>
        <w:trPr>
          <w:trHeight w:val="250"/>
        </w:trPr>
        <w:tc>
          <w:tcPr>
            <w:tcW w:w="1840" w:type="dxa"/>
            <w:vAlign w:val="bottom"/>
            <w:tcBorders>
              <w:left w:val="single" w:sz="8" w:color="697287"/>
              <w:bottom w:val="single" w:sz="8" w:color="697287"/>
            </w:tcBorders>
          </w:tcPr>
          <w:p>
            <w:pPr>
              <w:ind w:left="60"/>
              <w:spacing w:after="0"/>
              <w:rPr>
                <w:sz w:val="20"/>
                <w:szCs w:val="20"/>
                <w:color w:val="auto"/>
              </w:rPr>
            </w:pPr>
            <w:r>
              <w:rPr>
                <w:rFonts w:ascii="Arial" w:cs="Arial" w:eastAsia="Arial" w:hAnsi="Arial"/>
                <w:sz w:val="18"/>
                <w:szCs w:val="18"/>
                <w:color w:val="auto"/>
              </w:rPr>
              <w:t>Jeremy Goebel</w:t>
            </w:r>
          </w:p>
        </w:tc>
        <w:tc>
          <w:tcPr>
            <w:tcW w:w="480" w:type="dxa"/>
            <w:vAlign w:val="bottom"/>
            <w:tcBorders>
              <w:bottom w:val="single" w:sz="8" w:color="697287"/>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697287"/>
            </w:tcBorders>
          </w:tcPr>
          <w:p>
            <w:pPr>
              <w:jc w:val="right"/>
              <w:ind w:right="233"/>
              <w:spacing w:after="0"/>
              <w:rPr>
                <w:sz w:val="20"/>
                <w:szCs w:val="20"/>
                <w:color w:val="auto"/>
              </w:rPr>
            </w:pPr>
            <w:r>
              <w:rPr>
                <w:rFonts w:ascii="Arial" w:cs="Arial" w:eastAsia="Arial" w:hAnsi="Arial"/>
                <w:sz w:val="18"/>
                <w:szCs w:val="18"/>
                <w:color w:val="auto"/>
              </w:rPr>
              <w:t>800,000</w:t>
            </w:r>
          </w:p>
        </w:tc>
        <w:tc>
          <w:tcPr>
            <w:tcW w:w="1400" w:type="dxa"/>
            <w:vAlign w:val="bottom"/>
            <w:tcBorders>
              <w:bottom w:val="single" w:sz="8" w:color="697287"/>
            </w:tcBorders>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697287"/>
            </w:tcBorders>
          </w:tcPr>
          <w:p>
            <w:pPr>
              <w:ind w:left="4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697287"/>
            </w:tcBorders>
          </w:tcPr>
          <w:p>
            <w:pPr>
              <w:jc w:val="right"/>
              <w:ind w:right="115"/>
              <w:spacing w:after="0"/>
              <w:rPr>
                <w:sz w:val="20"/>
                <w:szCs w:val="20"/>
                <w:color w:val="auto"/>
              </w:rPr>
            </w:pPr>
            <w:r>
              <w:rPr>
                <w:rFonts w:ascii="Arial" w:cs="Arial" w:eastAsia="Arial" w:hAnsi="Arial"/>
                <w:sz w:val="18"/>
                <w:szCs w:val="18"/>
                <w:color w:val="auto"/>
              </w:rPr>
              <w:t>175%</w:t>
            </w:r>
          </w:p>
        </w:tc>
        <w:tc>
          <w:tcPr>
            <w:tcW w:w="1420" w:type="dxa"/>
            <w:vAlign w:val="bottom"/>
            <w:tcBorders>
              <w:bottom w:val="single" w:sz="8" w:color="697287"/>
              <w:right w:val="single" w:sz="8" w:color="697287"/>
            </w:tcBorders>
          </w:tcPr>
          <w:p>
            <w:pPr>
              <w:jc w:val="center"/>
              <w:spacing w:after="0"/>
              <w:rPr>
                <w:sz w:val="20"/>
                <w:szCs w:val="20"/>
                <w:color w:val="auto"/>
              </w:rPr>
            </w:pPr>
            <w:r>
              <w:rPr>
                <w:rFonts w:ascii="Arial" w:cs="Arial" w:eastAsia="Arial" w:hAnsi="Arial"/>
                <w:sz w:val="18"/>
                <w:szCs w:val="18"/>
                <w:color w:val="auto"/>
                <w:w w:val="88"/>
              </w:rPr>
              <w:t>$ 1,400,000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annual LTIP targets for the Named Executive Officers, expressed 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 percentage of base salary, and the value of the 2019 annual LTIP awards to the Named Executive Officers are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set forth in the table below:</w:t>
      </w:r>
    </w:p>
    <w:p>
      <w:pPr>
        <w:spacing w:after="0" w:line="169"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480" w:type="dxa"/>
            <w:vAlign w:val="bottom"/>
            <w:tcBorders>
              <w:left w:val="single" w:sz="8" w:color="697287"/>
              <w:right w:val="single" w:sz="8" w:color="434F69"/>
            </w:tcBorders>
            <w:shd w:val="clear" w:color="auto" w:fill="434F69"/>
          </w:tcPr>
          <w:p>
            <w:pPr>
              <w:spacing w:after="0"/>
              <w:rPr>
                <w:sz w:val="20"/>
                <w:szCs w:val="20"/>
                <w:color w:val="auto"/>
              </w:rPr>
            </w:pP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Annual LTIP</w:t>
            </w:r>
          </w:p>
        </w:tc>
        <w:tc>
          <w:tcPr>
            <w:tcW w:w="1020" w:type="dxa"/>
            <w:vAlign w:val="bottom"/>
            <w:tcBorders>
              <w:right w:val="single" w:sz="8" w:color="434F69"/>
            </w:tcBorders>
            <w:shd w:val="clear" w:color="auto" w:fill="434F69"/>
          </w:tcPr>
          <w:p>
            <w:pPr>
              <w:spacing w:after="0"/>
              <w:rPr>
                <w:sz w:val="20"/>
                <w:szCs w:val="20"/>
                <w:color w:val="auto"/>
              </w:rPr>
            </w:pPr>
          </w:p>
        </w:tc>
        <w:tc>
          <w:tcPr>
            <w:tcW w:w="1140" w:type="dxa"/>
            <w:vAlign w:val="bottom"/>
            <w:tcBorders>
              <w:right w:val="single" w:sz="8" w:color="434F69"/>
            </w:tcBorders>
            <w:shd w:val="clear" w:color="auto" w:fill="434F69"/>
          </w:tcPr>
          <w:p>
            <w:pPr>
              <w:spacing w:after="0"/>
              <w:rPr>
                <w:sz w:val="20"/>
                <w:szCs w:val="20"/>
                <w:color w:val="auto"/>
              </w:rPr>
            </w:pPr>
          </w:p>
        </w:tc>
        <w:tc>
          <w:tcPr>
            <w:tcW w:w="1180" w:type="dxa"/>
            <w:vAlign w:val="bottom"/>
            <w:tcBorders>
              <w:right w:val="single" w:sz="8" w:color="434F69"/>
            </w:tcBorders>
            <w:shd w:val="clear" w:color="auto" w:fill="434F69"/>
          </w:tcPr>
          <w:p>
            <w:pPr>
              <w:spacing w:after="0"/>
              <w:rPr>
                <w:sz w:val="20"/>
                <w:szCs w:val="20"/>
                <w:color w:val="auto"/>
              </w:rPr>
            </w:pPr>
          </w:p>
        </w:tc>
        <w:tc>
          <w:tcPr>
            <w:tcW w:w="1200" w:type="dxa"/>
            <w:vAlign w:val="bottom"/>
            <w:tcBorders>
              <w:right w:val="single" w:sz="8" w:color="697287"/>
            </w:tcBorders>
            <w:shd w:val="clear" w:color="auto" w:fill="434F6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697287"/>
              <w:right w:val="single" w:sz="8" w:color="434F69"/>
            </w:tcBorders>
            <w:shd w:val="clear" w:color="auto" w:fill="434F69"/>
          </w:tcPr>
          <w:p>
            <w:pPr>
              <w:spacing w:after="0"/>
              <w:rPr>
                <w:sz w:val="14"/>
                <w:szCs w:val="14"/>
                <w:color w:val="auto"/>
              </w:rPr>
            </w:pP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Award Target</w:t>
            </w:r>
          </w:p>
        </w:tc>
        <w:tc>
          <w:tcPr>
            <w:tcW w:w="1020" w:type="dxa"/>
            <w:vAlign w:val="bottom"/>
            <w:tcBorders>
              <w:right w:val="single" w:sz="8" w:color="434F69"/>
            </w:tcBorders>
            <w:shd w:val="clear" w:color="auto" w:fill="434F69"/>
          </w:tcPr>
          <w:p>
            <w:pPr>
              <w:spacing w:after="0"/>
              <w:rPr>
                <w:sz w:val="14"/>
                <w:szCs w:val="14"/>
                <w:color w:val="auto"/>
              </w:rPr>
            </w:pPr>
          </w:p>
        </w:tc>
        <w:tc>
          <w:tcPr>
            <w:tcW w:w="114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2019 Annual</w:t>
            </w:r>
          </w:p>
        </w:tc>
        <w:tc>
          <w:tcPr>
            <w:tcW w:w="1180" w:type="dxa"/>
            <w:vAlign w:val="bottom"/>
            <w:tcBorders>
              <w:right w:val="single" w:sz="8" w:color="434F69"/>
            </w:tcBorders>
            <w:shd w:val="clear" w:color="auto" w:fill="434F69"/>
          </w:tcPr>
          <w:p>
            <w:pPr>
              <w:spacing w:after="0"/>
              <w:rPr>
                <w:sz w:val="14"/>
                <w:szCs w:val="14"/>
                <w:color w:val="auto"/>
              </w:rPr>
            </w:pPr>
          </w:p>
        </w:tc>
        <w:tc>
          <w:tcPr>
            <w:tcW w:w="1200" w:type="dxa"/>
            <w:vAlign w:val="bottom"/>
            <w:tcBorders>
              <w:right w:val="single" w:sz="8" w:color="697287"/>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697287"/>
              <w:right w:val="single" w:sz="8" w:color="434F69"/>
            </w:tcBorders>
            <w:shd w:val="clear" w:color="auto" w:fill="434F69"/>
          </w:tcPr>
          <w:p>
            <w:pPr>
              <w:spacing w:after="0"/>
              <w:rPr>
                <w:sz w:val="12"/>
                <w:szCs w:val="12"/>
                <w:color w:val="auto"/>
              </w:rPr>
            </w:pPr>
          </w:p>
        </w:tc>
        <w:tc>
          <w:tcPr>
            <w:tcW w:w="120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0"/>
              </w:rPr>
              <w:t>Value</w:t>
            </w:r>
          </w:p>
        </w:tc>
        <w:tc>
          <w:tcPr>
            <w:tcW w:w="1020" w:type="dxa"/>
            <w:vAlign w:val="bottom"/>
            <w:tcBorders>
              <w:right w:val="single" w:sz="8" w:color="434F69"/>
            </w:tcBorders>
            <w:shd w:val="clear" w:color="auto" w:fill="434F69"/>
          </w:tcPr>
          <w:p>
            <w:pPr>
              <w:ind w:left="100"/>
              <w:spacing w:after="0" w:line="149" w:lineRule="exact"/>
              <w:rPr>
                <w:sz w:val="20"/>
                <w:szCs w:val="20"/>
                <w:color w:val="auto"/>
              </w:rPr>
            </w:pPr>
            <w:r>
              <w:rPr>
                <w:rFonts w:ascii="Arial" w:cs="Arial" w:eastAsia="Arial" w:hAnsi="Arial"/>
                <w:sz w:val="14"/>
                <w:szCs w:val="14"/>
                <w:b w:val="1"/>
                <w:bCs w:val="1"/>
                <w:color w:val="FFFFFF"/>
              </w:rPr>
              <w:t>2019 Annual</w:t>
            </w:r>
          </w:p>
        </w:tc>
        <w:tc>
          <w:tcPr>
            <w:tcW w:w="1140" w:type="dxa"/>
            <w:vAlign w:val="bottom"/>
            <w:tcBorders>
              <w:right w:val="single" w:sz="8" w:color="434F69"/>
            </w:tcBorders>
            <w:vMerge w:val="continue"/>
            <w:shd w:val="clear" w:color="auto" w:fill="434F69"/>
          </w:tcPr>
          <w:p>
            <w:pPr>
              <w:spacing w:after="0"/>
              <w:rPr>
                <w:sz w:val="12"/>
                <w:szCs w:val="12"/>
                <w:color w:val="auto"/>
              </w:rPr>
            </w:pPr>
          </w:p>
        </w:tc>
        <w:tc>
          <w:tcPr>
            <w:tcW w:w="118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1"/>
              </w:rPr>
              <w:t>Time-Vested</w:t>
            </w:r>
          </w:p>
        </w:tc>
        <w:tc>
          <w:tcPr>
            <w:tcW w:w="1200" w:type="dxa"/>
            <w:vAlign w:val="bottom"/>
            <w:tcBorders>
              <w:right w:val="single" w:sz="8" w:color="697287"/>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3"/>
              </w:rPr>
              <w:t>Performance-</w:t>
            </w:r>
          </w:p>
        </w:tc>
        <w:tc>
          <w:tcPr>
            <w:tcW w:w="0" w:type="dxa"/>
            <w:vAlign w:val="bottom"/>
          </w:tcPr>
          <w:p>
            <w:pPr>
              <w:spacing w:after="0"/>
              <w:rPr>
                <w:sz w:val="1"/>
                <w:szCs w:val="1"/>
                <w:color w:val="auto"/>
              </w:rPr>
            </w:pPr>
          </w:p>
        </w:tc>
      </w:tr>
      <w:tr>
        <w:trPr>
          <w:trHeight w:val="158"/>
        </w:trPr>
        <w:tc>
          <w:tcPr>
            <w:tcW w:w="2480" w:type="dxa"/>
            <w:vAlign w:val="bottom"/>
            <w:tcBorders>
              <w:left w:val="single" w:sz="8" w:color="697287"/>
              <w:right w:val="single" w:sz="8" w:color="434F69"/>
            </w:tcBorders>
            <w:shd w:val="clear" w:color="auto" w:fill="434F69"/>
          </w:tcPr>
          <w:p>
            <w:pPr>
              <w:spacing w:after="0"/>
              <w:rPr>
                <w:sz w:val="13"/>
                <w:szCs w:val="13"/>
                <w:color w:val="auto"/>
              </w:rPr>
            </w:pPr>
          </w:p>
        </w:tc>
        <w:tc>
          <w:tcPr>
            <w:tcW w:w="12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(as a percentage</w:t>
            </w:r>
          </w:p>
        </w:tc>
        <w:tc>
          <w:tcPr>
            <w:tcW w:w="1020" w:type="dxa"/>
            <w:vAlign w:val="bottom"/>
            <w:tcBorders>
              <w:right w:val="single" w:sz="8" w:color="434F69"/>
            </w:tcBorders>
            <w:shd w:val="clear" w:color="auto" w:fill="434F69"/>
          </w:tcPr>
          <w:p>
            <w:pPr>
              <w:ind w:left="80"/>
              <w:spacing w:after="0" w:line="158" w:lineRule="exact"/>
              <w:rPr>
                <w:sz w:val="20"/>
                <w:szCs w:val="20"/>
                <w:color w:val="auto"/>
              </w:rPr>
            </w:pPr>
            <w:r>
              <w:rPr>
                <w:rFonts w:ascii="Arial" w:cs="Arial" w:eastAsia="Arial" w:hAnsi="Arial"/>
                <w:sz w:val="14"/>
                <w:szCs w:val="14"/>
                <w:b w:val="1"/>
                <w:bCs w:val="1"/>
                <w:color w:val="FFFFFF"/>
              </w:rPr>
              <w:t>LTIP Award</w:t>
            </w:r>
          </w:p>
        </w:tc>
        <w:tc>
          <w:tcPr>
            <w:tcW w:w="11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3"/>
              </w:rPr>
              <w:t>Phantom Units</w:t>
            </w:r>
          </w:p>
        </w:tc>
        <w:tc>
          <w:tcPr>
            <w:tcW w:w="11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3"/>
              </w:rPr>
              <w:t>Phantom Units</w:t>
            </w:r>
          </w:p>
        </w:tc>
        <w:tc>
          <w:tcPr>
            <w:tcW w:w="1200" w:type="dxa"/>
            <w:vAlign w:val="bottom"/>
            <w:tcBorders>
              <w:right w:val="single" w:sz="8" w:color="697287"/>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1"/>
              </w:rPr>
              <w:t>Vested Phantom</w:t>
            </w:r>
          </w:p>
        </w:tc>
        <w:tc>
          <w:tcPr>
            <w:tcW w:w="0" w:type="dxa"/>
            <w:vAlign w:val="bottom"/>
          </w:tcPr>
          <w:p>
            <w:pPr>
              <w:spacing w:after="0"/>
              <w:rPr>
                <w:sz w:val="1"/>
                <w:szCs w:val="1"/>
                <w:color w:val="auto"/>
              </w:rPr>
            </w:pPr>
          </w:p>
        </w:tc>
      </w:tr>
      <w:tr>
        <w:trPr>
          <w:trHeight w:val="229"/>
        </w:trPr>
        <w:tc>
          <w:tcPr>
            <w:tcW w:w="2480" w:type="dxa"/>
            <w:vAlign w:val="bottom"/>
            <w:tcBorders>
              <w:left w:val="single" w:sz="8" w:color="697287"/>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2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of base salary)</w:t>
            </w:r>
          </w:p>
        </w:tc>
        <w:tc>
          <w:tcPr>
            <w:tcW w:w="1020" w:type="dxa"/>
            <w:vAlign w:val="bottom"/>
            <w:tcBorders>
              <w:bottom w:val="single" w:sz="8" w:color="434F69"/>
              <w:right w:val="single" w:sz="8" w:color="434F69"/>
            </w:tcBorders>
            <w:shd w:val="clear" w:color="auto" w:fill="434F69"/>
          </w:tcPr>
          <w:p>
            <w:pPr>
              <w:ind w:left="320"/>
              <w:spacing w:after="0"/>
              <w:rPr>
                <w:sz w:val="20"/>
                <w:szCs w:val="20"/>
                <w:color w:val="auto"/>
              </w:rPr>
            </w:pPr>
            <w:r>
              <w:rPr>
                <w:rFonts w:ascii="Arial" w:cs="Arial" w:eastAsia="Arial" w:hAnsi="Arial"/>
                <w:sz w:val="14"/>
                <w:szCs w:val="14"/>
                <w:b w:val="1"/>
                <w:bCs w:val="1"/>
                <w:color w:val="FFFFFF"/>
              </w:rPr>
              <w:t>Value</w:t>
            </w:r>
          </w:p>
        </w:tc>
        <w:tc>
          <w:tcPr>
            <w:tcW w:w="1140" w:type="dxa"/>
            <w:vAlign w:val="bottom"/>
            <w:tcBorders>
              <w:bottom w:val="single" w:sz="8" w:color="434F69"/>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90"/>
              </w:rPr>
              <w:t>Granted</w:t>
            </w:r>
            <w:r>
              <w:rPr>
                <w:rFonts w:ascii="Arial" w:cs="Arial" w:eastAsia="Arial" w:hAnsi="Arial"/>
                <w:sz w:val="21"/>
                <w:szCs w:val="21"/>
                <w:b w:val="1"/>
                <w:bCs w:val="1"/>
                <w:color w:val="FFFFFF"/>
                <w:w w:val="90"/>
                <w:vertAlign w:val="superscript"/>
              </w:rPr>
              <w:t>(1)</w:t>
            </w:r>
          </w:p>
        </w:tc>
        <w:tc>
          <w:tcPr>
            <w:tcW w:w="11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(50%)</w:t>
            </w:r>
          </w:p>
        </w:tc>
        <w:tc>
          <w:tcPr>
            <w:tcW w:w="1200" w:type="dxa"/>
            <w:vAlign w:val="bottom"/>
            <w:tcBorders>
              <w:bottom w:val="single" w:sz="8" w:color="434F69"/>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Units (50%)</w:t>
            </w:r>
          </w:p>
        </w:tc>
        <w:tc>
          <w:tcPr>
            <w:tcW w:w="0" w:type="dxa"/>
            <w:vAlign w:val="bottom"/>
          </w:tcPr>
          <w:p>
            <w:pPr>
              <w:spacing w:after="0"/>
              <w:rPr>
                <w:sz w:val="1"/>
                <w:szCs w:val="1"/>
                <w:color w:val="auto"/>
              </w:rPr>
            </w:pPr>
          </w:p>
        </w:tc>
      </w:tr>
      <w:tr>
        <w:trPr>
          <w:trHeight w:val="244"/>
        </w:trPr>
        <w:tc>
          <w:tcPr>
            <w:tcW w:w="24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20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500%</w:t>
            </w:r>
          </w:p>
        </w:tc>
        <w:tc>
          <w:tcPr>
            <w:tcW w:w="10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97"/>
              </w:rPr>
              <w:t>$3,000,000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125,740</w:t>
            </w:r>
          </w:p>
        </w:tc>
        <w:tc>
          <w:tcPr>
            <w:tcW w:w="11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0"/>
              </w:rPr>
              <w:t>62,870</w:t>
            </w:r>
          </w:p>
        </w:tc>
        <w:tc>
          <w:tcPr>
            <w:tcW w:w="120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90"/>
              </w:rPr>
              <w:t>62,870</w:t>
            </w:r>
          </w:p>
        </w:tc>
        <w:tc>
          <w:tcPr>
            <w:tcW w:w="0" w:type="dxa"/>
            <w:vAlign w:val="bottom"/>
          </w:tcPr>
          <w:p>
            <w:pPr>
              <w:spacing w:after="0"/>
              <w:rPr>
                <w:sz w:val="1"/>
                <w:szCs w:val="1"/>
                <w:color w:val="auto"/>
              </w:rPr>
            </w:pPr>
          </w:p>
        </w:tc>
      </w:tr>
      <w:tr>
        <w:trPr>
          <w:trHeight w:val="270"/>
        </w:trPr>
        <w:tc>
          <w:tcPr>
            <w:tcW w:w="24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20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500%</w:t>
            </w:r>
          </w:p>
        </w:tc>
        <w:tc>
          <w:tcPr>
            <w:tcW w:w="1020" w:type="dxa"/>
            <w:vAlign w:val="bottom"/>
            <w:tcBorders>
              <w:bottom w:val="single" w:sz="8" w:color="434F69"/>
              <w:right w:val="single" w:sz="8" w:color="434F69"/>
            </w:tcBorders>
          </w:tcPr>
          <w:p>
            <w:pPr>
              <w:ind w:left="580"/>
              <w:spacing w:after="0" w:line="270" w:lineRule="exact"/>
              <w:rPr>
                <w:sz w:val="20"/>
                <w:szCs w:val="20"/>
                <w:color w:val="auto"/>
              </w:rPr>
            </w:pPr>
            <w:r>
              <w:rPr>
                <w:rFonts w:ascii="Arial" w:cs="Arial" w:eastAsia="Arial" w:hAnsi="Arial"/>
                <w:sz w:val="18"/>
                <w:szCs w:val="18"/>
                <w:color w:val="auto"/>
                <w:w w:val="86"/>
              </w:rPr>
              <w:t>n/a</w:t>
            </w:r>
            <w:r>
              <w:rPr>
                <w:rFonts w:ascii="Arial" w:cs="Arial" w:eastAsia="Arial" w:hAnsi="Arial"/>
                <w:sz w:val="26"/>
                <w:szCs w:val="26"/>
                <w:color w:val="auto"/>
                <w:w w:val="86"/>
                <w:vertAlign w:val="superscript"/>
              </w:rPr>
              <w:t>(2)</w:t>
            </w:r>
          </w:p>
        </w:tc>
        <w:tc>
          <w:tcPr>
            <w:tcW w:w="1140" w:type="dxa"/>
            <w:vAlign w:val="bottom"/>
            <w:tcBorders>
              <w:bottom w:val="single" w:sz="8" w:color="434F69"/>
              <w:right w:val="single" w:sz="8" w:color="434F69"/>
            </w:tcBorders>
          </w:tcPr>
          <w:p>
            <w:pPr>
              <w:jc w:val="right"/>
              <w:ind w:right="156"/>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180" w:type="dxa"/>
            <w:vAlign w:val="bottom"/>
            <w:tcBorders>
              <w:bottom w:val="single" w:sz="8" w:color="434F69"/>
              <w:right w:val="single" w:sz="8" w:color="434F69"/>
            </w:tcBorders>
          </w:tcPr>
          <w:p>
            <w:pPr>
              <w:ind w:left="50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200" w:type="dxa"/>
            <w:vAlign w:val="bottom"/>
            <w:tcBorders>
              <w:bottom w:val="single" w:sz="8" w:color="434F69"/>
              <w:right w:val="single" w:sz="8" w:color="697287"/>
            </w:tcBorders>
          </w:tcPr>
          <w:p>
            <w:pPr>
              <w:ind w:left="52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44"/>
        </w:trPr>
        <w:tc>
          <w:tcPr>
            <w:tcW w:w="24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20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97"/>
              </w:rPr>
              <w:t>$1,200,000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50,300</w:t>
            </w:r>
          </w:p>
        </w:tc>
        <w:tc>
          <w:tcPr>
            <w:tcW w:w="11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0"/>
              </w:rPr>
              <w:t>25,150</w:t>
            </w:r>
          </w:p>
        </w:tc>
        <w:tc>
          <w:tcPr>
            <w:tcW w:w="120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90"/>
              </w:rPr>
              <w:t>25,150</w:t>
            </w:r>
          </w:p>
        </w:tc>
        <w:tc>
          <w:tcPr>
            <w:tcW w:w="0" w:type="dxa"/>
            <w:vAlign w:val="bottom"/>
          </w:tcPr>
          <w:p>
            <w:pPr>
              <w:spacing w:after="0"/>
              <w:rPr>
                <w:sz w:val="1"/>
                <w:szCs w:val="1"/>
                <w:color w:val="auto"/>
              </w:rPr>
            </w:pPr>
          </w:p>
        </w:tc>
      </w:tr>
      <w:tr>
        <w:trPr>
          <w:trHeight w:val="250"/>
        </w:trPr>
        <w:tc>
          <w:tcPr>
            <w:tcW w:w="24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20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w w:val="97"/>
              </w:rPr>
              <w:t>$1,200,000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50,300</w:t>
            </w:r>
          </w:p>
        </w:tc>
        <w:tc>
          <w:tcPr>
            <w:tcW w:w="11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25,150</w:t>
            </w:r>
          </w:p>
        </w:tc>
        <w:tc>
          <w:tcPr>
            <w:tcW w:w="1200" w:type="dxa"/>
            <w:vAlign w:val="bottom"/>
            <w:tcBorders>
              <w:bottom w:val="single" w:sz="8" w:color="434F69"/>
              <w:right w:val="single" w:sz="8" w:color="697287"/>
            </w:tcBorders>
          </w:tcPr>
          <w:p>
            <w:pPr>
              <w:jc w:val="center"/>
              <w:spacing w:after="0"/>
              <w:rPr>
                <w:sz w:val="20"/>
                <w:szCs w:val="20"/>
                <w:color w:val="auto"/>
              </w:rPr>
            </w:pPr>
            <w:r>
              <w:rPr>
                <w:rFonts w:ascii="Arial" w:cs="Arial" w:eastAsia="Arial" w:hAnsi="Arial"/>
                <w:sz w:val="18"/>
                <w:szCs w:val="18"/>
                <w:color w:val="auto"/>
                <w:w w:val="90"/>
              </w:rPr>
              <w:t>25,150</w:t>
            </w:r>
          </w:p>
        </w:tc>
        <w:tc>
          <w:tcPr>
            <w:tcW w:w="0" w:type="dxa"/>
            <w:vAlign w:val="bottom"/>
          </w:tcPr>
          <w:p>
            <w:pPr>
              <w:spacing w:after="0"/>
              <w:rPr>
                <w:sz w:val="1"/>
                <w:szCs w:val="1"/>
                <w:color w:val="auto"/>
              </w:rPr>
            </w:pPr>
          </w:p>
        </w:tc>
      </w:tr>
      <w:tr>
        <w:trPr>
          <w:trHeight w:val="250"/>
        </w:trPr>
        <w:tc>
          <w:tcPr>
            <w:tcW w:w="24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20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97"/>
              </w:rPr>
              <w:t>$1,200,000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50,300</w:t>
            </w:r>
          </w:p>
        </w:tc>
        <w:tc>
          <w:tcPr>
            <w:tcW w:w="11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0"/>
              </w:rPr>
              <w:t>25,150</w:t>
            </w:r>
          </w:p>
        </w:tc>
        <w:tc>
          <w:tcPr>
            <w:tcW w:w="120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90"/>
              </w:rPr>
              <w:t>25,150</w:t>
            </w:r>
          </w:p>
        </w:tc>
        <w:tc>
          <w:tcPr>
            <w:tcW w:w="0" w:type="dxa"/>
            <w:vAlign w:val="bottom"/>
          </w:tcPr>
          <w:p>
            <w:pPr>
              <w:spacing w:after="0"/>
              <w:rPr>
                <w:sz w:val="1"/>
                <w:szCs w:val="1"/>
                <w:color w:val="auto"/>
              </w:rPr>
            </w:pPr>
          </w:p>
        </w:tc>
      </w:tr>
      <w:tr>
        <w:trPr>
          <w:trHeight w:val="250"/>
        </w:trPr>
        <w:tc>
          <w:tcPr>
            <w:tcW w:w="24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20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w w:val="97"/>
              </w:rPr>
              <w:t>$1,200,000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50,300</w:t>
            </w:r>
          </w:p>
        </w:tc>
        <w:tc>
          <w:tcPr>
            <w:tcW w:w="11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25,150</w:t>
            </w:r>
          </w:p>
        </w:tc>
        <w:tc>
          <w:tcPr>
            <w:tcW w:w="1200" w:type="dxa"/>
            <w:vAlign w:val="bottom"/>
            <w:tcBorders>
              <w:bottom w:val="single" w:sz="8" w:color="434F69"/>
              <w:right w:val="single" w:sz="8" w:color="697287"/>
            </w:tcBorders>
          </w:tcPr>
          <w:p>
            <w:pPr>
              <w:jc w:val="center"/>
              <w:spacing w:after="0"/>
              <w:rPr>
                <w:sz w:val="20"/>
                <w:szCs w:val="20"/>
                <w:color w:val="auto"/>
              </w:rPr>
            </w:pPr>
            <w:r>
              <w:rPr>
                <w:rFonts w:ascii="Arial" w:cs="Arial" w:eastAsia="Arial" w:hAnsi="Arial"/>
                <w:sz w:val="18"/>
                <w:szCs w:val="18"/>
                <w:color w:val="auto"/>
                <w:w w:val="90"/>
              </w:rPr>
              <w:t>25,150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20" w:right="919" w:hanging="358"/>
        <w:spacing w:after="0" w:line="207" w:lineRule="auto"/>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(“VWAP”) per unit for the 10-trading day period immediately preceding the date of grant of $23.86.</w:t>
      </w:r>
    </w:p>
    <w:p>
      <w:pPr>
        <w:spacing w:after="0" w:line="53" w:lineRule="exact"/>
        <w:rPr>
          <w:rFonts w:ascii="Arial" w:cs="Arial" w:eastAsia="Arial" w:hAnsi="Arial"/>
          <w:sz w:val="27"/>
          <w:szCs w:val="27"/>
          <w:color w:val="auto"/>
          <w:vertAlign w:val="superscript"/>
        </w:rPr>
      </w:pPr>
    </w:p>
    <w:p>
      <w:pPr>
        <w:ind w:left="1620" w:right="699" w:hanging="358"/>
        <w:spacing w:after="0" w:line="207" w:lineRule="auto"/>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2019 long-term incentive program.</w:t>
      </w:r>
    </w:p>
    <w:p>
      <w:pPr>
        <w:spacing w:after="0" w:line="134"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The 2019 time-vested phantom units will vest on the August 2022 distribution date. The performance-vested phantom units will vest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 phantom units may not begin until after December 31, 2020. The combined 2019 annual grants include associated DERs that will vest (i) 50% on the August 2020 distribution date and (ii) 50% on the first distribution date following January 1, 2021 on which PAA achieves DCF per common unit of at least $2.50 on a trailing four quarter basis. See the “Grants of Plan Based Awards Table” below for additional information regarding the 2019 annual grants.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November 2019, the Board also awarded a special one-time retention LTIP grant to each of</w:t>
      </w:r>
    </w:p>
    <w:p>
      <w:pPr>
        <w:spacing w:after="0" w:line="12" w:lineRule="exact"/>
        <w:rPr>
          <w:sz w:val="20"/>
          <w:szCs w:val="20"/>
          <w:color w:val="auto"/>
        </w:rPr>
      </w:pPr>
    </w:p>
    <w:p>
      <w:pPr>
        <w:ind w:left="1260" w:right="839"/>
        <w:spacing w:after="0" w:line="256" w:lineRule="auto"/>
        <w:rPr>
          <w:sz w:val="20"/>
          <w:szCs w:val="20"/>
          <w:color w:val="auto"/>
        </w:rPr>
      </w:pPr>
      <w:r>
        <w:rPr>
          <w:rFonts w:ascii="Arial" w:cs="Arial" w:eastAsia="Arial" w:hAnsi="Arial"/>
          <w:sz w:val="17"/>
          <w:szCs w:val="17"/>
          <w:color w:val="auto"/>
        </w:rPr>
        <w:t>Messrs. Chandler and Goebel in the amount of 500,000 phantom units. These awards were designed to provide both a long-term retention incentive and a long-term performance incentive for Messrs. Chandler and Goebel in recognition of their importance to the future success of PAA and PAGP. Accordingly, these phantom units will vest (become payable 1-for-1 in common units) as follows:</w:t>
      </w:r>
    </w:p>
    <w:p>
      <w:pPr>
        <w:spacing w:after="0" w:line="54" w:lineRule="exact"/>
        <w:rPr>
          <w:sz w:val="20"/>
          <w:szCs w:val="20"/>
          <w:color w:val="auto"/>
        </w:rPr>
      </w:pPr>
    </w:p>
    <w:p>
      <w:pPr>
        <w:ind w:left="1800" w:hanging="178"/>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50% will vest on the August 2026 distribution date,</w:t>
      </w:r>
    </w:p>
    <w:p>
      <w:pPr>
        <w:spacing w:after="0" w:line="117"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 will vest on the later of the August 2026 distribution date and the first distribution date following PAA’s achievement of DCF per common unit and common unit equivalent of at least $2.80 on a trailing four quarter basis, and</w:t>
      </w:r>
    </w:p>
    <w:p>
      <w:pPr>
        <w:spacing w:after="0" w:line="75"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 will vest on the later of the August 2026 distribution date and the first distribution date following PAA’s achievement of DCF per common unit and common unit equivalent of at least $3.15 on a trailing four quarter basis.</w:t>
      </w:r>
    </w:p>
    <w:p>
      <w:pPr>
        <w:spacing w:after="0" w:line="116"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The phantom units include tandem DERs that will vest (begin paying common unit equivalent distributions) as follows:</w:t>
      </w:r>
    </w:p>
    <w:p>
      <w:pPr>
        <w:spacing w:after="0" w:line="49" w:lineRule="exact"/>
        <w:rPr>
          <w:sz w:val="20"/>
          <w:szCs w:val="20"/>
          <w:color w:val="auto"/>
        </w:rPr>
      </w:pPr>
    </w:p>
    <w:p>
      <w:pPr>
        <w:ind w:left="1800" w:hanging="178"/>
        <w:spacing w:after="0"/>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20% each will vest on the August 2020, August 2021 and August 2022 distribution dates (60% total),</w:t>
      </w:r>
    </w:p>
    <w:p>
      <w:pPr>
        <w:spacing w:after="0" w:line="128" w:lineRule="exact"/>
        <w:rPr>
          <w:rFonts w:ascii="Arial" w:cs="Arial" w:eastAsia="Arial" w:hAnsi="Arial"/>
          <w:sz w:val="17"/>
          <w:szCs w:val="17"/>
          <w:color w:val="auto"/>
        </w:rPr>
      </w:pPr>
    </w:p>
    <w:p>
      <w:pPr>
        <w:ind w:left="1800" w:right="93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 will vest on the first distribution date following PAA’s achievement of DCF per common unit and common unit equivalent of at least $2.70 on a trailing four quarter basis, and</w:t>
      </w:r>
    </w:p>
    <w:p>
      <w:pPr>
        <w:spacing w:after="0" w:line="62"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 will vest on the first distribution date following PAA’s achievement of DCF per common unit and common unit equivalent of at least $2.90 on a trailing four quarter basis.</w:t>
      </w:r>
    </w:p>
    <w:p>
      <w:pPr>
        <w:spacing w:after="0" w:line="103" w:lineRule="exact"/>
        <w:rPr>
          <w:sz w:val="20"/>
          <w:szCs w:val="20"/>
          <w:color w:val="auto"/>
        </w:rPr>
      </w:pPr>
    </w:p>
    <w:p>
      <w:pPr>
        <w:ind w:left="1260" w:right="1139"/>
        <w:spacing w:after="0" w:line="324" w:lineRule="auto"/>
        <w:rPr>
          <w:sz w:val="20"/>
          <w:szCs w:val="20"/>
          <w:color w:val="auto"/>
        </w:rPr>
      </w:pPr>
      <w:r>
        <w:rPr>
          <w:rFonts w:ascii="Arial" w:cs="Arial" w:eastAsia="Arial" w:hAnsi="Arial"/>
          <w:sz w:val="16"/>
          <w:szCs w:val="16"/>
          <w:color w:val="auto"/>
        </w:rPr>
        <w:t>The applicable trailing four quarter period for determining whether the requisite DCF per common unit and common unit equivalent has been achieved for vesting of phantom units and DERs may not begin until</w:t>
      </w:r>
    </w:p>
    <w:p>
      <w:pPr>
        <w:sectPr>
          <w:pgSz w:w="11900" w:h="16838" w:orient="portrait"/>
          <w:cols w:equalWidth="0" w:num="1">
            <w:col w:w="10139"/>
          </w:cols>
          <w:pgMar w:left="320" w:top="132" w:right="1440" w:bottom="1440" w:gutter="0" w:footer="0" w:header="0"/>
        </w:sectPr>
      </w:pPr>
    </w:p>
    <w:p>
      <w:pPr>
        <w:spacing w:after="0" w:line="30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on or after January 1, 2020. Any phantom units that have not vested by the August 2028 distribution date and any associated DERs (regardless of vesting) will expire on such date. See the “Grants of Plan Based Awards Table” below for additional information regarding these grants.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4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i w:val="1"/>
          <w:iCs w:val="1"/>
          <w:color w:val="auto"/>
        </w:rPr>
        <w:t xml:space="preserve">Equity Ownership; Hedging Policies. </w:t>
      </w:r>
      <w:r>
        <w:rPr>
          <w:rFonts w:ascii="Arial" w:cs="Arial" w:eastAsia="Arial" w:hAnsi="Arial"/>
          <w:sz w:val="18"/>
          <w:szCs w:val="18"/>
          <w:color w:val="auto"/>
        </w:rPr>
        <w:t>The Named Executive Officers collectively own substantial equity in</w:t>
      </w:r>
      <w:r>
        <w:rPr>
          <w:rFonts w:ascii="Arial" w:cs="Arial" w:eastAsia="Arial" w:hAnsi="Arial"/>
          <w:sz w:val="18"/>
          <w:szCs w:val="18"/>
          <w:i w:val="1"/>
          <w:iCs w:val="1"/>
          <w:color w:val="auto"/>
        </w:rPr>
        <w:t xml:space="preserve"> </w:t>
      </w:r>
      <w:r>
        <w:rPr>
          <w:rFonts w:ascii="Arial" w:cs="Arial" w:eastAsia="Arial" w:hAnsi="Arial"/>
          <w:sz w:val="18"/>
          <w:szCs w:val="18"/>
          <w:color w:val="auto"/>
        </w:rPr>
        <w:t>PAA as well as interests in the general partner. Although we encourage the Named Executive Officers to acquire and retain ownership in PAA, we do not have a policy requiring maintenance of a specified equity ownership level. As of March 23, 2020, the Named Executive Officers beneficially owned, in the aggregate, directly or indirectly approximately 10 million PAA common or common equivalent units with an approximate market value of $47.5 million, which was significantly greater than the combined aggregate salaries and bonuses of these individuals for 2019.</w:t>
      </w:r>
    </w:p>
    <w:p>
      <w:pPr>
        <w:spacing w:after="0" w:line="12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have policies and procedures in place that prohibit our directors and officers, including our Named Executive Officers, from using puts, calls, options or other derivative securities to hedge the economic risk of their equity ownership in us. Other types of hedging transactions, including prepaid variable forwards, equity swaps, collars and exchange funds, are strongly discouraged. Directors and officers, including our Named Executive Officers, who wish to pursue these types of transactions are required to comply with our pre-clearance requirements.</w:t>
      </w:r>
    </w:p>
    <w:p>
      <w:pPr>
        <w:spacing w:after="0" w:line="125"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we do not have a policy</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adjustment or recovery of awards or payments if relevant company performance measures upon which previous awards were based are restated or otherwise adjusted in a manner that would have reduced the size of such award or payment if previously known.</w:t>
      </w:r>
    </w:p>
    <w:p>
      <w:pPr>
        <w:spacing w:after="0" w:line="106"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With respect to the deduction limitations under Section 162(m) of the Internal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Code, we are a limited partnership and do not fall within the definition of a “corporation” under Section 162(m).</w:t>
      </w:r>
    </w:p>
    <w:p>
      <w:pPr>
        <w:spacing w:after="0" w:line="56"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 for Mr. Pefanis, the AAP Management Unit grant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which Messrs. Chiang, McGee and Goebel are a party, and the long-term incentive plan grant agreements for all of our NEOs, include severance payment provisions or accelerated vesting provisions triggered upon a change of control, as defined in the respective agreements. In the case of the long-term incentive plan grants, the provision becomes operative only if the change in control is accompanied by a change in status (such as the termination of employment by GP LLC). We believe this “double trigger” arrangement is appropriate because it provides assurance to the executive, but does not offer a windfall to the executive when there has been no real change in employment status. Pursuants to the AAP Management Unit grant agreements, upon the occurrence of a change in control, any earned AAP Managment Units become vested units. The provisions in Mr. Pefanis’ employment agreement become operative only if he terminates employment within three months of the change in control. Mr. Pefanis agreed to a conditional waiver of these provisions with respect to all prior qualifying transactions. See “— Employment Contracts” and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62"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capital projects and acquisitions relative to expectations.</w:t>
      </w:r>
    </w:p>
    <w:p>
      <w:pPr>
        <w:spacing w:after="0" w:line="106"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levels of DCF per common unit on a trailing four-quarter basis.</w:t>
      </w:r>
    </w:p>
    <w:p>
      <w:pPr>
        <w:spacing w:after="0" w:line="11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 term performance goals and we believe that risks arising from our compensation policies and practices for employees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following table sets forth certain compensation information for the Chief Executive Officer, the President and Chief Commercial Officer, the Chief Financial Officer, and the three most highly compensated executive officers in 2019 other than our CEO and CFO (collectively, our “Named Executive Officers”). As a result of his request to not participate in the 2019 long-term incentive program, Mr. Pefanis is not one of the three most highly compensated executive officers, but he is included as a Named Executive Officer given the significance of his role.</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680" w:type="dxa"/>
            <w:vAlign w:val="bottom"/>
            <w:tcBorders>
              <w:left w:val="single" w:sz="8" w:color="697287"/>
              <w:right w:val="single" w:sz="8" w:color="434F69"/>
            </w:tcBorders>
            <w:shd w:val="clear" w:color="auto" w:fill="434F69"/>
          </w:tcPr>
          <w:p>
            <w:pPr>
              <w:spacing w:after="0"/>
              <w:rPr>
                <w:sz w:val="20"/>
                <w:szCs w:val="20"/>
                <w:color w:val="auto"/>
              </w:rPr>
            </w:pPr>
          </w:p>
        </w:tc>
        <w:tc>
          <w:tcPr>
            <w:tcW w:w="440" w:type="dxa"/>
            <w:vAlign w:val="bottom"/>
            <w:tcBorders>
              <w:right w:val="single" w:sz="8" w:color="434F69"/>
            </w:tcBorders>
            <w:shd w:val="clear" w:color="auto" w:fill="434F69"/>
          </w:tcPr>
          <w:p>
            <w:pPr>
              <w:spacing w:after="0"/>
              <w:rPr>
                <w:sz w:val="20"/>
                <w:szCs w:val="20"/>
                <w:color w:val="auto"/>
              </w:rPr>
            </w:pPr>
          </w:p>
        </w:tc>
        <w:tc>
          <w:tcPr>
            <w:tcW w:w="640" w:type="dxa"/>
            <w:vAlign w:val="bottom"/>
            <w:tcBorders>
              <w:right w:val="single" w:sz="8" w:color="434F69"/>
            </w:tcBorders>
            <w:shd w:val="clear" w:color="auto" w:fill="434F69"/>
          </w:tcPr>
          <w:p>
            <w:pPr>
              <w:spacing w:after="0"/>
              <w:rPr>
                <w:sz w:val="20"/>
                <w:szCs w:val="20"/>
                <w:color w:val="auto"/>
              </w:rPr>
            </w:pPr>
          </w:p>
        </w:tc>
        <w:tc>
          <w:tcPr>
            <w:tcW w:w="780" w:type="dxa"/>
            <w:vAlign w:val="bottom"/>
            <w:tcBorders>
              <w:right w:val="single" w:sz="8" w:color="434F69"/>
            </w:tcBorders>
            <w:shd w:val="clear" w:color="auto" w:fill="434F69"/>
          </w:tcPr>
          <w:p>
            <w:pPr>
              <w:spacing w:after="0"/>
              <w:rPr>
                <w:sz w:val="20"/>
                <w:szCs w:val="20"/>
                <w:color w:val="auto"/>
              </w:rPr>
            </w:pPr>
          </w:p>
        </w:tc>
        <w:tc>
          <w:tcPr>
            <w:tcW w:w="78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Stock</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Non-Equity</w:t>
            </w:r>
          </w:p>
        </w:tc>
        <w:tc>
          <w:tcPr>
            <w:tcW w:w="104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780" w:type="dxa"/>
            <w:vAlign w:val="bottom"/>
            <w:tcBorders>
              <w:right w:val="single" w:sz="8" w:color="697287"/>
            </w:tcBorders>
            <w:shd w:val="clear" w:color="auto" w:fill="434F69"/>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697287"/>
              <w:right w:val="single" w:sz="8" w:color="434F69"/>
            </w:tcBorders>
            <w:shd w:val="clear" w:color="auto" w:fill="434F69"/>
          </w:tcPr>
          <w:p>
            <w:pPr>
              <w:spacing w:after="0"/>
              <w:rPr>
                <w:sz w:val="12"/>
                <w:szCs w:val="12"/>
                <w:color w:val="auto"/>
              </w:rPr>
            </w:pPr>
          </w:p>
        </w:tc>
        <w:tc>
          <w:tcPr>
            <w:tcW w:w="440" w:type="dxa"/>
            <w:vAlign w:val="bottom"/>
            <w:tcBorders>
              <w:right w:val="single" w:sz="8" w:color="434F69"/>
            </w:tcBorders>
            <w:shd w:val="clear" w:color="auto" w:fill="434F69"/>
          </w:tcPr>
          <w:p>
            <w:pPr>
              <w:spacing w:after="0"/>
              <w:rPr>
                <w:sz w:val="12"/>
                <w:szCs w:val="12"/>
                <w:color w:val="auto"/>
              </w:rPr>
            </w:pPr>
          </w:p>
        </w:tc>
        <w:tc>
          <w:tcPr>
            <w:tcW w:w="640" w:type="dxa"/>
            <w:vAlign w:val="bottom"/>
            <w:tcBorders>
              <w:right w:val="single" w:sz="8" w:color="434F69"/>
            </w:tcBorders>
            <w:shd w:val="clear" w:color="auto" w:fill="434F69"/>
          </w:tcPr>
          <w:p>
            <w:pPr>
              <w:spacing w:after="0"/>
              <w:rPr>
                <w:sz w:val="12"/>
                <w:szCs w:val="12"/>
                <w:color w:val="auto"/>
              </w:rPr>
            </w:pPr>
          </w:p>
        </w:tc>
        <w:tc>
          <w:tcPr>
            <w:tcW w:w="780" w:type="dxa"/>
            <w:vAlign w:val="bottom"/>
            <w:tcBorders>
              <w:right w:val="single" w:sz="8" w:color="434F69"/>
            </w:tcBorders>
            <w:shd w:val="clear" w:color="auto" w:fill="434F69"/>
          </w:tcPr>
          <w:p>
            <w:pPr>
              <w:spacing w:after="0"/>
              <w:rPr>
                <w:sz w:val="12"/>
                <w:szCs w:val="12"/>
                <w:color w:val="auto"/>
              </w:rPr>
            </w:pPr>
          </w:p>
        </w:tc>
        <w:tc>
          <w:tcPr>
            <w:tcW w:w="780" w:type="dxa"/>
            <w:vAlign w:val="bottom"/>
            <w:tcBorders>
              <w:right w:val="single" w:sz="8" w:color="434F69"/>
            </w:tcBorders>
            <w:vMerge w:val="continue"/>
            <w:shd w:val="clear" w:color="auto" w:fill="434F69"/>
          </w:tcPr>
          <w:p>
            <w:pPr>
              <w:spacing w:after="0"/>
              <w:rPr>
                <w:sz w:val="12"/>
                <w:szCs w:val="12"/>
                <w:color w:val="auto"/>
              </w:rPr>
            </w:pPr>
          </w:p>
        </w:tc>
        <w:tc>
          <w:tcPr>
            <w:tcW w:w="108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3"/>
              </w:rPr>
              <w:t>Incentive Plan</w:t>
            </w:r>
          </w:p>
        </w:tc>
        <w:tc>
          <w:tcPr>
            <w:tcW w:w="1040" w:type="dxa"/>
            <w:vAlign w:val="bottom"/>
            <w:tcBorders>
              <w:right w:val="single" w:sz="8" w:color="434F69"/>
            </w:tcBorders>
            <w:vMerge w:val="continue"/>
            <w:shd w:val="clear" w:color="auto" w:fill="434F69"/>
          </w:tcPr>
          <w:p>
            <w:pPr>
              <w:spacing w:after="0"/>
              <w:rPr>
                <w:sz w:val="12"/>
                <w:szCs w:val="12"/>
                <w:color w:val="auto"/>
              </w:rPr>
            </w:pPr>
          </w:p>
        </w:tc>
        <w:tc>
          <w:tcPr>
            <w:tcW w:w="780" w:type="dxa"/>
            <w:vAlign w:val="bottom"/>
            <w:tcBorders>
              <w:right w:val="single" w:sz="8" w:color="697287"/>
            </w:tcBorders>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80" w:type="dxa"/>
            <w:vAlign w:val="bottom"/>
            <w:tcBorders>
              <w:left w:val="single" w:sz="8" w:color="697287"/>
              <w:right w:val="single" w:sz="8" w:color="434F69"/>
            </w:tcBorders>
            <w:shd w:val="clear" w:color="auto" w:fill="434F69"/>
          </w:tcPr>
          <w:p>
            <w:pPr>
              <w:spacing w:after="0"/>
              <w:rPr>
                <w:sz w:val="13"/>
                <w:szCs w:val="13"/>
                <w:color w:val="auto"/>
              </w:rPr>
            </w:pPr>
          </w:p>
        </w:tc>
        <w:tc>
          <w:tcPr>
            <w:tcW w:w="440" w:type="dxa"/>
            <w:vAlign w:val="bottom"/>
            <w:tcBorders>
              <w:right w:val="single" w:sz="8" w:color="434F69"/>
            </w:tcBorders>
            <w:shd w:val="clear" w:color="auto" w:fill="434F69"/>
          </w:tcPr>
          <w:p>
            <w:pPr>
              <w:spacing w:after="0"/>
              <w:rPr>
                <w:sz w:val="13"/>
                <w:szCs w:val="13"/>
                <w:color w:val="auto"/>
              </w:rPr>
            </w:pPr>
          </w:p>
        </w:tc>
        <w:tc>
          <w:tcPr>
            <w:tcW w:w="6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5"/>
              </w:rPr>
              <w:t>Salary</w:t>
            </w:r>
          </w:p>
        </w:tc>
        <w:tc>
          <w:tcPr>
            <w:tcW w:w="780" w:type="dxa"/>
            <w:vAlign w:val="bottom"/>
            <w:tcBorders>
              <w:right w:val="single" w:sz="8" w:color="434F69"/>
            </w:tcBorders>
            <w:shd w:val="clear" w:color="auto" w:fill="434F69"/>
          </w:tcPr>
          <w:p>
            <w:pPr>
              <w:jc w:val="right"/>
              <w:ind w:right="124"/>
              <w:spacing w:after="0" w:line="158" w:lineRule="exact"/>
              <w:rPr>
                <w:sz w:val="20"/>
                <w:szCs w:val="20"/>
                <w:color w:val="auto"/>
              </w:rPr>
            </w:pPr>
            <w:r>
              <w:rPr>
                <w:rFonts w:ascii="Arial" w:cs="Arial" w:eastAsia="Arial" w:hAnsi="Arial"/>
                <w:sz w:val="14"/>
                <w:szCs w:val="14"/>
                <w:b w:val="1"/>
                <w:bCs w:val="1"/>
                <w:color w:val="FFFFFF"/>
              </w:rPr>
              <w:t>Bonus</w:t>
            </w:r>
          </w:p>
        </w:tc>
        <w:tc>
          <w:tcPr>
            <w:tcW w:w="7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4"/>
              </w:rPr>
              <w:t>Awards</w:t>
            </w:r>
          </w:p>
        </w:tc>
        <w:tc>
          <w:tcPr>
            <w:tcW w:w="10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Compensation</w:t>
            </w:r>
          </w:p>
        </w:tc>
        <w:tc>
          <w:tcPr>
            <w:tcW w:w="10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Compensation</w:t>
            </w:r>
          </w:p>
        </w:tc>
        <w:tc>
          <w:tcPr>
            <w:tcW w:w="780" w:type="dxa"/>
            <w:vAlign w:val="bottom"/>
            <w:tcBorders>
              <w:right w:val="single" w:sz="8" w:color="697287"/>
            </w:tcBorders>
            <w:shd w:val="clear" w:color="auto" w:fill="434F69"/>
          </w:tcPr>
          <w:p>
            <w:pPr>
              <w:jc w:val="right"/>
              <w:ind w:right="164"/>
              <w:spacing w:after="0" w:line="15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2680" w:type="dxa"/>
            <w:vAlign w:val="bottom"/>
            <w:tcBorders>
              <w:left w:val="single" w:sz="8" w:color="697287"/>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440" w:type="dxa"/>
            <w:vAlign w:val="bottom"/>
            <w:tcBorders>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Year</w:t>
            </w:r>
          </w:p>
        </w:tc>
        <w:tc>
          <w:tcPr>
            <w:tcW w:w="640" w:type="dxa"/>
            <w:vAlign w:val="bottom"/>
            <w:tcBorders>
              <w:bottom w:val="single" w:sz="8" w:color="434F69"/>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(1)</w:t>
            </w:r>
          </w:p>
        </w:tc>
        <w:tc>
          <w:tcPr>
            <w:tcW w:w="780" w:type="dxa"/>
            <w:vAlign w:val="bottom"/>
            <w:tcBorders>
              <w:bottom w:val="single" w:sz="8" w:color="434F69"/>
              <w:right w:val="single" w:sz="8" w:color="434F69"/>
            </w:tcBorders>
            <w:shd w:val="clear" w:color="auto" w:fill="434F69"/>
          </w:tcPr>
          <w:p>
            <w:pPr>
              <w:jc w:val="right"/>
              <w:ind w:right="184"/>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(2)</w:t>
            </w:r>
          </w:p>
        </w:tc>
        <w:tc>
          <w:tcPr>
            <w:tcW w:w="780" w:type="dxa"/>
            <w:vAlign w:val="bottom"/>
            <w:tcBorders>
              <w:bottom w:val="single" w:sz="8" w:color="434F69"/>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(3)</w:t>
            </w:r>
          </w:p>
        </w:tc>
        <w:tc>
          <w:tcPr>
            <w:tcW w:w="10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tcBorders>
              <w:bottom w:val="single" w:sz="8" w:color="434F69"/>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(4)</w:t>
            </w:r>
          </w:p>
        </w:tc>
        <w:tc>
          <w:tcPr>
            <w:tcW w:w="780" w:type="dxa"/>
            <w:vAlign w:val="bottom"/>
            <w:tcBorders>
              <w:bottom w:val="single" w:sz="8" w:color="434F69"/>
              <w:right w:val="single" w:sz="8" w:color="697287"/>
            </w:tcBorders>
            <w:shd w:val="clear" w:color="auto" w:fill="434F69"/>
          </w:tcPr>
          <w:p>
            <w:pPr>
              <w:jc w:val="right"/>
              <w:ind w:right="24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Willie Chiang</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600,000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1,273,118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2,250,000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4,140,878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Chairman and Chief Executive</w:t>
            </w:r>
          </w:p>
        </w:tc>
        <w:tc>
          <w:tcPr>
            <w:tcW w:w="440" w:type="dxa"/>
            <w:vAlign w:val="bottom"/>
            <w:tcBorders>
              <w:top w:val="single" w:sz="8" w:color="434F69"/>
              <w:right w:val="single" w:sz="8" w:color="434F69"/>
            </w:tcBorders>
          </w:tcPr>
          <w:p>
            <w:pPr>
              <w:ind w:left="60"/>
              <w:spacing w:after="0"/>
              <w:rPr>
                <w:sz w:val="20"/>
                <w:szCs w:val="20"/>
                <w:color w:val="auto"/>
              </w:rPr>
            </w:pPr>
            <w:r>
              <w:rPr>
                <w:rFonts w:ascii="Arial" w:cs="Arial" w:eastAsia="Arial" w:hAnsi="Arial"/>
                <w:sz w:val="15"/>
                <w:szCs w:val="15"/>
                <w:color w:val="auto"/>
              </w:rPr>
              <w:t>2018</w:t>
            </w:r>
          </w:p>
        </w:tc>
        <w:tc>
          <w:tcPr>
            <w:tcW w:w="6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88"/>
              </w:rPr>
              <w:t>450,000</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6,425,523</w:t>
            </w:r>
          </w:p>
        </w:tc>
        <w:tc>
          <w:tcPr>
            <w:tcW w:w="1080" w:type="dxa"/>
            <w:vAlign w:val="bottom"/>
            <w:tcBorders>
              <w:top w:val="single" w:sz="8" w:color="434F69"/>
              <w:right w:val="single" w:sz="8" w:color="434F69"/>
            </w:tcBorders>
          </w:tcPr>
          <w:p>
            <w:pPr>
              <w:jc w:val="right"/>
              <w:ind w:right="145"/>
              <w:spacing w:after="0"/>
              <w:rPr>
                <w:sz w:val="20"/>
                <w:szCs w:val="20"/>
                <w:color w:val="auto"/>
              </w:rPr>
            </w:pPr>
            <w:r>
              <w:rPr>
                <w:rFonts w:ascii="Arial" w:cs="Arial" w:eastAsia="Arial" w:hAnsi="Arial"/>
                <w:sz w:val="15"/>
                <w:szCs w:val="15"/>
                <w:color w:val="auto"/>
              </w:rPr>
              <w:t>2,000,000</w:t>
            </w:r>
          </w:p>
        </w:tc>
        <w:tc>
          <w:tcPr>
            <w:tcW w:w="10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95"/>
              </w:rPr>
              <w:t>17,460</w:t>
            </w:r>
          </w:p>
        </w:tc>
        <w:tc>
          <w:tcPr>
            <w:tcW w:w="780" w:type="dxa"/>
            <w:vAlign w:val="bottom"/>
            <w:tcBorders>
              <w:top w:val="single" w:sz="8" w:color="434F69"/>
              <w:right w:val="single" w:sz="8" w:color="697287"/>
            </w:tcBorders>
          </w:tcPr>
          <w:p>
            <w:pPr>
              <w:jc w:val="right"/>
              <w:ind w:right="4"/>
              <w:spacing w:after="0"/>
              <w:rPr>
                <w:sz w:val="20"/>
                <w:szCs w:val="20"/>
                <w:color w:val="auto"/>
              </w:rPr>
            </w:pPr>
            <w:r>
              <w:rPr>
                <w:rFonts w:ascii="Arial" w:cs="Arial" w:eastAsia="Arial" w:hAnsi="Arial"/>
                <w:sz w:val="15"/>
                <w:szCs w:val="15"/>
                <w:color w:val="auto"/>
              </w:rPr>
              <w:t>8,892,983</w:t>
            </w: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Officer</w:t>
            </w:r>
          </w:p>
        </w:tc>
        <w:tc>
          <w:tcPr>
            <w:tcW w:w="440" w:type="dxa"/>
            <w:vAlign w:val="bottom"/>
            <w:tcBorders>
              <w:top w:val="single" w:sz="8" w:color="434F69"/>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2017</w:t>
            </w:r>
          </w:p>
        </w:tc>
        <w:tc>
          <w:tcPr>
            <w:tcW w:w="6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325,000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1,250,000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1,714,700</w:t>
            </w:r>
          </w:p>
        </w:tc>
        <w:tc>
          <w:tcPr>
            <w:tcW w:w="1080" w:type="dxa"/>
            <w:vAlign w:val="bottom"/>
            <w:tcBorders>
              <w:top w:val="single" w:sz="8" w:color="434F69"/>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17,160</w:t>
            </w:r>
          </w:p>
        </w:tc>
        <w:tc>
          <w:tcPr>
            <w:tcW w:w="780" w:type="dxa"/>
            <w:vAlign w:val="bottom"/>
            <w:tcBorders>
              <w:top w:val="single" w:sz="8" w:color="434F69"/>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3,306,860</w:t>
            </w: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Harry N. Pefanis</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400,000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1,500,000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1,917,760</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President and Chief Commercial</w:t>
            </w:r>
          </w:p>
        </w:tc>
        <w:tc>
          <w:tcPr>
            <w:tcW w:w="440" w:type="dxa"/>
            <w:vAlign w:val="bottom"/>
            <w:tcBorders>
              <w:top w:val="single" w:sz="8" w:color="434F69"/>
              <w:right w:val="single" w:sz="8" w:color="434F69"/>
            </w:tcBorders>
          </w:tcPr>
          <w:p>
            <w:pPr>
              <w:ind w:left="60"/>
              <w:spacing w:after="0"/>
              <w:rPr>
                <w:sz w:val="20"/>
                <w:szCs w:val="20"/>
                <w:color w:val="auto"/>
              </w:rPr>
            </w:pPr>
            <w:r>
              <w:rPr>
                <w:rFonts w:ascii="Arial" w:cs="Arial" w:eastAsia="Arial" w:hAnsi="Arial"/>
                <w:sz w:val="15"/>
                <w:szCs w:val="15"/>
                <w:color w:val="auto"/>
              </w:rPr>
              <w:t>2018</w:t>
            </w:r>
          </w:p>
        </w:tc>
        <w:tc>
          <w:tcPr>
            <w:tcW w:w="6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88"/>
              </w:rPr>
              <w:t>400,000</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434F69"/>
              <w:right w:val="single" w:sz="8" w:color="434F69"/>
            </w:tcBorders>
          </w:tcPr>
          <w:p>
            <w:pPr>
              <w:jc w:val="right"/>
              <w:ind w:right="145"/>
              <w:spacing w:after="0"/>
              <w:rPr>
                <w:sz w:val="20"/>
                <w:szCs w:val="20"/>
                <w:color w:val="auto"/>
              </w:rPr>
            </w:pPr>
            <w:r>
              <w:rPr>
                <w:rFonts w:ascii="Arial" w:cs="Arial" w:eastAsia="Arial" w:hAnsi="Arial"/>
                <w:sz w:val="15"/>
                <w:szCs w:val="15"/>
                <w:color w:val="auto"/>
              </w:rPr>
              <w:t>1,500,000</w:t>
            </w:r>
          </w:p>
        </w:tc>
        <w:tc>
          <w:tcPr>
            <w:tcW w:w="10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95"/>
              </w:rPr>
              <w:t>17,460</w:t>
            </w:r>
          </w:p>
        </w:tc>
        <w:tc>
          <w:tcPr>
            <w:tcW w:w="780" w:type="dxa"/>
            <w:vAlign w:val="bottom"/>
            <w:tcBorders>
              <w:top w:val="single" w:sz="8" w:color="434F69"/>
              <w:right w:val="single" w:sz="8" w:color="697287"/>
            </w:tcBorders>
          </w:tcPr>
          <w:p>
            <w:pPr>
              <w:jc w:val="right"/>
              <w:ind w:right="4"/>
              <w:spacing w:after="0"/>
              <w:rPr>
                <w:sz w:val="20"/>
                <w:szCs w:val="20"/>
                <w:color w:val="auto"/>
              </w:rPr>
            </w:pPr>
            <w:r>
              <w:rPr>
                <w:rFonts w:ascii="Arial" w:cs="Arial" w:eastAsia="Arial" w:hAnsi="Arial"/>
                <w:sz w:val="15"/>
                <w:szCs w:val="15"/>
                <w:color w:val="auto"/>
              </w:rPr>
              <w:t>1,917,460</w:t>
            </w: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Officer</w:t>
            </w:r>
          </w:p>
        </w:tc>
        <w:tc>
          <w:tcPr>
            <w:tcW w:w="440" w:type="dxa"/>
            <w:vAlign w:val="bottom"/>
            <w:tcBorders>
              <w:top w:val="single" w:sz="8" w:color="434F69"/>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2017</w:t>
            </w:r>
          </w:p>
        </w:tc>
        <w:tc>
          <w:tcPr>
            <w:tcW w:w="6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350,000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434F69"/>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17,160</w:t>
            </w:r>
          </w:p>
        </w:tc>
        <w:tc>
          <w:tcPr>
            <w:tcW w:w="780" w:type="dxa"/>
            <w:vAlign w:val="bottom"/>
            <w:tcBorders>
              <w:top w:val="single" w:sz="8" w:color="434F69"/>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rPr>
              <w:t>367,160</w:t>
            </w: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Al Swanson</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400,000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509,288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1,200,000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2,127,048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Executive Vice President and Chief</w:t>
            </w:r>
          </w:p>
        </w:tc>
        <w:tc>
          <w:tcPr>
            <w:tcW w:w="440" w:type="dxa"/>
            <w:vAlign w:val="bottom"/>
            <w:tcBorders>
              <w:top w:val="single" w:sz="8" w:color="434F69"/>
              <w:right w:val="single" w:sz="8" w:color="434F69"/>
            </w:tcBorders>
          </w:tcPr>
          <w:p>
            <w:pPr>
              <w:ind w:left="60"/>
              <w:spacing w:after="0"/>
              <w:rPr>
                <w:sz w:val="20"/>
                <w:szCs w:val="20"/>
                <w:color w:val="auto"/>
              </w:rPr>
            </w:pPr>
            <w:r>
              <w:rPr>
                <w:rFonts w:ascii="Arial" w:cs="Arial" w:eastAsia="Arial" w:hAnsi="Arial"/>
                <w:sz w:val="15"/>
                <w:szCs w:val="15"/>
                <w:color w:val="auto"/>
              </w:rPr>
              <w:t>2018</w:t>
            </w:r>
          </w:p>
        </w:tc>
        <w:tc>
          <w:tcPr>
            <w:tcW w:w="6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88"/>
              </w:rPr>
              <w:t>400,000</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1,546,631</w:t>
            </w:r>
          </w:p>
        </w:tc>
        <w:tc>
          <w:tcPr>
            <w:tcW w:w="1080" w:type="dxa"/>
            <w:vAlign w:val="bottom"/>
            <w:tcBorders>
              <w:top w:val="single" w:sz="8" w:color="434F69"/>
              <w:right w:val="single" w:sz="8" w:color="434F69"/>
            </w:tcBorders>
          </w:tcPr>
          <w:p>
            <w:pPr>
              <w:jc w:val="right"/>
              <w:ind w:right="145"/>
              <w:spacing w:after="0"/>
              <w:rPr>
                <w:sz w:val="20"/>
                <w:szCs w:val="20"/>
                <w:color w:val="auto"/>
              </w:rPr>
            </w:pPr>
            <w:r>
              <w:rPr>
                <w:rFonts w:ascii="Arial" w:cs="Arial" w:eastAsia="Arial" w:hAnsi="Arial"/>
                <w:sz w:val="15"/>
                <w:szCs w:val="15"/>
                <w:color w:val="auto"/>
              </w:rPr>
              <w:t>1,300,000</w:t>
            </w:r>
          </w:p>
        </w:tc>
        <w:tc>
          <w:tcPr>
            <w:tcW w:w="10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95"/>
              </w:rPr>
              <w:t>17,460</w:t>
            </w:r>
          </w:p>
        </w:tc>
        <w:tc>
          <w:tcPr>
            <w:tcW w:w="780" w:type="dxa"/>
            <w:vAlign w:val="bottom"/>
            <w:tcBorders>
              <w:top w:val="single" w:sz="8" w:color="434F69"/>
              <w:right w:val="single" w:sz="8" w:color="697287"/>
            </w:tcBorders>
          </w:tcPr>
          <w:p>
            <w:pPr>
              <w:jc w:val="right"/>
              <w:ind w:right="4"/>
              <w:spacing w:after="0"/>
              <w:rPr>
                <w:sz w:val="20"/>
                <w:szCs w:val="20"/>
                <w:color w:val="auto"/>
              </w:rPr>
            </w:pPr>
            <w:r>
              <w:rPr>
                <w:rFonts w:ascii="Arial" w:cs="Arial" w:eastAsia="Arial" w:hAnsi="Arial"/>
                <w:sz w:val="15"/>
                <w:szCs w:val="15"/>
                <w:color w:val="auto"/>
              </w:rPr>
              <w:t>3,264,091</w:t>
            </w: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Financial Officer</w:t>
            </w:r>
          </w:p>
        </w:tc>
        <w:tc>
          <w:tcPr>
            <w:tcW w:w="440" w:type="dxa"/>
            <w:vAlign w:val="bottom"/>
            <w:tcBorders>
              <w:top w:val="single" w:sz="8" w:color="434F69"/>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2017</w:t>
            </w:r>
          </w:p>
        </w:tc>
        <w:tc>
          <w:tcPr>
            <w:tcW w:w="6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325,000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800,000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923,300</w:t>
            </w:r>
          </w:p>
        </w:tc>
        <w:tc>
          <w:tcPr>
            <w:tcW w:w="1080" w:type="dxa"/>
            <w:vAlign w:val="bottom"/>
            <w:tcBorders>
              <w:top w:val="single" w:sz="8" w:color="434F69"/>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17,160</w:t>
            </w:r>
          </w:p>
        </w:tc>
        <w:tc>
          <w:tcPr>
            <w:tcW w:w="780" w:type="dxa"/>
            <w:vAlign w:val="bottom"/>
            <w:tcBorders>
              <w:top w:val="single" w:sz="8" w:color="434F69"/>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2,065,460</w:t>
            </w: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Richard McGee</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400,000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509,288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1,200,000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2,127,048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Executive Vice President, General</w:t>
            </w:r>
          </w:p>
        </w:tc>
        <w:tc>
          <w:tcPr>
            <w:tcW w:w="440" w:type="dxa"/>
            <w:vAlign w:val="bottom"/>
            <w:tcBorders>
              <w:top w:val="single" w:sz="8" w:color="434F69"/>
              <w:right w:val="single" w:sz="8" w:color="434F69"/>
            </w:tcBorders>
          </w:tcPr>
          <w:p>
            <w:pPr>
              <w:ind w:left="60"/>
              <w:spacing w:after="0"/>
              <w:rPr>
                <w:sz w:val="20"/>
                <w:szCs w:val="20"/>
                <w:color w:val="auto"/>
              </w:rPr>
            </w:pPr>
            <w:r>
              <w:rPr>
                <w:rFonts w:ascii="Arial" w:cs="Arial" w:eastAsia="Arial" w:hAnsi="Arial"/>
                <w:sz w:val="15"/>
                <w:szCs w:val="15"/>
                <w:color w:val="auto"/>
              </w:rPr>
              <w:t>2018</w:t>
            </w:r>
          </w:p>
        </w:tc>
        <w:tc>
          <w:tcPr>
            <w:tcW w:w="6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88"/>
              </w:rPr>
              <w:t>400,000</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1,129,023</w:t>
            </w:r>
          </w:p>
        </w:tc>
        <w:tc>
          <w:tcPr>
            <w:tcW w:w="1080" w:type="dxa"/>
            <w:vAlign w:val="bottom"/>
            <w:tcBorders>
              <w:top w:val="single" w:sz="8" w:color="434F69"/>
              <w:right w:val="single" w:sz="8" w:color="434F69"/>
            </w:tcBorders>
          </w:tcPr>
          <w:p>
            <w:pPr>
              <w:jc w:val="right"/>
              <w:ind w:right="145"/>
              <w:spacing w:after="0"/>
              <w:rPr>
                <w:sz w:val="20"/>
                <w:szCs w:val="20"/>
                <w:color w:val="auto"/>
              </w:rPr>
            </w:pPr>
            <w:r>
              <w:rPr>
                <w:rFonts w:ascii="Arial" w:cs="Arial" w:eastAsia="Arial" w:hAnsi="Arial"/>
                <w:sz w:val="15"/>
                <w:szCs w:val="15"/>
                <w:color w:val="auto"/>
              </w:rPr>
              <w:t>1,300,000</w:t>
            </w:r>
          </w:p>
        </w:tc>
        <w:tc>
          <w:tcPr>
            <w:tcW w:w="10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95"/>
              </w:rPr>
              <w:t>17,460</w:t>
            </w:r>
          </w:p>
        </w:tc>
        <w:tc>
          <w:tcPr>
            <w:tcW w:w="780" w:type="dxa"/>
            <w:vAlign w:val="bottom"/>
            <w:tcBorders>
              <w:top w:val="single" w:sz="8" w:color="434F69"/>
              <w:right w:val="single" w:sz="8" w:color="697287"/>
            </w:tcBorders>
          </w:tcPr>
          <w:p>
            <w:pPr>
              <w:jc w:val="right"/>
              <w:ind w:right="4"/>
              <w:spacing w:after="0"/>
              <w:rPr>
                <w:sz w:val="20"/>
                <w:szCs w:val="20"/>
                <w:color w:val="auto"/>
              </w:rPr>
            </w:pPr>
            <w:r>
              <w:rPr>
                <w:rFonts w:ascii="Arial" w:cs="Arial" w:eastAsia="Arial" w:hAnsi="Arial"/>
                <w:sz w:val="15"/>
                <w:szCs w:val="15"/>
                <w:color w:val="auto"/>
              </w:rPr>
              <w:t>2,846,483</w:t>
            </w: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Counsel and Secretary</w:t>
            </w:r>
          </w:p>
        </w:tc>
        <w:tc>
          <w:tcPr>
            <w:tcW w:w="440" w:type="dxa"/>
            <w:vAlign w:val="bottom"/>
            <w:tcBorders>
              <w:top w:val="single" w:sz="8" w:color="434F69"/>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2017</w:t>
            </w:r>
          </w:p>
        </w:tc>
        <w:tc>
          <w:tcPr>
            <w:tcW w:w="6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325,000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800,000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923,300</w:t>
            </w:r>
          </w:p>
        </w:tc>
        <w:tc>
          <w:tcPr>
            <w:tcW w:w="1080" w:type="dxa"/>
            <w:vAlign w:val="bottom"/>
            <w:tcBorders>
              <w:top w:val="single" w:sz="8" w:color="434F69"/>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17,160</w:t>
            </w:r>
          </w:p>
        </w:tc>
        <w:tc>
          <w:tcPr>
            <w:tcW w:w="780" w:type="dxa"/>
            <w:vAlign w:val="bottom"/>
            <w:tcBorders>
              <w:top w:val="single" w:sz="8" w:color="434F69"/>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2,065,460</w:t>
            </w: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Chris Chandler</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396,000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4,410,788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1,400,000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6,224,548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Executive Vice President and</w:t>
            </w:r>
          </w:p>
        </w:tc>
        <w:tc>
          <w:tcPr>
            <w:tcW w:w="440" w:type="dxa"/>
            <w:vAlign w:val="bottom"/>
            <w:tcBorders>
              <w:top w:val="single" w:sz="8" w:color="434F69"/>
              <w:right w:val="single" w:sz="8" w:color="434F69"/>
            </w:tcBorders>
          </w:tcPr>
          <w:p>
            <w:pPr>
              <w:spacing w:after="0"/>
              <w:rPr>
                <w:sz w:val="19"/>
                <w:szCs w:val="19"/>
                <w:color w:val="auto"/>
              </w:rPr>
            </w:pPr>
          </w:p>
        </w:tc>
        <w:tc>
          <w:tcPr>
            <w:tcW w:w="64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434F69"/>
            </w:tcBorders>
          </w:tcPr>
          <w:p>
            <w:pPr>
              <w:spacing w:after="0"/>
              <w:rPr>
                <w:sz w:val="19"/>
                <w:szCs w:val="19"/>
                <w:color w:val="auto"/>
              </w:rPr>
            </w:pPr>
          </w:p>
        </w:tc>
        <w:tc>
          <w:tcPr>
            <w:tcW w:w="1080" w:type="dxa"/>
            <w:vAlign w:val="bottom"/>
            <w:tcBorders>
              <w:top w:val="single" w:sz="8" w:color="434F69"/>
              <w:right w:val="single" w:sz="8" w:color="434F69"/>
            </w:tcBorders>
          </w:tcPr>
          <w:p>
            <w:pPr>
              <w:spacing w:after="0"/>
              <w:rPr>
                <w:sz w:val="19"/>
                <w:szCs w:val="19"/>
                <w:color w:val="auto"/>
              </w:rPr>
            </w:pPr>
          </w:p>
        </w:tc>
        <w:tc>
          <w:tcPr>
            <w:tcW w:w="104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697287"/>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Chief Operating Officer</w:t>
            </w:r>
          </w:p>
        </w:tc>
        <w:tc>
          <w:tcPr>
            <w:tcW w:w="44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64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78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78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108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104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780" w:type="dxa"/>
            <w:vAlign w:val="bottom"/>
            <w:tcBorders>
              <w:top w:val="single" w:sz="8" w:color="434F69"/>
              <w:bottom w:val="single" w:sz="8" w:color="D9DCE1"/>
              <w:right w:val="single" w:sz="8" w:color="697287"/>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Jeremy Goebel</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396,000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4,410,788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1,400,000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6,224,548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Executive Vice President –</w:t>
            </w:r>
          </w:p>
        </w:tc>
        <w:tc>
          <w:tcPr>
            <w:tcW w:w="440" w:type="dxa"/>
            <w:vAlign w:val="bottom"/>
            <w:tcBorders>
              <w:top w:val="single" w:sz="8" w:color="434F69"/>
              <w:right w:val="single" w:sz="8" w:color="434F69"/>
            </w:tcBorders>
          </w:tcPr>
          <w:p>
            <w:pPr>
              <w:spacing w:after="0"/>
              <w:rPr>
                <w:sz w:val="19"/>
                <w:szCs w:val="19"/>
                <w:color w:val="auto"/>
              </w:rPr>
            </w:pPr>
          </w:p>
        </w:tc>
        <w:tc>
          <w:tcPr>
            <w:tcW w:w="64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434F69"/>
            </w:tcBorders>
          </w:tcPr>
          <w:p>
            <w:pPr>
              <w:spacing w:after="0"/>
              <w:rPr>
                <w:sz w:val="19"/>
                <w:szCs w:val="19"/>
                <w:color w:val="auto"/>
              </w:rPr>
            </w:pPr>
          </w:p>
        </w:tc>
        <w:tc>
          <w:tcPr>
            <w:tcW w:w="1080" w:type="dxa"/>
            <w:vAlign w:val="bottom"/>
            <w:tcBorders>
              <w:top w:val="single" w:sz="8" w:color="434F69"/>
              <w:right w:val="single" w:sz="8" w:color="434F69"/>
            </w:tcBorders>
          </w:tcPr>
          <w:p>
            <w:pPr>
              <w:spacing w:after="0"/>
              <w:rPr>
                <w:sz w:val="19"/>
                <w:szCs w:val="19"/>
                <w:color w:val="auto"/>
              </w:rPr>
            </w:pPr>
          </w:p>
        </w:tc>
        <w:tc>
          <w:tcPr>
            <w:tcW w:w="104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697287"/>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Commercial</w:t>
            </w:r>
          </w:p>
        </w:tc>
        <w:tc>
          <w:tcPr>
            <w:tcW w:w="44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64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78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78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108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104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780" w:type="dxa"/>
            <w:vAlign w:val="bottom"/>
            <w:tcBorders>
              <w:top w:val="single" w:sz="8" w:color="434F69"/>
              <w:bottom w:val="single" w:sz="8" w:color="D9DCE1"/>
              <w:right w:val="single" w:sz="8" w:color="697287"/>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Borders>
              <w:left w:val="single" w:sz="8" w:color="434F69"/>
              <w:right w:val="single" w:sz="8" w:color="434F69"/>
            </w:tcBorders>
            <w:shd w:val="clear" w:color="auto" w:fill="434F69"/>
          </w:tcPr>
          <w:p>
            <w:pPr>
              <w:spacing w:after="0" w:line="20" w:lineRule="exact"/>
              <w:rPr>
                <w:sz w:val="1"/>
                <w:szCs w:val="1"/>
                <w:color w:val="auto"/>
              </w:rPr>
            </w:pPr>
          </w:p>
        </w:tc>
        <w:tc>
          <w:tcPr>
            <w:tcW w:w="440" w:type="dxa"/>
            <w:vAlign w:val="bottom"/>
            <w:tcBorders>
              <w:right w:val="single" w:sz="8" w:color="434F69"/>
            </w:tcBorders>
            <w:shd w:val="clear" w:color="auto" w:fill="434F69"/>
          </w:tcPr>
          <w:p>
            <w:pPr>
              <w:spacing w:after="0" w:line="20" w:lineRule="exact"/>
              <w:rPr>
                <w:sz w:val="1"/>
                <w:szCs w:val="1"/>
                <w:color w:val="auto"/>
              </w:rPr>
            </w:pPr>
          </w:p>
        </w:tc>
        <w:tc>
          <w:tcPr>
            <w:tcW w:w="640" w:type="dxa"/>
            <w:vAlign w:val="bottom"/>
            <w:tcBorders>
              <w:right w:val="single" w:sz="8" w:color="434F69"/>
            </w:tcBorders>
            <w:shd w:val="clear" w:color="auto" w:fill="434F69"/>
          </w:tcPr>
          <w:p>
            <w:pPr>
              <w:spacing w:after="0" w:line="20" w:lineRule="exact"/>
              <w:rPr>
                <w:sz w:val="1"/>
                <w:szCs w:val="1"/>
                <w:color w:val="auto"/>
              </w:rPr>
            </w:pPr>
          </w:p>
        </w:tc>
        <w:tc>
          <w:tcPr>
            <w:tcW w:w="780" w:type="dxa"/>
            <w:vAlign w:val="bottom"/>
            <w:tcBorders>
              <w:right w:val="single" w:sz="8" w:color="434F69"/>
            </w:tcBorders>
            <w:shd w:val="clear" w:color="auto" w:fill="434F69"/>
          </w:tcPr>
          <w:p>
            <w:pPr>
              <w:spacing w:after="0" w:line="20" w:lineRule="exact"/>
              <w:rPr>
                <w:sz w:val="1"/>
                <w:szCs w:val="1"/>
                <w:color w:val="auto"/>
              </w:rPr>
            </w:pPr>
          </w:p>
        </w:tc>
        <w:tc>
          <w:tcPr>
            <w:tcW w:w="780" w:type="dxa"/>
            <w:vAlign w:val="bottom"/>
            <w:tcBorders>
              <w:right w:val="single" w:sz="8" w:color="434F69"/>
            </w:tcBorders>
            <w:shd w:val="clear" w:color="auto" w:fill="434F69"/>
          </w:tcPr>
          <w:p>
            <w:pPr>
              <w:spacing w:after="0" w:line="20" w:lineRule="exact"/>
              <w:rPr>
                <w:sz w:val="1"/>
                <w:szCs w:val="1"/>
                <w:color w:val="auto"/>
              </w:rPr>
            </w:pPr>
          </w:p>
        </w:tc>
        <w:tc>
          <w:tcPr>
            <w:tcW w:w="1080" w:type="dxa"/>
            <w:vAlign w:val="bottom"/>
            <w:tcBorders>
              <w:right w:val="single" w:sz="8" w:color="434F69"/>
            </w:tcBorders>
            <w:shd w:val="clear" w:color="auto" w:fill="434F69"/>
          </w:tcPr>
          <w:p>
            <w:pPr>
              <w:spacing w:after="0" w:line="20" w:lineRule="exact"/>
              <w:rPr>
                <w:sz w:val="1"/>
                <w:szCs w:val="1"/>
                <w:color w:val="auto"/>
              </w:rPr>
            </w:pPr>
          </w:p>
        </w:tc>
        <w:tc>
          <w:tcPr>
            <w:tcW w:w="1040" w:type="dxa"/>
            <w:vAlign w:val="bottom"/>
            <w:tcBorders>
              <w:right w:val="single" w:sz="8" w:color="434F69"/>
            </w:tcBorders>
            <w:shd w:val="clear" w:color="auto" w:fill="434F69"/>
          </w:tcPr>
          <w:p>
            <w:pPr>
              <w:spacing w:after="0" w:line="20" w:lineRule="exact"/>
              <w:rPr>
                <w:sz w:val="1"/>
                <w:szCs w:val="1"/>
                <w:color w:val="auto"/>
              </w:rPr>
            </w:pPr>
          </w:p>
        </w:tc>
        <w:tc>
          <w:tcPr>
            <w:tcW w:w="780" w:type="dxa"/>
            <w:vAlign w:val="bottom"/>
            <w:tcBorders>
              <w:right w:val="single" w:sz="8" w:color="434F69"/>
            </w:tcBorders>
            <w:shd w:val="clear" w:color="auto" w:fill="434F6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620" w:right="819" w:hanging="358"/>
        <w:spacing w:after="0" w:line="243" w:lineRule="auto"/>
        <w:tabs>
          <w:tab w:leader="none" w:pos="162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color w:val="auto"/>
        </w:rPr>
        <w:t>In October 2018, Mr. Chiang’s salary was increased from $400,000 to $600,000 in connection with his appointment to the CEO role. Salary amounts in the table for Mr. Chiang reflect a blended rate for 2018. In March 2019, the salaries for each of Messrs. Chandler and Goebel were increased from $375,000 to $400,000 in connection with their promotions to the executive vice president level. Salary amounts in the table for Messrs. Chandler and Goebel reflect a blended rate for 2019.</w:t>
      </w:r>
    </w:p>
    <w:p>
      <w:pPr>
        <w:ind w:left="1620" w:hanging="358"/>
        <w:spacing w:after="0" w:line="227" w:lineRule="auto"/>
        <w:tabs>
          <w:tab w:leader="none" w:pos="162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color w:val="auto"/>
        </w:rPr>
        <w:t>With respect to 2017, Mr. Pefanis indicated that he would neither request nor accept a cash bonus.</w:t>
      </w:r>
    </w:p>
    <w:p>
      <w:pPr>
        <w:spacing w:after="0" w:line="83" w:lineRule="exact"/>
        <w:rPr>
          <w:rFonts w:ascii="Arial" w:cs="Arial" w:eastAsia="Arial" w:hAnsi="Arial"/>
          <w:sz w:val="26"/>
          <w:szCs w:val="26"/>
          <w:color w:val="auto"/>
          <w:vertAlign w:val="superscript"/>
        </w:rPr>
      </w:pPr>
    </w:p>
    <w:p>
      <w:pPr>
        <w:ind w:left="1620" w:right="679" w:hanging="358"/>
        <w:spacing w:after="0" w:line="252" w:lineRule="auto"/>
        <w:tabs>
          <w:tab w:leader="none" w:pos="162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phantom unit grants awarded to Messrs. Chiang, Swanson, McGee, Chandler and Goebel in 2019, (ii) phantom unit grants awarded to Messrs. Chiang, Swanson and McGee in 2016 (as amended in 2018), 2017 and 2018, (iii) a portion of an AAP Management Unit grant originally awarded to Mr. McGee in 2013 and amended in 2016 and in 2018, and (iv) the AAP Management Units and phantom units originally granted to Mr. Chiang in 2015 and amended in 2016 and in 2018. Dollar amounts in the table represent the aggregate fair value of phantom units and AAP Management Units awarded based on the probable outcome of underlying performance conditions pursuant to FASB ASC Topic 718. See Note 18 to our Consolidated Financial Statements included in our 2019 Annual Report for further discussion regarding the calculation of grant date fair values. For phantom unit grants awarded in 2017 and March 2018, vesting was deemed probable of</w:t>
      </w:r>
    </w:p>
    <w:p>
      <w:pPr>
        <w:sectPr>
          <w:pgSz w:w="11900" w:h="16838" w:orient="portrait"/>
          <w:cols w:equalWidth="0" w:num="1">
            <w:col w:w="10139"/>
          </w:cols>
          <w:pgMar w:left="320" w:top="132" w:right="1440" w:bottom="1440" w:gutter="0" w:footer="0" w:header="0"/>
        </w:sect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99"/>
        <w:spacing w:after="0" w:line="286" w:lineRule="auto"/>
        <w:rPr>
          <w:sz w:val="20"/>
          <w:szCs w:val="20"/>
          <w:color w:val="auto"/>
        </w:rPr>
      </w:pPr>
      <w:r>
        <w:rPr>
          <w:rFonts w:ascii="Arial" w:cs="Arial" w:eastAsia="Arial" w:hAnsi="Arial"/>
          <w:sz w:val="16"/>
          <w:szCs w:val="16"/>
          <w:color w:val="auto"/>
        </w:rPr>
        <w:t>occurring on the grant date. Therefore, the maximum fair value of phantom unit grants awarded in 2017 and March 2018 is the same as the value reported in the table. For Mr. Chiang’s August 2018 phantom unit award, one-third of the DERs were deemed probable of vesting on the grant date. The maximum fair value of phantom unit grants awarded to Mr. Chiang in August 2018, assuming that the highest level of performance conditions will be met, was $12,774,454. The maximum fair value of Mr. Chiang’s 2015 AAP Management Units as modified in 2018 (as discussed below) was $7,351,205 compared to a maximum fair value of $13,398,132 as calculated as of the original grant date. For phantom unit grants awarded in August 2019, 50% were deemed probable of vesting on the grant date. The maximum fair value of phantom unit grants awarded in August 2019, assuming that the highest level of performance conditions will be met, was $2,403,520 for Mr. Chiang and $961,485 for each of Messrs. Swanson, McGee, Chandler and Goebel. For phantom unit grants awarded in November 2019, 50% were deemed probable of vesting on the grant date. The maximum fair value of phantom unit grants awarded in November 2019, assuming that the highest level of performance conditions will be met, was $6,865,000 for each of Messrs. Chandler and Goebel.</w:t>
      </w:r>
    </w:p>
    <w:p>
      <w:pPr>
        <w:spacing w:after="0" w:line="79" w:lineRule="exact"/>
        <w:rPr>
          <w:sz w:val="20"/>
          <w:szCs w:val="20"/>
          <w:color w:val="auto"/>
        </w:rPr>
      </w:pPr>
    </w:p>
    <w:p>
      <w:pPr>
        <w:ind w:left="1620" w:right="819"/>
        <w:spacing w:after="0" w:line="255" w:lineRule="auto"/>
        <w:rPr>
          <w:sz w:val="20"/>
          <w:szCs w:val="20"/>
          <w:color w:val="auto"/>
        </w:rPr>
      </w:pPr>
      <w:r>
        <w:rPr>
          <w:rFonts w:ascii="Arial" w:cs="Arial" w:eastAsia="Arial" w:hAnsi="Arial"/>
          <w:sz w:val="18"/>
          <w:szCs w:val="18"/>
          <w:color w:val="auto"/>
        </w:rPr>
        <w:t>The amount presented for Mr. Chiang for 2018 includes aggregate net incremental fair value of $4,133,687 resulting from the modification in March 2018 of (i) AAP Management Units originally granted in August 2015 and subsequently modified in August 2016, (ii) phantom units originally granted in August 2015 and subsequently modified in August 2016 and (iii) phantom units originally granted in August 2016. The incremental fair value represents the net increase in fair value of the modified awards relative to the fair value on the original grant dates.</w:t>
      </w:r>
    </w:p>
    <w:p>
      <w:pPr>
        <w:spacing w:after="0" w:line="111" w:lineRule="exact"/>
        <w:rPr>
          <w:sz w:val="20"/>
          <w:szCs w:val="20"/>
          <w:color w:val="auto"/>
        </w:rPr>
      </w:pPr>
    </w:p>
    <w:p>
      <w:pPr>
        <w:ind w:left="1620" w:right="719"/>
        <w:spacing w:after="0" w:line="259" w:lineRule="auto"/>
        <w:rPr>
          <w:sz w:val="20"/>
          <w:szCs w:val="20"/>
          <w:color w:val="auto"/>
        </w:rPr>
      </w:pPr>
      <w:r>
        <w:rPr>
          <w:rFonts w:ascii="Arial" w:cs="Arial" w:eastAsia="Arial" w:hAnsi="Arial"/>
          <w:sz w:val="18"/>
          <w:szCs w:val="18"/>
          <w:color w:val="auto"/>
        </w:rPr>
        <w:t>The amount presented for Mr. Swanson for 2018 includes incremental fair value of $893,531 resulting from the modification in March 2018 of phantom units originally granted in August 2016. The incremental fair value represents the increase in fair value of the modified awards relative to the fair value on the original grant date.</w:t>
      </w:r>
    </w:p>
    <w:p>
      <w:pPr>
        <w:spacing w:after="0" w:line="92" w:lineRule="exact"/>
        <w:rPr>
          <w:sz w:val="20"/>
          <w:szCs w:val="20"/>
          <w:color w:val="auto"/>
        </w:rPr>
      </w:pPr>
    </w:p>
    <w:p>
      <w:pPr>
        <w:ind w:left="1620" w:right="679"/>
        <w:spacing w:after="0" w:line="257" w:lineRule="auto"/>
        <w:rPr>
          <w:sz w:val="20"/>
          <w:szCs w:val="20"/>
          <w:color w:val="auto"/>
        </w:rPr>
      </w:pPr>
      <w:r>
        <w:rPr>
          <w:rFonts w:ascii="Arial" w:cs="Arial" w:eastAsia="Arial" w:hAnsi="Arial"/>
          <w:sz w:val="18"/>
          <w:szCs w:val="18"/>
          <w:color w:val="auto"/>
        </w:rPr>
        <w:t>The amount presented for Mr. McGee for 2018 includes aggregate net incremental fair value of $584,773 resulting from the modification in March 2018 of (i) AAP Management Units originally granted in 2013 and subsequently modified in August 2016 and (ii) phantom units originally granted in August 2016. The incremental fair value represents the net increase in fair value of the modified awards relative to the fair value on the original grant dates.</w:t>
      </w:r>
    </w:p>
    <w:p>
      <w:pPr>
        <w:spacing w:after="0" w:line="66" w:lineRule="exact"/>
        <w:rPr>
          <w:sz w:val="20"/>
          <w:szCs w:val="20"/>
          <w:color w:val="auto"/>
        </w:rPr>
      </w:pPr>
    </w:p>
    <w:p>
      <w:pPr>
        <w:ind w:left="1620" w:right="779" w:hanging="358"/>
        <w:spacing w:after="0" w:line="258" w:lineRule="auto"/>
        <w:tabs>
          <w:tab w:leader="none" w:pos="1620" w:val="left"/>
        </w:tabs>
        <w:numPr>
          <w:ilvl w:val="0"/>
          <w:numId w:val="51"/>
        </w:numPr>
        <w:rPr>
          <w:rFonts w:ascii="Arial" w:cs="Arial" w:eastAsia="Arial" w:hAnsi="Arial"/>
          <w:sz w:val="24"/>
          <w:szCs w:val="24"/>
          <w:color w:val="auto"/>
          <w:vertAlign w:val="superscript"/>
        </w:rPr>
      </w:pPr>
      <w:r>
        <w:rPr>
          <w:rFonts w:ascii="Arial" w:cs="Arial" w:eastAsia="Arial" w:hAnsi="Arial"/>
          <w:sz w:val="16"/>
          <w:szCs w:val="16"/>
          <w:color w:val="auto"/>
        </w:rPr>
        <w:t>GP LLC matches 100% of employees’ contributions to its 401(k) plan in cash, subject to certain limitations in the plan. All Other Compensation for 2019 includes $16,800 in matching contributions for each of Messrs. Chiang, Pefanis, Swanson, McGee, Chandler and Goebel.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table sets forth summary information regarding all grants of plan-based awards made to our</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Named Executive Officers during the fiscal year ended December 31, 2019:</w:t>
      </w:r>
    </w:p>
    <w:p>
      <w:pPr>
        <w:spacing w:after="0" w:line="104"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380" w:type="dxa"/>
            <w:vAlign w:val="bottom"/>
            <w:tcBorders>
              <w:left w:val="single" w:sz="8" w:color="697287"/>
              <w:right w:val="single" w:sz="8" w:color="434F69"/>
            </w:tcBorders>
            <w:shd w:val="clear" w:color="auto" w:fill="434F69"/>
          </w:tcPr>
          <w:p>
            <w:pPr>
              <w:spacing w:after="0"/>
              <w:rPr>
                <w:sz w:val="20"/>
                <w:szCs w:val="20"/>
                <w:color w:val="auto"/>
              </w:rPr>
            </w:pPr>
          </w:p>
        </w:tc>
        <w:tc>
          <w:tcPr>
            <w:tcW w:w="840" w:type="dxa"/>
            <w:vAlign w:val="bottom"/>
            <w:tcBorders>
              <w:right w:val="single" w:sz="8" w:color="434F69"/>
            </w:tcBorders>
            <w:shd w:val="clear" w:color="auto" w:fill="434F69"/>
          </w:tcPr>
          <w:p>
            <w:pPr>
              <w:spacing w:after="0"/>
              <w:rPr>
                <w:sz w:val="20"/>
                <w:szCs w:val="20"/>
                <w:color w:val="auto"/>
              </w:rPr>
            </w:pPr>
          </w:p>
        </w:tc>
        <w:tc>
          <w:tcPr>
            <w:tcW w:w="840" w:type="dxa"/>
            <w:vAlign w:val="bottom"/>
            <w:tcBorders>
              <w:right w:val="single" w:sz="8" w:color="434F69"/>
            </w:tcBorders>
            <w:shd w:val="clear" w:color="auto" w:fill="434F69"/>
          </w:tcPr>
          <w:p>
            <w:pPr>
              <w:spacing w:after="0"/>
              <w:rPr>
                <w:sz w:val="20"/>
                <w:szCs w:val="20"/>
                <w:color w:val="auto"/>
              </w:rPr>
            </w:pPr>
          </w:p>
        </w:tc>
        <w:tc>
          <w:tcPr>
            <w:tcW w:w="940" w:type="dxa"/>
            <w:vAlign w:val="bottom"/>
            <w:tcBorders>
              <w:right w:val="single" w:sz="8" w:color="434F69"/>
            </w:tcBorders>
            <w:shd w:val="clear" w:color="auto" w:fill="434F69"/>
          </w:tcPr>
          <w:p>
            <w:pPr>
              <w:spacing w:after="0"/>
              <w:rPr>
                <w:sz w:val="20"/>
                <w:szCs w:val="20"/>
                <w:color w:val="auto"/>
              </w:rPr>
            </w:pPr>
          </w:p>
        </w:tc>
        <w:tc>
          <w:tcPr>
            <w:tcW w:w="940" w:type="dxa"/>
            <w:vAlign w:val="bottom"/>
            <w:tcBorders>
              <w:right w:val="single" w:sz="8" w:color="434F69"/>
            </w:tcBorders>
            <w:shd w:val="clear" w:color="auto" w:fill="434F69"/>
          </w:tcPr>
          <w:p>
            <w:pPr>
              <w:spacing w:after="0"/>
              <w:rPr>
                <w:sz w:val="20"/>
                <w:szCs w:val="20"/>
                <w:color w:val="auto"/>
              </w:rPr>
            </w:pP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1140" w:type="dxa"/>
            <w:vAlign w:val="bottom"/>
            <w:tcBorders>
              <w:right w:val="single" w:sz="8" w:color="697287"/>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Grant Date</w:t>
            </w:r>
          </w:p>
        </w:tc>
        <w:tc>
          <w:tcPr>
            <w:tcW w:w="0" w:type="dxa"/>
            <w:vAlign w:val="bottom"/>
          </w:tcPr>
          <w:p>
            <w:pPr>
              <w:spacing w:after="0"/>
              <w:rPr>
                <w:sz w:val="1"/>
                <w:szCs w:val="1"/>
                <w:color w:val="auto"/>
              </w:rPr>
            </w:pPr>
          </w:p>
        </w:tc>
      </w:tr>
      <w:tr>
        <w:trPr>
          <w:trHeight w:val="158"/>
        </w:trPr>
        <w:tc>
          <w:tcPr>
            <w:tcW w:w="2380" w:type="dxa"/>
            <w:vAlign w:val="bottom"/>
            <w:tcBorders>
              <w:left w:val="single" w:sz="8" w:color="697287"/>
              <w:right w:val="single" w:sz="8" w:color="434F69"/>
            </w:tcBorders>
            <w:shd w:val="clear" w:color="auto" w:fill="434F69"/>
          </w:tcPr>
          <w:p>
            <w:pPr>
              <w:spacing w:after="0"/>
              <w:rPr>
                <w:sz w:val="13"/>
                <w:szCs w:val="13"/>
                <w:color w:val="auto"/>
              </w:rPr>
            </w:pPr>
          </w:p>
        </w:tc>
        <w:tc>
          <w:tcPr>
            <w:tcW w:w="840" w:type="dxa"/>
            <w:vAlign w:val="bottom"/>
            <w:tcBorders>
              <w:right w:val="single" w:sz="8" w:color="434F69"/>
            </w:tcBorders>
            <w:shd w:val="clear" w:color="auto" w:fill="434F69"/>
          </w:tcPr>
          <w:p>
            <w:pPr>
              <w:spacing w:after="0"/>
              <w:rPr>
                <w:sz w:val="13"/>
                <w:szCs w:val="13"/>
                <w:color w:val="auto"/>
              </w:rPr>
            </w:pPr>
          </w:p>
        </w:tc>
        <w:tc>
          <w:tcPr>
            <w:tcW w:w="2720" w:type="dxa"/>
            <w:vAlign w:val="bottom"/>
            <w:tcBorders>
              <w:right w:val="single" w:sz="8" w:color="434F69"/>
            </w:tcBorders>
            <w:gridSpan w:val="3"/>
            <w:shd w:val="clear" w:color="auto" w:fill="434F69"/>
          </w:tcPr>
          <w:p>
            <w:pPr>
              <w:jc w:val="right"/>
              <w:ind w:right="292"/>
              <w:spacing w:after="0" w:line="158" w:lineRule="exact"/>
              <w:rPr>
                <w:sz w:val="20"/>
                <w:szCs w:val="20"/>
                <w:color w:val="auto"/>
              </w:rPr>
            </w:pPr>
            <w:r>
              <w:rPr>
                <w:rFonts w:ascii="Arial" w:cs="Arial" w:eastAsia="Arial" w:hAnsi="Arial"/>
                <w:sz w:val="14"/>
                <w:szCs w:val="14"/>
                <w:b w:val="1"/>
                <w:bCs w:val="1"/>
                <w:color w:val="FFFFFF"/>
              </w:rPr>
              <w:t>Estimated Future Payouts Under</w:t>
            </w:r>
          </w:p>
        </w:tc>
        <w:tc>
          <w:tcPr>
            <w:tcW w:w="11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Stock Awards:</w:t>
            </w:r>
          </w:p>
        </w:tc>
        <w:tc>
          <w:tcPr>
            <w:tcW w:w="1140" w:type="dxa"/>
            <w:vAlign w:val="bottom"/>
            <w:tcBorders>
              <w:right w:val="single" w:sz="8" w:color="697287"/>
            </w:tcBorders>
            <w:vMerge w:val="continue"/>
            <w:shd w:val="clear" w:color="auto" w:fill="434F6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Borders>
              <w:left w:val="single" w:sz="8" w:color="697287"/>
              <w:right w:val="single" w:sz="8" w:color="434F69"/>
            </w:tcBorders>
            <w:shd w:val="clear" w:color="auto" w:fill="434F69"/>
          </w:tcPr>
          <w:p>
            <w:pPr>
              <w:spacing w:after="0"/>
              <w:rPr>
                <w:sz w:val="14"/>
                <w:szCs w:val="14"/>
                <w:color w:val="auto"/>
              </w:rPr>
            </w:pPr>
          </w:p>
        </w:tc>
        <w:tc>
          <w:tcPr>
            <w:tcW w:w="840" w:type="dxa"/>
            <w:vAlign w:val="bottom"/>
            <w:tcBorders>
              <w:right w:val="single" w:sz="8" w:color="434F69"/>
            </w:tcBorders>
            <w:shd w:val="clear" w:color="auto" w:fill="434F69"/>
          </w:tcPr>
          <w:p>
            <w:pPr>
              <w:spacing w:after="0"/>
              <w:rPr>
                <w:sz w:val="14"/>
                <w:szCs w:val="14"/>
                <w:color w:val="auto"/>
              </w:rPr>
            </w:pPr>
          </w:p>
        </w:tc>
        <w:tc>
          <w:tcPr>
            <w:tcW w:w="2720" w:type="dxa"/>
            <w:vAlign w:val="bottom"/>
            <w:tcBorders>
              <w:right w:val="single" w:sz="8" w:color="434F69"/>
            </w:tcBorders>
            <w:gridSpan w:val="3"/>
            <w:shd w:val="clear" w:color="auto" w:fill="434F69"/>
          </w:tcPr>
          <w:p>
            <w:pPr>
              <w:jc w:val="right"/>
              <w:ind w:right="212"/>
              <w:spacing w:after="0"/>
              <w:rPr>
                <w:sz w:val="20"/>
                <w:szCs w:val="20"/>
                <w:color w:val="auto"/>
              </w:rPr>
            </w:pPr>
            <w:r>
              <w:rPr>
                <w:rFonts w:ascii="Arial" w:cs="Arial" w:eastAsia="Arial" w:hAnsi="Arial"/>
                <w:sz w:val="14"/>
                <w:szCs w:val="14"/>
                <w:b w:val="1"/>
                <w:bCs w:val="1"/>
                <w:color w:val="FFFFFF"/>
              </w:rPr>
              <w:t>Non-Equity Incentive Plan Awards</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Number Of</w:t>
            </w:r>
          </w:p>
        </w:tc>
        <w:tc>
          <w:tcPr>
            <w:tcW w:w="114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Fair Value</w:t>
            </w:r>
          </w:p>
        </w:tc>
        <w:tc>
          <w:tcPr>
            <w:tcW w:w="0" w:type="dxa"/>
            <w:vAlign w:val="bottom"/>
          </w:tcPr>
          <w:p>
            <w:pPr>
              <w:spacing w:after="0"/>
              <w:rPr>
                <w:sz w:val="1"/>
                <w:szCs w:val="1"/>
                <w:color w:val="auto"/>
              </w:rPr>
            </w:pPr>
          </w:p>
        </w:tc>
      </w:tr>
      <w:tr>
        <w:trPr>
          <w:trHeight w:val="68"/>
        </w:trPr>
        <w:tc>
          <w:tcPr>
            <w:tcW w:w="2380" w:type="dxa"/>
            <w:vAlign w:val="bottom"/>
            <w:tcBorders>
              <w:left w:val="single" w:sz="8" w:color="697287"/>
              <w:bottom w:val="single" w:sz="8" w:color="434F69"/>
              <w:right w:val="single" w:sz="8" w:color="434F69"/>
            </w:tcBorders>
            <w:shd w:val="clear" w:color="auto" w:fill="434F69"/>
          </w:tcPr>
          <w:p>
            <w:pPr>
              <w:spacing w:after="0"/>
              <w:rPr>
                <w:sz w:val="5"/>
                <w:szCs w:val="5"/>
                <w:color w:val="auto"/>
              </w:rPr>
            </w:pPr>
          </w:p>
        </w:tc>
        <w:tc>
          <w:tcPr>
            <w:tcW w:w="840" w:type="dxa"/>
            <w:vAlign w:val="bottom"/>
            <w:tcBorders>
              <w:bottom w:val="single" w:sz="8" w:color="434F69"/>
              <w:right w:val="single" w:sz="8" w:color="434F69"/>
            </w:tcBorders>
            <w:shd w:val="clear" w:color="auto" w:fill="434F69"/>
          </w:tcPr>
          <w:p>
            <w:pPr>
              <w:spacing w:after="0"/>
              <w:rPr>
                <w:sz w:val="5"/>
                <w:szCs w:val="5"/>
                <w:color w:val="auto"/>
              </w:rPr>
            </w:pPr>
          </w:p>
        </w:tc>
        <w:tc>
          <w:tcPr>
            <w:tcW w:w="840" w:type="dxa"/>
            <w:vAlign w:val="bottom"/>
            <w:tcBorders>
              <w:bottom w:val="single" w:sz="8" w:color="auto"/>
              <w:right w:val="single" w:sz="8" w:color="434F69"/>
            </w:tcBorders>
            <w:shd w:val="clear" w:color="auto" w:fill="434F69"/>
          </w:tcPr>
          <w:p>
            <w:pPr>
              <w:spacing w:after="0"/>
              <w:rPr>
                <w:sz w:val="5"/>
                <w:szCs w:val="5"/>
                <w:color w:val="auto"/>
              </w:rPr>
            </w:pPr>
          </w:p>
        </w:tc>
        <w:tc>
          <w:tcPr>
            <w:tcW w:w="940" w:type="dxa"/>
            <w:vAlign w:val="bottom"/>
            <w:tcBorders>
              <w:bottom w:val="single" w:sz="8" w:color="auto"/>
              <w:right w:val="single" w:sz="8" w:color="434F69"/>
            </w:tcBorders>
            <w:shd w:val="clear" w:color="auto" w:fill="434F69"/>
          </w:tcPr>
          <w:p>
            <w:pPr>
              <w:spacing w:after="0"/>
              <w:rPr>
                <w:sz w:val="5"/>
                <w:szCs w:val="5"/>
                <w:color w:val="auto"/>
              </w:rPr>
            </w:pPr>
          </w:p>
        </w:tc>
        <w:tc>
          <w:tcPr>
            <w:tcW w:w="940" w:type="dxa"/>
            <w:vAlign w:val="bottom"/>
            <w:tcBorders>
              <w:bottom w:val="single" w:sz="8" w:color="auto"/>
              <w:right w:val="single" w:sz="8" w:color="434F69"/>
            </w:tcBorders>
            <w:shd w:val="clear" w:color="auto" w:fill="434F69"/>
          </w:tcPr>
          <w:p>
            <w:pPr>
              <w:spacing w:after="0"/>
              <w:rPr>
                <w:sz w:val="5"/>
                <w:szCs w:val="5"/>
                <w:color w:val="auto"/>
              </w:rPr>
            </w:pPr>
          </w:p>
        </w:tc>
        <w:tc>
          <w:tcPr>
            <w:tcW w:w="1140" w:type="dxa"/>
            <w:vAlign w:val="bottom"/>
            <w:tcBorders>
              <w:bottom w:val="single" w:sz="8" w:color="434F69"/>
              <w:right w:val="single" w:sz="8" w:color="434F69"/>
            </w:tcBorders>
            <w:vMerge w:val="restart"/>
            <w:shd w:val="clear" w:color="auto" w:fill="434F69"/>
          </w:tcPr>
          <w:p>
            <w:pPr>
              <w:jc w:val="center"/>
              <w:spacing w:after="0" w:line="153" w:lineRule="exact"/>
              <w:rPr>
                <w:sz w:val="20"/>
                <w:szCs w:val="20"/>
                <w:color w:val="auto"/>
              </w:rPr>
            </w:pPr>
            <w:r>
              <w:rPr>
                <w:rFonts w:ascii="Arial" w:cs="Arial" w:eastAsia="Arial" w:hAnsi="Arial"/>
                <w:sz w:val="14"/>
                <w:szCs w:val="14"/>
                <w:b w:val="1"/>
                <w:bCs w:val="1"/>
                <w:color w:val="FFFFFF"/>
                <w:w w:val="90"/>
              </w:rPr>
              <w:t>Shares Of</w:t>
            </w:r>
          </w:p>
        </w:tc>
        <w:tc>
          <w:tcPr>
            <w:tcW w:w="1140" w:type="dxa"/>
            <w:vAlign w:val="bottom"/>
            <w:tcBorders>
              <w:bottom w:val="single" w:sz="8" w:color="434F69"/>
              <w:right w:val="single" w:sz="8" w:color="697287"/>
            </w:tcBorders>
            <w:vMerge w:val="restart"/>
            <w:shd w:val="clear" w:color="auto" w:fill="434F69"/>
          </w:tcPr>
          <w:p>
            <w:pPr>
              <w:jc w:val="center"/>
              <w:spacing w:after="0" w:line="153" w:lineRule="exact"/>
              <w:rPr>
                <w:sz w:val="20"/>
                <w:szCs w:val="20"/>
                <w:color w:val="auto"/>
              </w:rPr>
            </w:pPr>
            <w:r>
              <w:rPr>
                <w:rFonts w:ascii="Arial" w:cs="Arial" w:eastAsia="Arial" w:hAnsi="Arial"/>
                <w:sz w:val="14"/>
                <w:szCs w:val="14"/>
                <w:b w:val="1"/>
                <w:bCs w:val="1"/>
                <w:color w:val="FFFFFF"/>
                <w:w w:val="94"/>
              </w:rPr>
              <w:t>Of Stock and</w:t>
            </w:r>
          </w:p>
        </w:tc>
        <w:tc>
          <w:tcPr>
            <w:tcW w:w="0" w:type="dxa"/>
            <w:vAlign w:val="bottom"/>
          </w:tcPr>
          <w:p>
            <w:pPr>
              <w:spacing w:after="0"/>
              <w:rPr>
                <w:sz w:val="1"/>
                <w:szCs w:val="1"/>
                <w:color w:val="auto"/>
              </w:rPr>
            </w:pPr>
          </w:p>
        </w:tc>
      </w:tr>
      <w:tr>
        <w:trPr>
          <w:trHeight w:val="65"/>
        </w:trPr>
        <w:tc>
          <w:tcPr>
            <w:tcW w:w="2380" w:type="dxa"/>
            <w:vAlign w:val="bottom"/>
            <w:tcBorders>
              <w:left w:val="single" w:sz="8" w:color="697287"/>
              <w:right w:val="single" w:sz="8" w:color="434F69"/>
            </w:tcBorders>
            <w:shd w:val="clear" w:color="auto" w:fill="434F69"/>
          </w:tcPr>
          <w:p>
            <w:pPr>
              <w:spacing w:after="0"/>
              <w:rPr>
                <w:sz w:val="5"/>
                <w:szCs w:val="5"/>
                <w:color w:val="auto"/>
              </w:rPr>
            </w:pPr>
          </w:p>
        </w:tc>
        <w:tc>
          <w:tcPr>
            <w:tcW w:w="840" w:type="dxa"/>
            <w:vAlign w:val="bottom"/>
            <w:tcBorders>
              <w:right w:val="single" w:sz="8" w:color="434F69"/>
            </w:tcBorders>
            <w:vMerge w:val="restart"/>
            <w:shd w:val="clear" w:color="auto" w:fill="434F69"/>
          </w:tcPr>
          <w:p>
            <w:pPr>
              <w:jc w:val="right"/>
              <w:ind w:right="152"/>
              <w:spacing w:after="0"/>
              <w:rPr>
                <w:sz w:val="20"/>
                <w:szCs w:val="20"/>
                <w:color w:val="auto"/>
              </w:rPr>
            </w:pPr>
            <w:r>
              <w:rPr>
                <w:rFonts w:ascii="Arial" w:cs="Arial" w:eastAsia="Arial" w:hAnsi="Arial"/>
                <w:sz w:val="14"/>
                <w:szCs w:val="14"/>
                <w:b w:val="1"/>
                <w:bCs w:val="1"/>
                <w:color w:val="FFFFFF"/>
              </w:rPr>
              <w:t>Grant</w:t>
            </w:r>
          </w:p>
        </w:tc>
        <w:tc>
          <w:tcPr>
            <w:tcW w:w="840" w:type="dxa"/>
            <w:vAlign w:val="bottom"/>
            <w:tcBorders>
              <w:right w:val="single" w:sz="8" w:color="434F69"/>
            </w:tcBorders>
            <w:vMerge w:val="restart"/>
            <w:shd w:val="clear" w:color="auto" w:fill="434F69"/>
          </w:tcPr>
          <w:p>
            <w:pPr>
              <w:jc w:val="right"/>
              <w:ind w:right="34"/>
              <w:spacing w:after="0"/>
              <w:rPr>
                <w:sz w:val="20"/>
                <w:szCs w:val="20"/>
                <w:color w:val="auto"/>
              </w:rPr>
            </w:pPr>
            <w:r>
              <w:rPr>
                <w:rFonts w:ascii="Arial" w:cs="Arial" w:eastAsia="Arial" w:hAnsi="Arial"/>
                <w:sz w:val="14"/>
                <w:szCs w:val="14"/>
                <w:b w:val="1"/>
                <w:bCs w:val="1"/>
                <w:color w:val="FFFFFF"/>
              </w:rPr>
              <w:t>Threshold</w:t>
            </w:r>
          </w:p>
        </w:tc>
        <w:tc>
          <w:tcPr>
            <w:tcW w:w="940" w:type="dxa"/>
            <w:vAlign w:val="bottom"/>
            <w:tcBorders>
              <w:right w:val="single" w:sz="8" w:color="434F69"/>
            </w:tcBorders>
            <w:vMerge w:val="restart"/>
            <w:shd w:val="clear" w:color="auto" w:fill="434F69"/>
          </w:tcPr>
          <w:p>
            <w:pPr>
              <w:jc w:val="right"/>
              <w:ind w:right="192"/>
              <w:spacing w:after="0"/>
              <w:rPr>
                <w:sz w:val="20"/>
                <w:szCs w:val="20"/>
                <w:color w:val="auto"/>
              </w:rPr>
            </w:pPr>
            <w:r>
              <w:rPr>
                <w:rFonts w:ascii="Arial" w:cs="Arial" w:eastAsia="Arial" w:hAnsi="Arial"/>
                <w:sz w:val="14"/>
                <w:szCs w:val="14"/>
                <w:b w:val="1"/>
                <w:bCs w:val="1"/>
                <w:color w:val="FFFFFF"/>
              </w:rPr>
              <w:t>Target</w:t>
            </w:r>
          </w:p>
        </w:tc>
        <w:tc>
          <w:tcPr>
            <w:tcW w:w="940" w:type="dxa"/>
            <w:vAlign w:val="bottom"/>
            <w:tcBorders>
              <w:right w:val="single" w:sz="8" w:color="434F69"/>
            </w:tcBorders>
            <w:vMerge w:val="restart"/>
            <w:shd w:val="clear" w:color="auto" w:fill="434F69"/>
          </w:tcPr>
          <w:p>
            <w:pPr>
              <w:jc w:val="right"/>
              <w:ind w:right="72"/>
              <w:spacing w:after="0"/>
              <w:rPr>
                <w:sz w:val="20"/>
                <w:szCs w:val="20"/>
                <w:color w:val="auto"/>
              </w:rPr>
            </w:pPr>
            <w:r>
              <w:rPr>
                <w:rFonts w:ascii="Arial" w:cs="Arial" w:eastAsia="Arial" w:hAnsi="Arial"/>
                <w:sz w:val="14"/>
                <w:szCs w:val="14"/>
                <w:b w:val="1"/>
                <w:bCs w:val="1"/>
                <w:color w:val="FFFFFF"/>
              </w:rPr>
              <w:t>Maximum</w:t>
            </w:r>
          </w:p>
        </w:tc>
        <w:tc>
          <w:tcPr>
            <w:tcW w:w="1140" w:type="dxa"/>
            <w:vAlign w:val="bottom"/>
            <w:tcBorders>
              <w:right w:val="single" w:sz="8" w:color="434F69"/>
            </w:tcBorders>
            <w:vMerge w:val="continue"/>
            <w:shd w:val="clear" w:color="auto" w:fill="434F69"/>
          </w:tcPr>
          <w:p>
            <w:pPr>
              <w:spacing w:after="0"/>
              <w:rPr>
                <w:sz w:val="5"/>
                <w:szCs w:val="5"/>
                <w:color w:val="auto"/>
              </w:rPr>
            </w:pPr>
          </w:p>
        </w:tc>
        <w:tc>
          <w:tcPr>
            <w:tcW w:w="1140" w:type="dxa"/>
            <w:vAlign w:val="bottom"/>
            <w:tcBorders>
              <w:right w:val="single" w:sz="8" w:color="697287"/>
            </w:tcBorders>
            <w:vMerge w:val="continue"/>
            <w:shd w:val="clear" w:color="auto" w:fill="434F69"/>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380" w:type="dxa"/>
            <w:vAlign w:val="bottom"/>
            <w:tcBorders>
              <w:left w:val="single" w:sz="8" w:color="697287"/>
              <w:right w:val="single" w:sz="8" w:color="434F69"/>
            </w:tcBorders>
            <w:shd w:val="clear" w:color="auto" w:fill="434F69"/>
          </w:tcPr>
          <w:p>
            <w:pPr>
              <w:spacing w:after="0"/>
              <w:rPr>
                <w:sz w:val="13"/>
                <w:szCs w:val="13"/>
                <w:color w:val="auto"/>
              </w:rPr>
            </w:pPr>
          </w:p>
        </w:tc>
        <w:tc>
          <w:tcPr>
            <w:tcW w:w="840" w:type="dxa"/>
            <w:vAlign w:val="bottom"/>
            <w:tcBorders>
              <w:right w:val="single" w:sz="8" w:color="434F69"/>
            </w:tcBorders>
            <w:vMerge w:val="continue"/>
            <w:shd w:val="clear" w:color="auto" w:fill="434F69"/>
          </w:tcPr>
          <w:p>
            <w:pPr>
              <w:spacing w:after="0"/>
              <w:rPr>
                <w:sz w:val="13"/>
                <w:szCs w:val="13"/>
                <w:color w:val="auto"/>
              </w:rPr>
            </w:pPr>
          </w:p>
        </w:tc>
        <w:tc>
          <w:tcPr>
            <w:tcW w:w="840" w:type="dxa"/>
            <w:vAlign w:val="bottom"/>
            <w:tcBorders>
              <w:right w:val="single" w:sz="8" w:color="434F69"/>
            </w:tcBorders>
            <w:vMerge w:val="continue"/>
            <w:shd w:val="clear" w:color="auto" w:fill="434F69"/>
          </w:tcPr>
          <w:p>
            <w:pPr>
              <w:spacing w:after="0"/>
              <w:rPr>
                <w:sz w:val="13"/>
                <w:szCs w:val="13"/>
                <w:color w:val="auto"/>
              </w:rPr>
            </w:pPr>
          </w:p>
        </w:tc>
        <w:tc>
          <w:tcPr>
            <w:tcW w:w="940" w:type="dxa"/>
            <w:vAlign w:val="bottom"/>
            <w:tcBorders>
              <w:right w:val="single" w:sz="8" w:color="434F69"/>
            </w:tcBorders>
            <w:vMerge w:val="continue"/>
            <w:shd w:val="clear" w:color="auto" w:fill="434F69"/>
          </w:tcPr>
          <w:p>
            <w:pPr>
              <w:spacing w:after="0"/>
              <w:rPr>
                <w:sz w:val="13"/>
                <w:szCs w:val="13"/>
                <w:color w:val="auto"/>
              </w:rPr>
            </w:pPr>
          </w:p>
        </w:tc>
        <w:tc>
          <w:tcPr>
            <w:tcW w:w="940" w:type="dxa"/>
            <w:vAlign w:val="bottom"/>
            <w:tcBorders>
              <w:right w:val="single" w:sz="8" w:color="434F69"/>
            </w:tcBorders>
            <w:vMerge w:val="continue"/>
            <w:shd w:val="clear" w:color="auto" w:fill="434F69"/>
          </w:tcPr>
          <w:p>
            <w:pPr>
              <w:spacing w:after="0"/>
              <w:rPr>
                <w:sz w:val="13"/>
                <w:szCs w:val="13"/>
                <w:color w:val="auto"/>
              </w:rPr>
            </w:pPr>
          </w:p>
        </w:tc>
        <w:tc>
          <w:tcPr>
            <w:tcW w:w="1140" w:type="dxa"/>
            <w:vAlign w:val="bottom"/>
            <w:tcBorders>
              <w:right w:val="single" w:sz="8" w:color="434F69"/>
            </w:tcBorders>
            <w:shd w:val="clear" w:color="auto" w:fill="434F69"/>
          </w:tcPr>
          <w:p>
            <w:pPr>
              <w:jc w:val="center"/>
              <w:spacing w:after="0" w:line="156" w:lineRule="exact"/>
              <w:rPr>
                <w:sz w:val="20"/>
                <w:szCs w:val="20"/>
                <w:color w:val="auto"/>
              </w:rPr>
            </w:pPr>
            <w:r>
              <w:rPr>
                <w:rFonts w:ascii="Arial" w:cs="Arial" w:eastAsia="Arial" w:hAnsi="Arial"/>
                <w:sz w:val="14"/>
                <w:szCs w:val="14"/>
                <w:b w:val="1"/>
                <w:bCs w:val="1"/>
                <w:color w:val="FFFFFF"/>
                <w:w w:val="92"/>
              </w:rPr>
              <w:t>Stock or Units</w:t>
            </w:r>
          </w:p>
        </w:tc>
        <w:tc>
          <w:tcPr>
            <w:tcW w:w="1140" w:type="dxa"/>
            <w:vAlign w:val="bottom"/>
            <w:tcBorders>
              <w:right w:val="single" w:sz="8" w:color="697287"/>
            </w:tcBorders>
            <w:shd w:val="clear" w:color="auto" w:fill="434F69"/>
          </w:tcPr>
          <w:p>
            <w:pPr>
              <w:jc w:val="center"/>
              <w:spacing w:after="0" w:line="156" w:lineRule="exact"/>
              <w:rPr>
                <w:sz w:val="20"/>
                <w:szCs w:val="20"/>
                <w:color w:val="auto"/>
              </w:rPr>
            </w:pPr>
            <w:r>
              <w:rPr>
                <w:rFonts w:ascii="Arial" w:cs="Arial" w:eastAsia="Arial" w:hAnsi="Arial"/>
                <w:sz w:val="14"/>
                <w:szCs w:val="14"/>
                <w:b w:val="1"/>
                <w:bCs w:val="1"/>
                <w:color w:val="FFFFFF"/>
                <w:w w:val="94"/>
              </w:rPr>
              <w:t>Option Awards</w:t>
            </w:r>
          </w:p>
        </w:tc>
        <w:tc>
          <w:tcPr>
            <w:tcW w:w="0" w:type="dxa"/>
            <w:vAlign w:val="bottom"/>
          </w:tcPr>
          <w:p>
            <w:pPr>
              <w:spacing w:after="0"/>
              <w:rPr>
                <w:sz w:val="1"/>
                <w:szCs w:val="1"/>
                <w:color w:val="auto"/>
              </w:rPr>
            </w:pPr>
          </w:p>
        </w:tc>
      </w:tr>
      <w:tr>
        <w:trPr>
          <w:trHeight w:val="204"/>
        </w:trPr>
        <w:tc>
          <w:tcPr>
            <w:tcW w:w="2380" w:type="dxa"/>
            <w:vAlign w:val="bottom"/>
            <w:tcBorders>
              <w:left w:val="single" w:sz="8" w:color="697287"/>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840" w:type="dxa"/>
            <w:vAlign w:val="bottom"/>
            <w:tcBorders>
              <w:right w:val="single" w:sz="8" w:color="434F69"/>
            </w:tcBorders>
            <w:shd w:val="clear" w:color="auto" w:fill="434F69"/>
          </w:tcPr>
          <w:p>
            <w:pPr>
              <w:jc w:val="right"/>
              <w:ind w:right="212"/>
              <w:spacing w:after="0"/>
              <w:rPr>
                <w:sz w:val="20"/>
                <w:szCs w:val="20"/>
                <w:color w:val="auto"/>
              </w:rPr>
            </w:pPr>
            <w:r>
              <w:rPr>
                <w:rFonts w:ascii="Arial" w:cs="Arial" w:eastAsia="Arial" w:hAnsi="Arial"/>
                <w:sz w:val="14"/>
                <w:szCs w:val="14"/>
                <w:b w:val="1"/>
                <w:bCs w:val="1"/>
                <w:color w:val="FFFFFF"/>
              </w:rPr>
              <w:t>Date</w:t>
            </w:r>
          </w:p>
        </w:tc>
        <w:tc>
          <w:tcPr>
            <w:tcW w:w="840" w:type="dxa"/>
            <w:vAlign w:val="bottom"/>
            <w:tcBorders>
              <w:right w:val="single" w:sz="8" w:color="434F69"/>
            </w:tcBorders>
            <w:shd w:val="clear" w:color="auto" w:fill="434F69"/>
          </w:tcPr>
          <w:p>
            <w:pPr>
              <w:jc w:val="right"/>
              <w:ind w:right="254"/>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right w:val="single" w:sz="8" w:color="434F69"/>
            </w:tcBorders>
            <w:shd w:val="clear" w:color="auto" w:fill="434F69"/>
          </w:tcPr>
          <w:p>
            <w:pPr>
              <w:jc w:val="right"/>
              <w:ind w:right="312"/>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right w:val="single" w:sz="8" w:color="434F69"/>
            </w:tcBorders>
            <w:shd w:val="clear" w:color="auto" w:fill="434F69"/>
          </w:tcPr>
          <w:p>
            <w:pPr>
              <w:jc w:val="right"/>
              <w:ind w:right="312"/>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tcBorders>
              <w:right w:val="single" w:sz="8" w:color="697287"/>
            </w:tcBorders>
            <w:shd w:val="clear" w:color="auto" w:fill="434F69"/>
          </w:tcPr>
          <w:p>
            <w:pPr>
              <w:jc w:val="center"/>
              <w:spacing w:after="0" w:line="204"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(3)</w:t>
            </w:r>
          </w:p>
        </w:tc>
        <w:tc>
          <w:tcPr>
            <w:tcW w:w="0" w:type="dxa"/>
            <w:vAlign w:val="bottom"/>
          </w:tcPr>
          <w:p>
            <w:pPr>
              <w:spacing w:after="0"/>
              <w:rPr>
                <w:sz w:val="1"/>
                <w:szCs w:val="1"/>
                <w:color w:val="auto"/>
              </w:rPr>
            </w:pPr>
          </w:p>
        </w:tc>
      </w:tr>
      <w:tr>
        <w:trPr>
          <w:trHeight w:val="250"/>
        </w:trPr>
        <w:tc>
          <w:tcPr>
            <w:tcW w:w="23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w w:val="99"/>
              </w:rPr>
              <w:t>1,500,000</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3,000,000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Borders>
              <w:left w:val="single" w:sz="8" w:color="697287"/>
              <w:bottom w:val="single" w:sz="8" w:color="434F69"/>
              <w:right w:val="single" w:sz="8" w:color="434F69"/>
            </w:tcBorders>
          </w:tcPr>
          <w:p>
            <w:pPr>
              <w:spacing w:after="0"/>
              <w:rPr>
                <w:sz w:val="22"/>
                <w:szCs w:val="22"/>
                <w:color w:val="auto"/>
              </w:rPr>
            </w:pP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125,740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1,273,118</w:t>
            </w:r>
          </w:p>
        </w:tc>
        <w:tc>
          <w:tcPr>
            <w:tcW w:w="0" w:type="dxa"/>
            <w:vAlign w:val="bottom"/>
          </w:tcPr>
          <w:p>
            <w:pPr>
              <w:spacing w:after="0"/>
              <w:rPr>
                <w:sz w:val="1"/>
                <w:szCs w:val="1"/>
                <w:color w:val="auto"/>
              </w:rPr>
            </w:pPr>
          </w:p>
        </w:tc>
      </w:tr>
      <w:tr>
        <w:trPr>
          <w:trHeight w:val="304"/>
        </w:trPr>
        <w:tc>
          <w:tcPr>
            <w:tcW w:w="2380" w:type="dxa"/>
            <w:vAlign w:val="bottom"/>
            <w:tcBorders>
              <w:left w:val="single" w:sz="8" w:color="697287"/>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697287"/>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w w:val="99"/>
              </w:rPr>
              <w:t>1,000,000</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2,000,000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380" w:type="dxa"/>
            <w:vAlign w:val="bottom"/>
            <w:tcBorders>
              <w:left w:val="single" w:sz="8" w:color="697287"/>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697287"/>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1,600,000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shd w:val="clear" w:color="auto" w:fill="D9DCE1"/>
          </w:tcPr>
          <w:p>
            <w:pPr>
              <w:jc w:val="right"/>
              <w:ind w:right="36"/>
              <w:spacing w:after="0" w:line="256" w:lineRule="exact"/>
              <w:rPr>
                <w:sz w:val="20"/>
                <w:szCs w:val="20"/>
                <w:color w:val="auto"/>
              </w:rPr>
            </w:pPr>
            <w:r>
              <w:rPr>
                <w:rFonts w:ascii="Arial" w:cs="Arial" w:eastAsia="Arial" w:hAnsi="Arial"/>
                <w:sz w:val="18"/>
                <w:szCs w:val="18"/>
                <w:color w:val="auto"/>
              </w:rPr>
              <w:t>50,300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509,288</w:t>
            </w:r>
          </w:p>
        </w:tc>
        <w:tc>
          <w:tcPr>
            <w:tcW w:w="0" w:type="dxa"/>
            <w:vAlign w:val="bottom"/>
          </w:tcPr>
          <w:p>
            <w:pPr>
              <w:spacing w:after="0"/>
              <w:rPr>
                <w:sz w:val="1"/>
                <w:szCs w:val="1"/>
                <w:color w:val="auto"/>
              </w:rPr>
            </w:pPr>
          </w:p>
        </w:tc>
      </w:tr>
      <w:tr>
        <w:trPr>
          <w:trHeight w:val="304"/>
        </w:trPr>
        <w:tc>
          <w:tcPr>
            <w:tcW w:w="2380" w:type="dxa"/>
            <w:vAlign w:val="bottom"/>
            <w:tcBorders>
              <w:left w:val="single" w:sz="8" w:color="697287"/>
              <w:bottom w:val="single" w:sz="8" w:color="434F69"/>
              <w:right w:val="single" w:sz="8" w:color="434F69"/>
            </w:tcBorders>
          </w:tcPr>
          <w:p>
            <w:pPr>
              <w:spacing w:after="0"/>
              <w:rPr>
                <w:sz w:val="24"/>
                <w:szCs w:val="24"/>
                <w:color w:val="auto"/>
              </w:rPr>
            </w:pPr>
          </w:p>
        </w:tc>
        <w:tc>
          <w:tcPr>
            <w:tcW w:w="840" w:type="dxa"/>
            <w:vAlign w:val="bottom"/>
            <w:tcBorders>
              <w:bottom w:val="single" w:sz="8" w:color="434F69"/>
              <w:right w:val="single" w:sz="8" w:color="434F69"/>
            </w:tcBorders>
          </w:tcPr>
          <w:p>
            <w:pPr>
              <w:spacing w:after="0"/>
              <w:rPr>
                <w:sz w:val="24"/>
                <w:szCs w:val="24"/>
                <w:color w:val="auto"/>
              </w:rPr>
            </w:pPr>
          </w:p>
        </w:tc>
        <w:tc>
          <w:tcPr>
            <w:tcW w:w="840" w:type="dxa"/>
            <w:vAlign w:val="bottom"/>
            <w:tcBorders>
              <w:bottom w:val="single" w:sz="8" w:color="434F69"/>
              <w:right w:val="single" w:sz="8" w:color="434F69"/>
            </w:tcBorders>
          </w:tcPr>
          <w:p>
            <w:pPr>
              <w:spacing w:after="0"/>
              <w:rPr>
                <w:sz w:val="24"/>
                <w:szCs w:val="24"/>
                <w:color w:val="auto"/>
              </w:rPr>
            </w:pPr>
          </w:p>
        </w:tc>
        <w:tc>
          <w:tcPr>
            <w:tcW w:w="940" w:type="dxa"/>
            <w:vAlign w:val="bottom"/>
            <w:tcBorders>
              <w:bottom w:val="single" w:sz="8" w:color="434F69"/>
              <w:right w:val="single" w:sz="8" w:color="434F69"/>
            </w:tcBorders>
          </w:tcPr>
          <w:p>
            <w:pPr>
              <w:spacing w:after="0"/>
              <w:rPr>
                <w:sz w:val="24"/>
                <w:szCs w:val="24"/>
                <w:color w:val="auto"/>
              </w:rPr>
            </w:pPr>
          </w:p>
        </w:tc>
        <w:tc>
          <w:tcPr>
            <w:tcW w:w="940" w:type="dxa"/>
            <w:vAlign w:val="bottom"/>
            <w:tcBorders>
              <w:bottom w:val="single" w:sz="8" w:color="434F69"/>
              <w:right w:val="single" w:sz="8" w:color="434F69"/>
            </w:tcBorders>
          </w:tcPr>
          <w:p>
            <w:pPr>
              <w:spacing w:after="0"/>
              <w:rPr>
                <w:sz w:val="24"/>
                <w:szCs w:val="24"/>
                <w:color w:val="auto"/>
              </w:rPr>
            </w:pPr>
          </w:p>
        </w:tc>
        <w:tc>
          <w:tcPr>
            <w:tcW w:w="1140" w:type="dxa"/>
            <w:vAlign w:val="bottom"/>
            <w:tcBorders>
              <w:bottom w:val="single" w:sz="8" w:color="434F69"/>
              <w:right w:val="single" w:sz="8" w:color="434F69"/>
            </w:tcBorders>
          </w:tcPr>
          <w:p>
            <w:pPr>
              <w:spacing w:after="0"/>
              <w:rPr>
                <w:sz w:val="24"/>
                <w:szCs w:val="24"/>
                <w:color w:val="auto"/>
              </w:rPr>
            </w:pPr>
          </w:p>
        </w:tc>
        <w:tc>
          <w:tcPr>
            <w:tcW w:w="1140" w:type="dxa"/>
            <w:vAlign w:val="bottom"/>
            <w:tcBorders>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1,600,000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Borders>
              <w:left w:val="single" w:sz="8" w:color="697287"/>
              <w:bottom w:val="single" w:sz="8" w:color="434F69"/>
              <w:right w:val="single" w:sz="8" w:color="434F69"/>
            </w:tcBorders>
          </w:tcPr>
          <w:p>
            <w:pPr>
              <w:spacing w:after="0"/>
              <w:rPr>
                <w:sz w:val="22"/>
                <w:szCs w:val="22"/>
                <w:color w:val="auto"/>
              </w:rPr>
            </w:pP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50,300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509,288</w:t>
            </w:r>
          </w:p>
        </w:tc>
        <w:tc>
          <w:tcPr>
            <w:tcW w:w="0" w:type="dxa"/>
            <w:vAlign w:val="bottom"/>
          </w:tcPr>
          <w:p>
            <w:pPr>
              <w:spacing w:after="0"/>
              <w:rPr>
                <w:sz w:val="1"/>
                <w:szCs w:val="1"/>
                <w:color w:val="auto"/>
              </w:rPr>
            </w:pPr>
          </w:p>
        </w:tc>
      </w:tr>
      <w:tr>
        <w:trPr>
          <w:trHeight w:val="304"/>
        </w:trPr>
        <w:tc>
          <w:tcPr>
            <w:tcW w:w="2380" w:type="dxa"/>
            <w:vAlign w:val="bottom"/>
            <w:tcBorders>
              <w:left w:val="single" w:sz="8" w:color="697287"/>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697287"/>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1,600,000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shd w:val="clear" w:color="auto" w:fill="D9DCE1"/>
          </w:tcPr>
          <w:p>
            <w:pPr>
              <w:jc w:val="right"/>
              <w:ind w:right="36"/>
              <w:spacing w:after="0" w:line="256" w:lineRule="exact"/>
              <w:rPr>
                <w:sz w:val="20"/>
                <w:szCs w:val="20"/>
                <w:color w:val="auto"/>
              </w:rPr>
            </w:pPr>
            <w:r>
              <w:rPr>
                <w:rFonts w:ascii="Arial" w:cs="Arial" w:eastAsia="Arial" w:hAnsi="Arial"/>
                <w:sz w:val="18"/>
                <w:szCs w:val="18"/>
                <w:color w:val="auto"/>
              </w:rPr>
              <w:t>50,300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509,288</w:t>
            </w:r>
          </w:p>
        </w:tc>
        <w:tc>
          <w:tcPr>
            <w:tcW w:w="0" w:type="dxa"/>
            <w:vAlign w:val="bottom"/>
          </w:tcPr>
          <w:p>
            <w:pPr>
              <w:spacing w:after="0"/>
              <w:rPr>
                <w:sz w:val="1"/>
                <w:szCs w:val="1"/>
                <w:color w:val="auto"/>
              </w:rPr>
            </w:pPr>
          </w:p>
        </w:tc>
      </w:tr>
      <w:tr>
        <w:trPr>
          <w:trHeight w:val="250"/>
        </w:trPr>
        <w:tc>
          <w:tcPr>
            <w:tcW w:w="2380" w:type="dxa"/>
            <w:vAlign w:val="bottom"/>
            <w:tcBorders>
              <w:left w:val="single" w:sz="8" w:color="697287"/>
              <w:bottom w:val="single" w:sz="8" w:color="434F69"/>
              <w:right w:val="single" w:sz="8" w:color="434F69"/>
            </w:tcBorders>
          </w:tcPr>
          <w:p>
            <w:pPr>
              <w:spacing w:after="0"/>
              <w:rPr>
                <w:sz w:val="21"/>
                <w:szCs w:val="21"/>
                <w:color w:val="auto"/>
              </w:rPr>
            </w:pP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w w:val="99"/>
              </w:rPr>
              <w:t>11/21/19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tcPr>
          <w:p>
            <w:pPr>
              <w:jc w:val="right"/>
              <w:ind w:right="36"/>
              <w:spacing w:after="0" w:line="250" w:lineRule="exact"/>
              <w:rPr>
                <w:sz w:val="20"/>
                <w:szCs w:val="20"/>
                <w:color w:val="auto"/>
              </w:rPr>
            </w:pPr>
            <w:r>
              <w:rPr>
                <w:rFonts w:ascii="Arial" w:cs="Arial" w:eastAsia="Arial" w:hAnsi="Arial"/>
                <w:sz w:val="18"/>
                <w:szCs w:val="18"/>
                <w:color w:val="auto"/>
              </w:rPr>
              <w:t>500,000</w:t>
            </w:r>
            <w:r>
              <w:rPr>
                <w:rFonts w:ascii="Arial" w:cs="Arial" w:eastAsia="Arial" w:hAnsi="Arial"/>
                <w:sz w:val="26"/>
                <w:szCs w:val="26"/>
                <w:color w:val="auto"/>
                <w:vertAlign w:val="superscript"/>
              </w:rPr>
              <w:t>(2)</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3,901,500</w:t>
            </w:r>
          </w:p>
        </w:tc>
        <w:tc>
          <w:tcPr>
            <w:tcW w:w="0" w:type="dxa"/>
            <w:vAlign w:val="bottom"/>
          </w:tcPr>
          <w:p>
            <w:pPr>
              <w:spacing w:after="0"/>
              <w:rPr>
                <w:sz w:val="1"/>
                <w:szCs w:val="1"/>
                <w:color w:val="auto"/>
              </w:rPr>
            </w:pPr>
          </w:p>
        </w:tc>
      </w:tr>
      <w:tr>
        <w:trPr>
          <w:trHeight w:val="304"/>
        </w:trPr>
        <w:tc>
          <w:tcPr>
            <w:tcW w:w="2380" w:type="dxa"/>
            <w:vAlign w:val="bottom"/>
            <w:tcBorders>
              <w:left w:val="single" w:sz="8" w:color="697287"/>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697287"/>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1,600,000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shd w:val="clear" w:color="auto" w:fill="D9DCE1"/>
          </w:tcPr>
          <w:p>
            <w:pPr>
              <w:jc w:val="right"/>
              <w:ind w:right="36"/>
              <w:spacing w:after="0" w:line="256" w:lineRule="exact"/>
              <w:rPr>
                <w:sz w:val="20"/>
                <w:szCs w:val="20"/>
                <w:color w:val="auto"/>
              </w:rPr>
            </w:pPr>
            <w:r>
              <w:rPr>
                <w:rFonts w:ascii="Arial" w:cs="Arial" w:eastAsia="Arial" w:hAnsi="Arial"/>
                <w:sz w:val="18"/>
                <w:szCs w:val="18"/>
                <w:color w:val="auto"/>
              </w:rPr>
              <w:t>50,300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509,288</w:t>
            </w:r>
          </w:p>
        </w:tc>
        <w:tc>
          <w:tcPr>
            <w:tcW w:w="0" w:type="dxa"/>
            <w:vAlign w:val="bottom"/>
          </w:tcPr>
          <w:p>
            <w:pPr>
              <w:spacing w:after="0"/>
              <w:rPr>
                <w:sz w:val="1"/>
                <w:szCs w:val="1"/>
                <w:color w:val="auto"/>
              </w:rPr>
            </w:pPr>
          </w:p>
        </w:tc>
      </w:tr>
      <w:tr>
        <w:trPr>
          <w:trHeight w:val="250"/>
        </w:trPr>
        <w:tc>
          <w:tcPr>
            <w:tcW w:w="2380" w:type="dxa"/>
            <w:vAlign w:val="bottom"/>
            <w:tcBorders>
              <w:left w:val="single" w:sz="8" w:color="697287"/>
              <w:bottom w:val="single" w:sz="8" w:color="434F69"/>
              <w:right w:val="single" w:sz="8" w:color="434F69"/>
            </w:tcBorders>
          </w:tcPr>
          <w:p>
            <w:pPr>
              <w:spacing w:after="0"/>
              <w:rPr>
                <w:sz w:val="21"/>
                <w:szCs w:val="21"/>
                <w:color w:val="auto"/>
              </w:rPr>
            </w:pP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w w:val="99"/>
              </w:rPr>
              <w:t>11/21/19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tcPr>
          <w:p>
            <w:pPr>
              <w:jc w:val="right"/>
              <w:ind w:right="36"/>
              <w:spacing w:after="0" w:line="250" w:lineRule="exact"/>
              <w:rPr>
                <w:sz w:val="20"/>
                <w:szCs w:val="20"/>
                <w:color w:val="auto"/>
              </w:rPr>
            </w:pPr>
            <w:r>
              <w:rPr>
                <w:rFonts w:ascii="Arial" w:cs="Arial" w:eastAsia="Arial" w:hAnsi="Arial"/>
                <w:sz w:val="18"/>
                <w:szCs w:val="18"/>
                <w:color w:val="auto"/>
              </w:rPr>
              <w:t>500,000</w:t>
            </w:r>
            <w:r>
              <w:rPr>
                <w:rFonts w:ascii="Arial" w:cs="Arial" w:eastAsia="Arial" w:hAnsi="Arial"/>
                <w:sz w:val="26"/>
                <w:szCs w:val="26"/>
                <w:color w:val="auto"/>
                <w:vertAlign w:val="superscript"/>
              </w:rPr>
              <w:t>(2)</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3,901,500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-3539490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-3539490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4" w:lineRule="exact"/>
        <w:rPr>
          <w:sz w:val="20"/>
          <w:szCs w:val="20"/>
          <w:color w:val="auto"/>
        </w:rPr>
      </w:pPr>
    </w:p>
    <w:p>
      <w:pPr>
        <w:ind w:left="1620" w:right="779" w:hanging="358"/>
        <w:spacing w:after="0" w:line="250"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7"/>
          <w:szCs w:val="17"/>
          <w:color w:val="auto"/>
        </w:rPr>
        <w:t>These phantom units will vest 50% on the August 2022 distribution date and 50%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(i) 50% on the August 2020 distribution date and (ii) 50% on the first distribution date following January 1, 2021 on which PAA achieves DCF per common unit of at least $2.50 on a trailing four quarter basis.</w:t>
      </w:r>
    </w:p>
    <w:p>
      <w:pPr>
        <w:spacing w:after="0" w:line="59" w:lineRule="exact"/>
        <w:rPr>
          <w:rFonts w:ascii="Arial" w:cs="Arial" w:eastAsia="Arial" w:hAnsi="Arial"/>
          <w:sz w:val="26"/>
          <w:szCs w:val="26"/>
          <w:color w:val="auto"/>
          <w:vertAlign w:val="superscript"/>
        </w:rPr>
      </w:pPr>
    </w:p>
    <w:p>
      <w:pPr>
        <w:ind w:left="1620" w:right="779" w:hanging="358"/>
        <w:spacing w:after="0" w:line="268" w:lineRule="auto"/>
        <w:tabs>
          <w:tab w:leader="none" w:pos="1620" w:val="left"/>
        </w:tabs>
        <w:numPr>
          <w:ilvl w:val="0"/>
          <w:numId w:val="52"/>
        </w:numPr>
        <w:rPr>
          <w:rFonts w:ascii="Arial" w:cs="Arial" w:eastAsia="Arial" w:hAnsi="Arial"/>
          <w:sz w:val="24"/>
          <w:szCs w:val="24"/>
          <w:color w:val="auto"/>
          <w:vertAlign w:val="superscript"/>
        </w:rPr>
      </w:pPr>
      <w:r>
        <w:rPr>
          <w:rFonts w:ascii="Arial" w:cs="Arial" w:eastAsia="Arial" w:hAnsi="Arial"/>
          <w:sz w:val="16"/>
          <w:szCs w:val="16"/>
          <w:color w:val="auto"/>
        </w:rPr>
        <w:t>These phantom units will vest (i) 50% on the August 2026 distribution date, (ii) 25% on the later of the August 2026 distribution date and the first distribution date following PAA’s achievement of DCF per common unit and common unit equivalent of at least $2.80 on a trailing four quarter basis, and (iii) 25% on the later of the August 2026 distribution date and the first distribution date following PAA’s achievement of DCF per common unit and common unit equivalent of at least $3.15 on a trailing four quarter basis. These phantom units also provide that if Mr. Chandler’s or Mr. Goebel’s employment is terminated other than for cause, a portion of the unvested phantom units will be deemed nonforfeitable and will vest on the next following distribution date, with the size of the portion starting at 20% for a termination prior to November 20, 2021, and increasing by 20% per year thereafter such that 100% of the unvested</w:t>
      </w:r>
    </w:p>
    <w:p>
      <w:pPr>
        <w:spacing w:after="0" w:line="6" w:lineRule="exact"/>
        <w:rPr>
          <w:rFonts w:ascii="Arial" w:cs="Arial" w:eastAsia="Arial" w:hAnsi="Arial"/>
          <w:sz w:val="24"/>
          <w:szCs w:val="24"/>
          <w:color w:val="auto"/>
          <w:vertAlign w:val="superscript"/>
        </w:rPr>
      </w:pPr>
    </w:p>
    <w:p>
      <w:pPr>
        <w:ind w:left="1620" w:right="799"/>
        <w:spacing w:after="0" w:line="269" w:lineRule="auto"/>
        <w:rPr>
          <w:rFonts w:ascii="Arial" w:cs="Arial" w:eastAsia="Arial" w:hAnsi="Arial"/>
          <w:sz w:val="24"/>
          <w:szCs w:val="24"/>
          <w:color w:val="auto"/>
          <w:vertAlign w:val="superscript"/>
        </w:rPr>
      </w:pPr>
      <w:r>
        <w:rPr>
          <w:rFonts w:ascii="Arial" w:cs="Arial" w:eastAsia="Arial" w:hAnsi="Arial"/>
          <w:sz w:val="17"/>
          <w:szCs w:val="17"/>
          <w:color w:val="auto"/>
        </w:rPr>
        <w:t>phantom units would be deemed nonforfeitable following a termination other than for cause on or after November 20, 2024. The associated DERs will vest (i) 20% each on the August 2020, August 2021 and August 2022 distribution dates (60% total), (ii) 20% on the first distribution date following PAA’s achievement of DCF per common unit and common unit equivalent of at least $2.70 on a trailing four quarter basis, and (iii) 20% on the first distribution date following PAA’s achievement of DCF per common unit and common unit equivalent of at least $2.90 on a trailing four quarter basis. The applicable trailing four quarter period for determining whether the requisite</w:t>
      </w:r>
    </w:p>
    <w:p>
      <w:pPr>
        <w:sectPr>
          <w:pgSz w:w="11900" w:h="16838" w:orient="portrait"/>
          <w:cols w:equalWidth="0" w:num="1">
            <w:col w:w="10139"/>
          </w:cols>
          <w:pgMar w:left="320" w:top="132" w:right="1440" w:bottom="1440" w:gutter="0" w:footer="0" w:header="0"/>
        </w:sectPr>
      </w:pP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39"/>
        <w:spacing w:after="0" w:line="290" w:lineRule="auto"/>
        <w:rPr>
          <w:sz w:val="20"/>
          <w:szCs w:val="20"/>
          <w:color w:val="auto"/>
        </w:rPr>
      </w:pPr>
      <w:r>
        <w:rPr>
          <w:rFonts w:ascii="Arial" w:cs="Arial" w:eastAsia="Arial" w:hAnsi="Arial"/>
          <w:sz w:val="16"/>
          <w:szCs w:val="16"/>
          <w:color w:val="auto"/>
        </w:rPr>
        <w:t>DCF per common unit and common unit equivalent has been achieved for vesting of phantom units and DERs may not begin until on or after January 1, 2020. Any phantom units that have not vested by the August 2028 distribution date and any associated DERs (regardless of vesting) will be forfeited. These phantom units also include other terms and provisions that are customarily included in LTIP awards issued by PAA to its senior executive officers, including a “double trigger” change of control provision that generally provides for 100% vesting of all unvested phantom units in the event of a change of control of PAA that results in a termination of Mr. Chandler’s or Mr. Goebel’s employment, a material diminution in their authority, duty or responsibilities or a material reduction of their base salary.</w:t>
      </w:r>
    </w:p>
    <w:p>
      <w:pPr>
        <w:spacing w:after="0" w:line="44" w:lineRule="exact"/>
        <w:rPr>
          <w:sz w:val="20"/>
          <w:szCs w:val="20"/>
          <w:color w:val="auto"/>
        </w:rPr>
      </w:pPr>
    </w:p>
    <w:p>
      <w:pPr>
        <w:ind w:left="1620" w:right="739" w:hanging="358"/>
        <w:spacing w:after="0" w:line="239"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2019 based on the probable outcome of underlying performance conditions pursuant to FASB ASC Topic 718. For phantom unit grants awarded in August 2019, 50% were deemed probable of vesting on the grant date. The maximum fair value of phantom unit grants awarded in August 2019, assuming that the highest level of performance conditions will be met, was $2,403,520 for Mr. Chiang and $961,485 for each of Messrs. Swanson, McGee, Chandler and Goebel. For phantom unit grants awarded in November 2019, 50% were deemed probable of vesting on the grant date. The maximum fair value of phantom unit grants awarded in November 2019, assuming that the highest level of performance conditions will be met, was $6,865,000 for each of Messrs. Chandler and Goebel.</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48" w:lineRule="exact"/>
        <w:rPr>
          <w:sz w:val="20"/>
          <w:szCs w:val="20"/>
          <w:color w:val="auto"/>
        </w:rPr>
      </w:pPr>
    </w:p>
    <w:p>
      <w:pPr>
        <w:jc w:val="both"/>
        <w:ind w:left="1260" w:right="859" w:firstLine="360"/>
        <w:spacing w:after="0" w:line="263"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62" w:lineRule="exact"/>
        <w:rPr>
          <w:sz w:val="20"/>
          <w:szCs w:val="20"/>
          <w:color w:val="auto"/>
        </w:rPr>
      </w:pPr>
    </w:p>
    <w:p>
      <w:pPr>
        <w:ind w:left="1260" w:right="699" w:firstLine="360"/>
        <w:spacing w:after="0" w:line="284" w:lineRule="auto"/>
        <w:rPr>
          <w:sz w:val="20"/>
          <w:szCs w:val="20"/>
          <w:color w:val="auto"/>
        </w:rPr>
      </w:pPr>
      <w:r>
        <w:rPr>
          <w:rFonts w:ascii="Arial" w:cs="Arial" w:eastAsia="Arial" w:hAnsi="Arial"/>
          <w:sz w:val="16"/>
          <w:szCs w:val="16"/>
          <w:color w:val="auto"/>
        </w:rPr>
        <w:t>Mr. Chiang’s previous employment agreement was amended and restated in connection with his promotion to CEO in October 2018. Pursuant to the amended and restated agreement, which may be terminated by the Company or Mr. Chiang at any time, Mr. Chiang receives an annual salary of $600,000 plus other customary benefits generally available to all employees of the Company. Mr. Chiang’s annual cash bonus target is 250% of his annual base salary, subject to adjustment by the compensation committee and full Board. He is also eligible to receive phantom unit awards under our long-term incentive plan with an annual target value equal to 500% of his annual base salary. Pursuant to an ancillary Confidential Information and Non-Solicitation Agreement,</w:t>
      </w:r>
    </w:p>
    <w:p>
      <w:pPr>
        <w:spacing w:after="0" w:line="2"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Mr. Chiang has agreed to maintain the confidentiality of certain confidential information and not to solicit customers, assets or employees of the Company, in each case for a period of two years following termination of his employment.</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Pefanis is employed as President and Chief Commercial Officer. The initial three-year term of</w:t>
      </w:r>
    </w:p>
    <w:p>
      <w:pPr>
        <w:spacing w:after="0" w:line="23" w:lineRule="exact"/>
        <w:rPr>
          <w:sz w:val="20"/>
          <w:szCs w:val="20"/>
          <w:color w:val="auto"/>
        </w:rPr>
      </w:pPr>
    </w:p>
    <w:p>
      <w:pPr>
        <w:ind w:left="1260" w:right="719"/>
        <w:spacing w:after="0" w:line="288" w:lineRule="auto"/>
        <w:rPr>
          <w:sz w:val="20"/>
          <w:szCs w:val="20"/>
          <w:color w:val="auto"/>
        </w:rPr>
      </w:pPr>
      <w:r>
        <w:rPr>
          <w:rFonts w:ascii="Arial" w:cs="Arial" w:eastAsia="Arial" w:hAnsi="Arial"/>
          <w:sz w:val="16"/>
          <w:szCs w:val="16"/>
          <w:color w:val="auto"/>
        </w:rPr>
        <w:t>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an initial base salary of $235,000 per year, subject to annual review. In 2005, Mr. Pefanis’ annual salary was increased to $300,000, and in 2017, his annual salary was increased to $400,000.</w:t>
      </w:r>
    </w:p>
    <w:p>
      <w:pPr>
        <w:spacing w:after="0" w:line="87"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See “— Compensation Discussion and Analysis” for a discussion of how we use elements of compensation to achieve compensation objectives. See “— Potential Payments upon Termination or Change-In-Control” for a discussion of the provisions in Messrs. Pefanis’ and Chiang’s employment agreements related to termination, change of control and related payment obligations.</w:t>
      </w:r>
    </w:p>
    <w:p>
      <w:pPr>
        <w:spacing w:after="0" w:line="200" w:lineRule="exact"/>
        <w:rPr>
          <w:sz w:val="20"/>
          <w:szCs w:val="20"/>
          <w:color w:val="auto"/>
        </w:r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at December 31,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 with respect to our Named Executive Officers:</w:t>
      </w:r>
    </w:p>
    <w:p>
      <w:pPr>
        <w:spacing w:after="0" w:line="104" w:lineRule="exact"/>
        <w:rPr>
          <w:sz w:val="20"/>
          <w:szCs w:val="20"/>
          <w:color w:val="auto"/>
        </w:rPr>
      </w:pPr>
    </w:p>
    <w:tbl>
      <w:tblPr>
        <w:tblLayout w:type="fixed"/>
        <w:tblInd w:w="1270" w:type="dxa"/>
        <w:tblCellMar>
          <w:top w:w="0" w:type="dxa"/>
          <w:left w:w="0" w:type="dxa"/>
          <w:bottom w:w="0" w:type="dxa"/>
          <w:right w:w="0" w:type="dxa"/>
        </w:tblCellMar>
      </w:tblPr>
      <w:tr>
        <w:trPr>
          <w:trHeight w:val="264"/>
        </w:trPr>
        <w:tc>
          <w:tcPr>
            <w:tcW w:w="3120" w:type="dxa"/>
            <w:vAlign w:val="bottom"/>
            <w:tcBorders>
              <w:left w:val="single" w:sz="8" w:color="697287"/>
              <w:bottom w:val="single" w:sz="8" w:color="434F69"/>
              <w:right w:val="single" w:sz="8" w:color="434F69"/>
            </w:tcBorders>
            <w:shd w:val="clear" w:color="auto" w:fill="434F69"/>
          </w:tcPr>
          <w:p>
            <w:pPr>
              <w:spacing w:after="0"/>
              <w:rPr>
                <w:sz w:val="22"/>
                <w:szCs w:val="22"/>
                <w:color w:val="auto"/>
              </w:rPr>
            </w:pPr>
          </w:p>
        </w:tc>
        <w:tc>
          <w:tcPr>
            <w:tcW w:w="1340" w:type="dxa"/>
            <w:vAlign w:val="bottom"/>
            <w:tcBorders>
              <w:bottom w:val="single" w:sz="8" w:color="auto"/>
              <w:right w:val="single" w:sz="8" w:color="434F69"/>
            </w:tcBorders>
            <w:shd w:val="clear" w:color="auto" w:fill="434F69"/>
          </w:tcPr>
          <w:p>
            <w:pPr>
              <w:spacing w:after="0"/>
              <w:rPr>
                <w:sz w:val="22"/>
                <w:szCs w:val="22"/>
                <w:color w:val="auto"/>
              </w:rPr>
            </w:pPr>
          </w:p>
        </w:tc>
        <w:tc>
          <w:tcPr>
            <w:tcW w:w="2480" w:type="dxa"/>
            <w:vAlign w:val="bottom"/>
            <w:tcBorders>
              <w:bottom w:val="single" w:sz="8" w:color="auto"/>
              <w:right w:val="single" w:sz="8" w:color="434F69"/>
            </w:tcBorders>
            <w:gridSpan w:val="2"/>
            <w:shd w:val="clear" w:color="auto" w:fill="434F69"/>
          </w:tcPr>
          <w:p>
            <w:pPr>
              <w:jc w:val="right"/>
              <w:ind w:right="736"/>
              <w:spacing w:after="0"/>
              <w:rPr>
                <w:sz w:val="20"/>
                <w:szCs w:val="20"/>
                <w:color w:val="auto"/>
              </w:rPr>
            </w:pPr>
            <w:r>
              <w:rPr>
                <w:rFonts w:ascii="Arial" w:cs="Arial" w:eastAsia="Arial" w:hAnsi="Arial"/>
                <w:sz w:val="14"/>
                <w:szCs w:val="14"/>
                <w:b w:val="1"/>
                <w:bCs w:val="1"/>
                <w:color w:val="FFFFFF"/>
              </w:rPr>
              <w:t>Unit Awards</w:t>
            </w:r>
          </w:p>
        </w:tc>
        <w:tc>
          <w:tcPr>
            <w:tcW w:w="1280" w:type="dxa"/>
            <w:vAlign w:val="bottom"/>
            <w:tcBorders>
              <w:bottom w:val="single" w:sz="8" w:color="auto"/>
              <w:right w:val="single" w:sz="8" w:color="697287"/>
            </w:tcBorders>
            <w:shd w:val="clear" w:color="auto" w:fill="434F69"/>
          </w:tcPr>
          <w:p>
            <w:pPr>
              <w:spacing w:after="0"/>
              <w:rPr>
                <w:sz w:val="22"/>
                <w:szCs w:val="22"/>
                <w:color w:val="auto"/>
              </w:rPr>
            </w:pPr>
          </w:p>
        </w:tc>
      </w:tr>
      <w:tr>
        <w:trPr>
          <w:trHeight w:val="166"/>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280" w:type="dxa"/>
            <w:vAlign w:val="bottom"/>
            <w:tcBorders>
              <w:right w:val="single" w:sz="8" w:color="697287"/>
            </w:tcBorders>
            <w:shd w:val="clear" w:color="auto" w:fill="434F69"/>
          </w:tcPr>
          <w:p>
            <w:pPr>
              <w:jc w:val="center"/>
              <w:ind w:left="56"/>
              <w:spacing w:after="0"/>
              <w:rPr>
                <w:sz w:val="20"/>
                <w:szCs w:val="20"/>
                <w:color w:val="auto"/>
              </w:rPr>
            </w:pPr>
            <w:r>
              <w:rPr>
                <w:rFonts w:ascii="Arial" w:cs="Arial" w:eastAsia="Arial" w:hAnsi="Arial"/>
                <w:sz w:val="14"/>
                <w:szCs w:val="14"/>
                <w:b w:val="1"/>
                <w:bCs w:val="1"/>
                <w:color w:val="FFFFFF"/>
                <w:w w:val="98"/>
              </w:rPr>
              <w:t>Equity</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92"/>
              </w:rPr>
              <w:t>Incentive</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Incentive</w:t>
            </w:r>
          </w:p>
        </w:tc>
        <w:tc>
          <w:tcPr>
            <w:tcW w:w="1280" w:type="dxa"/>
            <w:vAlign w:val="bottom"/>
            <w:tcBorders>
              <w:right w:val="single" w:sz="8" w:color="697287"/>
            </w:tcBorders>
            <w:shd w:val="clear" w:color="auto" w:fill="434F69"/>
          </w:tcPr>
          <w:p>
            <w:pPr>
              <w:jc w:val="center"/>
              <w:ind w:left="56"/>
              <w:spacing w:after="0"/>
              <w:rPr>
                <w:sz w:val="20"/>
                <w:szCs w:val="20"/>
                <w:color w:val="auto"/>
              </w:rPr>
            </w:pPr>
            <w:r>
              <w:rPr>
                <w:rFonts w:ascii="Arial" w:cs="Arial" w:eastAsia="Arial" w:hAnsi="Arial"/>
                <w:sz w:val="14"/>
                <w:szCs w:val="14"/>
                <w:b w:val="1"/>
                <w:bCs w:val="1"/>
                <w:color w:val="FFFFFF"/>
                <w:w w:val="92"/>
              </w:rPr>
              <w:t>Plan Awards:</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Plan Awards:</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Market</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Number of</w:t>
            </w:r>
          </w:p>
        </w:tc>
        <w:tc>
          <w:tcPr>
            <w:tcW w:w="1280" w:type="dxa"/>
            <w:vAlign w:val="bottom"/>
            <w:tcBorders>
              <w:right w:val="single" w:sz="8" w:color="697287"/>
            </w:tcBorders>
            <w:shd w:val="clear" w:color="auto" w:fill="434F69"/>
          </w:tcPr>
          <w:p>
            <w:pPr>
              <w:jc w:val="center"/>
              <w:ind w:left="56"/>
              <w:spacing w:after="0"/>
              <w:rPr>
                <w:sz w:val="20"/>
                <w:szCs w:val="20"/>
                <w:color w:val="auto"/>
              </w:rPr>
            </w:pPr>
            <w:r>
              <w:rPr>
                <w:rFonts w:ascii="Arial" w:cs="Arial" w:eastAsia="Arial" w:hAnsi="Arial"/>
                <w:sz w:val="14"/>
                <w:szCs w:val="14"/>
                <w:b w:val="1"/>
                <w:bCs w:val="1"/>
                <w:color w:val="FFFFFF"/>
                <w:w w:val="93"/>
              </w:rPr>
              <w:t>Payout Value</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Value of</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Unearned</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92"/>
              </w:rPr>
              <w:t>of Unearned</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Number of</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Shares or</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Shares,</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86"/>
              </w:rPr>
              <w:t>Shares,</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Shares or</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Units of</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Units or</w:t>
            </w:r>
          </w:p>
        </w:tc>
        <w:tc>
          <w:tcPr>
            <w:tcW w:w="1280" w:type="dxa"/>
            <w:vAlign w:val="bottom"/>
            <w:tcBorders>
              <w:right w:val="single" w:sz="8" w:color="697287"/>
            </w:tcBorders>
            <w:shd w:val="clear" w:color="auto" w:fill="434F69"/>
          </w:tcPr>
          <w:p>
            <w:pPr>
              <w:jc w:val="center"/>
              <w:ind w:left="56"/>
              <w:spacing w:after="0"/>
              <w:rPr>
                <w:sz w:val="20"/>
                <w:szCs w:val="20"/>
                <w:color w:val="auto"/>
              </w:rPr>
            </w:pPr>
            <w:r>
              <w:rPr>
                <w:rFonts w:ascii="Arial" w:cs="Arial" w:eastAsia="Arial" w:hAnsi="Arial"/>
                <w:sz w:val="14"/>
                <w:szCs w:val="14"/>
                <w:b w:val="1"/>
                <w:bCs w:val="1"/>
                <w:color w:val="FFFFFF"/>
                <w:w w:val="94"/>
              </w:rPr>
              <w:t>Units or</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Units of Stock</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Stock That</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Other Rights</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94"/>
              </w:rPr>
              <w:t>Other Rights</w:t>
            </w:r>
          </w:p>
        </w:tc>
      </w:tr>
      <w:tr>
        <w:trPr>
          <w:trHeight w:val="158"/>
        </w:trPr>
        <w:tc>
          <w:tcPr>
            <w:tcW w:w="3120" w:type="dxa"/>
            <w:vAlign w:val="bottom"/>
            <w:tcBorders>
              <w:left w:val="single" w:sz="8" w:color="697287"/>
              <w:right w:val="single" w:sz="8" w:color="434F69"/>
            </w:tcBorders>
            <w:shd w:val="clear" w:color="auto" w:fill="434F69"/>
          </w:tcPr>
          <w:p>
            <w:pPr>
              <w:spacing w:after="0"/>
              <w:rPr>
                <w:sz w:val="13"/>
                <w:szCs w:val="13"/>
                <w:color w:val="auto"/>
              </w:rPr>
            </w:pPr>
          </w:p>
        </w:tc>
        <w:tc>
          <w:tcPr>
            <w:tcW w:w="13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8"/>
              </w:rPr>
              <w:t>That Have</w:t>
            </w:r>
          </w:p>
        </w:tc>
        <w:tc>
          <w:tcPr>
            <w:tcW w:w="116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5"/>
              </w:rPr>
              <w:t>Have Not</w:t>
            </w:r>
          </w:p>
        </w:tc>
        <w:tc>
          <w:tcPr>
            <w:tcW w:w="13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8"/>
              </w:rPr>
              <w:t>That Have</w:t>
            </w:r>
          </w:p>
        </w:tc>
        <w:tc>
          <w:tcPr>
            <w:tcW w:w="1280" w:type="dxa"/>
            <w:vAlign w:val="bottom"/>
            <w:tcBorders>
              <w:right w:val="single" w:sz="8" w:color="697287"/>
            </w:tcBorders>
            <w:shd w:val="clear" w:color="auto" w:fill="434F69"/>
          </w:tcPr>
          <w:p>
            <w:pPr>
              <w:jc w:val="center"/>
              <w:ind w:left="36"/>
              <w:spacing w:after="0" w:line="158" w:lineRule="exact"/>
              <w:rPr>
                <w:sz w:val="20"/>
                <w:szCs w:val="20"/>
                <w:color w:val="auto"/>
              </w:rPr>
            </w:pPr>
            <w:r>
              <w:rPr>
                <w:rFonts w:ascii="Arial" w:cs="Arial" w:eastAsia="Arial" w:hAnsi="Arial"/>
                <w:sz w:val="14"/>
                <w:szCs w:val="14"/>
                <w:b w:val="1"/>
                <w:bCs w:val="1"/>
                <w:color w:val="FFFFFF"/>
                <w:w w:val="95"/>
              </w:rPr>
              <w:t>That Have</w:t>
            </w:r>
          </w:p>
        </w:tc>
      </w:tr>
      <w:tr>
        <w:trPr>
          <w:trHeight w:val="216"/>
        </w:trPr>
        <w:tc>
          <w:tcPr>
            <w:tcW w:w="3120" w:type="dxa"/>
            <w:vAlign w:val="bottom"/>
            <w:tcBorders>
              <w:left w:val="single" w:sz="8" w:color="697287"/>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3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Not Vested (#)</w:t>
            </w:r>
          </w:p>
        </w:tc>
        <w:tc>
          <w:tcPr>
            <w:tcW w:w="1160" w:type="dxa"/>
            <w:vAlign w:val="bottom"/>
            <w:tcBorders>
              <w:bottom w:val="single" w:sz="8" w:color="434F69"/>
              <w:right w:val="single" w:sz="8" w:color="434F69"/>
            </w:tcBorders>
            <w:shd w:val="clear" w:color="auto" w:fill="434F69"/>
          </w:tcPr>
          <w:p>
            <w:pPr>
              <w:jc w:val="center"/>
              <w:spacing w:after="0" w:line="216" w:lineRule="exact"/>
              <w:rPr>
                <w:sz w:val="20"/>
                <w:szCs w:val="20"/>
                <w:color w:val="auto"/>
              </w:rPr>
            </w:pPr>
            <w:r>
              <w:rPr>
                <w:rFonts w:ascii="Arial" w:cs="Arial" w:eastAsia="Arial" w:hAnsi="Arial"/>
                <w:sz w:val="14"/>
                <w:szCs w:val="14"/>
                <w:b w:val="1"/>
                <w:bCs w:val="1"/>
                <w:color w:val="FFFFFF"/>
                <w:w w:val="85"/>
              </w:rPr>
              <w:t>Vested ($)</w:t>
            </w:r>
            <w:r>
              <w:rPr>
                <w:rFonts w:ascii="Arial" w:cs="Arial" w:eastAsia="Arial" w:hAnsi="Arial"/>
                <w:sz w:val="21"/>
                <w:szCs w:val="21"/>
                <w:b w:val="1"/>
                <w:bCs w:val="1"/>
                <w:color w:val="FFFFFF"/>
                <w:w w:val="85"/>
                <w:vertAlign w:val="superscript"/>
              </w:rPr>
              <w:t>(1)</w:t>
            </w:r>
          </w:p>
        </w:tc>
        <w:tc>
          <w:tcPr>
            <w:tcW w:w="13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Not Vested (#)</w:t>
            </w:r>
          </w:p>
        </w:tc>
        <w:tc>
          <w:tcPr>
            <w:tcW w:w="1280" w:type="dxa"/>
            <w:vAlign w:val="bottom"/>
            <w:tcBorders>
              <w:bottom w:val="single" w:sz="8" w:color="434F69"/>
              <w:right w:val="single" w:sz="8" w:color="697287"/>
            </w:tcBorders>
            <w:shd w:val="clear" w:color="auto" w:fill="434F69"/>
          </w:tcPr>
          <w:p>
            <w:pPr>
              <w:jc w:val="center"/>
              <w:ind w:left="36"/>
              <w:spacing w:after="0" w:line="216" w:lineRule="exact"/>
              <w:rPr>
                <w:sz w:val="20"/>
                <w:szCs w:val="20"/>
                <w:color w:val="auto"/>
              </w:rPr>
            </w:pPr>
            <w:r>
              <w:rPr>
                <w:rFonts w:ascii="Arial" w:cs="Arial" w:eastAsia="Arial" w:hAnsi="Arial"/>
                <w:sz w:val="14"/>
                <w:szCs w:val="14"/>
                <w:b w:val="1"/>
                <w:bCs w:val="1"/>
                <w:color w:val="FFFFFF"/>
                <w:w w:val="89"/>
              </w:rPr>
              <w:t>Not Vested ($)</w:t>
            </w:r>
            <w:r>
              <w:rPr>
                <w:rFonts w:ascii="Arial" w:cs="Arial" w:eastAsia="Arial" w:hAnsi="Arial"/>
                <w:sz w:val="21"/>
                <w:szCs w:val="21"/>
                <w:b w:val="1"/>
                <w:bCs w:val="1"/>
                <w:color w:val="FFFFFF"/>
                <w:w w:val="89"/>
                <w:vertAlign w:val="superscript"/>
              </w:rPr>
              <w:t>(1)</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375,521</w:t>
            </w:r>
            <w:r>
              <w:rPr>
                <w:rFonts w:ascii="Arial" w:cs="Arial" w:eastAsia="Arial" w:hAnsi="Arial"/>
                <w:sz w:val="25"/>
                <w:szCs w:val="25"/>
                <w:color w:val="auto"/>
                <w:vertAlign w:val="superscript"/>
              </w:rPr>
              <w:t>(2)</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6,698,617</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36,000</w:t>
            </w:r>
            <w:r>
              <w:rPr>
                <w:rFonts w:ascii="Arial" w:cs="Arial" w:eastAsia="Arial" w:hAnsi="Arial"/>
                <w:sz w:val="25"/>
                <w:szCs w:val="25"/>
                <w:color w:val="auto"/>
                <w:vertAlign w:val="superscript"/>
              </w:rPr>
              <w:t>(3)</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662,040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55,000</w:t>
            </w:r>
            <w:r>
              <w:rPr>
                <w:rFonts w:ascii="Arial" w:cs="Arial" w:eastAsia="Arial" w:hAnsi="Arial"/>
                <w:sz w:val="25"/>
                <w:szCs w:val="25"/>
                <w:color w:val="auto"/>
                <w:vertAlign w:val="superscript"/>
              </w:rPr>
              <w:t>(4)</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1,011,450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25,000</w:t>
            </w:r>
            <w:r>
              <w:rPr>
                <w:rFonts w:ascii="Arial" w:cs="Arial" w:eastAsia="Arial" w:hAnsi="Arial"/>
                <w:sz w:val="25"/>
                <w:szCs w:val="25"/>
                <w:color w:val="auto"/>
                <w:vertAlign w:val="superscript"/>
              </w:rPr>
              <w:t>(5)</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459,750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315"/>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shd w:val="clear" w:color="auto" w:fill="D9DCE1"/>
          </w:tcPr>
          <w:p>
            <w:pPr>
              <w:jc w:val="right"/>
              <w:ind w:right="136"/>
              <w:spacing w:after="0" w:line="223" w:lineRule="exact"/>
              <w:rPr>
                <w:sz w:val="20"/>
                <w:szCs w:val="20"/>
                <w:color w:val="auto"/>
              </w:rPr>
            </w:pPr>
            <w:r>
              <w:rPr>
                <w:rFonts w:ascii="Arial" w:cs="Arial" w:eastAsia="Arial" w:hAnsi="Arial"/>
                <w:sz w:val="17"/>
                <w:szCs w:val="17"/>
                <w:color w:val="auto"/>
              </w:rPr>
              <w:t>500,000</w:t>
            </w:r>
            <w:r>
              <w:rPr>
                <w:rFonts w:ascii="Arial" w:cs="Arial" w:eastAsia="Arial" w:hAnsi="Arial"/>
                <w:sz w:val="25"/>
                <w:szCs w:val="25"/>
                <w:color w:val="auto"/>
                <w:vertAlign w:val="superscript"/>
              </w:rPr>
              <w:t>(6)</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9,195,000</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62,870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1,156,179</w:t>
            </w:r>
          </w:p>
        </w:tc>
        <w:tc>
          <w:tcPr>
            <w:tcW w:w="1320" w:type="dxa"/>
            <w:vAlign w:val="bottom"/>
            <w:tcBorders>
              <w:bottom w:val="single" w:sz="8" w:color="434F69"/>
              <w:right w:val="single" w:sz="8" w:color="434F69"/>
            </w:tcBorders>
          </w:tcPr>
          <w:p>
            <w:pPr>
              <w:jc w:val="right"/>
              <w:ind w:right="136"/>
              <w:spacing w:after="0" w:line="223" w:lineRule="exact"/>
              <w:rPr>
                <w:sz w:val="20"/>
                <w:szCs w:val="20"/>
                <w:color w:val="auto"/>
              </w:rPr>
            </w:pPr>
            <w:r>
              <w:rPr>
                <w:rFonts w:ascii="Arial" w:cs="Arial" w:eastAsia="Arial" w:hAnsi="Arial"/>
                <w:sz w:val="17"/>
                <w:szCs w:val="17"/>
                <w:color w:val="auto"/>
              </w:rPr>
              <w:t>62,870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1,156,179</w:t>
            </w:r>
          </w:p>
        </w:tc>
      </w:tr>
      <w:tr>
        <w:trPr>
          <w:trHeight w:val="263"/>
        </w:trPr>
        <w:tc>
          <w:tcPr>
            <w:tcW w:w="312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320" w:type="dxa"/>
            <w:vAlign w:val="bottom"/>
            <w:tcBorders>
              <w:bottom w:val="single" w:sz="8" w:color="434F69"/>
              <w:right w:val="single" w:sz="8" w:color="434F69"/>
            </w:tcBorders>
            <w:shd w:val="clear" w:color="auto" w:fill="D9DCE1"/>
          </w:tcPr>
          <w:p>
            <w:pPr>
              <w:spacing w:after="0"/>
              <w:rPr>
                <w:sz w:val="22"/>
                <w:szCs w:val="22"/>
                <w:color w:val="auto"/>
              </w:rPr>
            </w:pPr>
          </w:p>
        </w:tc>
        <w:tc>
          <w:tcPr>
            <w:tcW w:w="128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340" w:type="dxa"/>
            <w:vAlign w:val="bottom"/>
            <w:tcBorders>
              <w:bottom w:val="single" w:sz="8" w:color="434F69"/>
              <w:right w:val="single" w:sz="8" w:color="434F69"/>
            </w:tcBorders>
          </w:tcPr>
          <w:p>
            <w:pPr>
              <w:jc w:val="right"/>
              <w:ind w:right="315"/>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64"/>
        </w:trPr>
        <w:tc>
          <w:tcPr>
            <w:tcW w:w="312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320" w:type="dxa"/>
            <w:vAlign w:val="bottom"/>
            <w:tcBorders>
              <w:bottom w:val="single" w:sz="8" w:color="434F69"/>
              <w:right w:val="single" w:sz="8" w:color="434F69"/>
            </w:tcBorders>
            <w:shd w:val="clear" w:color="auto" w:fill="D9DCE1"/>
          </w:tcPr>
          <w:p>
            <w:pPr>
              <w:spacing w:after="0"/>
              <w:rPr>
                <w:sz w:val="22"/>
                <w:szCs w:val="22"/>
                <w:color w:val="auto"/>
              </w:rPr>
            </w:pPr>
          </w:p>
        </w:tc>
        <w:tc>
          <w:tcPr>
            <w:tcW w:w="128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46,000</w:t>
            </w:r>
            <w:r>
              <w:rPr>
                <w:rFonts w:ascii="Arial" w:cs="Arial" w:eastAsia="Arial" w:hAnsi="Arial"/>
                <w:sz w:val="25"/>
                <w:szCs w:val="25"/>
                <w:color w:val="auto"/>
                <w:vertAlign w:val="superscript"/>
              </w:rPr>
              <w:t>(4)</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845,940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15,000</w:t>
            </w:r>
            <w:r>
              <w:rPr>
                <w:rFonts w:ascii="Arial" w:cs="Arial" w:eastAsia="Arial" w:hAnsi="Arial"/>
                <w:sz w:val="25"/>
                <w:szCs w:val="25"/>
                <w:color w:val="auto"/>
                <w:vertAlign w:val="superscript"/>
              </w:rPr>
              <w:t>(5)</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275,850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462,509</w:t>
            </w:r>
          </w:p>
        </w:tc>
        <w:tc>
          <w:tcPr>
            <w:tcW w:w="1320" w:type="dxa"/>
            <w:vAlign w:val="bottom"/>
            <w:tcBorders>
              <w:bottom w:val="single" w:sz="8" w:color="434F69"/>
              <w:right w:val="single" w:sz="8" w:color="434F69"/>
            </w:tcBorders>
          </w:tcPr>
          <w:p>
            <w:pPr>
              <w:jc w:val="right"/>
              <w:ind w:right="136"/>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462,509</w:t>
            </w:r>
          </w:p>
        </w:tc>
      </w:tr>
      <w:tr>
        <w:trPr>
          <w:trHeight w:val="263"/>
        </w:trPr>
        <w:tc>
          <w:tcPr>
            <w:tcW w:w="312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320" w:type="dxa"/>
            <w:vAlign w:val="bottom"/>
            <w:tcBorders>
              <w:bottom w:val="single" w:sz="8" w:color="434F69"/>
              <w:right w:val="single" w:sz="8" w:color="434F69"/>
            </w:tcBorders>
            <w:shd w:val="clear" w:color="auto" w:fill="D9DCE1"/>
          </w:tcPr>
          <w:p>
            <w:pPr>
              <w:spacing w:after="0"/>
              <w:rPr>
                <w:sz w:val="22"/>
                <w:szCs w:val="22"/>
                <w:color w:val="auto"/>
              </w:rPr>
            </w:pPr>
          </w:p>
        </w:tc>
        <w:tc>
          <w:tcPr>
            <w:tcW w:w="128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340" w:type="dxa"/>
            <w:vAlign w:val="bottom"/>
            <w:tcBorders>
              <w:bottom w:val="single" w:sz="8" w:color="434F69"/>
              <w:right w:val="single" w:sz="8" w:color="434F69"/>
            </w:tcBorders>
          </w:tcPr>
          <w:p>
            <w:pPr>
              <w:jc w:val="right"/>
              <w:ind w:right="75"/>
              <w:spacing w:after="0" w:line="223" w:lineRule="exact"/>
              <w:rPr>
                <w:sz w:val="20"/>
                <w:szCs w:val="20"/>
                <w:color w:val="auto"/>
              </w:rPr>
            </w:pPr>
            <w:r>
              <w:rPr>
                <w:rFonts w:ascii="Arial" w:cs="Arial" w:eastAsia="Arial" w:hAnsi="Arial"/>
                <w:sz w:val="17"/>
                <w:szCs w:val="17"/>
                <w:color w:val="auto"/>
              </w:rPr>
              <w:t>440,449</w:t>
            </w:r>
            <w:r>
              <w:rPr>
                <w:rFonts w:ascii="Arial" w:cs="Arial" w:eastAsia="Arial" w:hAnsi="Arial"/>
                <w:sz w:val="25"/>
                <w:szCs w:val="25"/>
                <w:color w:val="auto"/>
                <w:vertAlign w:val="superscript"/>
              </w:rPr>
              <w:t>(10)</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7,586,803</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46,000</w:t>
            </w:r>
            <w:r>
              <w:rPr>
                <w:rFonts w:ascii="Arial" w:cs="Arial" w:eastAsia="Arial" w:hAnsi="Arial"/>
                <w:sz w:val="25"/>
                <w:szCs w:val="25"/>
                <w:color w:val="auto"/>
                <w:vertAlign w:val="superscript"/>
              </w:rPr>
              <w:t>(4)</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845,940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12,500</w:t>
            </w:r>
            <w:r>
              <w:rPr>
                <w:rFonts w:ascii="Arial" w:cs="Arial" w:eastAsia="Arial" w:hAnsi="Arial"/>
                <w:sz w:val="25"/>
                <w:szCs w:val="25"/>
                <w:color w:val="auto"/>
                <w:vertAlign w:val="superscript"/>
              </w:rPr>
              <w:t>(5)</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229,875</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462,509</w:t>
            </w:r>
          </w:p>
        </w:tc>
        <w:tc>
          <w:tcPr>
            <w:tcW w:w="1320" w:type="dxa"/>
            <w:vAlign w:val="bottom"/>
            <w:tcBorders>
              <w:bottom w:val="single" w:sz="8" w:color="434F69"/>
              <w:right w:val="single" w:sz="8" w:color="434F69"/>
            </w:tcBorders>
            <w:shd w:val="clear" w:color="auto" w:fill="D9DCE1"/>
          </w:tcPr>
          <w:p>
            <w:pPr>
              <w:jc w:val="right"/>
              <w:ind w:right="136"/>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462,509</w:t>
            </w:r>
          </w:p>
        </w:tc>
      </w:tr>
      <w:tr>
        <w:trPr>
          <w:trHeight w:val="263"/>
        </w:trPr>
        <w:tc>
          <w:tcPr>
            <w:tcW w:w="3120" w:type="dxa"/>
            <w:vAlign w:val="bottom"/>
            <w:tcBorders>
              <w:left w:val="single" w:sz="8" w:color="697287"/>
              <w:bottom w:val="single" w:sz="8" w:color="434F69"/>
              <w:right w:val="single" w:sz="8" w:color="434F69"/>
            </w:tcBorders>
          </w:tcPr>
          <w:p>
            <w:pPr>
              <w:spacing w:after="0"/>
              <w:rPr>
                <w:sz w:val="22"/>
                <w:szCs w:val="22"/>
                <w:color w:val="auto"/>
              </w:rPr>
            </w:pPr>
          </w:p>
        </w:tc>
        <w:tc>
          <w:tcPr>
            <w:tcW w:w="1340" w:type="dxa"/>
            <w:vAlign w:val="bottom"/>
            <w:tcBorders>
              <w:bottom w:val="single" w:sz="8" w:color="434F69"/>
              <w:right w:val="single" w:sz="8" w:color="434F69"/>
            </w:tcBorders>
          </w:tcPr>
          <w:p>
            <w:pPr>
              <w:spacing w:after="0"/>
              <w:rPr>
                <w:sz w:val="22"/>
                <w:szCs w:val="22"/>
                <w:color w:val="auto"/>
              </w:rPr>
            </w:pPr>
          </w:p>
        </w:tc>
        <w:tc>
          <w:tcPr>
            <w:tcW w:w="1160" w:type="dxa"/>
            <w:vAlign w:val="bottom"/>
            <w:tcBorders>
              <w:bottom w:val="single" w:sz="8" w:color="434F69"/>
              <w:right w:val="single" w:sz="8" w:color="434F69"/>
            </w:tcBorders>
          </w:tcPr>
          <w:p>
            <w:pPr>
              <w:spacing w:after="0"/>
              <w:rPr>
                <w:sz w:val="22"/>
                <w:szCs w:val="22"/>
                <w:color w:val="auto"/>
              </w:rPr>
            </w:pPr>
          </w:p>
        </w:tc>
        <w:tc>
          <w:tcPr>
            <w:tcW w:w="1320" w:type="dxa"/>
            <w:vAlign w:val="bottom"/>
            <w:tcBorders>
              <w:bottom w:val="single" w:sz="8" w:color="434F69"/>
              <w:right w:val="single" w:sz="8" w:color="434F69"/>
            </w:tcBorders>
          </w:tcPr>
          <w:p>
            <w:pPr>
              <w:spacing w:after="0"/>
              <w:rPr>
                <w:sz w:val="22"/>
                <w:szCs w:val="22"/>
                <w:color w:val="auto"/>
              </w:rPr>
            </w:pPr>
          </w:p>
        </w:tc>
        <w:tc>
          <w:tcPr>
            <w:tcW w:w="1280" w:type="dxa"/>
            <w:vAlign w:val="bottom"/>
            <w:tcBorders>
              <w:bottom w:val="single" w:sz="8" w:color="434F69"/>
              <w:right w:val="single" w:sz="8" w:color="697287"/>
            </w:tcBorders>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340" w:type="dxa"/>
            <w:vAlign w:val="bottom"/>
            <w:tcBorders>
              <w:bottom w:val="single" w:sz="8" w:color="434F69"/>
              <w:right w:val="single" w:sz="8" w:color="434F69"/>
            </w:tcBorders>
            <w:shd w:val="clear" w:color="auto" w:fill="D9DCE1"/>
          </w:tcPr>
          <w:p>
            <w:pPr>
              <w:jc w:val="right"/>
              <w:ind w:right="95"/>
              <w:spacing w:after="0" w:line="223" w:lineRule="exact"/>
              <w:rPr>
                <w:sz w:val="20"/>
                <w:szCs w:val="20"/>
                <w:color w:val="auto"/>
              </w:rPr>
            </w:pPr>
            <w:r>
              <w:rPr>
                <w:rFonts w:ascii="Arial" w:cs="Arial" w:eastAsia="Arial" w:hAnsi="Arial"/>
                <w:sz w:val="17"/>
                <w:szCs w:val="17"/>
                <w:color w:val="auto"/>
              </w:rPr>
              <w:t>37,500</w:t>
            </w:r>
            <w:r>
              <w:rPr>
                <w:rFonts w:ascii="Arial" w:cs="Arial" w:eastAsia="Arial" w:hAnsi="Arial"/>
                <w:sz w:val="25"/>
                <w:szCs w:val="25"/>
                <w:color w:val="auto"/>
                <w:vertAlign w:val="superscript"/>
              </w:rPr>
              <w:t>(11)</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689,625</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95"/>
              <w:spacing w:after="0" w:line="223" w:lineRule="exact"/>
              <w:rPr>
                <w:sz w:val="20"/>
                <w:szCs w:val="20"/>
                <w:color w:val="auto"/>
              </w:rPr>
            </w:pPr>
            <w:r>
              <w:rPr>
                <w:rFonts w:ascii="Arial" w:cs="Arial" w:eastAsia="Arial" w:hAnsi="Arial"/>
                <w:sz w:val="17"/>
                <w:szCs w:val="17"/>
                <w:color w:val="auto"/>
              </w:rPr>
              <w:t>135,000</w:t>
            </w:r>
            <w:r>
              <w:rPr>
                <w:rFonts w:ascii="Arial" w:cs="Arial" w:eastAsia="Arial" w:hAnsi="Arial"/>
                <w:sz w:val="25"/>
                <w:szCs w:val="25"/>
                <w:color w:val="auto"/>
                <w:vertAlign w:val="superscript"/>
              </w:rPr>
              <w:t>(11)</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2,482,650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462,509</w:t>
            </w:r>
          </w:p>
        </w:tc>
        <w:tc>
          <w:tcPr>
            <w:tcW w:w="1320" w:type="dxa"/>
            <w:vAlign w:val="bottom"/>
            <w:tcBorders>
              <w:bottom w:val="single" w:sz="8" w:color="434F69"/>
              <w:right w:val="single" w:sz="8" w:color="434F69"/>
            </w:tcBorders>
            <w:shd w:val="clear" w:color="auto" w:fill="D9DCE1"/>
          </w:tcPr>
          <w:p>
            <w:pPr>
              <w:jc w:val="right"/>
              <w:ind w:right="136"/>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462,509</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375,000</w:t>
            </w:r>
            <w:r>
              <w:rPr>
                <w:rFonts w:ascii="Arial" w:cs="Arial" w:eastAsia="Arial" w:hAnsi="Arial"/>
                <w:sz w:val="25"/>
                <w:szCs w:val="25"/>
                <w:color w:val="auto"/>
                <w:vertAlign w:val="superscript"/>
              </w:rPr>
              <w:t>(9)</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6,896,250</w:t>
            </w:r>
          </w:p>
        </w:tc>
        <w:tc>
          <w:tcPr>
            <w:tcW w:w="1320" w:type="dxa"/>
            <w:vAlign w:val="bottom"/>
            <w:tcBorders>
              <w:bottom w:val="single" w:sz="8" w:color="434F69"/>
              <w:right w:val="single" w:sz="8" w:color="434F69"/>
            </w:tcBorders>
          </w:tcPr>
          <w:p>
            <w:pPr>
              <w:jc w:val="right"/>
              <w:ind w:right="136"/>
              <w:spacing w:after="0" w:line="223" w:lineRule="exact"/>
              <w:rPr>
                <w:sz w:val="20"/>
                <w:szCs w:val="20"/>
                <w:color w:val="auto"/>
              </w:rPr>
            </w:pPr>
            <w:r>
              <w:rPr>
                <w:rFonts w:ascii="Arial" w:cs="Arial" w:eastAsia="Arial" w:hAnsi="Arial"/>
                <w:sz w:val="17"/>
                <w:szCs w:val="17"/>
                <w:color w:val="auto"/>
              </w:rPr>
              <w:t>125,000</w:t>
            </w:r>
            <w:r>
              <w:rPr>
                <w:rFonts w:ascii="Arial" w:cs="Arial" w:eastAsia="Arial" w:hAnsi="Arial"/>
                <w:sz w:val="25"/>
                <w:szCs w:val="25"/>
                <w:color w:val="auto"/>
                <w:vertAlign w:val="superscript"/>
              </w:rPr>
              <w:t>(9)</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2,298,750</w:t>
            </w:r>
          </w:p>
        </w:tc>
      </w:tr>
      <w:tr>
        <w:trPr>
          <w:trHeight w:val="263"/>
        </w:trPr>
        <w:tc>
          <w:tcPr>
            <w:tcW w:w="312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320" w:type="dxa"/>
            <w:vAlign w:val="bottom"/>
            <w:tcBorders>
              <w:bottom w:val="single" w:sz="8" w:color="434F69"/>
              <w:right w:val="single" w:sz="8" w:color="434F69"/>
            </w:tcBorders>
            <w:shd w:val="clear" w:color="auto" w:fill="D9DCE1"/>
          </w:tcPr>
          <w:p>
            <w:pPr>
              <w:spacing w:after="0"/>
              <w:rPr>
                <w:sz w:val="22"/>
                <w:szCs w:val="22"/>
                <w:color w:val="auto"/>
              </w:rPr>
            </w:pPr>
          </w:p>
        </w:tc>
        <w:tc>
          <w:tcPr>
            <w:tcW w:w="128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340" w:type="dxa"/>
            <w:vAlign w:val="bottom"/>
            <w:tcBorders>
              <w:bottom w:val="single" w:sz="8" w:color="434F69"/>
              <w:right w:val="single" w:sz="8" w:color="434F69"/>
            </w:tcBorders>
          </w:tcPr>
          <w:p>
            <w:pPr>
              <w:jc w:val="right"/>
              <w:ind w:right="75"/>
              <w:spacing w:after="0" w:line="223" w:lineRule="exact"/>
              <w:rPr>
                <w:sz w:val="20"/>
                <w:szCs w:val="20"/>
                <w:color w:val="auto"/>
              </w:rPr>
            </w:pPr>
            <w:r>
              <w:rPr>
                <w:rFonts w:ascii="Arial" w:cs="Arial" w:eastAsia="Arial" w:hAnsi="Arial"/>
                <w:sz w:val="17"/>
                <w:szCs w:val="17"/>
                <w:color w:val="auto"/>
              </w:rPr>
              <w:t>37,552</w:t>
            </w:r>
            <w:r>
              <w:rPr>
                <w:rFonts w:ascii="Arial" w:cs="Arial" w:eastAsia="Arial" w:hAnsi="Arial"/>
                <w:sz w:val="25"/>
                <w:szCs w:val="25"/>
                <w:color w:val="auto"/>
                <w:vertAlign w:val="superscript"/>
              </w:rPr>
              <w:t>(12)</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669,883</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75"/>
              <w:spacing w:after="0" w:line="223" w:lineRule="exact"/>
              <w:rPr>
                <w:sz w:val="20"/>
                <w:szCs w:val="20"/>
                <w:color w:val="auto"/>
              </w:rPr>
            </w:pPr>
            <w:r>
              <w:rPr>
                <w:rFonts w:ascii="Arial" w:cs="Arial" w:eastAsia="Arial" w:hAnsi="Arial"/>
                <w:sz w:val="17"/>
                <w:szCs w:val="17"/>
                <w:color w:val="auto"/>
              </w:rPr>
              <w:t>6,000</w:t>
            </w:r>
            <w:r>
              <w:rPr>
                <w:rFonts w:ascii="Arial" w:cs="Arial" w:eastAsia="Arial" w:hAnsi="Arial"/>
                <w:sz w:val="25"/>
                <w:szCs w:val="25"/>
                <w:color w:val="auto"/>
                <w:vertAlign w:val="superscript"/>
              </w:rPr>
              <w:t>(13)</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110,340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18,334</w:t>
            </w:r>
            <w:r>
              <w:rPr>
                <w:rFonts w:ascii="Arial" w:cs="Arial" w:eastAsia="Arial" w:hAnsi="Arial"/>
                <w:sz w:val="25"/>
                <w:szCs w:val="25"/>
                <w:color w:val="auto"/>
                <w:vertAlign w:val="superscript"/>
              </w:rPr>
              <w:t>(4)</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337,162</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75"/>
              <w:spacing w:after="0" w:line="223" w:lineRule="exact"/>
              <w:rPr>
                <w:sz w:val="20"/>
                <w:szCs w:val="20"/>
                <w:color w:val="auto"/>
              </w:rPr>
            </w:pPr>
            <w:r>
              <w:rPr>
                <w:rFonts w:ascii="Arial" w:cs="Arial" w:eastAsia="Arial" w:hAnsi="Arial"/>
                <w:sz w:val="17"/>
                <w:szCs w:val="17"/>
                <w:color w:val="auto"/>
              </w:rPr>
              <w:t>120,000</w:t>
            </w:r>
            <w:r>
              <w:rPr>
                <w:rFonts w:ascii="Arial" w:cs="Arial" w:eastAsia="Arial" w:hAnsi="Arial"/>
                <w:sz w:val="25"/>
                <w:szCs w:val="25"/>
                <w:color w:val="auto"/>
                <w:vertAlign w:val="superscript"/>
              </w:rPr>
              <w:t>(14)</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2,206,800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10,000</w:t>
            </w:r>
            <w:r>
              <w:rPr>
                <w:rFonts w:ascii="Arial" w:cs="Arial" w:eastAsia="Arial" w:hAnsi="Arial"/>
                <w:sz w:val="25"/>
                <w:szCs w:val="25"/>
                <w:color w:val="auto"/>
                <w:vertAlign w:val="superscript"/>
              </w:rPr>
              <w:t>(5)</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183,900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462,509</w:t>
            </w:r>
          </w:p>
        </w:tc>
        <w:tc>
          <w:tcPr>
            <w:tcW w:w="1320" w:type="dxa"/>
            <w:vAlign w:val="bottom"/>
            <w:tcBorders>
              <w:bottom w:val="single" w:sz="8" w:color="434F69"/>
              <w:right w:val="single" w:sz="8" w:color="434F69"/>
            </w:tcBorders>
            <w:shd w:val="clear" w:color="auto" w:fill="D9DCE1"/>
          </w:tcPr>
          <w:p>
            <w:pPr>
              <w:jc w:val="right"/>
              <w:ind w:right="136"/>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462,509</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375,000</w:t>
            </w:r>
            <w:r>
              <w:rPr>
                <w:rFonts w:ascii="Arial" w:cs="Arial" w:eastAsia="Arial" w:hAnsi="Arial"/>
                <w:sz w:val="25"/>
                <w:szCs w:val="25"/>
                <w:color w:val="auto"/>
                <w:vertAlign w:val="superscript"/>
              </w:rPr>
              <w:t>(9)</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6,896,250</w:t>
            </w:r>
          </w:p>
        </w:tc>
        <w:tc>
          <w:tcPr>
            <w:tcW w:w="1320" w:type="dxa"/>
            <w:vAlign w:val="bottom"/>
            <w:tcBorders>
              <w:bottom w:val="single" w:sz="8" w:color="434F69"/>
              <w:right w:val="single" w:sz="8" w:color="434F69"/>
            </w:tcBorders>
          </w:tcPr>
          <w:p>
            <w:pPr>
              <w:jc w:val="right"/>
              <w:ind w:right="136"/>
              <w:spacing w:after="0" w:line="223" w:lineRule="exact"/>
              <w:rPr>
                <w:sz w:val="20"/>
                <w:szCs w:val="20"/>
                <w:color w:val="auto"/>
              </w:rPr>
            </w:pPr>
            <w:r>
              <w:rPr>
                <w:rFonts w:ascii="Arial" w:cs="Arial" w:eastAsia="Arial" w:hAnsi="Arial"/>
                <w:sz w:val="17"/>
                <w:szCs w:val="17"/>
                <w:color w:val="auto"/>
              </w:rPr>
              <w:t>125,000</w:t>
            </w:r>
            <w:r>
              <w:rPr>
                <w:rFonts w:ascii="Arial" w:cs="Arial" w:eastAsia="Arial" w:hAnsi="Arial"/>
                <w:sz w:val="25"/>
                <w:szCs w:val="25"/>
                <w:color w:val="auto"/>
                <w:vertAlign w:val="superscript"/>
              </w:rPr>
              <w:t>(9)</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2,298,750</w:t>
            </w:r>
          </w:p>
        </w:tc>
      </w:tr>
    </w:tbl>
    <w:p>
      <w:pPr>
        <w:spacing w:after="0" w:line="94" w:lineRule="exact"/>
        <w:rPr>
          <w:sz w:val="20"/>
          <w:szCs w:val="20"/>
          <w:color w:val="auto"/>
        </w:rPr>
      </w:pPr>
    </w:p>
    <w:p>
      <w:pPr>
        <w:ind w:left="1620" w:right="699" w:hanging="358"/>
        <w:spacing w:after="0" w:line="247"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7"/>
          <w:szCs w:val="17"/>
          <w:color w:val="auto"/>
        </w:rPr>
        <w:t>Market value of phantom units reported in these columns is calculated by multiplying the closing market price ($18.39) of PAA’s common units at December 31, 2019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 (ii) assuming</w:t>
      </w:r>
    </w:p>
    <w:p>
      <w:pPr>
        <w:sectPr>
          <w:pgSz w:w="11900" w:h="16838" w:orient="portrait"/>
          <w:cols w:equalWidth="0" w:num="1">
            <w:col w:w="10139"/>
          </w:cols>
          <w:pgMar w:left="320" w:top="132" w:right="1440" w:bottom="1440" w:gutter="0" w:footer="0" w:header="0"/>
        </w:sectPr>
      </w:pP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spacing w:after="0" w:line="277" w:lineRule="auto"/>
        <w:rPr>
          <w:sz w:val="20"/>
          <w:szCs w:val="20"/>
          <w:color w:val="auto"/>
        </w:rPr>
      </w:pPr>
      <w:r>
        <w:rPr>
          <w:rFonts w:ascii="Arial" w:cs="Arial" w:eastAsia="Arial" w:hAnsi="Arial"/>
          <w:sz w:val="17"/>
          <w:szCs w:val="17"/>
          <w:color w:val="auto"/>
        </w:rPr>
        <w:t>the exchange of the resulting AAP units and PAGP Class B shares for PAGP Class A shares on a one-for-one basis, and (iii) multiplying such resulting number of PAGP Class A shares by the closing market price ($18.95) of PAGP’s Class A shares at December 31, 2019 (the last trading day of the fiscal year).</w:t>
      </w:r>
    </w:p>
    <w:p>
      <w:pPr>
        <w:spacing w:after="0" w:line="39" w:lineRule="exact"/>
        <w:rPr>
          <w:sz w:val="20"/>
          <w:szCs w:val="20"/>
          <w:color w:val="auto"/>
        </w:rPr>
      </w:pPr>
    </w:p>
    <w:p>
      <w:pPr>
        <w:ind w:left="1620" w:right="719" w:hanging="358"/>
        <w:spacing w:after="0" w:line="226"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originally granted to Mr. Chiang in 2015. All of these AAP Management Units have been earned, but have not yet vested; accordingly, they remain subject to a call right in the event Mr. Chiang’s employment is terminated under certain circumstances prior to December 31, 2022.</w:t>
      </w:r>
    </w:p>
    <w:p>
      <w:pPr>
        <w:spacing w:after="0" w:line="54" w:lineRule="exact"/>
        <w:rPr>
          <w:rFonts w:ascii="Arial" w:cs="Arial" w:eastAsia="Arial" w:hAnsi="Arial"/>
          <w:sz w:val="27"/>
          <w:szCs w:val="27"/>
          <w:color w:val="auto"/>
          <w:vertAlign w:val="superscript"/>
        </w:rPr>
      </w:pPr>
    </w:p>
    <w:p>
      <w:pPr>
        <w:ind w:left="1620" w:right="759" w:hanging="358"/>
        <w:spacing w:after="0" w:line="243" w:lineRule="auto"/>
        <w:tabs>
          <w:tab w:leader="none" w:pos="1620" w:val="left"/>
        </w:tabs>
        <w:numPr>
          <w:ilvl w:val="0"/>
          <w:numId w:val="55"/>
        </w:numPr>
        <w:rPr>
          <w:rFonts w:ascii="Arial" w:cs="Arial" w:eastAsia="Arial" w:hAnsi="Arial"/>
          <w:sz w:val="26"/>
          <w:szCs w:val="26"/>
          <w:color w:val="auto"/>
          <w:vertAlign w:val="superscript"/>
        </w:rPr>
      </w:pPr>
      <w:r>
        <w:rPr>
          <w:rFonts w:ascii="Arial" w:cs="Arial" w:eastAsia="Arial" w:hAnsi="Arial"/>
          <w:sz w:val="17"/>
          <w:szCs w:val="17"/>
          <w:color w:val="auto"/>
        </w:rPr>
        <w:t>Represents the unvested portion of phantom units granted to Mr. Chiang in 2015 under our Long-Term Incentive Plan. The performance thresholds required for vesting of these phantom units have been achieved and they will vest on the August 2020 distribution date. Upon vesting, the phantom units are payable on a one-for-one basis in PAA common units. The phantom units have associated DERs that are currently vested and payable in cash on each distribution payment date.</w:t>
      </w:r>
    </w:p>
    <w:p>
      <w:pPr>
        <w:spacing w:after="0" w:line="66" w:lineRule="exact"/>
        <w:rPr>
          <w:rFonts w:ascii="Arial" w:cs="Arial" w:eastAsia="Arial" w:hAnsi="Arial"/>
          <w:sz w:val="26"/>
          <w:szCs w:val="26"/>
          <w:color w:val="auto"/>
          <w:vertAlign w:val="superscript"/>
        </w:rPr>
      </w:pPr>
    </w:p>
    <w:p>
      <w:pPr>
        <w:ind w:left="1620" w:right="979" w:hanging="358"/>
        <w:spacing w:after="0" w:line="232" w:lineRule="auto"/>
        <w:tabs>
          <w:tab w:leader="none" w:pos="1620" w:val="left"/>
        </w:tabs>
        <w:numPr>
          <w:ilvl w:val="0"/>
          <w:numId w:val="55"/>
        </w:numPr>
        <w:rPr>
          <w:rFonts w:ascii="Arial" w:cs="Arial" w:eastAsia="Arial" w:hAnsi="Arial"/>
          <w:sz w:val="24"/>
          <w:szCs w:val="24"/>
          <w:color w:val="auto"/>
          <w:vertAlign w:val="superscript"/>
        </w:rPr>
      </w:pPr>
      <w:r>
        <w:rPr>
          <w:rFonts w:ascii="Arial" w:cs="Arial" w:eastAsia="Arial" w:hAnsi="Arial"/>
          <w:sz w:val="16"/>
          <w:szCs w:val="16"/>
          <w:color w:val="auto"/>
        </w:rPr>
        <w:t>Represents the unvested portion of phantom units granted in 2016 under our Long-Term Incentive Plan. These phantom units will vest as follows: (i) one-half will vest on the August 2020 distribution date, and</w:t>
      </w:r>
    </w:p>
    <w:p>
      <w:pPr>
        <w:spacing w:after="0" w:line="1" w:lineRule="exact"/>
        <w:rPr>
          <w:rFonts w:ascii="Arial" w:cs="Arial" w:eastAsia="Arial" w:hAnsi="Arial"/>
          <w:sz w:val="24"/>
          <w:szCs w:val="24"/>
          <w:color w:val="auto"/>
          <w:vertAlign w:val="superscript"/>
        </w:rPr>
      </w:pPr>
    </w:p>
    <w:p>
      <w:pPr>
        <w:ind w:left="1620" w:right="779" w:firstLine="2"/>
        <w:spacing w:after="0" w:line="255" w:lineRule="auto"/>
        <w:tabs>
          <w:tab w:leader="none" w:pos="1885" w:val="left"/>
        </w:tabs>
        <w:numPr>
          <w:ilvl w:val="1"/>
          <w:numId w:val="55"/>
        </w:numPr>
        <w:rPr>
          <w:rFonts w:ascii="Arial" w:cs="Arial" w:eastAsia="Arial" w:hAnsi="Arial"/>
          <w:sz w:val="18"/>
          <w:szCs w:val="18"/>
          <w:color w:val="auto"/>
        </w:rPr>
      </w:pPr>
      <w:r>
        <w:rPr>
          <w:rFonts w:ascii="Arial" w:cs="Arial" w:eastAsia="Arial" w:hAnsi="Arial"/>
          <w:sz w:val="18"/>
          <w:szCs w:val="18"/>
          <w:color w:val="auto"/>
        </w:rPr>
        <w:t>one-half will vest on the August 2021 distribution date. Upon vesting, the phantom units are payable on a one-for-one basis in PAA common units. These phantom units have associated DERs that are currently vested and payable in cash on each distribution date.</w:t>
      </w:r>
    </w:p>
    <w:p>
      <w:pPr>
        <w:spacing w:after="0" w:line="41" w:lineRule="exact"/>
        <w:rPr>
          <w:rFonts w:ascii="Arial" w:cs="Arial" w:eastAsia="Arial" w:hAnsi="Arial"/>
          <w:sz w:val="18"/>
          <w:szCs w:val="18"/>
          <w:color w:val="auto"/>
        </w:rPr>
      </w:pPr>
    </w:p>
    <w:p>
      <w:pPr>
        <w:ind w:left="1620" w:right="759" w:hanging="358"/>
        <w:spacing w:after="0" w:line="238" w:lineRule="auto"/>
        <w:tabs>
          <w:tab w:leader="none" w:pos="1620" w:val="left"/>
        </w:tabs>
        <w:numPr>
          <w:ilvl w:val="0"/>
          <w:numId w:val="55"/>
        </w:numPr>
        <w:rPr>
          <w:rFonts w:ascii="Arial" w:cs="Arial" w:eastAsia="Arial" w:hAnsi="Arial"/>
          <w:sz w:val="26"/>
          <w:szCs w:val="26"/>
          <w:color w:val="auto"/>
          <w:vertAlign w:val="superscript"/>
        </w:rPr>
      </w:pPr>
      <w:r>
        <w:rPr>
          <w:rFonts w:ascii="Arial" w:cs="Arial" w:eastAsia="Arial" w:hAnsi="Arial"/>
          <w:sz w:val="17"/>
          <w:szCs w:val="17"/>
          <w:color w:val="auto"/>
        </w:rPr>
        <w:t>Represents the unvested portion of phantom units granted in March 2018 under our Long-Term Incentive Plan. These phantom units will vest on the May 2021 distribution date. Upon vesting, the phantom units are payable on a one-for-one basis in PAA common units. The phantom units have associated DERs that are currently vested and payable in cash on each distribution payment date.</w:t>
      </w:r>
    </w:p>
    <w:p>
      <w:pPr>
        <w:spacing w:after="0" w:line="53" w:lineRule="exact"/>
        <w:rPr>
          <w:rFonts w:ascii="Arial" w:cs="Arial" w:eastAsia="Arial" w:hAnsi="Arial"/>
          <w:sz w:val="26"/>
          <w:szCs w:val="26"/>
          <w:color w:val="auto"/>
          <w:vertAlign w:val="superscript"/>
        </w:rPr>
      </w:pPr>
    </w:p>
    <w:p>
      <w:pPr>
        <w:jc w:val="both"/>
        <w:ind w:left="1620" w:right="679" w:hanging="358"/>
        <w:spacing w:after="0" w:line="232" w:lineRule="auto"/>
        <w:tabs>
          <w:tab w:leader="none" w:pos="1620" w:val="left"/>
        </w:tabs>
        <w:numPr>
          <w:ilvl w:val="0"/>
          <w:numId w:val="55"/>
        </w:numPr>
        <w:rPr>
          <w:rFonts w:ascii="Arial" w:cs="Arial" w:eastAsia="Arial" w:hAnsi="Arial"/>
          <w:sz w:val="24"/>
          <w:szCs w:val="24"/>
          <w:color w:val="auto"/>
          <w:vertAlign w:val="superscript"/>
        </w:rPr>
      </w:pPr>
      <w:r>
        <w:rPr>
          <w:rFonts w:ascii="Arial" w:cs="Arial" w:eastAsia="Arial" w:hAnsi="Arial"/>
          <w:sz w:val="16"/>
          <w:szCs w:val="16"/>
          <w:color w:val="auto"/>
        </w:rPr>
        <w:t>Represents phantom units granted to Mr. Chiang in August 2018 under our Long-Term Incentive Plan. These phantom units, which were granted in connection with Mr. Chiang’s promotion to CEO, will vest as follows:</w:t>
      </w:r>
    </w:p>
    <w:p>
      <w:pPr>
        <w:spacing w:after="0" w:line="1" w:lineRule="exact"/>
        <w:rPr>
          <w:rFonts w:ascii="Arial" w:cs="Arial" w:eastAsia="Arial" w:hAnsi="Arial"/>
          <w:sz w:val="24"/>
          <w:szCs w:val="24"/>
          <w:color w:val="auto"/>
          <w:vertAlign w:val="superscript"/>
        </w:rPr>
      </w:pPr>
    </w:p>
    <w:p>
      <w:pPr>
        <w:ind w:left="1620" w:right="679" w:firstLine="2"/>
        <w:spacing w:after="0" w:line="281" w:lineRule="auto"/>
        <w:tabs>
          <w:tab w:leader="none" w:pos="1835" w:val="left"/>
        </w:tabs>
        <w:numPr>
          <w:ilvl w:val="1"/>
          <w:numId w:val="56"/>
        </w:numPr>
        <w:rPr>
          <w:rFonts w:ascii="Arial" w:cs="Arial" w:eastAsia="Arial" w:hAnsi="Arial"/>
          <w:sz w:val="16"/>
          <w:szCs w:val="16"/>
          <w:color w:val="auto"/>
        </w:rPr>
      </w:pPr>
      <w:r>
        <w:rPr>
          <w:rFonts w:ascii="Arial" w:cs="Arial" w:eastAsia="Arial" w:hAnsi="Arial"/>
          <w:sz w:val="16"/>
          <w:szCs w:val="16"/>
          <w:color w:val="auto"/>
        </w:rPr>
        <w:t>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no sooner than January 1, 2021. Upon vesting, the phantom units are payable on a one-for-one basis in PAA common units. Any phantom units or DERs that have not vested by October 1, 2025 will expire at that time. The phantom units have associated DERs that will vest as follows:</w:t>
      </w:r>
    </w:p>
    <w:p>
      <w:pPr>
        <w:spacing w:after="0" w:line="4" w:lineRule="exact"/>
        <w:rPr>
          <w:rFonts w:ascii="Arial" w:cs="Arial" w:eastAsia="Arial" w:hAnsi="Arial"/>
          <w:sz w:val="16"/>
          <w:szCs w:val="16"/>
          <w:color w:val="auto"/>
        </w:rPr>
      </w:pPr>
    </w:p>
    <w:p>
      <w:pPr>
        <w:ind w:left="1620" w:right="679" w:firstLine="2"/>
        <w:spacing w:after="0" w:line="281" w:lineRule="auto"/>
        <w:tabs>
          <w:tab w:leader="none" w:pos="1835" w:val="left"/>
        </w:tabs>
        <w:numPr>
          <w:ilvl w:val="1"/>
          <w:numId w:val="57"/>
        </w:numPr>
        <w:rPr>
          <w:rFonts w:ascii="Arial" w:cs="Arial" w:eastAsia="Arial" w:hAnsi="Arial"/>
          <w:sz w:val="16"/>
          <w:szCs w:val="16"/>
          <w:color w:val="auto"/>
        </w:rPr>
      </w:pPr>
      <w:r>
        <w:rPr>
          <w:rFonts w:ascii="Arial" w:cs="Arial" w:eastAsia="Arial" w:hAnsi="Arial"/>
          <w:sz w:val="16"/>
          <w:szCs w:val="16"/>
          <w:color w:val="auto"/>
        </w:rPr>
        <w:t>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w:t>
      </w:r>
    </w:p>
    <w:p>
      <w:pPr>
        <w:spacing w:after="0" w:line="2" w:lineRule="exact"/>
        <w:rPr>
          <w:rFonts w:ascii="Arial" w:cs="Arial" w:eastAsia="Arial" w:hAnsi="Arial"/>
          <w:sz w:val="16"/>
          <w:szCs w:val="16"/>
          <w:color w:val="auto"/>
        </w:rPr>
      </w:pPr>
    </w:p>
    <w:p>
      <w:pPr>
        <w:ind w:left="1620" w:right="939" w:firstLine="2"/>
        <w:spacing w:after="0" w:line="255" w:lineRule="auto"/>
        <w:tabs>
          <w:tab w:leader="none" w:pos="188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and (iii) immediately preceding, the applicable trailing four quarter period must begin on or after January 1, 2020. These phantom units will also vest upon termination of Mr. Chiang’s employment under certain circumstances.</w:t>
      </w:r>
    </w:p>
    <w:p>
      <w:pPr>
        <w:spacing w:after="0" w:line="54" w:lineRule="exact"/>
        <w:rPr>
          <w:rFonts w:ascii="Arial" w:cs="Arial" w:eastAsia="Arial" w:hAnsi="Arial"/>
          <w:sz w:val="18"/>
          <w:szCs w:val="18"/>
          <w:color w:val="auto"/>
        </w:rPr>
      </w:pPr>
    </w:p>
    <w:p>
      <w:pPr>
        <w:ind w:left="1620" w:right="1039" w:hanging="358"/>
        <w:spacing w:after="0" w:line="207"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August 2022 distribution date. The associated DERs will vest on the August 2020 distribution date.</w:t>
      </w:r>
    </w:p>
    <w:p>
      <w:pPr>
        <w:spacing w:after="0" w:line="53" w:lineRule="exact"/>
        <w:rPr>
          <w:rFonts w:ascii="Arial" w:cs="Arial" w:eastAsia="Arial" w:hAnsi="Arial"/>
          <w:sz w:val="27"/>
          <w:szCs w:val="27"/>
          <w:color w:val="auto"/>
          <w:vertAlign w:val="superscript"/>
        </w:rPr>
      </w:pPr>
    </w:p>
    <w:p>
      <w:pPr>
        <w:ind w:left="1620" w:right="799" w:hanging="358"/>
        <w:spacing w:after="0" w:line="235"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on the first distribution date following January 1, 2021 on which PAA achieves DCF per common unit of at least $2.50 on a trailing four quarter basis.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79" w:hanging="358"/>
        <w:spacing w:after="0" w:line="262" w:lineRule="auto"/>
        <w:tabs>
          <w:tab w:leader="none" w:pos="1620" w:val="left"/>
        </w:tabs>
        <w:numPr>
          <w:ilvl w:val="0"/>
          <w:numId w:val="59"/>
        </w:numPr>
        <w:rPr>
          <w:rFonts w:ascii="Arial" w:cs="Arial" w:eastAsia="Arial" w:hAnsi="Arial"/>
          <w:sz w:val="24"/>
          <w:szCs w:val="24"/>
          <w:color w:val="auto"/>
          <w:vertAlign w:val="superscript"/>
        </w:rPr>
      </w:pPr>
      <w:r>
        <w:rPr>
          <w:rFonts w:ascii="Arial" w:cs="Arial" w:eastAsia="Arial" w:hAnsi="Arial"/>
          <w:sz w:val="16"/>
          <w:szCs w:val="16"/>
          <w:color w:val="auto"/>
        </w:rPr>
        <w:t>Represents the applicable portion of phantom units granted in November 2019. These phantom units will vest (i) 50% on the August 2026 distribution date, (ii) 25% on the later of the August 2026 distribution date and the first distribution date following PAA’s achievement of DCF per common unit and common unit equivalent of at least $2.80 on a trailing four quarter basis, and (iii) 25% on the later of the August 2026 distribution date and the first distribution date following PAA’s achievement of DCF per common unit and common unit equivalent of at least $3.15 on a trailing four quarter basis. The associated DERs will vest</w:t>
      </w:r>
    </w:p>
    <w:p>
      <w:pPr>
        <w:spacing w:after="0" w:line="4" w:lineRule="exact"/>
        <w:rPr>
          <w:rFonts w:ascii="Arial" w:cs="Arial" w:eastAsia="Arial" w:hAnsi="Arial"/>
          <w:sz w:val="24"/>
          <w:szCs w:val="24"/>
          <w:color w:val="auto"/>
          <w:vertAlign w:val="superscript"/>
        </w:rPr>
      </w:pPr>
    </w:p>
    <w:p>
      <w:pPr>
        <w:ind w:left="1620" w:right="799"/>
        <w:spacing w:after="0" w:line="267" w:lineRule="auto"/>
        <w:rPr>
          <w:rFonts w:ascii="Arial" w:cs="Arial" w:eastAsia="Arial" w:hAnsi="Arial"/>
          <w:sz w:val="24"/>
          <w:szCs w:val="24"/>
          <w:color w:val="auto"/>
          <w:vertAlign w:val="superscript"/>
        </w:rPr>
      </w:pPr>
      <w:r>
        <w:rPr>
          <w:rFonts w:ascii="Arial" w:cs="Arial" w:eastAsia="Arial" w:hAnsi="Arial"/>
          <w:sz w:val="17"/>
          <w:szCs w:val="17"/>
          <w:color w:val="auto"/>
        </w:rPr>
        <w:t>(i) 20% each on the August 2020, August 2021 and August 2022 distribution dates (60% total), (ii) 20% on the first distribution date following PAA’s achievement of DCF per common unit and common unit equivalent of at least $2.70 on a trailing four quarter basis, and (iii) 20% on the first distribution date following PAA’s achievement of DCF per common unit and common unit equivalent of at least $2.90 on a trailing four quarter basis. The applicable trailing four quarter period for determining whether the requisite DCF per common unit and common unit equivalent has been achieved for vesting of phantom units and DERs may not begin until on or after January 1, 2020. Any phantom units that have not vested by the August 2028 distribution date will be forfeited.</w:t>
      </w:r>
    </w:p>
    <w:p>
      <w:pPr>
        <w:spacing w:after="0" w:line="41" w:lineRule="exact"/>
        <w:rPr>
          <w:rFonts w:ascii="Arial" w:cs="Arial" w:eastAsia="Arial" w:hAnsi="Arial"/>
          <w:sz w:val="24"/>
          <w:szCs w:val="24"/>
          <w:color w:val="auto"/>
          <w:vertAlign w:val="superscript"/>
        </w:rPr>
      </w:pPr>
    </w:p>
    <w:p>
      <w:pPr>
        <w:ind w:left="1620" w:right="759" w:hanging="358"/>
        <w:spacing w:after="0" w:line="230"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originally granted to Mr. McGee in 2011 and 2013. All of these AAP Management Units have been earned and on January 1, 2020, 195,755 of the earned AAP Management Units vested. The remaining 244,694 AAP Management Units have not yet vested; accordingly, they remain subject to a call right in the event Mr. McGee’s employment is terminated prior to December 31, 2020.</w:t>
      </w:r>
    </w:p>
    <w:p>
      <w:pPr>
        <w:spacing w:after="0" w:line="56" w:lineRule="exact"/>
        <w:rPr>
          <w:rFonts w:ascii="Arial" w:cs="Arial" w:eastAsia="Arial" w:hAnsi="Arial"/>
          <w:sz w:val="27"/>
          <w:szCs w:val="27"/>
          <w:color w:val="auto"/>
          <w:vertAlign w:val="superscript"/>
        </w:rPr>
      </w:pPr>
    </w:p>
    <w:p>
      <w:pPr>
        <w:ind w:left="1620" w:right="699" w:hanging="358"/>
        <w:spacing w:after="0" w:line="263" w:lineRule="auto"/>
        <w:tabs>
          <w:tab w:leader="none" w:pos="1620" w:val="left"/>
        </w:tabs>
        <w:numPr>
          <w:ilvl w:val="0"/>
          <w:numId w:val="59"/>
        </w:numPr>
        <w:rPr>
          <w:rFonts w:ascii="Arial" w:cs="Arial" w:eastAsia="Arial" w:hAnsi="Arial"/>
          <w:sz w:val="24"/>
          <w:szCs w:val="24"/>
          <w:color w:val="auto"/>
          <w:vertAlign w:val="superscript"/>
        </w:rPr>
      </w:pPr>
      <w:r>
        <w:rPr>
          <w:rFonts w:ascii="Arial" w:cs="Arial" w:eastAsia="Arial" w:hAnsi="Arial"/>
          <w:sz w:val="16"/>
          <w:szCs w:val="16"/>
          <w:color w:val="auto"/>
        </w:rPr>
        <w:t>Represents phantom units granted to Mr. Chandler in May 2018, consisting of one tranche for 75,000 phantom units and a second tranche for 135,000 phantom units. One half of the 75,000 unit tranche vested during 2019; the other half will vest on the May 2021 distribution date. The 135,000 unit tranche will vest in thirds on each of the May 2020, May 2021 and May 2022 distribution dates. The phantom units have associated DERs that are currently vested and payable in cash on each distribution payment date.</w:t>
      </w:r>
    </w:p>
    <w:p>
      <w:pPr>
        <w:spacing w:after="0" w:line="52" w:lineRule="exact"/>
        <w:rPr>
          <w:rFonts w:ascii="Arial" w:cs="Arial" w:eastAsia="Arial" w:hAnsi="Arial"/>
          <w:sz w:val="24"/>
          <w:szCs w:val="24"/>
          <w:color w:val="auto"/>
          <w:vertAlign w:val="superscript"/>
        </w:rPr>
      </w:pPr>
    </w:p>
    <w:p>
      <w:pPr>
        <w:ind w:left="1620" w:right="699" w:hanging="358"/>
        <w:spacing w:after="0" w:line="249" w:lineRule="auto"/>
        <w:tabs>
          <w:tab w:leader="none" w:pos="1620" w:val="left"/>
        </w:tabs>
        <w:numPr>
          <w:ilvl w:val="0"/>
          <w:numId w:val="59"/>
        </w:numPr>
        <w:rPr>
          <w:rFonts w:ascii="Arial" w:cs="Arial" w:eastAsia="Arial" w:hAnsi="Arial"/>
          <w:sz w:val="24"/>
          <w:szCs w:val="24"/>
          <w:color w:val="auto"/>
          <w:vertAlign w:val="superscript"/>
        </w:rPr>
      </w:pPr>
      <w:r>
        <w:rPr>
          <w:rFonts w:ascii="Arial" w:cs="Arial" w:eastAsia="Arial" w:hAnsi="Arial"/>
          <w:sz w:val="16"/>
          <w:szCs w:val="16"/>
          <w:color w:val="auto"/>
        </w:rPr>
        <w:t>Represents the pre-conversion number of AAP management units granted to Mr. Goebel in July 2015. All of these AAP Management Units have been earned, but have not yet vested; accordingly, they remain subject to a call right in the event Mr. Goebel’s employment is terminated prior to December 31, 2022.</w:t>
      </w:r>
    </w:p>
    <w:p>
      <w:pPr>
        <w:spacing w:after="0" w:line="47" w:lineRule="exact"/>
        <w:rPr>
          <w:rFonts w:ascii="Arial" w:cs="Arial" w:eastAsia="Arial" w:hAnsi="Arial"/>
          <w:sz w:val="24"/>
          <w:szCs w:val="24"/>
          <w:color w:val="auto"/>
          <w:vertAlign w:val="superscript"/>
        </w:rPr>
      </w:pPr>
    </w:p>
    <w:p>
      <w:pPr>
        <w:ind w:left="1620" w:right="1059" w:hanging="358"/>
        <w:spacing w:after="0" w:line="226"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July 2015. The performance thresholds required for vesting of these phantom units have been achieved and they will vest on the August 2020 distribution date. The phantom units have associated DERs that are currently vested and payable in cash on each distribution payment date.</w:t>
      </w:r>
    </w:p>
    <w:p>
      <w:pPr>
        <w:spacing w:after="0" w:line="54" w:lineRule="exact"/>
        <w:rPr>
          <w:rFonts w:ascii="Arial" w:cs="Arial" w:eastAsia="Arial" w:hAnsi="Arial"/>
          <w:sz w:val="27"/>
          <w:szCs w:val="27"/>
          <w:color w:val="auto"/>
          <w:vertAlign w:val="superscript"/>
        </w:rPr>
      </w:pPr>
    </w:p>
    <w:p>
      <w:pPr>
        <w:ind w:left="1620" w:right="1139" w:hanging="358"/>
        <w:spacing w:after="0" w:line="226"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December 2017. These phantom units will vest in 30,000 unit increments on January 1, 2020, 2021, 2022 and 2023. The phantom units have associated DERs that are currently vested and payable in cash on each distribution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4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2019 with respect to our Named Executive Officers.</w:t>
      </w:r>
    </w:p>
    <w:p>
      <w:pPr>
        <w:spacing w:after="0" w:line="158" w:lineRule="exact"/>
        <w:rPr>
          <w:sz w:val="20"/>
          <w:szCs w:val="20"/>
          <w:color w:val="auto"/>
        </w:rPr>
      </w:pPr>
    </w:p>
    <w:tbl>
      <w:tblPr>
        <w:tblLayout w:type="fixed"/>
        <w:tblInd w:w="1630" w:type="dxa"/>
        <w:tblCellMar>
          <w:top w:w="0" w:type="dxa"/>
          <w:left w:w="0" w:type="dxa"/>
          <w:bottom w:w="0" w:type="dxa"/>
          <w:right w:w="0" w:type="dxa"/>
        </w:tblCellMar>
      </w:tblPr>
      <w:tr>
        <w:trPr>
          <w:trHeight w:val="288"/>
        </w:trPr>
        <w:tc>
          <w:tcPr>
            <w:tcW w:w="4500" w:type="dxa"/>
            <w:vAlign w:val="bottom"/>
            <w:tcBorders>
              <w:left w:val="single" w:sz="8" w:color="697287"/>
              <w:bottom w:val="single" w:sz="8" w:color="434F69"/>
              <w:right w:val="single" w:sz="8" w:color="434F69"/>
            </w:tcBorders>
            <w:shd w:val="clear" w:color="auto" w:fill="434F69"/>
          </w:tcPr>
          <w:p>
            <w:pPr>
              <w:spacing w:after="0"/>
              <w:rPr>
                <w:sz w:val="24"/>
                <w:szCs w:val="24"/>
                <w:color w:val="auto"/>
              </w:rPr>
            </w:pPr>
          </w:p>
        </w:tc>
        <w:tc>
          <w:tcPr>
            <w:tcW w:w="3000" w:type="dxa"/>
            <w:vAlign w:val="bottom"/>
            <w:tcBorders>
              <w:bottom w:val="single" w:sz="8" w:color="434F69"/>
              <w:right w:val="single" w:sz="8" w:color="697287"/>
            </w:tcBorders>
            <w:gridSpan w:val="2"/>
            <w:shd w:val="clear" w:color="auto" w:fill="434F69"/>
          </w:tcPr>
          <w:p>
            <w:pPr>
              <w:jc w:val="right"/>
              <w:ind w:right="1012"/>
              <w:spacing w:after="0"/>
              <w:rPr>
                <w:sz w:val="20"/>
                <w:szCs w:val="20"/>
                <w:color w:val="auto"/>
              </w:rPr>
            </w:pPr>
            <w:r>
              <w:rPr>
                <w:rFonts w:ascii="Arial" w:cs="Arial" w:eastAsia="Arial" w:hAnsi="Arial"/>
                <w:sz w:val="14"/>
                <w:szCs w:val="14"/>
                <w:b w:val="1"/>
                <w:bCs w:val="1"/>
                <w:color w:val="FFFFFF"/>
              </w:rPr>
              <w:t>Unit Awards</w:t>
            </w:r>
          </w:p>
        </w:tc>
      </w:tr>
      <w:tr>
        <w:trPr>
          <w:trHeight w:val="160"/>
        </w:trPr>
        <w:tc>
          <w:tcPr>
            <w:tcW w:w="4500" w:type="dxa"/>
            <w:vAlign w:val="bottom"/>
            <w:tcBorders>
              <w:top w:val="single" w:sz="8" w:color="434F69"/>
              <w:left w:val="single" w:sz="8" w:color="697287"/>
              <w:right w:val="single" w:sz="8" w:color="434F69"/>
            </w:tcBorders>
            <w:shd w:val="clear" w:color="auto" w:fill="434F69"/>
          </w:tcPr>
          <w:p>
            <w:pPr>
              <w:spacing w:after="0"/>
              <w:rPr>
                <w:sz w:val="13"/>
                <w:szCs w:val="13"/>
                <w:color w:val="auto"/>
              </w:rPr>
            </w:pPr>
          </w:p>
        </w:tc>
        <w:tc>
          <w:tcPr>
            <w:tcW w:w="1540" w:type="dxa"/>
            <w:vAlign w:val="bottom"/>
            <w:tcBorders>
              <w:top w:val="single" w:sz="8" w:color="auto"/>
              <w:right w:val="single" w:sz="8" w:color="434F69"/>
            </w:tcBorders>
            <w:shd w:val="clear" w:color="auto" w:fill="434F69"/>
          </w:tcPr>
          <w:p>
            <w:pPr>
              <w:jc w:val="center"/>
              <w:spacing w:after="0" w:line="160" w:lineRule="exact"/>
              <w:rPr>
                <w:sz w:val="20"/>
                <w:szCs w:val="20"/>
                <w:color w:val="auto"/>
              </w:rPr>
            </w:pPr>
            <w:r>
              <w:rPr>
                <w:rFonts w:ascii="Arial" w:cs="Arial" w:eastAsia="Arial" w:hAnsi="Arial"/>
                <w:sz w:val="14"/>
                <w:szCs w:val="14"/>
                <w:b w:val="1"/>
                <w:bCs w:val="1"/>
                <w:color w:val="FFFFFF"/>
                <w:w w:val="93"/>
              </w:rPr>
              <w:t>Number of Units</w:t>
            </w:r>
          </w:p>
        </w:tc>
        <w:tc>
          <w:tcPr>
            <w:tcW w:w="1460" w:type="dxa"/>
            <w:vAlign w:val="bottom"/>
            <w:tcBorders>
              <w:top w:val="single" w:sz="8" w:color="auto"/>
              <w:right w:val="single" w:sz="8" w:color="697287"/>
            </w:tcBorders>
            <w:shd w:val="clear" w:color="auto" w:fill="434F69"/>
          </w:tcPr>
          <w:p>
            <w:pPr>
              <w:spacing w:after="0"/>
              <w:rPr>
                <w:sz w:val="13"/>
                <w:szCs w:val="13"/>
                <w:color w:val="auto"/>
              </w:rPr>
            </w:pPr>
          </w:p>
        </w:tc>
      </w:tr>
      <w:tr>
        <w:trPr>
          <w:trHeight w:val="158"/>
        </w:trPr>
        <w:tc>
          <w:tcPr>
            <w:tcW w:w="4500" w:type="dxa"/>
            <w:vAlign w:val="bottom"/>
            <w:tcBorders>
              <w:left w:val="single" w:sz="8" w:color="697287"/>
              <w:right w:val="single" w:sz="8" w:color="434F69"/>
            </w:tcBorders>
            <w:shd w:val="clear" w:color="auto" w:fill="434F69"/>
          </w:tcPr>
          <w:p>
            <w:pPr>
              <w:spacing w:after="0"/>
              <w:rPr>
                <w:sz w:val="13"/>
                <w:szCs w:val="13"/>
                <w:color w:val="auto"/>
              </w:rPr>
            </w:pPr>
          </w:p>
        </w:tc>
        <w:tc>
          <w:tcPr>
            <w:tcW w:w="15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Acquired on</w:t>
            </w:r>
          </w:p>
        </w:tc>
        <w:tc>
          <w:tcPr>
            <w:tcW w:w="1460" w:type="dxa"/>
            <w:vAlign w:val="bottom"/>
            <w:tcBorders>
              <w:right w:val="single" w:sz="8" w:color="697287"/>
            </w:tcBorders>
            <w:shd w:val="clear" w:color="auto" w:fill="434F69"/>
          </w:tcPr>
          <w:p>
            <w:pPr>
              <w:jc w:val="right"/>
              <w:ind w:right="192"/>
              <w:spacing w:after="0" w:line="158" w:lineRule="exact"/>
              <w:rPr>
                <w:sz w:val="20"/>
                <w:szCs w:val="20"/>
                <w:color w:val="auto"/>
              </w:rPr>
            </w:pPr>
            <w:r>
              <w:rPr>
                <w:rFonts w:ascii="Arial" w:cs="Arial" w:eastAsia="Arial" w:hAnsi="Arial"/>
                <w:sz w:val="14"/>
                <w:szCs w:val="14"/>
                <w:b w:val="1"/>
                <w:bCs w:val="1"/>
                <w:color w:val="FFFFFF"/>
              </w:rPr>
              <w:t>Value Realized</w:t>
            </w:r>
          </w:p>
        </w:tc>
      </w:tr>
      <w:tr>
        <w:trPr>
          <w:trHeight w:val="229"/>
        </w:trPr>
        <w:tc>
          <w:tcPr>
            <w:tcW w:w="4500" w:type="dxa"/>
            <w:vAlign w:val="bottom"/>
            <w:tcBorders>
              <w:left w:val="single" w:sz="8" w:color="697287"/>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540" w:type="dxa"/>
            <w:vAlign w:val="bottom"/>
            <w:tcBorders>
              <w:bottom w:val="single" w:sz="8" w:color="434F69"/>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7"/>
              </w:rPr>
              <w:t>Vesting (#)</w:t>
            </w:r>
            <w:r>
              <w:rPr>
                <w:rFonts w:ascii="Arial" w:cs="Arial" w:eastAsia="Arial" w:hAnsi="Arial"/>
                <w:sz w:val="21"/>
                <w:szCs w:val="21"/>
                <w:b w:val="1"/>
                <w:bCs w:val="1"/>
                <w:color w:val="FFFFFF"/>
                <w:w w:val="87"/>
                <w:vertAlign w:val="superscript"/>
              </w:rPr>
              <w:t>(1)</w:t>
            </w:r>
          </w:p>
        </w:tc>
        <w:tc>
          <w:tcPr>
            <w:tcW w:w="1460" w:type="dxa"/>
            <w:vAlign w:val="bottom"/>
            <w:tcBorders>
              <w:bottom w:val="single" w:sz="8" w:color="434F69"/>
              <w:right w:val="single" w:sz="8" w:color="697287"/>
            </w:tcBorders>
            <w:shd w:val="clear" w:color="auto" w:fill="434F69"/>
          </w:tcPr>
          <w:p>
            <w:pPr>
              <w:jc w:val="right"/>
              <w:ind w:right="232"/>
              <w:spacing w:after="0"/>
              <w:rPr>
                <w:sz w:val="20"/>
                <w:szCs w:val="20"/>
                <w:color w:val="auto"/>
              </w:rPr>
            </w:pPr>
            <w:r>
              <w:rPr>
                <w:rFonts w:ascii="Arial" w:cs="Arial" w:eastAsia="Arial" w:hAnsi="Arial"/>
                <w:sz w:val="14"/>
                <w:szCs w:val="14"/>
                <w:b w:val="1"/>
                <w:bCs w:val="1"/>
                <w:color w:val="FFFFFF"/>
              </w:rPr>
              <w:t>on Vesting ($)</w:t>
            </w: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73,000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1,737,400</w:t>
            </w:r>
            <w:r>
              <w:rPr>
                <w:rFonts w:ascii="Arial" w:cs="Arial" w:eastAsia="Arial" w:hAnsi="Arial"/>
                <w:sz w:val="26"/>
                <w:szCs w:val="26"/>
                <w:color w:val="auto"/>
                <w:vertAlign w:val="superscript"/>
              </w:rPr>
              <w:t>(2)</w:t>
            </w:r>
          </w:p>
        </w:tc>
      </w:tr>
      <w:tr>
        <w:trPr>
          <w:trHeight w:val="263"/>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120,000</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2,871,600</w:t>
            </w:r>
            <w:r>
              <w:rPr>
                <w:rFonts w:ascii="Arial" w:cs="Arial" w:eastAsia="Arial" w:hAnsi="Arial"/>
                <w:sz w:val="26"/>
                <w:szCs w:val="26"/>
                <w:color w:val="auto"/>
                <w:vertAlign w:val="superscript"/>
              </w:rPr>
              <w:t>(3)</w:t>
            </w: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91,000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1,979,250</w:t>
            </w:r>
            <w:r>
              <w:rPr>
                <w:rFonts w:ascii="Arial" w:cs="Arial" w:eastAsia="Arial" w:hAnsi="Arial"/>
                <w:sz w:val="26"/>
                <w:szCs w:val="26"/>
                <w:color w:val="auto"/>
                <w:vertAlign w:val="superscript"/>
              </w:rPr>
              <w:t>(4)</w:t>
            </w:r>
          </w:p>
        </w:tc>
      </w:tr>
      <w:tr>
        <w:trPr>
          <w:trHeight w:val="304"/>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44"/>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Harry N. Pefanis</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34F69"/>
              <w:right w:val="single" w:sz="8" w:color="697287"/>
            </w:tcBorders>
            <w:shd w:val="clear" w:color="auto" w:fill="D9DCE1"/>
          </w:tcPr>
          <w:p>
            <w:pPr>
              <w:jc w:val="right"/>
              <w:ind w:right="232"/>
              <w:spacing w:after="0"/>
              <w:rPr>
                <w:sz w:val="20"/>
                <w:szCs w:val="20"/>
                <w:color w:val="auto"/>
              </w:rPr>
            </w:pPr>
            <w:r>
              <w:rPr>
                <w:rFonts w:ascii="Arial" w:cs="Arial" w:eastAsia="Arial" w:hAnsi="Arial"/>
                <w:sz w:val="18"/>
                <w:szCs w:val="18"/>
                <w:color w:val="auto"/>
              </w:rPr>
              <w:t>—</w:t>
            </w:r>
          </w:p>
        </w:tc>
      </w:tr>
      <w:tr>
        <w:trPr>
          <w:trHeight w:val="311"/>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63"/>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15,000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357,000</w:t>
            </w:r>
            <w:r>
              <w:rPr>
                <w:rFonts w:ascii="Arial" w:cs="Arial" w:eastAsia="Arial" w:hAnsi="Arial"/>
                <w:sz w:val="26"/>
                <w:szCs w:val="26"/>
                <w:color w:val="auto"/>
                <w:vertAlign w:val="superscript"/>
              </w:rPr>
              <w:t>(2)</w:t>
            </w:r>
          </w:p>
        </w:tc>
      </w:tr>
      <w:tr>
        <w:trPr>
          <w:trHeight w:val="264"/>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81,000</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1,938,330</w:t>
            </w:r>
            <w:r>
              <w:rPr>
                <w:rFonts w:ascii="Arial" w:cs="Arial" w:eastAsia="Arial" w:hAnsi="Arial"/>
                <w:sz w:val="26"/>
                <w:szCs w:val="26"/>
                <w:color w:val="auto"/>
                <w:vertAlign w:val="superscript"/>
              </w:rPr>
              <w:t>(3)</w:t>
            </w:r>
          </w:p>
        </w:tc>
      </w:tr>
      <w:tr>
        <w:trPr>
          <w:trHeight w:val="263"/>
        </w:trPr>
        <w:tc>
          <w:tcPr>
            <w:tcW w:w="450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46,000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1,000,500</w:t>
            </w:r>
            <w:r>
              <w:rPr>
                <w:rFonts w:ascii="Arial" w:cs="Arial" w:eastAsia="Arial" w:hAnsi="Arial"/>
                <w:sz w:val="26"/>
                <w:szCs w:val="26"/>
                <w:color w:val="auto"/>
                <w:vertAlign w:val="superscript"/>
              </w:rPr>
              <w:t>(4)</w:t>
            </w:r>
          </w:p>
        </w:tc>
      </w:tr>
      <w:tr>
        <w:trPr>
          <w:trHeight w:val="304"/>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63"/>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12,500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297,500</w:t>
            </w:r>
            <w:r>
              <w:rPr>
                <w:rFonts w:ascii="Arial" w:cs="Arial" w:eastAsia="Arial" w:hAnsi="Arial"/>
                <w:sz w:val="26"/>
                <w:szCs w:val="26"/>
                <w:color w:val="auto"/>
                <w:vertAlign w:val="superscript"/>
              </w:rPr>
              <w:t>(2)</w:t>
            </w:r>
          </w:p>
        </w:tc>
      </w:tr>
      <w:tr>
        <w:trPr>
          <w:trHeight w:val="263"/>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81,000</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1,938,330</w:t>
            </w:r>
            <w:r>
              <w:rPr>
                <w:rFonts w:ascii="Arial" w:cs="Arial" w:eastAsia="Arial" w:hAnsi="Arial"/>
                <w:sz w:val="26"/>
                <w:szCs w:val="26"/>
                <w:color w:val="auto"/>
                <w:vertAlign w:val="superscript"/>
              </w:rPr>
              <w:t>(3)</w:t>
            </w:r>
          </w:p>
        </w:tc>
      </w:tr>
      <w:tr>
        <w:trPr>
          <w:trHeight w:val="263"/>
        </w:trPr>
        <w:tc>
          <w:tcPr>
            <w:tcW w:w="450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46,000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1,000,500</w:t>
            </w:r>
            <w:r>
              <w:rPr>
                <w:rFonts w:ascii="Arial" w:cs="Arial" w:eastAsia="Arial" w:hAnsi="Arial"/>
                <w:sz w:val="26"/>
                <w:szCs w:val="26"/>
                <w:color w:val="auto"/>
                <w:vertAlign w:val="superscript"/>
              </w:rPr>
              <w:t>(4)</w:t>
            </w:r>
          </w:p>
        </w:tc>
      </w:tr>
      <w:tr>
        <w:trPr>
          <w:trHeight w:val="304"/>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63"/>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37,500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892,500</w:t>
            </w:r>
            <w:r>
              <w:rPr>
                <w:rFonts w:ascii="Arial" w:cs="Arial" w:eastAsia="Arial" w:hAnsi="Arial"/>
                <w:sz w:val="26"/>
                <w:szCs w:val="26"/>
                <w:color w:val="auto"/>
                <w:vertAlign w:val="superscript"/>
              </w:rPr>
              <w:t>(2)</w:t>
            </w:r>
          </w:p>
        </w:tc>
      </w:tr>
      <w:tr>
        <w:trPr>
          <w:trHeight w:val="304"/>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63"/>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Jeremy Goebel</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10,000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238,000</w:t>
            </w:r>
            <w:r>
              <w:rPr>
                <w:rFonts w:ascii="Arial" w:cs="Arial" w:eastAsia="Arial" w:hAnsi="Arial"/>
                <w:sz w:val="26"/>
                <w:szCs w:val="26"/>
                <w:color w:val="auto"/>
                <w:vertAlign w:val="superscript"/>
              </w:rPr>
              <w:t>(2)</w:t>
            </w:r>
          </w:p>
        </w:tc>
      </w:tr>
      <w:tr>
        <w:trPr>
          <w:trHeight w:val="263"/>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18,333</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438,709</w:t>
            </w:r>
            <w:r>
              <w:rPr>
                <w:rFonts w:ascii="Arial" w:cs="Arial" w:eastAsia="Arial" w:hAnsi="Arial"/>
                <w:sz w:val="26"/>
                <w:szCs w:val="26"/>
                <w:color w:val="auto"/>
                <w:vertAlign w:val="superscript"/>
              </w:rPr>
              <w:t>(3)</w:t>
            </w: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24,333</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529,243</w:t>
            </w:r>
            <w:r>
              <w:rPr>
                <w:rFonts w:ascii="Arial" w:cs="Arial" w:eastAsia="Arial" w:hAnsi="Arial"/>
                <w:sz w:val="26"/>
                <w:szCs w:val="26"/>
                <w:color w:val="auto"/>
                <w:vertAlign w:val="superscript"/>
              </w:rPr>
              <w:t>(4)</w:t>
            </w:r>
          </w:p>
        </w:tc>
      </w:tr>
      <w:tr>
        <w:trPr>
          <w:trHeight w:val="263"/>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30,000</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601,200</w:t>
            </w:r>
            <w:r>
              <w:rPr>
                <w:rFonts w:ascii="Arial" w:cs="Arial" w:eastAsia="Arial" w:hAnsi="Arial"/>
                <w:sz w:val="26"/>
                <w:szCs w:val="26"/>
                <w:color w:val="auto"/>
                <w:vertAlign w:val="superscript"/>
              </w:rPr>
              <w:t>(5)</w:t>
            </w:r>
          </w:p>
        </w:tc>
      </w:tr>
    </w:tbl>
    <w:p>
      <w:pPr>
        <w:spacing w:after="0" w:line="94" w:lineRule="exact"/>
        <w:rPr>
          <w:sz w:val="20"/>
          <w:szCs w:val="20"/>
          <w:color w:val="auto"/>
        </w:rPr>
      </w:pPr>
    </w:p>
    <w:p>
      <w:pPr>
        <w:ind w:left="1620" w:right="919" w:hanging="358"/>
        <w:spacing w:after="0" w:line="207"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2019. The actual number of units delivered was net of income tax withholding.</w:t>
      </w:r>
    </w:p>
    <w:p>
      <w:pPr>
        <w:spacing w:after="0" w:line="80" w:lineRule="exact"/>
        <w:rPr>
          <w:rFonts w:ascii="Arial" w:cs="Arial" w:eastAsia="Arial" w:hAnsi="Arial"/>
          <w:sz w:val="27"/>
          <w:szCs w:val="27"/>
          <w:color w:val="auto"/>
          <w:vertAlign w:val="superscript"/>
        </w:rPr>
      </w:pPr>
    </w:p>
    <w:p>
      <w:pPr>
        <w:ind w:left="1620" w:right="919" w:hanging="358"/>
        <w:spacing w:after="0" w:line="219"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($23.80) of PAA’s common units on February 13, 2019 (the date preceding the vesting date) by the number of units that vested.</w:t>
      </w:r>
    </w:p>
    <w:p>
      <w:pPr>
        <w:spacing w:after="0" w:line="67" w:lineRule="exact"/>
        <w:rPr>
          <w:rFonts w:ascii="Arial" w:cs="Arial" w:eastAsia="Arial" w:hAnsi="Arial"/>
          <w:sz w:val="27"/>
          <w:szCs w:val="27"/>
          <w:color w:val="auto"/>
          <w:vertAlign w:val="superscript"/>
        </w:rPr>
      </w:pPr>
    </w:p>
    <w:p>
      <w:pPr>
        <w:ind w:left="1620" w:right="899" w:hanging="358"/>
        <w:spacing w:after="0" w:line="219"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($23.93) of PAA’s common units on May 14, 2019 (the date preceding the vesting date) by the number of units that vested.</w:t>
      </w:r>
    </w:p>
    <w:p>
      <w:pPr>
        <w:spacing w:after="0" w:line="81" w:lineRule="exact"/>
        <w:rPr>
          <w:rFonts w:ascii="Arial" w:cs="Arial" w:eastAsia="Arial" w:hAnsi="Arial"/>
          <w:sz w:val="27"/>
          <w:szCs w:val="27"/>
          <w:color w:val="auto"/>
          <w:vertAlign w:val="superscript"/>
        </w:rPr>
      </w:pPr>
    </w:p>
    <w:p>
      <w:pPr>
        <w:ind w:left="1620" w:right="719" w:hanging="358"/>
        <w:spacing w:after="0" w:line="219"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($21.75) of PAA’s common units on August 13, 2019 (the date preceding the vesting date) by the number of units that vested.</w:t>
      </w:r>
    </w:p>
    <w:p>
      <w:pPr>
        <w:spacing w:after="0" w:line="81" w:lineRule="exact"/>
        <w:rPr>
          <w:rFonts w:ascii="Arial" w:cs="Arial" w:eastAsia="Arial" w:hAnsi="Arial"/>
          <w:sz w:val="27"/>
          <w:szCs w:val="27"/>
          <w:color w:val="auto"/>
          <w:vertAlign w:val="superscript"/>
        </w:rPr>
      </w:pPr>
    </w:p>
    <w:p>
      <w:pPr>
        <w:ind w:left="1620" w:right="819" w:hanging="358"/>
        <w:spacing w:after="0" w:line="219"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($20.04) of PAA’s common units on December 31, 2018 (the date preceding the vesting date) by the number of units that vested.</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jc w:val="both"/>
        <w:ind w:left="1260" w:right="859" w:firstLine="360"/>
        <w:spacing w:after="0" w:line="342" w:lineRule="auto"/>
        <w:rPr>
          <w:sz w:val="20"/>
          <w:szCs w:val="20"/>
          <w:color w:val="auto"/>
        </w:rPr>
      </w:pPr>
      <w:r>
        <w:rPr>
          <w:rFonts w:ascii="Arial" w:cs="Arial" w:eastAsia="Arial" w:hAnsi="Arial"/>
          <w:sz w:val="16"/>
          <w:szCs w:val="16"/>
          <w:color w:val="auto"/>
        </w:rPr>
        <w:t>GP LLC sponsors a 401(k) plan that is available to all U.S. employees. We do not maintain any pension or defined benefit programs in which any of our employees, including the Named Executive Officers, participate.</w:t>
      </w:r>
    </w:p>
    <w:p>
      <w:pPr>
        <w:sectPr>
          <w:pgSz w:w="11900" w:h="16838" w:orient="portrait"/>
          <w:cols w:equalWidth="0" w:num="1">
            <w:col w:w="10139"/>
          </w:cols>
          <w:pgMar w:left="320" w:top="132" w:right="1440" w:bottom="1440" w:gutter="0" w:footer="0" w:header="0"/>
        </w:sectPr>
      </w:pPr>
    </w:p>
    <w:p>
      <w:pPr>
        <w:spacing w:after="0" w:line="31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4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following table sets forth potential amounts payable to the Named Executive Officers upon termination of employment under various circumstances, and as if terminated on December 31, 2019.</w:t>
      </w:r>
    </w:p>
    <w:p>
      <w:pPr>
        <w:spacing w:after="0" w:line="63"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460" w:type="dxa"/>
            <w:vAlign w:val="bottom"/>
            <w:tcBorders>
              <w:left w:val="single" w:sz="8" w:color="697287"/>
              <w:right w:val="single" w:sz="8" w:color="434F69"/>
            </w:tcBorders>
            <w:shd w:val="clear" w:color="auto" w:fill="434F69"/>
          </w:tcPr>
          <w:p>
            <w:pPr>
              <w:spacing w:after="0"/>
              <w:rPr>
                <w:sz w:val="20"/>
                <w:szCs w:val="20"/>
                <w:color w:val="auto"/>
              </w:rPr>
            </w:pPr>
          </w:p>
        </w:tc>
        <w:tc>
          <w:tcPr>
            <w:tcW w:w="1000" w:type="dxa"/>
            <w:vAlign w:val="bottom"/>
            <w:tcBorders>
              <w:right w:val="single" w:sz="8" w:color="434F69"/>
            </w:tcBorders>
            <w:shd w:val="clear" w:color="auto" w:fill="434F69"/>
          </w:tcPr>
          <w:p>
            <w:pPr>
              <w:spacing w:after="0"/>
              <w:rPr>
                <w:sz w:val="20"/>
                <w:szCs w:val="20"/>
                <w:color w:val="auto"/>
              </w:rPr>
            </w:pPr>
          </w:p>
        </w:tc>
        <w:tc>
          <w:tcPr>
            <w:tcW w:w="1160" w:type="dxa"/>
            <w:vAlign w:val="bottom"/>
            <w:tcBorders>
              <w:right w:val="single" w:sz="8" w:color="434F69"/>
            </w:tcBorders>
            <w:shd w:val="clear" w:color="auto" w:fill="434F69"/>
          </w:tcPr>
          <w:p>
            <w:pPr>
              <w:spacing w:after="0"/>
              <w:rPr>
                <w:sz w:val="20"/>
                <w:szCs w:val="20"/>
                <w:color w:val="auto"/>
              </w:rPr>
            </w:pPr>
          </w:p>
        </w:tc>
        <w:tc>
          <w:tcPr>
            <w:tcW w:w="1220" w:type="dxa"/>
            <w:vAlign w:val="bottom"/>
            <w:tcBorders>
              <w:right w:val="single" w:sz="8" w:color="434F69"/>
            </w:tcBorders>
            <w:shd w:val="clear" w:color="auto" w:fill="434F69"/>
          </w:tcPr>
          <w:p>
            <w:pPr>
              <w:spacing w:after="0"/>
              <w:rPr>
                <w:sz w:val="20"/>
                <w:szCs w:val="20"/>
                <w:color w:val="auto"/>
              </w:rPr>
            </w:pPr>
          </w:p>
        </w:tc>
        <w:tc>
          <w:tcPr>
            <w:tcW w:w="1120" w:type="dxa"/>
            <w:vAlign w:val="bottom"/>
            <w:tcBorders>
              <w:right w:val="single" w:sz="8" w:color="434F69"/>
            </w:tcBorders>
            <w:shd w:val="clear" w:color="auto" w:fill="434F69"/>
          </w:tcPr>
          <w:p>
            <w:pPr>
              <w:spacing w:after="0"/>
              <w:rPr>
                <w:sz w:val="20"/>
                <w:szCs w:val="20"/>
                <w:color w:val="auto"/>
              </w:rPr>
            </w:pPr>
          </w:p>
        </w:tc>
        <w:tc>
          <w:tcPr>
            <w:tcW w:w="1260" w:type="dxa"/>
            <w:vAlign w:val="bottom"/>
            <w:tcBorders>
              <w:right w:val="single" w:sz="8" w:color="697287"/>
            </w:tcBorders>
            <w:shd w:val="clear" w:color="auto" w:fill="434F69"/>
          </w:tcPr>
          <w:p>
            <w:pPr>
              <w:jc w:val="center"/>
              <w:ind w:right="21"/>
              <w:spacing w:after="0"/>
              <w:rPr>
                <w:sz w:val="20"/>
                <w:szCs w:val="20"/>
                <w:color w:val="auto"/>
              </w:rPr>
            </w:pPr>
            <w:r>
              <w:rPr>
                <w:rFonts w:ascii="Arial" w:cs="Arial" w:eastAsia="Arial" w:hAnsi="Arial"/>
                <w:sz w:val="14"/>
                <w:szCs w:val="14"/>
                <w:b w:val="1"/>
                <w:bCs w:val="1"/>
                <w:color w:val="FFFFFF"/>
                <w:w w:val="94"/>
              </w:rPr>
              <w:t>In Connection</w:t>
            </w:r>
          </w:p>
        </w:tc>
      </w:tr>
      <w:tr>
        <w:trPr>
          <w:trHeight w:val="162"/>
        </w:trPr>
        <w:tc>
          <w:tcPr>
            <w:tcW w:w="2460" w:type="dxa"/>
            <w:vAlign w:val="bottom"/>
            <w:tcBorders>
              <w:left w:val="single" w:sz="8" w:color="697287"/>
              <w:right w:val="single" w:sz="8" w:color="434F69"/>
            </w:tcBorders>
            <w:shd w:val="clear" w:color="auto" w:fill="434F69"/>
          </w:tcPr>
          <w:p>
            <w:pPr>
              <w:spacing w:after="0"/>
              <w:rPr>
                <w:sz w:val="14"/>
                <w:szCs w:val="14"/>
                <w:color w:val="auto"/>
              </w:rPr>
            </w:pPr>
          </w:p>
        </w:tc>
        <w:tc>
          <w:tcPr>
            <w:tcW w:w="100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By Reason</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By Company</w:t>
            </w:r>
          </w:p>
        </w:tc>
        <w:tc>
          <w:tcPr>
            <w:tcW w:w="11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By Executive</w:t>
            </w:r>
          </w:p>
        </w:tc>
        <w:tc>
          <w:tcPr>
            <w:tcW w:w="1260" w:type="dxa"/>
            <w:vAlign w:val="bottom"/>
            <w:tcBorders>
              <w:right w:val="single" w:sz="8" w:color="697287"/>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w w:val="95"/>
              </w:rPr>
              <w:t>with a</w:t>
            </w:r>
          </w:p>
        </w:tc>
      </w:tr>
      <w:tr>
        <w:trPr>
          <w:trHeight w:val="162"/>
        </w:trPr>
        <w:tc>
          <w:tcPr>
            <w:tcW w:w="2460" w:type="dxa"/>
            <w:vAlign w:val="bottom"/>
            <w:tcBorders>
              <w:left w:val="single" w:sz="8" w:color="697287"/>
              <w:right w:val="single" w:sz="8" w:color="434F69"/>
            </w:tcBorders>
            <w:shd w:val="clear" w:color="auto" w:fill="434F69"/>
          </w:tcPr>
          <w:p>
            <w:pPr>
              <w:spacing w:after="0"/>
              <w:rPr>
                <w:sz w:val="14"/>
                <w:szCs w:val="14"/>
                <w:color w:val="auto"/>
              </w:rPr>
            </w:pPr>
          </w:p>
        </w:tc>
        <w:tc>
          <w:tcPr>
            <w:tcW w:w="1000" w:type="dxa"/>
            <w:vAlign w:val="bottom"/>
            <w:tcBorders>
              <w:right w:val="single" w:sz="8" w:color="434F69"/>
            </w:tcBorders>
            <w:shd w:val="clear" w:color="auto" w:fill="434F69"/>
          </w:tcPr>
          <w:p>
            <w:pPr>
              <w:jc w:val="center"/>
              <w:ind w:right="83"/>
              <w:spacing w:after="0"/>
              <w:rPr>
                <w:sz w:val="20"/>
                <w:szCs w:val="20"/>
                <w:color w:val="auto"/>
              </w:rPr>
            </w:pPr>
            <w:r>
              <w:rPr>
                <w:rFonts w:ascii="Arial" w:cs="Arial" w:eastAsia="Arial" w:hAnsi="Arial"/>
                <w:sz w:val="14"/>
                <w:szCs w:val="14"/>
                <w:b w:val="1"/>
                <w:bCs w:val="1"/>
                <w:color w:val="FFFFFF"/>
                <w:w w:val="88"/>
              </w:rPr>
              <w:t>By Reason</w:t>
            </w:r>
          </w:p>
        </w:tc>
        <w:tc>
          <w:tcPr>
            <w:tcW w:w="1160" w:type="dxa"/>
            <w:vAlign w:val="bottom"/>
            <w:tcBorders>
              <w:right w:val="single" w:sz="8" w:color="434F69"/>
            </w:tcBorders>
            <w:shd w:val="clear" w:color="auto" w:fill="434F69"/>
          </w:tcPr>
          <w:p>
            <w:pPr>
              <w:jc w:val="center"/>
              <w:ind w:right="3"/>
              <w:spacing w:after="0"/>
              <w:rPr>
                <w:sz w:val="20"/>
                <w:szCs w:val="20"/>
                <w:color w:val="auto"/>
              </w:rPr>
            </w:pPr>
            <w:r>
              <w:rPr>
                <w:rFonts w:ascii="Arial" w:cs="Arial" w:eastAsia="Arial" w:hAnsi="Arial"/>
                <w:sz w:val="14"/>
                <w:szCs w:val="14"/>
                <w:b w:val="1"/>
                <w:bCs w:val="1"/>
                <w:color w:val="FFFFFF"/>
                <w:w w:val="90"/>
              </w:rPr>
              <w:t>of</w:t>
            </w:r>
          </w:p>
        </w:tc>
        <w:tc>
          <w:tcPr>
            <w:tcW w:w="1220" w:type="dxa"/>
            <w:vAlign w:val="bottom"/>
            <w:tcBorders>
              <w:right w:val="single" w:sz="8" w:color="434F69"/>
            </w:tcBorders>
            <w:shd w:val="clear" w:color="auto" w:fill="434F69"/>
          </w:tcPr>
          <w:p>
            <w:pPr>
              <w:jc w:val="center"/>
              <w:ind w:left="1"/>
              <w:spacing w:after="0"/>
              <w:rPr>
                <w:sz w:val="20"/>
                <w:szCs w:val="20"/>
                <w:color w:val="auto"/>
              </w:rPr>
            </w:pPr>
            <w:r>
              <w:rPr>
                <w:rFonts w:ascii="Arial" w:cs="Arial" w:eastAsia="Arial" w:hAnsi="Arial"/>
                <w:sz w:val="14"/>
                <w:szCs w:val="14"/>
                <w:b w:val="1"/>
                <w:bCs w:val="1"/>
                <w:color w:val="FFFFFF"/>
                <w:w w:val="92"/>
              </w:rPr>
              <w:t>without</w:t>
            </w:r>
          </w:p>
        </w:tc>
        <w:tc>
          <w:tcPr>
            <w:tcW w:w="11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with Good</w:t>
            </w:r>
          </w:p>
        </w:tc>
        <w:tc>
          <w:tcPr>
            <w:tcW w:w="1260" w:type="dxa"/>
            <w:vAlign w:val="bottom"/>
            <w:tcBorders>
              <w:right w:val="single" w:sz="8" w:color="697287"/>
            </w:tcBorders>
            <w:shd w:val="clear" w:color="auto" w:fill="434F69"/>
          </w:tcPr>
          <w:p>
            <w:pPr>
              <w:jc w:val="center"/>
              <w:ind w:right="21"/>
              <w:spacing w:after="0"/>
              <w:rPr>
                <w:sz w:val="20"/>
                <w:szCs w:val="20"/>
                <w:color w:val="auto"/>
              </w:rPr>
            </w:pPr>
            <w:r>
              <w:rPr>
                <w:rFonts w:ascii="Arial" w:cs="Arial" w:eastAsia="Arial" w:hAnsi="Arial"/>
                <w:sz w:val="14"/>
                <w:szCs w:val="14"/>
                <w:b w:val="1"/>
                <w:bCs w:val="1"/>
                <w:color w:val="FFFFFF"/>
                <w:w w:val="94"/>
              </w:rPr>
              <w:t>Change In</w:t>
            </w:r>
          </w:p>
        </w:tc>
      </w:tr>
      <w:tr>
        <w:trPr>
          <w:trHeight w:val="162"/>
        </w:trPr>
        <w:tc>
          <w:tcPr>
            <w:tcW w:w="2460" w:type="dxa"/>
            <w:vAlign w:val="bottom"/>
            <w:tcBorders>
              <w:left w:val="single" w:sz="8" w:color="697287"/>
              <w:right w:val="single" w:sz="8" w:color="434F69"/>
            </w:tcBorders>
            <w:shd w:val="clear" w:color="auto" w:fill="434F69"/>
          </w:tcPr>
          <w:p>
            <w:pPr>
              <w:spacing w:after="0"/>
              <w:rPr>
                <w:sz w:val="14"/>
                <w:szCs w:val="14"/>
                <w:color w:val="auto"/>
              </w:rPr>
            </w:pPr>
          </w:p>
        </w:tc>
        <w:tc>
          <w:tcPr>
            <w:tcW w:w="1000" w:type="dxa"/>
            <w:vAlign w:val="bottom"/>
            <w:tcBorders>
              <w:right w:val="single" w:sz="8" w:color="434F69"/>
            </w:tcBorders>
            <w:shd w:val="clear" w:color="auto" w:fill="434F69"/>
          </w:tcPr>
          <w:p>
            <w:pPr>
              <w:jc w:val="center"/>
              <w:ind w:right="83"/>
              <w:spacing w:after="0"/>
              <w:rPr>
                <w:sz w:val="20"/>
                <w:szCs w:val="20"/>
                <w:color w:val="auto"/>
              </w:rPr>
            </w:pPr>
            <w:r>
              <w:rPr>
                <w:rFonts w:ascii="Arial" w:cs="Arial" w:eastAsia="Arial" w:hAnsi="Arial"/>
                <w:sz w:val="14"/>
                <w:szCs w:val="14"/>
                <w:b w:val="1"/>
                <w:bCs w:val="1"/>
                <w:color w:val="FFFFFF"/>
                <w:w w:val="92"/>
              </w:rPr>
              <w:t>of Death</w:t>
            </w:r>
          </w:p>
        </w:tc>
        <w:tc>
          <w:tcPr>
            <w:tcW w:w="1160" w:type="dxa"/>
            <w:vAlign w:val="bottom"/>
            <w:tcBorders>
              <w:right w:val="single" w:sz="8" w:color="434F69"/>
            </w:tcBorders>
            <w:shd w:val="clear" w:color="auto" w:fill="434F69"/>
          </w:tcPr>
          <w:p>
            <w:pPr>
              <w:jc w:val="center"/>
              <w:ind w:right="3"/>
              <w:spacing w:after="0"/>
              <w:rPr>
                <w:sz w:val="20"/>
                <w:szCs w:val="20"/>
                <w:color w:val="auto"/>
              </w:rPr>
            </w:pPr>
            <w:r>
              <w:rPr>
                <w:rFonts w:ascii="Arial" w:cs="Arial" w:eastAsia="Arial" w:hAnsi="Arial"/>
                <w:sz w:val="14"/>
                <w:szCs w:val="14"/>
                <w:b w:val="1"/>
                <w:bCs w:val="1"/>
                <w:color w:val="FFFFFF"/>
                <w:w w:val="96"/>
              </w:rPr>
              <w:t>Disability</w:t>
            </w:r>
          </w:p>
        </w:tc>
        <w:tc>
          <w:tcPr>
            <w:tcW w:w="1220" w:type="dxa"/>
            <w:vAlign w:val="bottom"/>
            <w:tcBorders>
              <w:right w:val="single" w:sz="8" w:color="434F69"/>
            </w:tcBorders>
            <w:shd w:val="clear" w:color="auto" w:fill="434F69"/>
          </w:tcPr>
          <w:p>
            <w:pPr>
              <w:jc w:val="center"/>
              <w:ind w:left="1"/>
              <w:spacing w:after="0"/>
              <w:rPr>
                <w:sz w:val="20"/>
                <w:szCs w:val="20"/>
                <w:color w:val="auto"/>
              </w:rPr>
            </w:pPr>
            <w:r>
              <w:rPr>
                <w:rFonts w:ascii="Arial" w:cs="Arial" w:eastAsia="Arial" w:hAnsi="Arial"/>
                <w:sz w:val="14"/>
                <w:szCs w:val="14"/>
                <w:b w:val="1"/>
                <w:bCs w:val="1"/>
                <w:color w:val="FFFFFF"/>
                <w:w w:val="90"/>
              </w:rPr>
              <w:t>Cause</w:t>
            </w:r>
          </w:p>
        </w:tc>
        <w:tc>
          <w:tcPr>
            <w:tcW w:w="11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Reason</w:t>
            </w:r>
          </w:p>
        </w:tc>
        <w:tc>
          <w:tcPr>
            <w:tcW w:w="1260" w:type="dxa"/>
            <w:vAlign w:val="bottom"/>
            <w:tcBorders>
              <w:right w:val="single" w:sz="8" w:color="697287"/>
            </w:tcBorders>
            <w:shd w:val="clear" w:color="auto" w:fill="434F69"/>
          </w:tcPr>
          <w:p>
            <w:pPr>
              <w:jc w:val="center"/>
              <w:ind w:right="21"/>
              <w:spacing w:after="0"/>
              <w:rPr>
                <w:sz w:val="20"/>
                <w:szCs w:val="20"/>
                <w:color w:val="auto"/>
              </w:rPr>
            </w:pPr>
            <w:r>
              <w:rPr>
                <w:rFonts w:ascii="Arial" w:cs="Arial" w:eastAsia="Arial" w:hAnsi="Arial"/>
                <w:sz w:val="14"/>
                <w:szCs w:val="14"/>
                <w:b w:val="1"/>
                <w:bCs w:val="1"/>
                <w:color w:val="FFFFFF"/>
                <w:w w:val="96"/>
              </w:rPr>
              <w:t>Control</w:t>
            </w:r>
          </w:p>
        </w:tc>
      </w:tr>
      <w:tr>
        <w:trPr>
          <w:trHeight w:val="217"/>
        </w:trPr>
        <w:tc>
          <w:tcPr>
            <w:tcW w:w="2460" w:type="dxa"/>
            <w:vAlign w:val="bottom"/>
            <w:tcBorders>
              <w:left w:val="single" w:sz="8" w:color="697287"/>
              <w:bottom w:val="single" w:sz="8" w:color="434F69"/>
              <w:right w:val="single" w:sz="8" w:color="434F69"/>
            </w:tcBorders>
            <w:shd w:val="clear" w:color="auto" w:fill="434F69"/>
          </w:tcPr>
          <w:p>
            <w:pPr>
              <w:spacing w:after="0"/>
              <w:rPr>
                <w:sz w:val="18"/>
                <w:szCs w:val="18"/>
                <w:color w:val="auto"/>
              </w:rPr>
            </w:pPr>
          </w:p>
        </w:tc>
        <w:tc>
          <w:tcPr>
            <w:tcW w:w="1000" w:type="dxa"/>
            <w:vAlign w:val="bottom"/>
            <w:tcBorders>
              <w:bottom w:val="single" w:sz="8" w:color="434F69"/>
              <w:right w:val="single" w:sz="8" w:color="434F69"/>
            </w:tcBorders>
            <w:shd w:val="clear" w:color="auto" w:fill="434F69"/>
          </w:tcPr>
          <w:p>
            <w:pPr>
              <w:jc w:val="center"/>
              <w:ind w:right="83"/>
              <w:spacing w:after="0"/>
              <w:rPr>
                <w:sz w:val="20"/>
                <w:szCs w:val="20"/>
                <w:color w:val="auto"/>
              </w:rPr>
            </w:pPr>
            <w:r>
              <w:rPr>
                <w:rFonts w:ascii="Arial" w:cs="Arial" w:eastAsia="Arial" w:hAnsi="Arial"/>
                <w:sz w:val="14"/>
                <w:szCs w:val="14"/>
                <w:b w:val="1"/>
                <w:bCs w:val="1"/>
                <w:color w:val="FFFFFF"/>
                <w:w w:val="93"/>
              </w:rPr>
              <w:t>($)</w:t>
            </w:r>
          </w:p>
        </w:tc>
        <w:tc>
          <w:tcPr>
            <w:tcW w:w="1160" w:type="dxa"/>
            <w:vAlign w:val="bottom"/>
            <w:tcBorders>
              <w:bottom w:val="single" w:sz="8" w:color="434F69"/>
              <w:right w:val="single" w:sz="8" w:color="434F69"/>
            </w:tcBorders>
            <w:shd w:val="clear" w:color="auto" w:fill="434F69"/>
          </w:tcPr>
          <w:p>
            <w:pPr>
              <w:jc w:val="center"/>
              <w:ind w:right="3"/>
              <w:spacing w:after="0"/>
              <w:rPr>
                <w:sz w:val="20"/>
                <w:szCs w:val="20"/>
                <w:color w:val="auto"/>
              </w:rPr>
            </w:pPr>
            <w:r>
              <w:rPr>
                <w:rFonts w:ascii="Arial" w:cs="Arial" w:eastAsia="Arial" w:hAnsi="Arial"/>
                <w:sz w:val="14"/>
                <w:szCs w:val="14"/>
                <w:b w:val="1"/>
                <w:bCs w:val="1"/>
                <w:color w:val="FFFFFF"/>
                <w:w w:val="93"/>
              </w:rPr>
              <w:t>($)</w:t>
            </w:r>
          </w:p>
        </w:tc>
        <w:tc>
          <w:tcPr>
            <w:tcW w:w="1220" w:type="dxa"/>
            <w:vAlign w:val="bottom"/>
            <w:tcBorders>
              <w:bottom w:val="single" w:sz="8" w:color="434F69"/>
              <w:right w:val="single" w:sz="8" w:color="434F69"/>
            </w:tcBorders>
            <w:shd w:val="clear" w:color="auto" w:fill="434F69"/>
          </w:tcPr>
          <w:p>
            <w:pPr>
              <w:jc w:val="center"/>
              <w:ind w:left="1"/>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434F69"/>
              <w:right w:val="single" w:sz="8" w:color="697287"/>
            </w:tcBorders>
            <w:shd w:val="clear" w:color="auto" w:fill="434F69"/>
          </w:tcPr>
          <w:p>
            <w:pPr>
              <w:jc w:val="center"/>
              <w:ind w:right="21"/>
              <w:spacing w:after="0"/>
              <w:rPr>
                <w:sz w:val="20"/>
                <w:szCs w:val="20"/>
                <w:color w:val="auto"/>
              </w:rPr>
            </w:pPr>
            <w:r>
              <w:rPr>
                <w:rFonts w:ascii="Arial" w:cs="Arial" w:eastAsia="Arial" w:hAnsi="Arial"/>
                <w:sz w:val="14"/>
                <w:szCs w:val="14"/>
                <w:b w:val="1"/>
                <w:bCs w:val="1"/>
                <w:color w:val="FFFFFF"/>
                <w:w w:val="93"/>
              </w:rPr>
              <w:t>($)</w:t>
            </w:r>
          </w:p>
        </w:tc>
      </w:tr>
      <w:tr>
        <w:trPr>
          <w:trHeight w:val="250"/>
        </w:trPr>
        <w:tc>
          <w:tcPr>
            <w:tcW w:w="2460" w:type="dxa"/>
            <w:vAlign w:val="bottom"/>
            <w:tcBorders>
              <w:top w:val="single" w:sz="8" w:color="434F69"/>
              <w:left w:val="single" w:sz="8" w:color="697287"/>
              <w:bottom w:val="single" w:sz="8" w:color="434F69"/>
              <w:right w:val="single" w:sz="8" w:color="434F69"/>
            </w:tcBorders>
            <w:shd w:val="clear" w:color="auto" w:fill="D9DCE1"/>
          </w:tcPr>
          <w:p>
            <w:pPr>
              <w:ind w:left="60"/>
              <w:spacing w:after="0" w:line="250" w:lineRule="exact"/>
              <w:rPr>
                <w:sz w:val="20"/>
                <w:szCs w:val="20"/>
                <w:color w:val="auto"/>
              </w:rPr>
            </w:pPr>
            <w:r>
              <w:rPr>
                <w:rFonts w:ascii="Arial" w:cs="Arial" w:eastAsia="Arial" w:hAnsi="Arial"/>
                <w:sz w:val="16"/>
                <w:szCs w:val="16"/>
                <w:b w:val="1"/>
                <w:bCs w:val="1"/>
                <w:color w:val="auto"/>
              </w:rPr>
              <w:t>Willie Chiang</w:t>
            </w:r>
            <w:r>
              <w:rPr>
                <w:rFonts w:ascii="Arial" w:cs="Arial" w:eastAsia="Arial" w:hAnsi="Arial"/>
                <w:sz w:val="25"/>
                <w:szCs w:val="25"/>
                <w:b w:val="1"/>
                <w:bCs w:val="1"/>
                <w:color w:val="auto"/>
                <w:vertAlign w:val="superscript"/>
              </w:rPr>
              <w:t>(9)</w:t>
            </w:r>
          </w:p>
        </w:tc>
        <w:tc>
          <w:tcPr>
            <w:tcW w:w="1000" w:type="dxa"/>
            <w:vAlign w:val="bottom"/>
            <w:tcBorders>
              <w:top w:val="single" w:sz="8" w:color="434F69"/>
              <w:bottom w:val="single" w:sz="8" w:color="434F69"/>
              <w:right w:val="single" w:sz="8" w:color="434F69"/>
            </w:tcBorders>
            <w:shd w:val="clear" w:color="auto" w:fill="D9DCE1"/>
          </w:tcPr>
          <w:p>
            <w:pPr>
              <w:spacing w:after="0"/>
              <w:rPr>
                <w:sz w:val="21"/>
                <w:szCs w:val="21"/>
                <w:color w:val="auto"/>
              </w:rPr>
            </w:pPr>
          </w:p>
        </w:tc>
        <w:tc>
          <w:tcPr>
            <w:tcW w:w="1160" w:type="dxa"/>
            <w:vAlign w:val="bottom"/>
            <w:tcBorders>
              <w:top w:val="single" w:sz="8" w:color="434F69"/>
              <w:bottom w:val="single" w:sz="8" w:color="434F69"/>
              <w:right w:val="single" w:sz="8" w:color="434F69"/>
            </w:tcBorders>
            <w:shd w:val="clear" w:color="auto" w:fill="D9DCE1"/>
          </w:tcPr>
          <w:p>
            <w:pPr>
              <w:spacing w:after="0"/>
              <w:rPr>
                <w:sz w:val="21"/>
                <w:szCs w:val="21"/>
                <w:color w:val="auto"/>
              </w:rPr>
            </w:pPr>
          </w:p>
        </w:tc>
        <w:tc>
          <w:tcPr>
            <w:tcW w:w="1220" w:type="dxa"/>
            <w:vAlign w:val="bottom"/>
            <w:tcBorders>
              <w:top w:val="single" w:sz="8" w:color="434F69"/>
              <w:bottom w:val="single" w:sz="8" w:color="434F69"/>
              <w:right w:val="single" w:sz="8" w:color="434F69"/>
            </w:tcBorders>
            <w:shd w:val="clear" w:color="auto" w:fill="D9DCE1"/>
          </w:tcPr>
          <w:p>
            <w:pPr>
              <w:spacing w:after="0"/>
              <w:rPr>
                <w:sz w:val="21"/>
                <w:szCs w:val="21"/>
                <w:color w:val="auto"/>
              </w:rPr>
            </w:pPr>
          </w:p>
        </w:tc>
        <w:tc>
          <w:tcPr>
            <w:tcW w:w="1120" w:type="dxa"/>
            <w:vAlign w:val="bottom"/>
            <w:tcBorders>
              <w:top w:val="single" w:sz="8" w:color="434F69"/>
              <w:bottom w:val="single" w:sz="8" w:color="434F69"/>
              <w:right w:val="single" w:sz="8" w:color="434F69"/>
            </w:tcBorders>
            <w:shd w:val="clear" w:color="auto" w:fill="D9DCE1"/>
          </w:tcPr>
          <w:p>
            <w:pPr>
              <w:spacing w:after="0"/>
              <w:rPr>
                <w:sz w:val="21"/>
                <w:szCs w:val="21"/>
                <w:color w:val="auto"/>
              </w:rPr>
            </w:pPr>
          </w:p>
        </w:tc>
        <w:tc>
          <w:tcPr>
            <w:tcW w:w="1260" w:type="dxa"/>
            <w:vAlign w:val="bottom"/>
            <w:tcBorders>
              <w:top w:val="single" w:sz="8" w:color="434F69"/>
              <w:bottom w:val="single" w:sz="8" w:color="434F69"/>
              <w:right w:val="single" w:sz="8" w:color="697287"/>
            </w:tcBorders>
            <w:shd w:val="clear" w:color="auto" w:fill="D9DCE1"/>
          </w:tcPr>
          <w:p>
            <w:pPr>
              <w:spacing w:after="0"/>
              <w:rPr>
                <w:sz w:val="21"/>
                <w:szCs w:val="21"/>
                <w:color w:val="auto"/>
              </w:rPr>
            </w:pPr>
          </w:p>
        </w:tc>
      </w:tr>
      <w:tr>
        <w:trPr>
          <w:trHeight w:val="237"/>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tcPr>
          <w:p>
            <w:pPr>
              <w:jc w:val="right"/>
              <w:ind w:right="23"/>
              <w:spacing w:after="0" w:line="236" w:lineRule="exact"/>
              <w:rPr>
                <w:sz w:val="20"/>
                <w:szCs w:val="20"/>
                <w:color w:val="auto"/>
              </w:rPr>
            </w:pPr>
            <w:r>
              <w:rPr>
                <w:rFonts w:ascii="Arial" w:cs="Arial" w:eastAsia="Arial" w:hAnsi="Arial"/>
                <w:sz w:val="16"/>
                <w:szCs w:val="16"/>
                <w:color w:val="auto"/>
                <w:w w:val="96"/>
              </w:rPr>
              <w:t>2,133,240</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tcPr>
          <w:p>
            <w:pPr>
              <w:jc w:val="right"/>
              <w:ind w:right="63"/>
              <w:spacing w:after="0" w:line="236" w:lineRule="exact"/>
              <w:rPr>
                <w:sz w:val="20"/>
                <w:szCs w:val="20"/>
                <w:color w:val="auto"/>
              </w:rPr>
            </w:pPr>
            <w:r>
              <w:rPr>
                <w:rFonts w:ascii="Arial" w:cs="Arial" w:eastAsia="Arial" w:hAnsi="Arial"/>
                <w:sz w:val="16"/>
                <w:szCs w:val="16"/>
                <w:color w:val="auto"/>
              </w:rPr>
              <w:t>2,133,240</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8,123,599</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13,640,599</w:t>
            </w:r>
            <w:r>
              <w:rPr>
                <w:rFonts w:ascii="Arial" w:cs="Arial" w:eastAsia="Arial" w:hAnsi="Arial"/>
                <w:sz w:val="25"/>
                <w:szCs w:val="25"/>
                <w:color w:val="auto"/>
                <w:vertAlign w:val="superscript"/>
              </w:rPr>
              <w:t>(3)</w:t>
            </w:r>
          </w:p>
        </w:tc>
      </w:tr>
      <w:tr>
        <w:trPr>
          <w:trHeight w:val="237"/>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AAP Management Units</w:t>
            </w:r>
          </w:p>
        </w:tc>
        <w:tc>
          <w:tcPr>
            <w:tcW w:w="100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w w:val="93"/>
              </w:rPr>
              <w:t>5,023,962</w:t>
            </w:r>
            <w:r>
              <w:rPr>
                <w:rFonts w:ascii="Arial" w:cs="Arial" w:eastAsia="Arial" w:hAnsi="Arial"/>
                <w:sz w:val="25"/>
                <w:szCs w:val="25"/>
                <w:color w:val="auto"/>
                <w:w w:val="93"/>
                <w:vertAlign w:val="superscript"/>
              </w:rPr>
              <w:t>(10)</w:t>
            </w:r>
          </w:p>
        </w:tc>
        <w:tc>
          <w:tcPr>
            <w:tcW w:w="1160" w:type="dxa"/>
            <w:vAlign w:val="bottom"/>
            <w:tcBorders>
              <w:bottom w:val="single" w:sz="8" w:color="434F69"/>
              <w:right w:val="single" w:sz="8" w:color="434F69"/>
            </w:tcBorders>
            <w:shd w:val="clear" w:color="auto" w:fill="D9DCE1"/>
          </w:tcPr>
          <w:p>
            <w:pPr>
              <w:jc w:val="right"/>
              <w:ind w:right="3"/>
              <w:spacing w:after="0" w:line="236" w:lineRule="exact"/>
              <w:rPr>
                <w:sz w:val="20"/>
                <w:szCs w:val="20"/>
                <w:color w:val="auto"/>
              </w:rPr>
            </w:pPr>
            <w:r>
              <w:rPr>
                <w:rFonts w:ascii="Arial" w:cs="Arial" w:eastAsia="Arial" w:hAnsi="Arial"/>
                <w:sz w:val="16"/>
                <w:szCs w:val="16"/>
                <w:color w:val="auto"/>
              </w:rPr>
              <w:t>5,023,962</w:t>
            </w:r>
            <w:r>
              <w:rPr>
                <w:rFonts w:ascii="Arial" w:cs="Arial" w:eastAsia="Arial" w:hAnsi="Arial"/>
                <w:sz w:val="25"/>
                <w:szCs w:val="25"/>
                <w:color w:val="auto"/>
                <w:vertAlign w:val="superscript"/>
              </w:rPr>
              <w:t>(10)</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5,023,962</w:t>
            </w:r>
            <w:r>
              <w:rPr>
                <w:rFonts w:ascii="Arial" w:cs="Arial" w:eastAsia="Arial" w:hAnsi="Arial"/>
                <w:sz w:val="25"/>
                <w:szCs w:val="25"/>
                <w:color w:val="auto"/>
                <w:vertAlign w:val="superscript"/>
              </w:rPr>
              <w:t>(4)</w:t>
            </w:r>
          </w:p>
        </w:tc>
        <w:tc>
          <w:tcPr>
            <w:tcW w:w="1120" w:type="dxa"/>
            <w:vAlign w:val="bottom"/>
            <w:tcBorders>
              <w:bottom w:val="single" w:sz="8" w:color="434F69"/>
              <w:right w:val="single" w:sz="8" w:color="434F69"/>
            </w:tcBorders>
            <w:shd w:val="clear" w:color="auto" w:fill="D9DCE1"/>
          </w:tcPr>
          <w:p>
            <w:pPr>
              <w:jc w:val="right"/>
              <w:ind w:right="21"/>
              <w:spacing w:after="0" w:line="236" w:lineRule="exact"/>
              <w:rPr>
                <w:sz w:val="20"/>
                <w:szCs w:val="20"/>
                <w:color w:val="auto"/>
              </w:rPr>
            </w:pPr>
            <w:r>
              <w:rPr>
                <w:rFonts w:ascii="Arial" w:cs="Arial" w:eastAsia="Arial" w:hAnsi="Arial"/>
                <w:sz w:val="16"/>
                <w:szCs w:val="16"/>
                <w:color w:val="auto"/>
              </w:rPr>
              <w:t>5,023,962</w:t>
            </w:r>
            <w:r>
              <w:rPr>
                <w:rFonts w:ascii="Arial" w:cs="Arial" w:eastAsia="Arial" w:hAnsi="Arial"/>
                <w:sz w:val="25"/>
                <w:szCs w:val="25"/>
                <w:color w:val="auto"/>
                <w:vertAlign w:val="superscript"/>
              </w:rPr>
              <w:t>(4)</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5,023,962</w:t>
            </w:r>
            <w:r>
              <w:rPr>
                <w:rFonts w:ascii="Arial" w:cs="Arial" w:eastAsia="Arial" w:hAnsi="Arial"/>
                <w:sz w:val="25"/>
                <w:szCs w:val="25"/>
                <w:color w:val="auto"/>
                <w:vertAlign w:val="superscript"/>
              </w:rPr>
              <w:t>(5)</w:t>
            </w:r>
          </w:p>
        </w:tc>
      </w:tr>
      <w:tr>
        <w:trPr>
          <w:trHeight w:val="230"/>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tcPr>
          <w:p>
            <w:pPr>
              <w:jc w:val="right"/>
              <w:ind w:right="163"/>
              <w:spacing w:after="0"/>
              <w:rPr>
                <w:sz w:val="20"/>
                <w:szCs w:val="20"/>
                <w:color w:val="auto"/>
              </w:rPr>
            </w:pPr>
            <w:r>
              <w:rPr>
                <w:rFonts w:ascii="Arial" w:cs="Arial" w:eastAsia="Arial" w:hAnsi="Arial"/>
                <w:sz w:val="16"/>
                <w:szCs w:val="16"/>
                <w:color w:val="auto"/>
              </w:rPr>
              <w:t>7,157,202</w:t>
            </w:r>
          </w:p>
        </w:tc>
        <w:tc>
          <w:tcPr>
            <w:tcW w:w="1160" w:type="dxa"/>
            <w:vAlign w:val="bottom"/>
            <w:tcBorders>
              <w:bottom w:val="single" w:sz="8" w:color="434F69"/>
              <w:right w:val="single" w:sz="8" w:color="434F69"/>
            </w:tcBorders>
          </w:tcPr>
          <w:p>
            <w:pPr>
              <w:jc w:val="right"/>
              <w:ind w:right="203"/>
              <w:spacing w:after="0"/>
              <w:rPr>
                <w:sz w:val="20"/>
                <w:szCs w:val="20"/>
                <w:color w:val="auto"/>
              </w:rPr>
            </w:pPr>
            <w:r>
              <w:rPr>
                <w:rFonts w:ascii="Arial" w:cs="Arial" w:eastAsia="Arial" w:hAnsi="Arial"/>
                <w:sz w:val="16"/>
                <w:szCs w:val="16"/>
                <w:color w:val="auto"/>
              </w:rPr>
              <w:t>7,157,202</w:t>
            </w:r>
          </w:p>
        </w:tc>
        <w:tc>
          <w:tcPr>
            <w:tcW w:w="1220" w:type="dxa"/>
            <w:vAlign w:val="bottom"/>
            <w:tcBorders>
              <w:bottom w:val="single" w:sz="8" w:color="434F69"/>
              <w:right w:val="single" w:sz="8" w:color="434F69"/>
            </w:tcBorders>
          </w:tcPr>
          <w:p>
            <w:pPr>
              <w:jc w:val="right"/>
              <w:ind w:right="121"/>
              <w:spacing w:after="0"/>
              <w:rPr>
                <w:sz w:val="20"/>
                <w:szCs w:val="20"/>
                <w:color w:val="auto"/>
              </w:rPr>
            </w:pPr>
            <w:r>
              <w:rPr>
                <w:rFonts w:ascii="Arial" w:cs="Arial" w:eastAsia="Arial" w:hAnsi="Arial"/>
                <w:sz w:val="16"/>
                <w:szCs w:val="16"/>
                <w:color w:val="auto"/>
              </w:rPr>
              <w:t>13,147,561</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5,023,962</w:t>
            </w:r>
          </w:p>
        </w:tc>
        <w:tc>
          <w:tcPr>
            <w:tcW w:w="1260" w:type="dxa"/>
            <w:vAlign w:val="bottom"/>
            <w:tcBorders>
              <w:bottom w:val="single" w:sz="8" w:color="434F69"/>
              <w:right w:val="single" w:sz="8" w:color="697287"/>
            </w:tcBorders>
          </w:tcPr>
          <w:p>
            <w:pPr>
              <w:jc w:val="right"/>
              <w:ind w:right="221"/>
              <w:spacing w:after="0"/>
              <w:rPr>
                <w:sz w:val="20"/>
                <w:szCs w:val="20"/>
                <w:color w:val="auto"/>
              </w:rPr>
            </w:pPr>
            <w:r>
              <w:rPr>
                <w:rFonts w:ascii="Arial" w:cs="Arial" w:eastAsia="Arial" w:hAnsi="Arial"/>
                <w:sz w:val="16"/>
                <w:szCs w:val="16"/>
                <w:color w:val="auto"/>
              </w:rPr>
              <w:t>18,664,561</w:t>
            </w:r>
          </w:p>
        </w:tc>
      </w:tr>
      <w:tr>
        <w:trPr>
          <w:trHeight w:val="256"/>
        </w:trPr>
        <w:tc>
          <w:tcPr>
            <w:tcW w:w="2460" w:type="dxa"/>
            <w:vAlign w:val="bottom"/>
            <w:tcBorders>
              <w:left w:val="single" w:sz="8" w:color="697287"/>
              <w:bottom w:val="single" w:sz="8" w:color="434F69"/>
              <w:right w:val="single" w:sz="8" w:color="434F69"/>
            </w:tcBorders>
            <w:shd w:val="clear" w:color="auto" w:fill="D9DCE1"/>
          </w:tcPr>
          <w:p>
            <w:pPr>
              <w:ind w:left="60"/>
              <w:spacing w:after="0" w:line="257" w:lineRule="exact"/>
              <w:rPr>
                <w:sz w:val="20"/>
                <w:szCs w:val="20"/>
                <w:color w:val="auto"/>
              </w:rPr>
            </w:pPr>
            <w:r>
              <w:rPr>
                <w:rFonts w:ascii="Arial" w:cs="Arial" w:eastAsia="Arial" w:hAnsi="Arial"/>
                <w:sz w:val="16"/>
                <w:szCs w:val="16"/>
                <w:b w:val="1"/>
                <w:bCs w:val="1"/>
                <w:color w:val="auto"/>
              </w:rPr>
              <w:t>Harry N. Pefanis</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220" w:type="dxa"/>
            <w:vAlign w:val="bottom"/>
            <w:tcBorders>
              <w:bottom w:val="single" w:sz="8" w:color="434F69"/>
              <w:right w:val="single" w:sz="8" w:color="434F69"/>
            </w:tcBorders>
            <w:shd w:val="clear" w:color="auto" w:fill="D9DCE1"/>
          </w:tcPr>
          <w:p>
            <w:pPr>
              <w:spacing w:after="0"/>
              <w:rPr>
                <w:sz w:val="22"/>
                <w:szCs w:val="22"/>
                <w:color w:val="auto"/>
              </w:rPr>
            </w:pPr>
          </w:p>
        </w:tc>
        <w:tc>
          <w:tcPr>
            <w:tcW w:w="1120" w:type="dxa"/>
            <w:vAlign w:val="bottom"/>
            <w:tcBorders>
              <w:bottom w:val="single" w:sz="8" w:color="434F69"/>
              <w:right w:val="single" w:sz="8" w:color="434F69"/>
            </w:tcBorders>
            <w:shd w:val="clear" w:color="auto" w:fill="D9DCE1"/>
          </w:tcPr>
          <w:p>
            <w:pPr>
              <w:spacing w:after="0"/>
              <w:rPr>
                <w:sz w:val="22"/>
                <w:szCs w:val="22"/>
                <w:color w:val="auto"/>
              </w:rPr>
            </w:pPr>
          </w:p>
        </w:tc>
        <w:tc>
          <w:tcPr>
            <w:tcW w:w="126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37"/>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Salary and Bonus</w:t>
            </w:r>
          </w:p>
        </w:tc>
        <w:tc>
          <w:tcPr>
            <w:tcW w:w="1000" w:type="dxa"/>
            <w:vAlign w:val="bottom"/>
            <w:tcBorders>
              <w:bottom w:val="single" w:sz="8" w:color="434F69"/>
              <w:right w:val="single" w:sz="8" w:color="434F69"/>
            </w:tcBorders>
          </w:tcPr>
          <w:p>
            <w:pPr>
              <w:jc w:val="right"/>
              <w:ind w:right="23"/>
              <w:spacing w:after="0" w:line="236" w:lineRule="exact"/>
              <w:rPr>
                <w:sz w:val="20"/>
                <w:szCs w:val="20"/>
                <w:color w:val="auto"/>
              </w:rPr>
            </w:pPr>
            <w:r>
              <w:rPr>
                <w:rFonts w:ascii="Arial" w:cs="Arial" w:eastAsia="Arial" w:hAnsi="Arial"/>
                <w:sz w:val="16"/>
                <w:szCs w:val="16"/>
                <w:color w:val="auto"/>
                <w:w w:val="96"/>
              </w:rPr>
              <w:t>3,800,000</w:t>
            </w:r>
            <w:r>
              <w:rPr>
                <w:rFonts w:ascii="Arial" w:cs="Arial" w:eastAsia="Arial" w:hAnsi="Arial"/>
                <w:sz w:val="25"/>
                <w:szCs w:val="25"/>
                <w:color w:val="auto"/>
                <w:w w:val="96"/>
                <w:vertAlign w:val="superscript"/>
              </w:rPr>
              <w:t>(6)</w:t>
            </w:r>
          </w:p>
        </w:tc>
        <w:tc>
          <w:tcPr>
            <w:tcW w:w="1160" w:type="dxa"/>
            <w:vAlign w:val="bottom"/>
            <w:tcBorders>
              <w:bottom w:val="single" w:sz="8" w:color="434F69"/>
              <w:right w:val="single" w:sz="8" w:color="434F69"/>
            </w:tcBorders>
          </w:tcPr>
          <w:p>
            <w:pPr>
              <w:jc w:val="right"/>
              <w:ind w:right="63"/>
              <w:spacing w:after="0" w:line="236" w:lineRule="exact"/>
              <w:rPr>
                <w:sz w:val="20"/>
                <w:szCs w:val="20"/>
                <w:color w:val="auto"/>
              </w:rPr>
            </w:pPr>
            <w:r>
              <w:rPr>
                <w:rFonts w:ascii="Arial" w:cs="Arial" w:eastAsia="Arial" w:hAnsi="Arial"/>
                <w:sz w:val="16"/>
                <w:szCs w:val="16"/>
                <w:color w:val="auto"/>
              </w:rPr>
              <w:t>3,800,000</w:t>
            </w:r>
            <w:r>
              <w:rPr>
                <w:rFonts w:ascii="Arial" w:cs="Arial" w:eastAsia="Arial" w:hAnsi="Arial"/>
                <w:sz w:val="25"/>
                <w:szCs w:val="25"/>
                <w:color w:val="auto"/>
                <w:vertAlign w:val="superscript"/>
              </w:rPr>
              <w:t>(6)</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3,800,000</w:t>
            </w:r>
            <w:r>
              <w:rPr>
                <w:rFonts w:ascii="Arial" w:cs="Arial" w:eastAsia="Arial" w:hAnsi="Arial"/>
                <w:sz w:val="25"/>
                <w:szCs w:val="25"/>
                <w:color w:val="auto"/>
                <w:vertAlign w:val="superscript"/>
              </w:rPr>
              <w:t>(6)</w:t>
            </w:r>
          </w:p>
        </w:tc>
        <w:tc>
          <w:tcPr>
            <w:tcW w:w="1120" w:type="dxa"/>
            <w:vAlign w:val="bottom"/>
            <w:tcBorders>
              <w:bottom w:val="single" w:sz="8" w:color="434F69"/>
              <w:right w:val="single" w:sz="8" w:color="434F69"/>
            </w:tcBorders>
          </w:tcPr>
          <w:p>
            <w:pPr>
              <w:jc w:val="right"/>
              <w:ind w:right="21"/>
              <w:spacing w:after="0" w:line="236" w:lineRule="exact"/>
              <w:rPr>
                <w:sz w:val="20"/>
                <w:szCs w:val="20"/>
                <w:color w:val="auto"/>
              </w:rPr>
            </w:pPr>
            <w:r>
              <w:rPr>
                <w:rFonts w:ascii="Arial" w:cs="Arial" w:eastAsia="Arial" w:hAnsi="Arial"/>
                <w:sz w:val="16"/>
                <w:szCs w:val="16"/>
                <w:color w:val="auto"/>
              </w:rPr>
              <w:t>3,800,000</w:t>
            </w:r>
            <w:r>
              <w:rPr>
                <w:rFonts w:ascii="Arial" w:cs="Arial" w:eastAsia="Arial" w:hAnsi="Arial"/>
                <w:sz w:val="25"/>
                <w:szCs w:val="25"/>
                <w:color w:val="auto"/>
                <w:vertAlign w:val="superscript"/>
              </w:rPr>
              <w:t>(6)</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5,700,000</w:t>
            </w:r>
            <w:r>
              <w:rPr>
                <w:rFonts w:ascii="Arial" w:cs="Arial" w:eastAsia="Arial" w:hAnsi="Arial"/>
                <w:sz w:val="25"/>
                <w:szCs w:val="25"/>
                <w:color w:val="auto"/>
                <w:vertAlign w:val="superscript"/>
              </w:rPr>
              <w:t>(7)</w:t>
            </w:r>
          </w:p>
        </w:tc>
      </w:tr>
      <w:tr>
        <w:trPr>
          <w:trHeight w:val="236"/>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Health Benefits</w:t>
            </w:r>
          </w:p>
        </w:tc>
        <w:tc>
          <w:tcPr>
            <w:tcW w:w="1000" w:type="dxa"/>
            <w:vAlign w:val="bottom"/>
            <w:tcBorders>
              <w:bottom w:val="single" w:sz="8" w:color="434F69"/>
              <w:right w:val="single" w:sz="8" w:color="434F69"/>
            </w:tcBorders>
            <w:shd w:val="clear" w:color="auto" w:fill="D9DCE1"/>
          </w:tcPr>
          <w:p>
            <w:pPr>
              <w:jc w:val="right"/>
              <w:ind w:right="16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34F69"/>
              <w:right w:val="single" w:sz="8" w:color="434F69"/>
            </w:tcBorders>
            <w:shd w:val="clear" w:color="auto" w:fill="D9DCE1"/>
          </w:tcPr>
          <w:p>
            <w:pPr>
              <w:jc w:val="right"/>
              <w:ind w:right="63"/>
              <w:spacing w:after="0" w:line="236" w:lineRule="exact"/>
              <w:rPr>
                <w:sz w:val="20"/>
                <w:szCs w:val="20"/>
                <w:color w:val="auto"/>
              </w:rPr>
            </w:pPr>
            <w:r>
              <w:rPr>
                <w:rFonts w:ascii="Arial" w:cs="Arial" w:eastAsia="Arial" w:hAnsi="Arial"/>
                <w:sz w:val="16"/>
                <w:szCs w:val="16"/>
                <w:color w:val="auto"/>
              </w:rPr>
              <w:t>64,113</w:t>
            </w:r>
            <w:r>
              <w:rPr>
                <w:rFonts w:ascii="Arial" w:cs="Arial" w:eastAsia="Arial" w:hAnsi="Arial"/>
                <w:sz w:val="25"/>
                <w:szCs w:val="25"/>
                <w:color w:val="auto"/>
                <w:vertAlign w:val="superscript"/>
              </w:rPr>
              <w:t>(8)</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64,113</w:t>
            </w:r>
            <w:r>
              <w:rPr>
                <w:rFonts w:ascii="Arial" w:cs="Arial" w:eastAsia="Arial" w:hAnsi="Arial"/>
                <w:sz w:val="25"/>
                <w:szCs w:val="25"/>
                <w:color w:val="auto"/>
                <w:vertAlign w:val="superscript"/>
              </w:rPr>
              <w:t>(8)</w:t>
            </w:r>
          </w:p>
        </w:tc>
        <w:tc>
          <w:tcPr>
            <w:tcW w:w="1120" w:type="dxa"/>
            <w:vAlign w:val="bottom"/>
            <w:tcBorders>
              <w:bottom w:val="single" w:sz="8" w:color="434F69"/>
              <w:right w:val="single" w:sz="8" w:color="434F69"/>
            </w:tcBorders>
            <w:shd w:val="clear" w:color="auto" w:fill="D9DCE1"/>
          </w:tcPr>
          <w:p>
            <w:pPr>
              <w:jc w:val="right"/>
              <w:ind w:right="21"/>
              <w:spacing w:after="0" w:line="236" w:lineRule="exact"/>
              <w:rPr>
                <w:sz w:val="20"/>
                <w:szCs w:val="20"/>
                <w:color w:val="auto"/>
              </w:rPr>
            </w:pPr>
            <w:r>
              <w:rPr>
                <w:rFonts w:ascii="Arial" w:cs="Arial" w:eastAsia="Arial" w:hAnsi="Arial"/>
                <w:sz w:val="16"/>
                <w:szCs w:val="16"/>
                <w:color w:val="auto"/>
              </w:rPr>
              <w:t>64,113</w:t>
            </w:r>
            <w:r>
              <w:rPr>
                <w:rFonts w:ascii="Arial" w:cs="Arial" w:eastAsia="Arial" w:hAnsi="Arial"/>
                <w:sz w:val="25"/>
                <w:szCs w:val="25"/>
                <w:color w:val="auto"/>
                <w:vertAlign w:val="superscript"/>
              </w:rPr>
              <w:t>(8)</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64,113</w:t>
            </w:r>
            <w:r>
              <w:rPr>
                <w:rFonts w:ascii="Arial" w:cs="Arial" w:eastAsia="Arial" w:hAnsi="Arial"/>
                <w:sz w:val="25"/>
                <w:szCs w:val="25"/>
                <w:color w:val="auto"/>
                <w:vertAlign w:val="superscript"/>
              </w:rPr>
              <w:t>(8)</w:t>
            </w:r>
          </w:p>
        </w:tc>
      </w:tr>
      <w:tr>
        <w:trPr>
          <w:trHeight w:val="230"/>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tcPr>
          <w:p>
            <w:pPr>
              <w:jc w:val="right"/>
              <w:ind w:right="163"/>
              <w:spacing w:after="0"/>
              <w:rPr>
                <w:sz w:val="20"/>
                <w:szCs w:val="20"/>
                <w:color w:val="auto"/>
              </w:rPr>
            </w:pPr>
            <w:r>
              <w:rPr>
                <w:rFonts w:ascii="Arial" w:cs="Arial" w:eastAsia="Arial" w:hAnsi="Arial"/>
                <w:sz w:val="16"/>
                <w:szCs w:val="16"/>
                <w:color w:val="auto"/>
              </w:rPr>
              <w:t>3,800,000</w:t>
            </w:r>
          </w:p>
        </w:tc>
        <w:tc>
          <w:tcPr>
            <w:tcW w:w="1160" w:type="dxa"/>
            <w:vAlign w:val="bottom"/>
            <w:tcBorders>
              <w:bottom w:val="single" w:sz="8" w:color="434F69"/>
              <w:right w:val="single" w:sz="8" w:color="434F69"/>
            </w:tcBorders>
          </w:tcPr>
          <w:p>
            <w:pPr>
              <w:jc w:val="right"/>
              <w:ind w:right="203"/>
              <w:spacing w:after="0"/>
              <w:rPr>
                <w:sz w:val="20"/>
                <w:szCs w:val="20"/>
                <w:color w:val="auto"/>
              </w:rPr>
            </w:pPr>
            <w:r>
              <w:rPr>
                <w:rFonts w:ascii="Arial" w:cs="Arial" w:eastAsia="Arial" w:hAnsi="Arial"/>
                <w:sz w:val="16"/>
                <w:szCs w:val="16"/>
                <w:color w:val="auto"/>
              </w:rPr>
              <w:t>3,864,113</w:t>
            </w:r>
          </w:p>
        </w:tc>
        <w:tc>
          <w:tcPr>
            <w:tcW w:w="1220" w:type="dxa"/>
            <w:vAlign w:val="bottom"/>
            <w:tcBorders>
              <w:bottom w:val="single" w:sz="8" w:color="434F69"/>
              <w:right w:val="single" w:sz="8" w:color="434F69"/>
            </w:tcBorders>
          </w:tcPr>
          <w:p>
            <w:pPr>
              <w:jc w:val="right"/>
              <w:ind w:right="121"/>
              <w:spacing w:after="0"/>
              <w:rPr>
                <w:sz w:val="20"/>
                <w:szCs w:val="20"/>
                <w:color w:val="auto"/>
              </w:rPr>
            </w:pPr>
            <w:r>
              <w:rPr>
                <w:rFonts w:ascii="Arial" w:cs="Arial" w:eastAsia="Arial" w:hAnsi="Arial"/>
                <w:sz w:val="16"/>
                <w:szCs w:val="16"/>
                <w:color w:val="auto"/>
              </w:rPr>
              <w:t>3,864,113</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3,864,113</w:t>
            </w:r>
          </w:p>
        </w:tc>
        <w:tc>
          <w:tcPr>
            <w:tcW w:w="1260" w:type="dxa"/>
            <w:vAlign w:val="bottom"/>
            <w:tcBorders>
              <w:bottom w:val="single" w:sz="8" w:color="434F69"/>
              <w:right w:val="single" w:sz="8" w:color="697287"/>
            </w:tcBorders>
          </w:tcPr>
          <w:p>
            <w:pPr>
              <w:jc w:val="right"/>
              <w:ind w:right="221"/>
              <w:spacing w:after="0"/>
              <w:rPr>
                <w:sz w:val="20"/>
                <w:szCs w:val="20"/>
                <w:color w:val="auto"/>
              </w:rPr>
            </w:pPr>
            <w:r>
              <w:rPr>
                <w:rFonts w:ascii="Arial" w:cs="Arial" w:eastAsia="Arial" w:hAnsi="Arial"/>
                <w:sz w:val="16"/>
                <w:szCs w:val="16"/>
                <w:color w:val="auto"/>
              </w:rPr>
              <w:t>5,764,113</w:t>
            </w:r>
          </w:p>
        </w:tc>
      </w:tr>
      <w:tr>
        <w:trPr>
          <w:trHeight w:val="256"/>
        </w:trPr>
        <w:tc>
          <w:tcPr>
            <w:tcW w:w="2460" w:type="dxa"/>
            <w:vAlign w:val="bottom"/>
            <w:tcBorders>
              <w:left w:val="single" w:sz="8" w:color="697287"/>
              <w:bottom w:val="single" w:sz="8" w:color="434F69"/>
              <w:right w:val="single" w:sz="8" w:color="434F69"/>
            </w:tcBorders>
            <w:shd w:val="clear" w:color="auto" w:fill="D9DCE1"/>
          </w:tcPr>
          <w:p>
            <w:pPr>
              <w:ind w:left="60"/>
              <w:spacing w:after="0" w:line="257" w:lineRule="exact"/>
              <w:rPr>
                <w:sz w:val="20"/>
                <w:szCs w:val="20"/>
                <w:color w:val="auto"/>
              </w:rPr>
            </w:pPr>
            <w:r>
              <w:rPr>
                <w:rFonts w:ascii="Arial" w:cs="Arial" w:eastAsia="Arial" w:hAnsi="Arial"/>
                <w:sz w:val="16"/>
                <w:szCs w:val="16"/>
                <w:b w:val="1"/>
                <w:bCs w:val="1"/>
                <w:color w:val="auto"/>
              </w:rPr>
              <w:t>Al Swanson</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220" w:type="dxa"/>
            <w:vAlign w:val="bottom"/>
            <w:tcBorders>
              <w:bottom w:val="single" w:sz="8" w:color="434F69"/>
              <w:right w:val="single" w:sz="8" w:color="434F69"/>
            </w:tcBorders>
            <w:shd w:val="clear" w:color="auto" w:fill="D9DCE1"/>
          </w:tcPr>
          <w:p>
            <w:pPr>
              <w:spacing w:after="0"/>
              <w:rPr>
                <w:sz w:val="22"/>
                <w:szCs w:val="22"/>
                <w:color w:val="auto"/>
              </w:rPr>
            </w:pPr>
          </w:p>
        </w:tc>
        <w:tc>
          <w:tcPr>
            <w:tcW w:w="1120" w:type="dxa"/>
            <w:vAlign w:val="bottom"/>
            <w:tcBorders>
              <w:bottom w:val="single" w:sz="8" w:color="434F69"/>
              <w:right w:val="single" w:sz="8" w:color="434F69"/>
            </w:tcBorders>
            <w:shd w:val="clear" w:color="auto" w:fill="D9DCE1"/>
          </w:tcPr>
          <w:p>
            <w:pPr>
              <w:spacing w:after="0"/>
              <w:rPr>
                <w:sz w:val="22"/>
                <w:szCs w:val="22"/>
                <w:color w:val="auto"/>
              </w:rPr>
            </w:pPr>
          </w:p>
        </w:tc>
        <w:tc>
          <w:tcPr>
            <w:tcW w:w="126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37"/>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tcPr>
          <w:p>
            <w:pPr>
              <w:jc w:val="right"/>
              <w:ind w:right="23"/>
              <w:spacing w:after="0" w:line="236" w:lineRule="exact"/>
              <w:rPr>
                <w:sz w:val="20"/>
                <w:szCs w:val="20"/>
                <w:color w:val="auto"/>
              </w:rPr>
            </w:pPr>
            <w:r>
              <w:rPr>
                <w:rFonts w:ascii="Arial" w:cs="Arial" w:eastAsia="Arial" w:hAnsi="Arial"/>
                <w:sz w:val="16"/>
                <w:szCs w:val="16"/>
                <w:color w:val="auto"/>
                <w:w w:val="96"/>
              </w:rPr>
              <w:t>1,121,790</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tcPr>
          <w:p>
            <w:pPr>
              <w:jc w:val="right"/>
              <w:ind w:right="63"/>
              <w:spacing w:after="0" w:line="236" w:lineRule="exact"/>
              <w:rPr>
                <w:sz w:val="20"/>
                <w:szCs w:val="20"/>
                <w:color w:val="auto"/>
              </w:rPr>
            </w:pPr>
            <w:r>
              <w:rPr>
                <w:rFonts w:ascii="Arial" w:cs="Arial" w:eastAsia="Arial" w:hAnsi="Arial"/>
                <w:sz w:val="16"/>
                <w:szCs w:val="16"/>
                <w:color w:val="auto"/>
              </w:rPr>
              <w:t>1,121,790</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2,046,807</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2,046,807</w:t>
            </w:r>
            <w:r>
              <w:rPr>
                <w:rFonts w:ascii="Arial" w:cs="Arial" w:eastAsia="Arial" w:hAnsi="Arial"/>
                <w:sz w:val="25"/>
                <w:szCs w:val="25"/>
                <w:color w:val="auto"/>
                <w:vertAlign w:val="superscript"/>
              </w:rPr>
              <w:t>(3)</w:t>
            </w:r>
          </w:p>
        </w:tc>
      </w:tr>
      <w:tr>
        <w:trPr>
          <w:trHeight w:val="230"/>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shd w:val="clear" w:color="auto" w:fill="D9DCE1"/>
          </w:tcPr>
          <w:p>
            <w:pPr>
              <w:jc w:val="right"/>
              <w:ind w:right="163"/>
              <w:spacing w:after="0"/>
              <w:rPr>
                <w:sz w:val="20"/>
                <w:szCs w:val="20"/>
                <w:color w:val="auto"/>
              </w:rPr>
            </w:pPr>
            <w:r>
              <w:rPr>
                <w:rFonts w:ascii="Arial" w:cs="Arial" w:eastAsia="Arial" w:hAnsi="Arial"/>
                <w:sz w:val="16"/>
                <w:szCs w:val="16"/>
                <w:color w:val="auto"/>
              </w:rPr>
              <w:t>1,121,790</w:t>
            </w:r>
          </w:p>
        </w:tc>
        <w:tc>
          <w:tcPr>
            <w:tcW w:w="1160" w:type="dxa"/>
            <w:vAlign w:val="bottom"/>
            <w:tcBorders>
              <w:bottom w:val="single" w:sz="8" w:color="434F69"/>
              <w:right w:val="single" w:sz="8" w:color="434F69"/>
            </w:tcBorders>
            <w:shd w:val="clear" w:color="auto" w:fill="D9DCE1"/>
          </w:tcPr>
          <w:p>
            <w:pPr>
              <w:jc w:val="right"/>
              <w:ind w:right="203"/>
              <w:spacing w:after="0"/>
              <w:rPr>
                <w:sz w:val="20"/>
                <w:szCs w:val="20"/>
                <w:color w:val="auto"/>
              </w:rPr>
            </w:pPr>
            <w:r>
              <w:rPr>
                <w:rFonts w:ascii="Arial" w:cs="Arial" w:eastAsia="Arial" w:hAnsi="Arial"/>
                <w:sz w:val="16"/>
                <w:szCs w:val="16"/>
                <w:color w:val="auto"/>
              </w:rPr>
              <w:t>1,121,790</w:t>
            </w:r>
          </w:p>
        </w:tc>
        <w:tc>
          <w:tcPr>
            <w:tcW w:w="1220" w:type="dxa"/>
            <w:vAlign w:val="bottom"/>
            <w:tcBorders>
              <w:bottom w:val="single" w:sz="8" w:color="434F69"/>
              <w:right w:val="single" w:sz="8" w:color="434F69"/>
            </w:tcBorders>
            <w:shd w:val="clear" w:color="auto" w:fill="D9DCE1"/>
          </w:tcPr>
          <w:p>
            <w:pPr>
              <w:jc w:val="right"/>
              <w:ind w:right="121"/>
              <w:spacing w:after="0"/>
              <w:rPr>
                <w:sz w:val="20"/>
                <w:szCs w:val="20"/>
                <w:color w:val="auto"/>
              </w:rPr>
            </w:pPr>
            <w:r>
              <w:rPr>
                <w:rFonts w:ascii="Arial" w:cs="Arial" w:eastAsia="Arial" w:hAnsi="Arial"/>
                <w:sz w:val="16"/>
                <w:szCs w:val="16"/>
                <w:color w:val="auto"/>
              </w:rPr>
              <w:t>2,046,807</w:t>
            </w:r>
          </w:p>
        </w:tc>
        <w:tc>
          <w:tcPr>
            <w:tcW w:w="1120" w:type="dxa"/>
            <w:vAlign w:val="bottom"/>
            <w:tcBorders>
              <w:bottom w:val="single" w:sz="8" w:color="434F69"/>
              <w:right w:val="single" w:sz="8" w:color="434F69"/>
            </w:tcBorders>
            <w:shd w:val="clear" w:color="auto" w:fill="D9DCE1"/>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shd w:val="clear" w:color="auto" w:fill="D9DCE1"/>
          </w:tcPr>
          <w:p>
            <w:pPr>
              <w:jc w:val="right"/>
              <w:ind w:right="221"/>
              <w:spacing w:after="0"/>
              <w:rPr>
                <w:sz w:val="20"/>
                <w:szCs w:val="20"/>
                <w:color w:val="auto"/>
              </w:rPr>
            </w:pPr>
            <w:r>
              <w:rPr>
                <w:rFonts w:ascii="Arial" w:cs="Arial" w:eastAsia="Arial" w:hAnsi="Arial"/>
                <w:sz w:val="16"/>
                <w:szCs w:val="16"/>
                <w:color w:val="auto"/>
              </w:rPr>
              <w:t>2,046,807</w:t>
            </w:r>
          </w:p>
        </w:tc>
      </w:tr>
      <w:tr>
        <w:trPr>
          <w:trHeight w:val="256"/>
        </w:trPr>
        <w:tc>
          <w:tcPr>
            <w:tcW w:w="2460" w:type="dxa"/>
            <w:vAlign w:val="bottom"/>
            <w:tcBorders>
              <w:left w:val="single" w:sz="8" w:color="697287"/>
              <w:bottom w:val="single" w:sz="8" w:color="434F69"/>
              <w:right w:val="single" w:sz="8" w:color="434F69"/>
            </w:tcBorders>
          </w:tcPr>
          <w:p>
            <w:pPr>
              <w:ind w:left="60"/>
              <w:spacing w:after="0" w:line="257" w:lineRule="exact"/>
              <w:rPr>
                <w:sz w:val="20"/>
                <w:szCs w:val="20"/>
                <w:color w:val="auto"/>
              </w:rPr>
            </w:pPr>
            <w:r>
              <w:rPr>
                <w:rFonts w:ascii="Arial" w:cs="Arial" w:eastAsia="Arial" w:hAnsi="Arial"/>
                <w:sz w:val="16"/>
                <w:szCs w:val="16"/>
                <w:b w:val="1"/>
                <w:bCs w:val="1"/>
                <w:color w:val="auto"/>
              </w:rPr>
              <w:t>Richard McGee</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tcPr>
          <w:p>
            <w:pPr>
              <w:spacing w:after="0"/>
              <w:rPr>
                <w:sz w:val="22"/>
                <w:szCs w:val="22"/>
                <w:color w:val="auto"/>
              </w:rPr>
            </w:pPr>
          </w:p>
        </w:tc>
        <w:tc>
          <w:tcPr>
            <w:tcW w:w="1160" w:type="dxa"/>
            <w:vAlign w:val="bottom"/>
            <w:tcBorders>
              <w:bottom w:val="single" w:sz="8" w:color="434F69"/>
              <w:right w:val="single" w:sz="8" w:color="434F69"/>
            </w:tcBorders>
          </w:tcPr>
          <w:p>
            <w:pPr>
              <w:spacing w:after="0"/>
              <w:rPr>
                <w:sz w:val="22"/>
                <w:szCs w:val="22"/>
                <w:color w:val="auto"/>
              </w:rPr>
            </w:pPr>
          </w:p>
        </w:tc>
        <w:tc>
          <w:tcPr>
            <w:tcW w:w="1220" w:type="dxa"/>
            <w:vAlign w:val="bottom"/>
            <w:tcBorders>
              <w:bottom w:val="single" w:sz="8" w:color="434F69"/>
              <w:right w:val="single" w:sz="8" w:color="434F69"/>
            </w:tcBorders>
          </w:tcPr>
          <w:p>
            <w:pPr>
              <w:spacing w:after="0"/>
              <w:rPr>
                <w:sz w:val="22"/>
                <w:szCs w:val="22"/>
                <w:color w:val="auto"/>
              </w:rPr>
            </w:pPr>
          </w:p>
        </w:tc>
        <w:tc>
          <w:tcPr>
            <w:tcW w:w="1120" w:type="dxa"/>
            <w:vAlign w:val="bottom"/>
            <w:tcBorders>
              <w:bottom w:val="single" w:sz="8" w:color="434F69"/>
              <w:right w:val="single" w:sz="8" w:color="434F69"/>
            </w:tcBorders>
          </w:tcPr>
          <w:p>
            <w:pPr>
              <w:spacing w:after="0"/>
              <w:rPr>
                <w:sz w:val="22"/>
                <w:szCs w:val="22"/>
                <w:color w:val="auto"/>
              </w:rPr>
            </w:pPr>
          </w:p>
        </w:tc>
        <w:tc>
          <w:tcPr>
            <w:tcW w:w="1260" w:type="dxa"/>
            <w:vAlign w:val="bottom"/>
            <w:tcBorders>
              <w:bottom w:val="single" w:sz="8" w:color="434F69"/>
              <w:right w:val="single" w:sz="8" w:color="697287"/>
            </w:tcBorders>
          </w:tcPr>
          <w:p>
            <w:pPr>
              <w:spacing w:after="0"/>
              <w:rPr>
                <w:sz w:val="22"/>
                <w:szCs w:val="22"/>
                <w:color w:val="auto"/>
              </w:rPr>
            </w:pPr>
          </w:p>
        </w:tc>
      </w:tr>
      <w:tr>
        <w:trPr>
          <w:trHeight w:val="237"/>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shd w:val="clear" w:color="auto" w:fill="D9DCE1"/>
          </w:tcPr>
          <w:p>
            <w:pPr>
              <w:jc w:val="right"/>
              <w:ind w:right="23"/>
              <w:spacing w:after="0" w:line="236" w:lineRule="exact"/>
              <w:rPr>
                <w:sz w:val="20"/>
                <w:szCs w:val="20"/>
                <w:color w:val="auto"/>
              </w:rPr>
            </w:pPr>
            <w:r>
              <w:rPr>
                <w:rFonts w:ascii="Arial" w:cs="Arial" w:eastAsia="Arial" w:hAnsi="Arial"/>
                <w:sz w:val="16"/>
                <w:szCs w:val="16"/>
                <w:color w:val="auto"/>
                <w:w w:val="96"/>
              </w:rPr>
              <w:t>1,075,815</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shd w:val="clear" w:color="auto" w:fill="D9DCE1"/>
          </w:tcPr>
          <w:p>
            <w:pPr>
              <w:jc w:val="right"/>
              <w:ind w:right="63"/>
              <w:spacing w:after="0" w:line="236" w:lineRule="exact"/>
              <w:rPr>
                <w:sz w:val="20"/>
                <w:szCs w:val="20"/>
                <w:color w:val="auto"/>
              </w:rPr>
            </w:pPr>
            <w:r>
              <w:rPr>
                <w:rFonts w:ascii="Arial" w:cs="Arial" w:eastAsia="Arial" w:hAnsi="Arial"/>
                <w:sz w:val="16"/>
                <w:szCs w:val="16"/>
                <w:color w:val="auto"/>
              </w:rPr>
              <w:t>1,075,815</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2,000,832</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shd w:val="clear" w:color="auto" w:fill="D9DCE1"/>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2,000,832</w:t>
            </w:r>
            <w:r>
              <w:rPr>
                <w:rFonts w:ascii="Arial" w:cs="Arial" w:eastAsia="Arial" w:hAnsi="Arial"/>
                <w:sz w:val="25"/>
                <w:szCs w:val="25"/>
                <w:color w:val="auto"/>
                <w:vertAlign w:val="superscript"/>
              </w:rPr>
              <w:t>(3)</w:t>
            </w:r>
          </w:p>
        </w:tc>
      </w:tr>
      <w:tr>
        <w:trPr>
          <w:trHeight w:val="236"/>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AAP Management Units</w:t>
            </w:r>
          </w:p>
        </w:tc>
        <w:tc>
          <w:tcPr>
            <w:tcW w:w="100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(11)</w:t>
            </w:r>
          </w:p>
        </w:tc>
        <w:tc>
          <w:tcPr>
            <w:tcW w:w="1160" w:type="dxa"/>
            <w:vAlign w:val="bottom"/>
            <w:tcBorders>
              <w:bottom w:val="single" w:sz="8" w:color="434F69"/>
              <w:right w:val="single" w:sz="8" w:color="434F69"/>
            </w:tcBorders>
          </w:tcPr>
          <w:p>
            <w:pPr>
              <w:jc w:val="right"/>
              <w:ind w:right="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(11)</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1,964,201</w:t>
            </w:r>
            <w:r>
              <w:rPr>
                <w:rFonts w:ascii="Arial" w:cs="Arial" w:eastAsia="Arial" w:hAnsi="Arial"/>
                <w:sz w:val="25"/>
                <w:szCs w:val="25"/>
                <w:color w:val="auto"/>
                <w:vertAlign w:val="superscript"/>
              </w:rPr>
              <w:t>(4)</w:t>
            </w:r>
          </w:p>
        </w:tc>
        <w:tc>
          <w:tcPr>
            <w:tcW w:w="1120" w:type="dxa"/>
            <w:vAlign w:val="bottom"/>
            <w:tcBorders>
              <w:bottom w:val="single" w:sz="8" w:color="434F69"/>
              <w:right w:val="single" w:sz="8" w:color="434F69"/>
            </w:tcBorders>
          </w:tcPr>
          <w:p>
            <w:pPr>
              <w:jc w:val="right"/>
              <w:ind w:right="21"/>
              <w:spacing w:after="0" w:line="236" w:lineRule="exact"/>
              <w:rPr>
                <w:sz w:val="20"/>
                <w:szCs w:val="20"/>
                <w:color w:val="auto"/>
              </w:rPr>
            </w:pPr>
            <w:r>
              <w:rPr>
                <w:rFonts w:ascii="Arial" w:cs="Arial" w:eastAsia="Arial" w:hAnsi="Arial"/>
                <w:sz w:val="16"/>
                <w:szCs w:val="16"/>
                <w:color w:val="auto"/>
              </w:rPr>
              <w:t>1,964,201</w:t>
            </w:r>
            <w:r>
              <w:rPr>
                <w:rFonts w:ascii="Arial" w:cs="Arial" w:eastAsia="Arial" w:hAnsi="Arial"/>
                <w:sz w:val="25"/>
                <w:szCs w:val="25"/>
                <w:color w:val="auto"/>
                <w:vertAlign w:val="superscript"/>
              </w:rPr>
              <w:t>(4)</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1,964,201</w:t>
            </w:r>
            <w:r>
              <w:rPr>
                <w:rFonts w:ascii="Arial" w:cs="Arial" w:eastAsia="Arial" w:hAnsi="Arial"/>
                <w:sz w:val="25"/>
                <w:szCs w:val="25"/>
                <w:color w:val="auto"/>
                <w:vertAlign w:val="superscript"/>
              </w:rPr>
              <w:t>(5)</w:t>
            </w:r>
          </w:p>
        </w:tc>
      </w:tr>
      <w:tr>
        <w:trPr>
          <w:trHeight w:val="230"/>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shd w:val="clear" w:color="auto" w:fill="D9DCE1"/>
          </w:tcPr>
          <w:p>
            <w:pPr>
              <w:jc w:val="right"/>
              <w:ind w:right="163"/>
              <w:spacing w:after="0"/>
              <w:rPr>
                <w:sz w:val="20"/>
                <w:szCs w:val="20"/>
                <w:color w:val="auto"/>
              </w:rPr>
            </w:pPr>
            <w:r>
              <w:rPr>
                <w:rFonts w:ascii="Arial" w:cs="Arial" w:eastAsia="Arial" w:hAnsi="Arial"/>
                <w:sz w:val="16"/>
                <w:szCs w:val="16"/>
                <w:color w:val="auto"/>
              </w:rPr>
              <w:t>1,075,815</w:t>
            </w:r>
          </w:p>
        </w:tc>
        <w:tc>
          <w:tcPr>
            <w:tcW w:w="1160" w:type="dxa"/>
            <w:vAlign w:val="bottom"/>
            <w:tcBorders>
              <w:bottom w:val="single" w:sz="8" w:color="434F69"/>
              <w:right w:val="single" w:sz="8" w:color="434F69"/>
            </w:tcBorders>
            <w:shd w:val="clear" w:color="auto" w:fill="D9DCE1"/>
          </w:tcPr>
          <w:p>
            <w:pPr>
              <w:jc w:val="right"/>
              <w:ind w:right="203"/>
              <w:spacing w:after="0"/>
              <w:rPr>
                <w:sz w:val="20"/>
                <w:szCs w:val="20"/>
                <w:color w:val="auto"/>
              </w:rPr>
            </w:pPr>
            <w:r>
              <w:rPr>
                <w:rFonts w:ascii="Arial" w:cs="Arial" w:eastAsia="Arial" w:hAnsi="Arial"/>
                <w:sz w:val="16"/>
                <w:szCs w:val="16"/>
                <w:color w:val="auto"/>
              </w:rPr>
              <w:t>1,075,815</w:t>
            </w:r>
          </w:p>
        </w:tc>
        <w:tc>
          <w:tcPr>
            <w:tcW w:w="1220" w:type="dxa"/>
            <w:vAlign w:val="bottom"/>
            <w:tcBorders>
              <w:bottom w:val="single" w:sz="8" w:color="434F69"/>
              <w:right w:val="single" w:sz="8" w:color="434F69"/>
            </w:tcBorders>
            <w:shd w:val="clear" w:color="auto" w:fill="D9DCE1"/>
          </w:tcPr>
          <w:p>
            <w:pPr>
              <w:jc w:val="right"/>
              <w:ind w:right="121"/>
              <w:spacing w:after="0"/>
              <w:rPr>
                <w:sz w:val="20"/>
                <w:szCs w:val="20"/>
                <w:color w:val="auto"/>
              </w:rPr>
            </w:pPr>
            <w:r>
              <w:rPr>
                <w:rFonts w:ascii="Arial" w:cs="Arial" w:eastAsia="Arial" w:hAnsi="Arial"/>
                <w:sz w:val="16"/>
                <w:szCs w:val="16"/>
                <w:color w:val="auto"/>
              </w:rPr>
              <w:t>3,965,033</w:t>
            </w:r>
          </w:p>
        </w:tc>
        <w:tc>
          <w:tcPr>
            <w:tcW w:w="1120" w:type="dxa"/>
            <w:vAlign w:val="bottom"/>
            <w:tcBorders>
              <w:bottom w:val="single" w:sz="8" w:color="434F69"/>
              <w:right w:val="single" w:sz="8" w:color="434F69"/>
            </w:tcBorders>
            <w:shd w:val="clear" w:color="auto" w:fill="D9DCE1"/>
          </w:tcPr>
          <w:p>
            <w:pPr>
              <w:jc w:val="right"/>
              <w:ind w:right="161"/>
              <w:spacing w:after="0"/>
              <w:rPr>
                <w:sz w:val="20"/>
                <w:szCs w:val="20"/>
                <w:color w:val="auto"/>
              </w:rPr>
            </w:pPr>
            <w:r>
              <w:rPr>
                <w:rFonts w:ascii="Arial" w:cs="Arial" w:eastAsia="Arial" w:hAnsi="Arial"/>
                <w:sz w:val="16"/>
                <w:szCs w:val="16"/>
                <w:color w:val="auto"/>
              </w:rPr>
              <w:t>1,964,201</w:t>
            </w:r>
          </w:p>
        </w:tc>
        <w:tc>
          <w:tcPr>
            <w:tcW w:w="1260" w:type="dxa"/>
            <w:vAlign w:val="bottom"/>
            <w:tcBorders>
              <w:bottom w:val="single" w:sz="8" w:color="434F69"/>
              <w:right w:val="single" w:sz="8" w:color="697287"/>
            </w:tcBorders>
            <w:shd w:val="clear" w:color="auto" w:fill="D9DCE1"/>
          </w:tcPr>
          <w:p>
            <w:pPr>
              <w:jc w:val="right"/>
              <w:ind w:right="221"/>
              <w:spacing w:after="0"/>
              <w:rPr>
                <w:sz w:val="20"/>
                <w:szCs w:val="20"/>
                <w:color w:val="auto"/>
              </w:rPr>
            </w:pPr>
            <w:r>
              <w:rPr>
                <w:rFonts w:ascii="Arial" w:cs="Arial" w:eastAsia="Arial" w:hAnsi="Arial"/>
                <w:sz w:val="16"/>
                <w:szCs w:val="16"/>
                <w:color w:val="auto"/>
              </w:rPr>
              <w:t>3,965,033</w:t>
            </w:r>
          </w:p>
        </w:tc>
      </w:tr>
      <w:tr>
        <w:trPr>
          <w:trHeight w:val="257"/>
        </w:trPr>
        <w:tc>
          <w:tcPr>
            <w:tcW w:w="2460" w:type="dxa"/>
            <w:vAlign w:val="bottom"/>
            <w:tcBorders>
              <w:left w:val="single" w:sz="8" w:color="697287"/>
              <w:bottom w:val="single" w:sz="8" w:color="434F69"/>
              <w:right w:val="single" w:sz="8" w:color="434F69"/>
            </w:tcBorders>
          </w:tcPr>
          <w:p>
            <w:pPr>
              <w:ind w:left="60"/>
              <w:spacing w:after="0" w:line="257" w:lineRule="exact"/>
              <w:rPr>
                <w:sz w:val="20"/>
                <w:szCs w:val="20"/>
                <w:color w:val="auto"/>
              </w:rPr>
            </w:pPr>
            <w:r>
              <w:rPr>
                <w:rFonts w:ascii="Arial" w:cs="Arial" w:eastAsia="Arial" w:hAnsi="Arial"/>
                <w:sz w:val="16"/>
                <w:szCs w:val="16"/>
                <w:b w:val="1"/>
                <w:bCs w:val="1"/>
                <w:color w:val="auto"/>
              </w:rPr>
              <w:t>Chris Chandler</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tcPr>
          <w:p>
            <w:pPr>
              <w:spacing w:after="0"/>
              <w:rPr>
                <w:sz w:val="22"/>
                <w:szCs w:val="22"/>
                <w:color w:val="auto"/>
              </w:rPr>
            </w:pPr>
          </w:p>
        </w:tc>
        <w:tc>
          <w:tcPr>
            <w:tcW w:w="1160" w:type="dxa"/>
            <w:vAlign w:val="bottom"/>
            <w:tcBorders>
              <w:bottom w:val="single" w:sz="8" w:color="434F69"/>
              <w:right w:val="single" w:sz="8" w:color="434F69"/>
            </w:tcBorders>
          </w:tcPr>
          <w:p>
            <w:pPr>
              <w:spacing w:after="0"/>
              <w:rPr>
                <w:sz w:val="22"/>
                <w:szCs w:val="22"/>
                <w:color w:val="auto"/>
              </w:rPr>
            </w:pPr>
          </w:p>
        </w:tc>
        <w:tc>
          <w:tcPr>
            <w:tcW w:w="1220" w:type="dxa"/>
            <w:vAlign w:val="bottom"/>
            <w:tcBorders>
              <w:bottom w:val="single" w:sz="8" w:color="434F69"/>
              <w:right w:val="single" w:sz="8" w:color="434F69"/>
            </w:tcBorders>
          </w:tcPr>
          <w:p>
            <w:pPr>
              <w:spacing w:after="0"/>
              <w:rPr>
                <w:sz w:val="22"/>
                <w:szCs w:val="22"/>
                <w:color w:val="auto"/>
              </w:rPr>
            </w:pPr>
          </w:p>
        </w:tc>
        <w:tc>
          <w:tcPr>
            <w:tcW w:w="1120" w:type="dxa"/>
            <w:vAlign w:val="bottom"/>
            <w:tcBorders>
              <w:bottom w:val="single" w:sz="8" w:color="434F69"/>
              <w:right w:val="single" w:sz="8" w:color="434F69"/>
            </w:tcBorders>
          </w:tcPr>
          <w:p>
            <w:pPr>
              <w:spacing w:after="0"/>
              <w:rPr>
                <w:sz w:val="22"/>
                <w:szCs w:val="22"/>
                <w:color w:val="auto"/>
              </w:rPr>
            </w:pPr>
          </w:p>
        </w:tc>
        <w:tc>
          <w:tcPr>
            <w:tcW w:w="1260" w:type="dxa"/>
            <w:vAlign w:val="bottom"/>
            <w:tcBorders>
              <w:bottom w:val="single" w:sz="8" w:color="434F69"/>
              <w:right w:val="single" w:sz="8" w:color="697287"/>
            </w:tcBorders>
          </w:tcPr>
          <w:p>
            <w:pPr>
              <w:spacing w:after="0"/>
              <w:rPr>
                <w:sz w:val="22"/>
                <w:szCs w:val="22"/>
                <w:color w:val="auto"/>
              </w:rPr>
            </w:pPr>
          </w:p>
        </w:tc>
      </w:tr>
      <w:tr>
        <w:trPr>
          <w:trHeight w:val="236"/>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shd w:val="clear" w:color="auto" w:fill="D9DCE1"/>
          </w:tcPr>
          <w:p>
            <w:pPr>
              <w:jc w:val="right"/>
              <w:ind w:right="23"/>
              <w:spacing w:after="0" w:line="236" w:lineRule="exact"/>
              <w:rPr>
                <w:sz w:val="20"/>
                <w:szCs w:val="20"/>
                <w:color w:val="auto"/>
              </w:rPr>
            </w:pPr>
            <w:r>
              <w:rPr>
                <w:rFonts w:ascii="Arial" w:cs="Arial" w:eastAsia="Arial" w:hAnsi="Arial"/>
                <w:sz w:val="16"/>
                <w:szCs w:val="16"/>
                <w:color w:val="auto"/>
                <w:w w:val="96"/>
              </w:rPr>
              <w:t>3,172,275</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shd w:val="clear" w:color="auto" w:fill="D9DCE1"/>
          </w:tcPr>
          <w:p>
            <w:pPr>
              <w:jc w:val="right"/>
              <w:ind w:right="63"/>
              <w:spacing w:after="0" w:line="236" w:lineRule="exact"/>
              <w:rPr>
                <w:sz w:val="20"/>
                <w:szCs w:val="20"/>
                <w:color w:val="auto"/>
              </w:rPr>
            </w:pPr>
            <w:r>
              <w:rPr>
                <w:rFonts w:ascii="Arial" w:cs="Arial" w:eastAsia="Arial" w:hAnsi="Arial"/>
                <w:sz w:val="16"/>
                <w:szCs w:val="16"/>
                <w:color w:val="auto"/>
              </w:rPr>
              <w:t>3,127,275</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5,936,292</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shd w:val="clear" w:color="auto" w:fill="D9DCE1"/>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13,292,292</w:t>
            </w:r>
            <w:r>
              <w:rPr>
                <w:rFonts w:ascii="Arial" w:cs="Arial" w:eastAsia="Arial" w:hAnsi="Arial"/>
                <w:sz w:val="25"/>
                <w:szCs w:val="25"/>
                <w:color w:val="auto"/>
                <w:vertAlign w:val="superscript"/>
              </w:rPr>
              <w:t>(3)</w:t>
            </w:r>
          </w:p>
        </w:tc>
      </w:tr>
      <w:tr>
        <w:trPr>
          <w:trHeight w:val="230"/>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tcPr>
          <w:p>
            <w:pPr>
              <w:jc w:val="right"/>
              <w:ind w:right="163"/>
              <w:spacing w:after="0"/>
              <w:rPr>
                <w:sz w:val="20"/>
                <w:szCs w:val="20"/>
                <w:color w:val="auto"/>
              </w:rPr>
            </w:pPr>
            <w:r>
              <w:rPr>
                <w:rFonts w:ascii="Arial" w:cs="Arial" w:eastAsia="Arial" w:hAnsi="Arial"/>
                <w:sz w:val="16"/>
                <w:szCs w:val="16"/>
                <w:color w:val="auto"/>
              </w:rPr>
              <w:t>3,172,275</w:t>
            </w:r>
          </w:p>
        </w:tc>
        <w:tc>
          <w:tcPr>
            <w:tcW w:w="1160" w:type="dxa"/>
            <w:vAlign w:val="bottom"/>
            <w:tcBorders>
              <w:bottom w:val="single" w:sz="8" w:color="434F69"/>
              <w:right w:val="single" w:sz="8" w:color="434F69"/>
            </w:tcBorders>
          </w:tcPr>
          <w:p>
            <w:pPr>
              <w:jc w:val="right"/>
              <w:ind w:right="203"/>
              <w:spacing w:after="0"/>
              <w:rPr>
                <w:sz w:val="20"/>
                <w:szCs w:val="20"/>
                <w:color w:val="auto"/>
              </w:rPr>
            </w:pPr>
            <w:r>
              <w:rPr>
                <w:rFonts w:ascii="Arial" w:cs="Arial" w:eastAsia="Arial" w:hAnsi="Arial"/>
                <w:sz w:val="16"/>
                <w:szCs w:val="16"/>
                <w:color w:val="auto"/>
              </w:rPr>
              <w:t>3,127,275</w:t>
            </w:r>
          </w:p>
        </w:tc>
        <w:tc>
          <w:tcPr>
            <w:tcW w:w="1220" w:type="dxa"/>
            <w:vAlign w:val="bottom"/>
            <w:tcBorders>
              <w:bottom w:val="single" w:sz="8" w:color="434F69"/>
              <w:right w:val="single" w:sz="8" w:color="434F69"/>
            </w:tcBorders>
          </w:tcPr>
          <w:p>
            <w:pPr>
              <w:jc w:val="right"/>
              <w:ind w:right="121"/>
              <w:spacing w:after="0"/>
              <w:rPr>
                <w:sz w:val="20"/>
                <w:szCs w:val="20"/>
                <w:color w:val="auto"/>
              </w:rPr>
            </w:pPr>
            <w:r>
              <w:rPr>
                <w:rFonts w:ascii="Arial" w:cs="Arial" w:eastAsia="Arial" w:hAnsi="Arial"/>
                <w:sz w:val="16"/>
                <w:szCs w:val="16"/>
                <w:color w:val="auto"/>
              </w:rPr>
              <w:t>5,936,292</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tcPr>
          <w:p>
            <w:pPr>
              <w:jc w:val="right"/>
              <w:ind w:right="221"/>
              <w:spacing w:after="0"/>
              <w:rPr>
                <w:sz w:val="20"/>
                <w:szCs w:val="20"/>
                <w:color w:val="auto"/>
              </w:rPr>
            </w:pPr>
            <w:r>
              <w:rPr>
                <w:rFonts w:ascii="Arial" w:cs="Arial" w:eastAsia="Arial" w:hAnsi="Arial"/>
                <w:sz w:val="16"/>
                <w:szCs w:val="16"/>
                <w:color w:val="auto"/>
              </w:rPr>
              <w:t>13,292,292</w:t>
            </w:r>
          </w:p>
        </w:tc>
      </w:tr>
      <w:tr>
        <w:trPr>
          <w:trHeight w:val="257"/>
        </w:trPr>
        <w:tc>
          <w:tcPr>
            <w:tcW w:w="2460" w:type="dxa"/>
            <w:vAlign w:val="bottom"/>
            <w:tcBorders>
              <w:left w:val="single" w:sz="8" w:color="697287"/>
              <w:bottom w:val="single" w:sz="8" w:color="434F69"/>
              <w:right w:val="single" w:sz="8" w:color="434F69"/>
            </w:tcBorders>
            <w:shd w:val="clear" w:color="auto" w:fill="D9DCE1"/>
          </w:tcPr>
          <w:p>
            <w:pPr>
              <w:ind w:left="60"/>
              <w:spacing w:after="0" w:line="257" w:lineRule="exact"/>
              <w:rPr>
                <w:sz w:val="20"/>
                <w:szCs w:val="20"/>
                <w:color w:val="auto"/>
              </w:rPr>
            </w:pPr>
            <w:r>
              <w:rPr>
                <w:rFonts w:ascii="Arial" w:cs="Arial" w:eastAsia="Arial" w:hAnsi="Arial"/>
                <w:sz w:val="16"/>
                <w:szCs w:val="16"/>
                <w:b w:val="1"/>
                <w:bCs w:val="1"/>
                <w:color w:val="auto"/>
              </w:rPr>
              <w:t>Jeremy Goebel</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220" w:type="dxa"/>
            <w:vAlign w:val="bottom"/>
            <w:tcBorders>
              <w:bottom w:val="single" w:sz="8" w:color="434F69"/>
              <w:right w:val="single" w:sz="8" w:color="434F69"/>
            </w:tcBorders>
            <w:shd w:val="clear" w:color="auto" w:fill="D9DCE1"/>
          </w:tcPr>
          <w:p>
            <w:pPr>
              <w:spacing w:after="0"/>
              <w:rPr>
                <w:sz w:val="22"/>
                <w:szCs w:val="22"/>
                <w:color w:val="auto"/>
              </w:rPr>
            </w:pPr>
          </w:p>
        </w:tc>
        <w:tc>
          <w:tcPr>
            <w:tcW w:w="1120" w:type="dxa"/>
            <w:vAlign w:val="bottom"/>
            <w:tcBorders>
              <w:bottom w:val="single" w:sz="8" w:color="434F69"/>
              <w:right w:val="single" w:sz="8" w:color="434F69"/>
            </w:tcBorders>
            <w:shd w:val="clear" w:color="auto" w:fill="D9DCE1"/>
          </w:tcPr>
          <w:p>
            <w:pPr>
              <w:spacing w:after="0"/>
              <w:rPr>
                <w:sz w:val="22"/>
                <w:szCs w:val="22"/>
                <w:color w:val="auto"/>
              </w:rPr>
            </w:pPr>
          </w:p>
        </w:tc>
        <w:tc>
          <w:tcPr>
            <w:tcW w:w="126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37"/>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tcPr>
          <w:p>
            <w:pPr>
              <w:jc w:val="right"/>
              <w:ind w:right="23"/>
              <w:spacing w:after="0" w:line="236" w:lineRule="exact"/>
              <w:rPr>
                <w:sz w:val="20"/>
                <w:szCs w:val="20"/>
                <w:color w:val="auto"/>
              </w:rPr>
            </w:pPr>
            <w:r>
              <w:rPr>
                <w:rFonts w:ascii="Arial" w:cs="Arial" w:eastAsia="Arial" w:hAnsi="Arial"/>
                <w:sz w:val="16"/>
                <w:szCs w:val="16"/>
                <w:color w:val="auto"/>
                <w:w w:val="96"/>
              </w:rPr>
              <w:t>2,838,202</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tcPr>
          <w:p>
            <w:pPr>
              <w:jc w:val="right"/>
              <w:ind w:right="63"/>
              <w:spacing w:after="0" w:line="236" w:lineRule="exact"/>
              <w:rPr>
                <w:sz w:val="20"/>
                <w:szCs w:val="20"/>
                <w:color w:val="auto"/>
              </w:rPr>
            </w:pPr>
            <w:r>
              <w:rPr>
                <w:rFonts w:ascii="Arial" w:cs="Arial" w:eastAsia="Arial" w:hAnsi="Arial"/>
                <w:sz w:val="16"/>
                <w:szCs w:val="16"/>
                <w:color w:val="auto"/>
              </w:rPr>
              <w:t>2,838,202</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5,602,219</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12,958,219</w:t>
            </w:r>
            <w:r>
              <w:rPr>
                <w:rFonts w:ascii="Arial" w:cs="Arial" w:eastAsia="Arial" w:hAnsi="Arial"/>
                <w:sz w:val="25"/>
                <w:szCs w:val="25"/>
                <w:color w:val="auto"/>
                <w:vertAlign w:val="superscript"/>
              </w:rPr>
              <w:t>(3)</w:t>
            </w:r>
          </w:p>
        </w:tc>
      </w:tr>
      <w:tr>
        <w:trPr>
          <w:trHeight w:val="236"/>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AAP Management Units</w:t>
            </w:r>
          </w:p>
        </w:tc>
        <w:tc>
          <w:tcPr>
            <w:tcW w:w="100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(11)</w:t>
            </w:r>
          </w:p>
        </w:tc>
        <w:tc>
          <w:tcPr>
            <w:tcW w:w="1160" w:type="dxa"/>
            <w:vAlign w:val="bottom"/>
            <w:tcBorders>
              <w:bottom w:val="single" w:sz="8" w:color="434F69"/>
              <w:right w:val="single" w:sz="8" w:color="434F69"/>
            </w:tcBorders>
            <w:shd w:val="clear" w:color="auto" w:fill="D9DCE1"/>
          </w:tcPr>
          <w:p>
            <w:pPr>
              <w:jc w:val="right"/>
              <w:ind w:right="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(11)</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167,471</w:t>
            </w:r>
            <w:r>
              <w:rPr>
                <w:rFonts w:ascii="Arial" w:cs="Arial" w:eastAsia="Arial" w:hAnsi="Arial"/>
                <w:sz w:val="25"/>
                <w:szCs w:val="25"/>
                <w:color w:val="auto"/>
                <w:vertAlign w:val="superscript"/>
              </w:rPr>
              <w:t>(4)</w:t>
            </w:r>
          </w:p>
        </w:tc>
        <w:tc>
          <w:tcPr>
            <w:tcW w:w="1120" w:type="dxa"/>
            <w:vAlign w:val="bottom"/>
            <w:tcBorders>
              <w:bottom w:val="single" w:sz="8" w:color="434F69"/>
              <w:right w:val="single" w:sz="8" w:color="434F69"/>
            </w:tcBorders>
            <w:shd w:val="clear" w:color="auto" w:fill="D9DCE1"/>
          </w:tcPr>
          <w:p>
            <w:pPr>
              <w:jc w:val="right"/>
              <w:ind w:right="21"/>
              <w:spacing w:after="0" w:line="236" w:lineRule="exact"/>
              <w:rPr>
                <w:sz w:val="20"/>
                <w:szCs w:val="20"/>
                <w:color w:val="auto"/>
              </w:rPr>
            </w:pPr>
            <w:r>
              <w:rPr>
                <w:rFonts w:ascii="Arial" w:cs="Arial" w:eastAsia="Arial" w:hAnsi="Arial"/>
                <w:sz w:val="16"/>
                <w:szCs w:val="16"/>
                <w:color w:val="auto"/>
              </w:rPr>
              <w:t>167,471</w:t>
            </w:r>
            <w:r>
              <w:rPr>
                <w:rFonts w:ascii="Arial" w:cs="Arial" w:eastAsia="Arial" w:hAnsi="Arial"/>
                <w:sz w:val="25"/>
                <w:szCs w:val="25"/>
                <w:color w:val="auto"/>
                <w:vertAlign w:val="superscript"/>
              </w:rPr>
              <w:t>(4)</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167,471</w:t>
            </w:r>
            <w:r>
              <w:rPr>
                <w:rFonts w:ascii="Arial" w:cs="Arial" w:eastAsia="Arial" w:hAnsi="Arial"/>
                <w:sz w:val="25"/>
                <w:szCs w:val="25"/>
                <w:color w:val="auto"/>
                <w:vertAlign w:val="superscript"/>
              </w:rPr>
              <w:t>(5)</w:t>
            </w:r>
          </w:p>
        </w:tc>
      </w:tr>
      <w:tr>
        <w:trPr>
          <w:trHeight w:val="230"/>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tcPr>
          <w:p>
            <w:pPr>
              <w:jc w:val="right"/>
              <w:ind w:right="163"/>
              <w:spacing w:after="0"/>
              <w:rPr>
                <w:sz w:val="20"/>
                <w:szCs w:val="20"/>
                <w:color w:val="auto"/>
              </w:rPr>
            </w:pPr>
            <w:r>
              <w:rPr>
                <w:rFonts w:ascii="Arial" w:cs="Arial" w:eastAsia="Arial" w:hAnsi="Arial"/>
                <w:sz w:val="16"/>
                <w:szCs w:val="16"/>
                <w:color w:val="auto"/>
              </w:rPr>
              <w:t>2,838,202</w:t>
            </w:r>
          </w:p>
        </w:tc>
        <w:tc>
          <w:tcPr>
            <w:tcW w:w="1160" w:type="dxa"/>
            <w:vAlign w:val="bottom"/>
            <w:tcBorders>
              <w:bottom w:val="single" w:sz="8" w:color="434F69"/>
              <w:right w:val="single" w:sz="8" w:color="434F69"/>
            </w:tcBorders>
          </w:tcPr>
          <w:p>
            <w:pPr>
              <w:jc w:val="right"/>
              <w:ind w:right="203"/>
              <w:spacing w:after="0"/>
              <w:rPr>
                <w:sz w:val="20"/>
                <w:szCs w:val="20"/>
                <w:color w:val="auto"/>
              </w:rPr>
            </w:pPr>
            <w:r>
              <w:rPr>
                <w:rFonts w:ascii="Arial" w:cs="Arial" w:eastAsia="Arial" w:hAnsi="Arial"/>
                <w:sz w:val="16"/>
                <w:szCs w:val="16"/>
                <w:color w:val="auto"/>
              </w:rPr>
              <w:t>2,838,202</w:t>
            </w:r>
          </w:p>
        </w:tc>
        <w:tc>
          <w:tcPr>
            <w:tcW w:w="1220" w:type="dxa"/>
            <w:vAlign w:val="bottom"/>
            <w:tcBorders>
              <w:bottom w:val="single" w:sz="8" w:color="434F69"/>
              <w:right w:val="single" w:sz="8" w:color="434F69"/>
            </w:tcBorders>
          </w:tcPr>
          <w:p>
            <w:pPr>
              <w:jc w:val="right"/>
              <w:ind w:right="121"/>
              <w:spacing w:after="0"/>
              <w:rPr>
                <w:sz w:val="20"/>
                <w:szCs w:val="20"/>
                <w:color w:val="auto"/>
              </w:rPr>
            </w:pPr>
            <w:r>
              <w:rPr>
                <w:rFonts w:ascii="Arial" w:cs="Arial" w:eastAsia="Arial" w:hAnsi="Arial"/>
                <w:sz w:val="16"/>
                <w:szCs w:val="16"/>
                <w:color w:val="auto"/>
              </w:rPr>
              <w:t>5,769,690</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167,471</w:t>
            </w:r>
          </w:p>
        </w:tc>
        <w:tc>
          <w:tcPr>
            <w:tcW w:w="1260" w:type="dxa"/>
            <w:vAlign w:val="bottom"/>
            <w:tcBorders>
              <w:bottom w:val="single" w:sz="8" w:color="434F69"/>
              <w:right w:val="single" w:sz="8" w:color="697287"/>
            </w:tcBorders>
          </w:tcPr>
          <w:p>
            <w:pPr>
              <w:jc w:val="right"/>
              <w:ind w:right="221"/>
              <w:spacing w:after="0"/>
              <w:rPr>
                <w:sz w:val="20"/>
                <w:szCs w:val="20"/>
                <w:color w:val="auto"/>
              </w:rPr>
            </w:pPr>
            <w:r>
              <w:rPr>
                <w:rFonts w:ascii="Arial" w:cs="Arial" w:eastAsia="Arial" w:hAnsi="Arial"/>
                <w:sz w:val="16"/>
                <w:szCs w:val="16"/>
                <w:color w:val="auto"/>
              </w:rPr>
              <w:t>13,125,690</w:t>
            </w:r>
          </w:p>
        </w:tc>
      </w:tr>
    </w:tbl>
    <w:p>
      <w:pPr>
        <w:spacing w:after="0" w:line="94" w:lineRule="exact"/>
        <w:rPr>
          <w:sz w:val="20"/>
          <w:szCs w:val="20"/>
          <w:color w:val="auto"/>
        </w:rPr>
      </w:pPr>
    </w:p>
    <w:p>
      <w:pPr>
        <w:ind w:left="1620" w:right="679" w:hanging="358"/>
        <w:spacing w:after="0" w:line="233"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The letter evidencing the 2015 phantom unit grant awarded to Mr. Chiang provides that in the event of his death or disability, all of his then outstanding phantom units and associated DERs will be deemed nonforfeitable, and (i) any unvested phantom units that had satisfied all of the vesting criteria as of the date of his termination but for the passage of time would vest on the next following distribution date and (ii) the remaining unvested outstanding phantom units will vest on the distribution date on which the vesting criteria is met.</w:t>
      </w:r>
    </w:p>
    <w:p>
      <w:pPr>
        <w:spacing w:after="0" w:line="57" w:lineRule="exact"/>
        <w:rPr>
          <w:rFonts w:ascii="Arial" w:cs="Arial" w:eastAsia="Arial" w:hAnsi="Arial"/>
          <w:sz w:val="27"/>
          <w:szCs w:val="27"/>
          <w:color w:val="auto"/>
          <w:vertAlign w:val="superscript"/>
        </w:rPr>
      </w:pPr>
    </w:p>
    <w:p>
      <w:pPr>
        <w:ind w:left="1620" w:right="839"/>
        <w:spacing w:after="0" w:line="293" w:lineRule="auto"/>
        <w:rPr>
          <w:rFonts w:ascii="Arial" w:cs="Arial" w:eastAsia="Arial" w:hAnsi="Arial"/>
          <w:sz w:val="27"/>
          <w:szCs w:val="27"/>
          <w:color w:val="auto"/>
          <w:vertAlign w:val="superscript"/>
        </w:rPr>
      </w:pPr>
      <w:r>
        <w:rPr>
          <w:rFonts w:ascii="Arial" w:cs="Arial" w:eastAsia="Arial" w:hAnsi="Arial"/>
          <w:sz w:val="16"/>
          <w:szCs w:val="16"/>
          <w:color w:val="auto"/>
        </w:rPr>
        <w:t>The letters evidencing the 2016 phantom unit grants awarded to Messrs. Chiang, Swanson, McGee and Goebel, and the letter evidencing the August 2018 phantom unit grant to Mr. Chiang provide that in the event of their death or disability after the second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29" w:lineRule="exact"/>
        <w:rPr>
          <w:rFonts w:ascii="Arial" w:cs="Arial" w:eastAsia="Arial" w:hAnsi="Arial"/>
          <w:sz w:val="27"/>
          <w:szCs w:val="27"/>
          <w:color w:val="auto"/>
          <w:vertAlign w:val="superscript"/>
        </w:rPr>
      </w:pPr>
    </w:p>
    <w:p>
      <w:pPr>
        <w:ind w:left="1620" w:right="819"/>
        <w:spacing w:after="0" w:line="311" w:lineRule="auto"/>
        <w:rPr>
          <w:rFonts w:ascii="Arial" w:cs="Arial" w:eastAsia="Arial" w:hAnsi="Arial"/>
          <w:sz w:val="27"/>
          <w:szCs w:val="27"/>
          <w:color w:val="auto"/>
          <w:vertAlign w:val="superscript"/>
        </w:rPr>
      </w:pPr>
      <w:r>
        <w:rPr>
          <w:rFonts w:ascii="Arial" w:cs="Arial" w:eastAsia="Arial" w:hAnsi="Arial"/>
          <w:sz w:val="16"/>
          <w:szCs w:val="16"/>
          <w:color w:val="auto"/>
        </w:rPr>
        <w:t>The letters evidencing the March 2018 phantom unit grants awarded to Messrs. Chiang, Swanson, McGee and Goebel, the August 2019 phantom unit grants awarded to Messrs. Chiang, Swanson, McGee, Chandler and Goebel and the May 2018 grant of 75,000 phantom units awarded to Mr. Chandler</w:t>
      </w:r>
    </w:p>
    <w:p>
      <w:pPr>
        <w:sectPr>
          <w:pgSz w:w="11900" w:h="16838" w:orient="portrait"/>
          <w:cols w:equalWidth="0" w:num="1">
            <w:col w:w="10139"/>
          </w:cols>
          <w:pgMar w:left="320" w:top="132" w:right="1440" w:bottom="1440" w:gutter="0" w:footer="0" w:header="0"/>
        </w:sect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19"/>
        <w:spacing w:after="0" w:line="284" w:lineRule="auto"/>
        <w:rPr>
          <w:sz w:val="20"/>
          <w:szCs w:val="20"/>
          <w:color w:val="auto"/>
        </w:rPr>
      </w:pPr>
      <w:r>
        <w:rPr>
          <w:rFonts w:ascii="Arial" w:cs="Arial" w:eastAsia="Arial" w:hAnsi="Arial"/>
          <w:sz w:val="16"/>
          <w:szCs w:val="16"/>
          <w:color w:val="auto"/>
        </w:rPr>
        <w:t>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7" w:lineRule="exact"/>
        <w:rPr>
          <w:sz w:val="20"/>
          <w:szCs w:val="20"/>
          <w:color w:val="auto"/>
        </w:rPr>
      </w:pPr>
    </w:p>
    <w:p>
      <w:pPr>
        <w:ind w:left="1620" w:right="879"/>
        <w:spacing w:after="0"/>
        <w:rPr>
          <w:sz w:val="20"/>
          <w:szCs w:val="20"/>
          <w:color w:val="auto"/>
        </w:rPr>
      </w:pPr>
      <w:r>
        <w:rPr>
          <w:rFonts w:ascii="Arial" w:cs="Arial" w:eastAsia="Arial" w:hAnsi="Arial"/>
          <w:sz w:val="18"/>
          <w:szCs w:val="18"/>
          <w:color w:val="auto"/>
        </w:rPr>
        <w:t>The letters evidencing the July 2015 and December 2017 phantom unit grants awarded to Mr. Goebel, and the May 2018 grant of 135,000 phantom units awarded to Mr. Chandler provide that in the event of their death or disability,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4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letters evidencing the November 2019 phantom unit grants awarded to Messrs. Chandler and Goebel</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provide that in the event of their death or disability after the second anniversary of the date of grant, all of</w:t>
      </w:r>
    </w:p>
    <w:p>
      <w:pPr>
        <w:spacing w:after="0" w:line="1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their then outstanding phantom units awarded under such grants and associated DERs will be deemed</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nonforfeitable, and (i) 50% will vest on the next distribution date and (ii) any remaining unvested</w:t>
      </w:r>
    </w:p>
    <w:p>
      <w:pPr>
        <w:ind w:left="1620"/>
        <w:spacing w:after="0"/>
        <w:rPr>
          <w:sz w:val="20"/>
          <w:szCs w:val="20"/>
          <w:color w:val="auto"/>
        </w:rPr>
      </w:pPr>
      <w:r>
        <w:rPr>
          <w:rFonts w:ascii="Arial" w:cs="Arial" w:eastAsia="Arial" w:hAnsi="Arial"/>
          <w:sz w:val="16"/>
          <w:szCs w:val="16"/>
          <w:color w:val="auto"/>
        </w:rPr>
        <w:t>phantom units that had satisfied all of the vesting criteria as of the date of his termination but for the passage</w:t>
      </w:r>
    </w:p>
    <w:p>
      <w:pPr>
        <w:spacing w:after="0" w:line="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time would also vest on the next following distribution date.</w:t>
      </w:r>
    </w:p>
    <w:p>
      <w:pPr>
        <w:spacing w:after="0" w:line="61" w:lineRule="exact"/>
        <w:rPr>
          <w:sz w:val="20"/>
          <w:szCs w:val="20"/>
          <w:color w:val="auto"/>
        </w:rPr>
      </w:pPr>
    </w:p>
    <w:p>
      <w:pPr>
        <w:ind w:left="1620" w:right="759"/>
        <w:spacing w:after="0" w:line="248" w:lineRule="auto"/>
        <w:rPr>
          <w:sz w:val="20"/>
          <w:szCs w:val="20"/>
          <w:color w:val="auto"/>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33" w:lineRule="exact"/>
        <w:rPr>
          <w:sz w:val="20"/>
          <w:szCs w:val="20"/>
          <w:color w:val="auto"/>
        </w:rPr>
      </w:pPr>
    </w:p>
    <w:p>
      <w:pPr>
        <w:ind w:left="1620" w:right="659"/>
        <w:spacing w:after="0" w:line="267" w:lineRule="auto"/>
        <w:rPr>
          <w:sz w:val="20"/>
          <w:szCs w:val="20"/>
          <w:color w:val="auto"/>
        </w:rPr>
      </w:pPr>
      <w:r>
        <w:rPr>
          <w:rFonts w:ascii="Arial" w:cs="Arial" w:eastAsia="Arial" w:hAnsi="Arial"/>
          <w:sz w:val="16"/>
          <w:szCs w:val="16"/>
          <w:color w:val="auto"/>
        </w:rPr>
        <w:t>Assuming death or disability occurred on December 31, 2019, (A) all of the phantom units and associated DERs held by Messrs. Chiang, Swanson, McGee and Goebel pursuant to their 2016 and March 2018 grant letters, all of the phantom units and associated DERs held by Mr. Chiang pursuant to his 2015 grant letter, all of the phantom units and associated DERs held by Mr. Chandler pursuant to his May 2018 grant letters, and all of the phantom units and associated DERs held by Mr. Goebel pursuant to his 2015 grant letter and 2017 grant letter would have become nonforfeitable as of such date and would have vested on the February 2020 distribution date, and (B) all of the phantom units and associated DERs held by Mr. Chiang pursuant to his August 2018 grant letter, all of the phantom units and associated DERs held by Messrs. Chiang, Swanson, McGee, Chandler and Goebel pursuant to their August 2019 grant letters and all of the phantom units and associated DERs held by Messrs. Chandler and Goebel pursuant to their November 2019 grant letters would have been forfeited. The dollar value given is based on the market value of PAA’s common units on December 31, 2019 ($18.39 per unit).</w:t>
      </w:r>
    </w:p>
    <w:p>
      <w:pPr>
        <w:spacing w:after="0" w:line="41" w:lineRule="exact"/>
        <w:rPr>
          <w:sz w:val="20"/>
          <w:szCs w:val="20"/>
          <w:color w:val="auto"/>
        </w:rPr>
      </w:pPr>
    </w:p>
    <w:p>
      <w:pPr>
        <w:jc w:val="both"/>
        <w:ind w:left="1620" w:right="679" w:hanging="358"/>
        <w:spacing w:after="0" w:line="258" w:lineRule="auto"/>
        <w:tabs>
          <w:tab w:leader="none" w:pos="1620" w:val="left"/>
        </w:tabs>
        <w:numPr>
          <w:ilvl w:val="0"/>
          <w:numId w:val="62"/>
        </w:numPr>
        <w:rPr>
          <w:rFonts w:ascii="Arial" w:cs="Arial" w:eastAsia="Arial" w:hAnsi="Arial"/>
          <w:sz w:val="24"/>
          <w:szCs w:val="24"/>
          <w:color w:val="auto"/>
          <w:vertAlign w:val="superscript"/>
        </w:rPr>
      </w:pPr>
      <w:r>
        <w:rPr>
          <w:rFonts w:ascii="Arial" w:cs="Arial" w:eastAsia="Arial" w:hAnsi="Arial"/>
          <w:sz w:val="16"/>
          <w:szCs w:val="16"/>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41" w:lineRule="exact"/>
        <w:rPr>
          <w:rFonts w:ascii="Arial" w:cs="Arial" w:eastAsia="Arial" w:hAnsi="Arial"/>
          <w:sz w:val="24"/>
          <w:szCs w:val="24"/>
          <w:color w:val="auto"/>
          <w:vertAlign w:val="superscript"/>
        </w:rPr>
      </w:pPr>
    </w:p>
    <w:p>
      <w:pPr>
        <w:ind w:left="1620"/>
        <w:spacing w:after="0"/>
        <w:rPr>
          <w:rFonts w:ascii="Arial" w:cs="Arial" w:eastAsia="Arial" w:hAnsi="Arial"/>
          <w:sz w:val="24"/>
          <w:szCs w:val="24"/>
          <w:color w:val="auto"/>
          <w:vertAlign w:val="superscript"/>
        </w:rPr>
      </w:pPr>
      <w:r>
        <w:rPr>
          <w:rFonts w:ascii="Arial" w:cs="Arial" w:eastAsia="Arial" w:hAnsi="Arial"/>
          <w:sz w:val="18"/>
          <w:szCs w:val="18"/>
          <w:color w:val="auto"/>
        </w:rPr>
        <w:t>The phantom units granted to Messrs. Chandler and Goebel in November 2019 also provide that if</w:t>
      </w:r>
    </w:p>
    <w:p>
      <w:pPr>
        <w:spacing w:after="0" w:line="11" w:lineRule="exact"/>
        <w:rPr>
          <w:rFonts w:ascii="Arial" w:cs="Arial" w:eastAsia="Arial" w:hAnsi="Arial"/>
          <w:sz w:val="24"/>
          <w:szCs w:val="24"/>
          <w:color w:val="auto"/>
          <w:vertAlign w:val="superscript"/>
        </w:rPr>
      </w:pPr>
    </w:p>
    <w:p>
      <w:pPr>
        <w:ind w:left="1620" w:right="1059"/>
        <w:spacing w:after="0" w:line="237" w:lineRule="auto"/>
        <w:rPr>
          <w:rFonts w:ascii="Arial" w:cs="Arial" w:eastAsia="Arial" w:hAnsi="Arial"/>
          <w:sz w:val="24"/>
          <w:szCs w:val="24"/>
          <w:color w:val="auto"/>
          <w:vertAlign w:val="superscript"/>
        </w:rPr>
      </w:pPr>
      <w:r>
        <w:rPr>
          <w:rFonts w:ascii="Arial" w:cs="Arial" w:eastAsia="Arial" w:hAnsi="Arial"/>
          <w:sz w:val="18"/>
          <w:szCs w:val="18"/>
          <w:color w:val="auto"/>
        </w:rPr>
        <w:t>Mr. Chandler’s or Mr. Goebel’s employment is terminated other than for cause (as defined in footnote 3 below), a portion of the unvested phantom units will be deemed nonforfeitable and will vest on the next following distribution date, with the size of the portion starting at 20% for a termination prior to November 20, 2021, and increasing by 20% per year thereafter such that 100% of the unvested phantom units would be deemed nonforfeitable following a termination other than for cause on or after November 20, 2024.</w:t>
      </w:r>
    </w:p>
    <w:p>
      <w:pPr>
        <w:spacing w:after="0" w:line="53" w:lineRule="exact"/>
        <w:rPr>
          <w:rFonts w:ascii="Arial" w:cs="Arial" w:eastAsia="Arial" w:hAnsi="Arial"/>
          <w:sz w:val="24"/>
          <w:szCs w:val="24"/>
          <w:color w:val="auto"/>
          <w:vertAlign w:val="superscript"/>
        </w:rPr>
      </w:pPr>
    </w:p>
    <w:p>
      <w:pPr>
        <w:ind w:left="1620" w:right="699"/>
        <w:spacing w:after="0" w:line="253" w:lineRule="auto"/>
        <w:rPr>
          <w:rFonts w:ascii="Arial" w:cs="Arial" w:eastAsia="Arial" w:hAnsi="Arial"/>
          <w:sz w:val="24"/>
          <w:szCs w:val="24"/>
          <w:color w:val="auto"/>
          <w:vertAlign w:val="superscript"/>
        </w:rPr>
      </w:pPr>
      <w:r>
        <w:rPr>
          <w:rFonts w:ascii="Arial" w:cs="Arial" w:eastAsia="Arial" w:hAnsi="Arial"/>
          <w:sz w:val="17"/>
          <w:szCs w:val="17"/>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by 20% per year thereafter such that 100% of the unvested phantom units would be deemed nonforfeitable following a termination other than for cause on or after October 1, 2021. Mr. Chiang’s amended and restated employment agreement also provides that his 2015 phantom unit grant will vest in full if he is terminated by GP LLC other than for cause prior to December 31, 2019 (see “— Employment Contracts” for additional information regarding Mr. Chiang’s employment agreement). Assuming our Named Executive Officers</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spacing w:after="0" w:line="251" w:lineRule="auto"/>
        <w:rPr>
          <w:sz w:val="20"/>
          <w:szCs w:val="20"/>
          <w:color w:val="auto"/>
        </w:rPr>
      </w:pPr>
      <w:r>
        <w:rPr>
          <w:rFonts w:ascii="Arial" w:cs="Arial" w:eastAsia="Arial" w:hAnsi="Arial"/>
          <w:sz w:val="17"/>
          <w:szCs w:val="17"/>
          <w:color w:val="auto"/>
        </w:rPr>
        <w:t>were terminated without cause on December 31, 2019, (i) all of the phantom units covered by the 2016 and March 2018 phantom unit grants held by Messrs. Chiang, Swanson, McGee and Goebel, all of the phantom units covered by the August 2019 phantom unit grants held by Messrs. Chiang, Swanson, McGee, Chandler and Goebel, all of the phantom units covered by the 2015 phantom unit grants held by Messrs. Chiang and Goebel, all of the phantom units covered by the December 2017 phantom unit grant held by Mr. Goebel, all of the phantom units covered by the May 2018 phantom unit grants held by Mr. Chandler, 20% of the phantom units covered by the November 2019 phantom unit grants held by Messrs. Chandler and Goebel and 40% of the phantom units covered by the August 2018 phantom unit grant held by Mr. Chiang would have vested on the February 2020 distribution date, and (ii) all remaining phantom units held by our Named Executive Officers would have become automatically forfeited as of such date of termination. The dollar value given is based on the market value of PAA’s common units on December 31, 2019 ($18.39 per unit).</w:t>
      </w:r>
    </w:p>
    <w:p>
      <w:pPr>
        <w:spacing w:after="0" w:line="44" w:lineRule="exact"/>
        <w:rPr>
          <w:sz w:val="20"/>
          <w:szCs w:val="20"/>
          <w:color w:val="auto"/>
        </w:rPr>
      </w:pPr>
    </w:p>
    <w:p>
      <w:pPr>
        <w:ind w:left="1620" w:right="699" w:hanging="358"/>
        <w:spacing w:after="0" w:line="239"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2019, all outstanding phantom units awarded under such grants and the associated DERs would have become nonforfeitable as of December 31, 2019, and such phantom units would vest on the February 2020 distribution date. The dollar value given is based on the market value of PAA’s common units on December 31, 2019 ($18.39 per unit).</w:t>
      </w:r>
    </w:p>
    <w:p>
      <w:pPr>
        <w:spacing w:after="0" w:line="53" w:lineRule="exact"/>
        <w:rPr>
          <w:rFonts w:ascii="Arial" w:cs="Arial" w:eastAsia="Arial" w:hAnsi="Arial"/>
          <w:sz w:val="27"/>
          <w:szCs w:val="27"/>
          <w:color w:val="auto"/>
          <w:vertAlign w:val="superscript"/>
        </w:rPr>
      </w:pPr>
    </w:p>
    <w:p>
      <w:pPr>
        <w:ind w:left="1620" w:right="739"/>
        <w:spacing w:after="0" w:line="266" w:lineRule="auto"/>
        <w:rPr>
          <w:rFonts w:ascii="Arial" w:cs="Arial" w:eastAsia="Arial" w:hAnsi="Arial"/>
          <w:sz w:val="27"/>
          <w:szCs w:val="27"/>
          <w:color w:val="auto"/>
          <w:vertAlign w:val="superscript"/>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 or, in the case of phantom unit grants awarded after 2016,</w:t>
      </w:r>
    </w:p>
    <w:p>
      <w:pPr>
        <w:spacing w:after="0" w:line="4" w:lineRule="exact"/>
        <w:rPr>
          <w:rFonts w:ascii="Arial" w:cs="Arial" w:eastAsia="Arial" w:hAnsi="Arial"/>
          <w:sz w:val="27"/>
          <w:szCs w:val="27"/>
          <w:color w:val="auto"/>
          <w:vertAlign w:val="superscript"/>
        </w:rPr>
      </w:pPr>
    </w:p>
    <w:p>
      <w:pPr>
        <w:ind w:left="1620" w:right="979"/>
        <w:spacing w:after="0" w:line="243" w:lineRule="auto"/>
        <w:rPr>
          <w:rFonts w:ascii="Arial" w:cs="Arial" w:eastAsia="Arial" w:hAnsi="Arial"/>
          <w:sz w:val="27"/>
          <w:szCs w:val="27"/>
          <w:color w:val="auto"/>
          <w:vertAlign w:val="superscript"/>
        </w:rPr>
      </w:pPr>
      <w:r>
        <w:rPr>
          <w:rFonts w:ascii="Arial" w:cs="Arial" w:eastAsia="Arial" w:hAnsi="Arial"/>
          <w:sz w:val="18"/>
          <w:szCs w:val="18"/>
          <w:color w:val="auto"/>
        </w:rPr>
        <w:t>(C) the termination of employment as a result of retirement on terms and timing that are approved by the CEO (or the Board in the case of the CEO).</w:t>
      </w:r>
    </w:p>
    <w:p>
      <w:pPr>
        <w:spacing w:after="0" w:line="3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phrase “change of control” is defined in phantom unit grants awarded in 2015, 2016, 2017 and</w:t>
      </w:r>
    </w:p>
    <w:p>
      <w:pPr>
        <w:spacing w:after="0" w:line="23" w:lineRule="exact"/>
        <w:rPr>
          <w:sz w:val="20"/>
          <w:szCs w:val="20"/>
          <w:color w:val="auto"/>
        </w:rPr>
      </w:pPr>
    </w:p>
    <w:p>
      <w:pPr>
        <w:ind w:left="1620" w:right="679"/>
        <w:spacing w:after="0" w:line="250" w:lineRule="auto"/>
        <w:rPr>
          <w:sz w:val="20"/>
          <w:szCs w:val="20"/>
          <w:color w:val="auto"/>
        </w:rPr>
      </w:pPr>
      <w:r>
        <w:rPr>
          <w:rFonts w:ascii="Arial" w:cs="Arial" w:eastAsia="Arial" w:hAnsi="Arial"/>
          <w:sz w:val="17"/>
          <w:szCs w:val="17"/>
          <w:color w:val="auto"/>
        </w:rPr>
        <w:t xml:space="preserve">March 2018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i w:val="1"/>
          <w:iCs w:val="1"/>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49" w:lineRule="exact"/>
        <w:rPr>
          <w:sz w:val="20"/>
          <w:szCs w:val="20"/>
          <w:color w:val="auto"/>
        </w:rPr>
      </w:pPr>
    </w:p>
    <w:p>
      <w:pPr>
        <w:ind w:left="1620" w:right="679"/>
        <w:spacing w:after="0" w:line="253" w:lineRule="auto"/>
        <w:rPr>
          <w:sz w:val="20"/>
          <w:szCs w:val="20"/>
          <w:color w:val="auto"/>
        </w:rPr>
      </w:pPr>
      <w:r>
        <w:rPr>
          <w:rFonts w:ascii="Arial" w:cs="Arial" w:eastAsia="Arial" w:hAnsi="Arial"/>
          <w:sz w:val="17"/>
          <w:szCs w:val="17"/>
          <w:color w:val="auto"/>
        </w:rPr>
        <w:t>The phrase “change of control” is defined in the phantom unit grants awarded in 2019 and to Mr. Chiang in August 2018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39"/>
        <w:spacing w:after="0" w:line="257" w:lineRule="auto"/>
        <w:rPr>
          <w:sz w:val="20"/>
          <w:szCs w:val="20"/>
          <w:color w:val="auto"/>
        </w:rPr>
      </w:pPr>
      <w:r>
        <w:rPr>
          <w:rFonts w:ascii="Arial" w:cs="Arial" w:eastAsia="Arial" w:hAnsi="Arial"/>
          <w:sz w:val="17"/>
          <w:szCs w:val="17"/>
          <w:color w:val="auto"/>
        </w:rPr>
        <w:t>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Exchange Act.</w:t>
      </w:r>
    </w:p>
    <w:p>
      <w:pPr>
        <w:spacing w:after="0" w:line="27" w:lineRule="exact"/>
        <w:rPr>
          <w:sz w:val="20"/>
          <w:szCs w:val="20"/>
          <w:color w:val="auto"/>
        </w:rPr>
      </w:pPr>
    </w:p>
    <w:p>
      <w:pPr>
        <w:ind w:left="1620" w:right="719"/>
        <w:spacing w:after="0" w:line="271" w:lineRule="auto"/>
        <w:rPr>
          <w:sz w:val="20"/>
          <w:szCs w:val="20"/>
          <w:color w:val="auto"/>
        </w:rPr>
      </w:pPr>
      <w:r>
        <w:rPr>
          <w:rFonts w:ascii="Arial" w:cs="Arial" w:eastAsia="Arial" w:hAnsi="Arial"/>
          <w:sz w:val="16"/>
          <w:szCs w:val="16"/>
          <w:color w:val="auto"/>
        </w:rPr>
        <w:t>“Cause” is defined in Mr. Chiang’s 2015 phantom unit grant agreement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20" w:lineRule="exact"/>
        <w:rPr>
          <w:sz w:val="20"/>
          <w:szCs w:val="20"/>
          <w:color w:val="auto"/>
        </w:rPr>
      </w:pPr>
    </w:p>
    <w:p>
      <w:pPr>
        <w:ind w:left="1620" w:right="719"/>
        <w:spacing w:after="0" w:line="284" w:lineRule="auto"/>
        <w:rPr>
          <w:sz w:val="20"/>
          <w:szCs w:val="20"/>
          <w:color w:val="auto"/>
        </w:rPr>
      </w:pPr>
      <w:r>
        <w:rPr>
          <w:rFonts w:ascii="Arial" w:cs="Arial" w:eastAsia="Arial" w:hAnsi="Arial"/>
          <w:sz w:val="16"/>
          <w:szCs w:val="16"/>
          <w:color w:val="auto"/>
        </w:rPr>
        <w:t>“Cause” is defined in Mr. Goebel’s 2015 phantom unit grant agreement as (i) failure to perform the duties and responsibilities of his position at an acceptable level as reasonably determined in good faith by the CEO of GP LLC or (ii) violation of GP LLC’s Code of Business Conduct (unless waived in accordance with the terms thereof), in each case with the specific failure or violation described in writing.</w:t>
      </w:r>
    </w:p>
    <w:p>
      <w:pPr>
        <w:spacing w:after="0" w:line="20" w:lineRule="exact"/>
        <w:rPr>
          <w:sz w:val="20"/>
          <w:szCs w:val="20"/>
          <w:color w:val="auto"/>
        </w:rPr>
      </w:pPr>
    </w:p>
    <w:p>
      <w:pPr>
        <w:ind w:left="1620" w:right="699"/>
        <w:spacing w:after="0" w:line="253" w:lineRule="auto"/>
        <w:rPr>
          <w:sz w:val="20"/>
          <w:szCs w:val="20"/>
          <w:color w:val="auto"/>
        </w:rPr>
      </w:pPr>
      <w:r>
        <w:rPr>
          <w:rFonts w:ascii="Arial" w:cs="Arial" w:eastAsia="Arial" w:hAnsi="Arial"/>
          <w:sz w:val="17"/>
          <w:szCs w:val="17"/>
          <w:color w:val="auto"/>
        </w:rPr>
        <w:t>“Cause” is defined in the 2016, 2017, 2018 and 2019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43" w:lineRule="exact"/>
        <w:rPr>
          <w:sz w:val="20"/>
          <w:szCs w:val="20"/>
          <w:color w:val="auto"/>
        </w:rPr>
      </w:pPr>
    </w:p>
    <w:p>
      <w:pPr>
        <w:ind w:left="1620" w:right="699" w:hanging="358"/>
        <w:spacing w:after="0" w:line="265" w:lineRule="auto"/>
        <w:tabs>
          <w:tab w:leader="none" w:pos="1620" w:val="left"/>
        </w:tabs>
        <w:numPr>
          <w:ilvl w:val="0"/>
          <w:numId w:val="64"/>
        </w:numPr>
        <w:rPr>
          <w:rFonts w:ascii="Arial" w:cs="Arial" w:eastAsia="Arial" w:hAnsi="Arial"/>
          <w:sz w:val="24"/>
          <w:szCs w:val="24"/>
          <w:color w:val="auto"/>
          <w:vertAlign w:val="superscript"/>
        </w:rPr>
      </w:pPr>
      <w:r>
        <w:rPr>
          <w:rFonts w:ascii="Arial" w:cs="Arial" w:eastAsia="Arial" w:hAnsi="Arial"/>
          <w:sz w:val="16"/>
          <w:szCs w:val="16"/>
          <w:color w:val="auto"/>
        </w:rPr>
        <w:t>Pursuant to the AAP Management Unit grant agreements of Messrs. Chiang, McGee and Goebel,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2020 for Mr. McGee’s 2011 grant, January 1, 2021 for Mr. McGee’s 2013 grant, and January 1, 2023 for Mr. Chiang’s and</w:t>
      </w:r>
    </w:p>
    <w:p>
      <w:pPr>
        <w:spacing w:after="0" w:line="2" w:lineRule="exact"/>
        <w:rPr>
          <w:rFonts w:ascii="Arial" w:cs="Arial" w:eastAsia="Arial" w:hAnsi="Arial"/>
          <w:sz w:val="24"/>
          <w:szCs w:val="24"/>
          <w:color w:val="auto"/>
          <w:vertAlign w:val="superscript"/>
        </w:rPr>
      </w:pPr>
    </w:p>
    <w:p>
      <w:pPr>
        <w:ind w:left="1620" w:right="679"/>
        <w:spacing w:after="0" w:line="284" w:lineRule="auto"/>
        <w:rPr>
          <w:rFonts w:ascii="Arial" w:cs="Arial" w:eastAsia="Arial" w:hAnsi="Arial"/>
          <w:sz w:val="24"/>
          <w:szCs w:val="24"/>
          <w:color w:val="auto"/>
          <w:vertAlign w:val="superscript"/>
        </w:rPr>
      </w:pPr>
      <w:r>
        <w:rPr>
          <w:rFonts w:ascii="Arial" w:cs="Arial" w:eastAsia="Arial" w:hAnsi="Arial"/>
          <w:sz w:val="16"/>
          <w:szCs w:val="16"/>
          <w:color w:val="auto"/>
        </w:rPr>
        <w:t>Mr. Goebel’s grants; such dates being referred to as the “Applicable Stated Date”);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termination of employment due to his death or disability. Additionally, Mr. Chiang’s amended and restated employment agreement provides that his AAP Management Units will vest in full if he is terminated by GP LLC other than for cause (as defined below) prior to December 31, 2019 (see “—Employment Contracts” for additional information regarding Mr. Chiang’s amended and restated employment agreement). If Messrs. Chiang, McGee or Goebel are terminated without cause or terminate their employment for good reason, or if such Named Executive Officer remains employed past their Applicable Stated Date, or, in the case of Mr. Chiang, if his employment is terminated due to his death or disability, any earned AAP Management Units are no longer subject to the call right and are deemed to have “vested.” As of December 31, 2019, all of the AAP Management Units held by Messrs. Chiang, McGee and Goebel had been earned. Assuming a termination of employment without cause or for good reason on December 31, 2019, all of the AAP Management Units held by Messrs. Chiang, McGee and Goebel would become vested and would no longer be subject to the call right. Because the call right provides for a discounted purchase price relative to fair market value as described above, the applicable Named Executive Officer would “benefit” from a termination other than for cause or for good reason by virtue of the fact that such officer’s AAP Management Units could no longer be purchased by AAP at such discount. The value reflected in the table represents the implied value of</w:t>
      </w: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59"/>
        <w:spacing w:after="0" w:line="239" w:lineRule="auto"/>
        <w:rPr>
          <w:sz w:val="20"/>
          <w:szCs w:val="20"/>
          <w:color w:val="auto"/>
        </w:rPr>
      </w:pPr>
      <w:r>
        <w:rPr>
          <w:rFonts w:ascii="Arial" w:cs="Arial" w:eastAsia="Arial" w:hAnsi="Arial"/>
          <w:sz w:val="18"/>
          <w:szCs w:val="18"/>
          <w:color w:val="auto"/>
        </w:rPr>
        <w:t>such “benefit”, calculated as of December 31, 2019 by (i) assuming that the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taking the applicable discount into account, of the closing market price ($18.95) of PAGP’s Class A shares at December 31, 2019 (the last trading day of the fiscal year).</w:t>
      </w:r>
    </w:p>
    <w:p>
      <w:pPr>
        <w:spacing w:after="0" w:line="42" w:lineRule="exact"/>
        <w:rPr>
          <w:sz w:val="20"/>
          <w:szCs w:val="20"/>
          <w:color w:val="auto"/>
        </w:rPr>
      </w:pPr>
    </w:p>
    <w:p>
      <w:pPr>
        <w:ind w:left="1620" w:right="679"/>
        <w:spacing w:after="0" w:line="266" w:lineRule="auto"/>
        <w:rPr>
          <w:sz w:val="20"/>
          <w:szCs w:val="20"/>
          <w:color w:val="auto"/>
        </w:rPr>
      </w:pPr>
      <w:r>
        <w:rPr>
          <w:rFonts w:ascii="Arial" w:cs="Arial" w:eastAsia="Arial" w:hAnsi="Arial"/>
          <w:sz w:val="16"/>
          <w:szCs w:val="16"/>
          <w:color w:val="auto"/>
        </w:rPr>
        <w:t>“Cause” is defined in Mr. McGee’s and Mr. Goebel’s AAP Management Unit grant agreement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 of GP LLC (or if</w:t>
      </w:r>
    </w:p>
    <w:p>
      <w:pPr>
        <w:spacing w:after="0" w:line="3" w:lineRule="exact"/>
        <w:rPr>
          <w:sz w:val="20"/>
          <w:szCs w:val="20"/>
          <w:color w:val="auto"/>
        </w:rPr>
      </w:pPr>
    </w:p>
    <w:p>
      <w:pPr>
        <w:ind w:left="1620" w:right="679"/>
        <w:spacing w:after="0" w:line="252" w:lineRule="auto"/>
        <w:rPr>
          <w:sz w:val="20"/>
          <w:szCs w:val="20"/>
          <w:color w:val="auto"/>
        </w:rPr>
      </w:pPr>
      <w:r>
        <w:rPr>
          <w:rFonts w:ascii="Arial" w:cs="Arial" w:eastAsia="Arial" w:hAnsi="Arial"/>
          <w:sz w:val="17"/>
          <w:szCs w:val="17"/>
          <w:color w:val="auto"/>
        </w:rPr>
        <w:t>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32" w:lineRule="exact"/>
        <w:rPr>
          <w:sz w:val="20"/>
          <w:szCs w:val="20"/>
          <w:color w:val="auto"/>
        </w:rPr>
      </w:pPr>
    </w:p>
    <w:p>
      <w:pPr>
        <w:ind w:left="1620" w:right="1039"/>
        <w:spacing w:after="0" w:line="243"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53" w:lineRule="exact"/>
        <w:rPr>
          <w:sz w:val="20"/>
          <w:szCs w:val="20"/>
          <w:color w:val="auto"/>
        </w:rPr>
      </w:pPr>
    </w:p>
    <w:p>
      <w:pPr>
        <w:ind w:left="1620" w:right="1079"/>
        <w:spacing w:after="0" w:line="282" w:lineRule="auto"/>
        <w:rPr>
          <w:sz w:val="20"/>
          <w:szCs w:val="20"/>
          <w:color w:val="auto"/>
        </w:rPr>
      </w:pPr>
      <w:r>
        <w:rPr>
          <w:rFonts w:ascii="Arial" w:cs="Arial" w:eastAsia="Arial" w:hAnsi="Arial"/>
          <w:sz w:val="16"/>
          <w:szCs w:val="16"/>
          <w:color w:val="auto"/>
        </w:rPr>
        <w:t>“Call Value” is defined in the AAP Management Unit grant agreements as the product of the applicable conversion factor and the closing sales price of the PAGP Class A shares on the applicable date.</w:t>
      </w:r>
    </w:p>
    <w:p>
      <w:pPr>
        <w:spacing w:after="0" w:line="40" w:lineRule="exact"/>
        <w:rPr>
          <w:sz w:val="20"/>
          <w:szCs w:val="20"/>
          <w:color w:val="auto"/>
        </w:rPr>
      </w:pPr>
    </w:p>
    <w:p>
      <w:pPr>
        <w:ind w:left="1620" w:right="719" w:hanging="358"/>
        <w:spacing w:after="0" w:line="271" w:lineRule="auto"/>
        <w:tabs>
          <w:tab w:leader="none" w:pos="1620" w:val="left"/>
        </w:tabs>
        <w:numPr>
          <w:ilvl w:val="0"/>
          <w:numId w:val="65"/>
        </w:numPr>
        <w:rPr>
          <w:rFonts w:ascii="Arial" w:cs="Arial" w:eastAsia="Arial" w:hAnsi="Arial"/>
          <w:sz w:val="24"/>
          <w:szCs w:val="24"/>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become vested units. Mr. Chiang’s amended and restated employment agreement also provides that his AAP Management Units will vest in full if GP LLC terminates his employment other than for cause prior to December 31, 2019 (see “— Employment Contracts” for additional information regarding Mr. Chiang’s employment agreement). As of December 31, 2019, all of the AAP Management Units held by Messrs. Chiang, McGee and Goebel had been earned. Accordingly, assuming that a Change in Control occurred on December 31, 2019, all of the AAP Management Units held by Messrs. Chiang, McGee and Goebel would become vested and would no longer be subject to the call right. The value reflected in the table above for Messrs. Chiang, McGee and Goebel represents the implied value of such “benefit”, calculated as of December 31, 2019 by (i) assuming that such executive’s vested AAP Management Units are converted into AAP units based on the conversion factor of approximately</w:t>
      </w:r>
    </w:p>
    <w:p>
      <w:pPr>
        <w:spacing w:after="0" w:line="1" w:lineRule="exact"/>
        <w:rPr>
          <w:rFonts w:ascii="Arial" w:cs="Arial" w:eastAsia="Arial" w:hAnsi="Arial"/>
          <w:sz w:val="24"/>
          <w:szCs w:val="24"/>
          <w:color w:val="auto"/>
          <w:vertAlign w:val="superscript"/>
        </w:rPr>
      </w:pPr>
    </w:p>
    <w:p>
      <w:pPr>
        <w:ind w:left="1620"/>
        <w:spacing w:after="0"/>
        <w:rPr>
          <w:rFonts w:ascii="Arial" w:cs="Arial" w:eastAsia="Arial" w:hAnsi="Arial"/>
          <w:sz w:val="24"/>
          <w:szCs w:val="24"/>
          <w:color w:val="auto"/>
          <w:vertAlign w:val="superscript"/>
        </w:rPr>
      </w:pPr>
      <w:r>
        <w:rPr>
          <w:rFonts w:ascii="Arial" w:cs="Arial" w:eastAsia="Arial" w:hAnsi="Arial"/>
          <w:sz w:val="16"/>
          <w:szCs w:val="16"/>
          <w:color w:val="auto"/>
        </w:rPr>
        <w:t>0.941 AAP units and PAGP Class B shares for each AAP Management Unit, (ii) assuming the exchange of</w:t>
      </w:r>
    </w:p>
    <w:p>
      <w:pPr>
        <w:spacing w:after="0" w:line="32" w:lineRule="exact"/>
        <w:rPr>
          <w:sz w:val="20"/>
          <w:szCs w:val="20"/>
          <w:color w:val="auto"/>
        </w:rPr>
      </w:pPr>
    </w:p>
    <w:p>
      <w:pPr>
        <w:ind w:left="1620" w:right="1099"/>
        <w:spacing w:after="0" w:line="281" w:lineRule="auto"/>
        <w:rPr>
          <w:sz w:val="20"/>
          <w:szCs w:val="20"/>
          <w:color w:val="auto"/>
        </w:rPr>
      </w:pPr>
      <w:r>
        <w:rPr>
          <w:rFonts w:ascii="Arial" w:cs="Arial" w:eastAsia="Arial" w:hAnsi="Arial"/>
          <w:sz w:val="16"/>
          <w:szCs w:val="16"/>
          <w:color w:val="auto"/>
        </w:rPr>
        <w:t>the resulting AAP units and PAGP Class B shares for PAGP Class A shares on a one-for-one basis, and (iii) multiplying such resulting number of PAGP Class A shares by an amount equal to the</w:t>
      </w:r>
    </w:p>
    <w:p>
      <w:pPr>
        <w:spacing w:after="0" w:line="1" w:lineRule="exact"/>
        <w:rPr>
          <w:sz w:val="20"/>
          <w:szCs w:val="20"/>
          <w:color w:val="auto"/>
        </w:rPr>
      </w:pPr>
    </w:p>
    <w:p>
      <w:pPr>
        <w:ind w:left="1620" w:right="899"/>
        <w:spacing w:after="0" w:line="290" w:lineRule="auto"/>
        <w:rPr>
          <w:sz w:val="20"/>
          <w:szCs w:val="20"/>
          <w:color w:val="auto"/>
        </w:rPr>
      </w:pPr>
      <w:r>
        <w:rPr>
          <w:rFonts w:ascii="Arial" w:cs="Arial" w:eastAsia="Arial" w:hAnsi="Arial"/>
          <w:sz w:val="17"/>
          <w:szCs w:val="17"/>
          <w:color w:val="auto"/>
        </w:rPr>
        <w:t>applicable percentage, taking the applicable discount into account, of the closing market price ($18.95) of PAGP’s Class A shares at December 31, 2019 (the last trading day of the fiscal year).</w:t>
      </w:r>
    </w:p>
    <w:p>
      <w:pPr>
        <w:spacing w:after="0" w:line="1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“Change in Control” means the determination by the Board that one of the following events has occurred:</w:t>
      </w:r>
    </w:p>
    <w:p>
      <w:pPr>
        <w:spacing w:after="0" w:line="46" w:lineRule="exact"/>
        <w:rPr>
          <w:sz w:val="20"/>
          <w:szCs w:val="20"/>
          <w:color w:val="auto"/>
        </w:rPr>
      </w:pPr>
    </w:p>
    <w:p>
      <w:pPr>
        <w:ind w:left="1620" w:right="739" w:firstLine="2"/>
        <w:spacing w:after="0" w:line="269" w:lineRule="auto"/>
        <w:tabs>
          <w:tab w:leader="none" w:pos="183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i w:val="1"/>
          <w:iCs w:val="1"/>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spacing w:after="0"/>
        <w:rPr>
          <w:sz w:val="20"/>
          <w:szCs w:val="20"/>
          <w:color w:val="auto"/>
        </w:rPr>
      </w:pPr>
      <w:r>
        <w:rPr>
          <w:rFonts w:ascii="Arial" w:cs="Arial" w:eastAsia="Arial" w:hAnsi="Arial"/>
          <w:sz w:val="18"/>
          <w:szCs w:val="18"/>
          <w:color w:val="auto"/>
        </w:rPr>
        <w:t>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41" w:lineRule="exact"/>
        <w:rPr>
          <w:sz w:val="20"/>
          <w:szCs w:val="20"/>
          <w:color w:val="auto"/>
        </w:rPr>
      </w:pPr>
    </w:p>
    <w:p>
      <w:pPr>
        <w:ind w:left="1620" w:right="719" w:hanging="358"/>
        <w:spacing w:after="0" w:line="272" w:lineRule="auto"/>
        <w:tabs>
          <w:tab w:leader="none" w:pos="1620" w:val="left"/>
        </w:tabs>
        <w:numPr>
          <w:ilvl w:val="0"/>
          <w:numId w:val="67"/>
        </w:numPr>
        <w:rPr>
          <w:rFonts w:ascii="Arial" w:cs="Arial" w:eastAsia="Arial" w:hAnsi="Arial"/>
          <w:sz w:val="24"/>
          <w:szCs w:val="24"/>
          <w:color w:val="auto"/>
          <w:vertAlign w:val="superscript"/>
        </w:rPr>
      </w:pPr>
      <w:r>
        <w:rPr>
          <w:rFonts w:ascii="Arial" w:cs="Arial" w:eastAsia="Arial" w:hAnsi="Arial"/>
          <w:sz w:val="16"/>
          <w:szCs w:val="16"/>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 (1) the sum of his (a) highest annual base salary paid prior to his date of termination and (b) 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2019 with two years remaining on the term of his agreement, and also assumes a highest annual base salary of $400,000 and highest annual bonus of $1,500,000.</w:t>
      </w:r>
    </w:p>
    <w:p>
      <w:pPr>
        <w:spacing w:after="0" w:line="3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Pefanis’ employment agreement defines “cause” as (i) willfully engaging in gross misconduct, or</w:t>
      </w:r>
    </w:p>
    <w:p>
      <w:pPr>
        <w:spacing w:after="0" w:line="23" w:lineRule="exact"/>
        <w:rPr>
          <w:sz w:val="20"/>
          <w:szCs w:val="20"/>
          <w:color w:val="auto"/>
        </w:rPr>
      </w:pPr>
    </w:p>
    <w:p>
      <w:pPr>
        <w:jc w:val="both"/>
        <w:ind w:left="1620" w:right="759" w:firstLine="2"/>
        <w:spacing w:after="0" w:line="264" w:lineRule="auto"/>
        <w:tabs>
          <w:tab w:leader="none" w:pos="18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w:t>
      </w:r>
    </w:p>
    <w:p>
      <w:pPr>
        <w:ind w:left="1620" w:right="759"/>
        <w:spacing w:after="0" w:line="272" w:lineRule="auto"/>
        <w:rPr>
          <w:rFonts w:ascii="Arial" w:cs="Arial" w:eastAsia="Arial" w:hAnsi="Arial"/>
          <w:sz w:val="16"/>
          <w:szCs w:val="16"/>
          <w:color w:val="auto"/>
        </w:rPr>
      </w:pPr>
      <w:r>
        <w:rPr>
          <w:rFonts w:ascii="Arial" w:cs="Arial" w:eastAsia="Arial" w:hAnsi="Arial"/>
          <w:sz w:val="16"/>
          <w:szCs w:val="16"/>
          <w:color w:val="auto"/>
        </w:rPr>
        <w:t>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pacing w:after="0" w:line="29" w:lineRule="exact"/>
        <w:rPr>
          <w:sz w:val="20"/>
          <w:szCs w:val="20"/>
          <w:color w:val="auto"/>
        </w:rPr>
      </w:pPr>
    </w:p>
    <w:p>
      <w:pPr>
        <w:ind w:left="1620" w:right="679"/>
        <w:spacing w:after="0" w:line="285" w:lineRule="auto"/>
        <w:rPr>
          <w:sz w:val="20"/>
          <w:szCs w:val="20"/>
          <w:color w:val="auto"/>
        </w:rPr>
      </w:pPr>
      <w:r>
        <w:rPr>
          <w:rFonts w:ascii="Arial" w:cs="Arial" w:eastAsia="Arial" w:hAnsi="Arial"/>
          <w:sz w:val="16"/>
          <w:szCs w:val="16"/>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unless such reduction reduces his base salary to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38" w:lineRule="exact"/>
        <w:rPr>
          <w:sz w:val="20"/>
          <w:szCs w:val="20"/>
          <w:color w:val="auto"/>
        </w:rPr>
      </w:pPr>
    </w:p>
    <w:p>
      <w:pPr>
        <w:ind w:left="1620" w:right="699" w:hanging="358"/>
        <w:spacing w:after="0" w:line="235"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2019, and also assumes a highest annual base salary of $400,000 and highest annual bonus of $1,500,000.</w:t>
      </w:r>
    </w:p>
    <w:p>
      <w:pPr>
        <w:spacing w:after="0" w:line="59" w:lineRule="exact"/>
        <w:rPr>
          <w:rFonts w:ascii="Arial" w:cs="Arial" w:eastAsia="Arial" w:hAnsi="Arial"/>
          <w:sz w:val="27"/>
          <w:szCs w:val="27"/>
          <w:color w:val="auto"/>
          <w:vertAlign w:val="superscript"/>
        </w:rPr>
      </w:pPr>
    </w:p>
    <w:p>
      <w:pPr>
        <w:ind w:left="1620" w:right="839"/>
        <w:spacing w:after="0" w:line="291" w:lineRule="auto"/>
        <w:rPr>
          <w:rFonts w:ascii="Arial" w:cs="Arial" w:eastAsia="Arial" w:hAnsi="Arial"/>
          <w:sz w:val="27"/>
          <w:szCs w:val="27"/>
          <w:color w:val="auto"/>
          <w:vertAlign w:val="superscript"/>
        </w:rPr>
      </w:pPr>
      <w:r>
        <w:rPr>
          <w:rFonts w:ascii="Arial" w:cs="Arial" w:eastAsia="Arial" w:hAnsi="Arial"/>
          <w:sz w:val="16"/>
          <w:szCs w:val="16"/>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(the “Exchange Act”),</w:t>
      </w: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spacing w:after="0" w:line="268" w:lineRule="auto"/>
        <w:rPr>
          <w:sz w:val="20"/>
          <w:szCs w:val="20"/>
          <w:color w:val="auto"/>
        </w:rPr>
      </w:pPr>
      <w:r>
        <w:rPr>
          <w:rFonts w:ascii="Arial" w:cs="Arial" w:eastAsia="Arial" w:hAnsi="Arial"/>
          <w:sz w:val="17"/>
          <w:szCs w:val="17"/>
          <w:color w:val="auto"/>
        </w:rPr>
        <w:t>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38" w:lineRule="exact"/>
        <w:rPr>
          <w:sz w:val="20"/>
          <w:szCs w:val="20"/>
          <w:color w:val="auto"/>
        </w:rPr>
      </w:pPr>
    </w:p>
    <w:p>
      <w:pPr>
        <w:ind w:left="1620" w:right="679" w:hanging="358"/>
        <w:spacing w:after="0" w:line="250" w:lineRule="auto"/>
        <w:tabs>
          <w:tab w:leader="none" w:pos="1620" w:val="left"/>
        </w:tabs>
        <w:numPr>
          <w:ilvl w:val="0"/>
          <w:numId w:val="70"/>
        </w:numPr>
        <w:rPr>
          <w:rFonts w:ascii="Arial" w:cs="Arial" w:eastAsia="Arial" w:hAnsi="Arial"/>
          <w:sz w:val="26"/>
          <w:szCs w:val="26"/>
          <w:color w:val="auto"/>
          <w:vertAlign w:val="superscript"/>
        </w:rPr>
      </w:pPr>
      <w:r>
        <w:rPr>
          <w:rFonts w:ascii="Arial" w:cs="Arial" w:eastAsia="Arial" w:hAnsi="Arial"/>
          <w:sz w:val="17"/>
          <w:szCs w:val="17"/>
          <w:color w:val="auto"/>
        </w:rPr>
        <w:t>Pursuant to his employment agreement, if Mr. Pefanis is terminated other than (i) for cause (as defined in footnote 6 above), (ii) by reason of death or (iii) by resignation (unless such resignation is due to a disability or for good reason (each as defined in footnote 6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2019 with two years remaining on the term of his agreement.</w:t>
      </w:r>
    </w:p>
    <w:p>
      <w:pPr>
        <w:spacing w:after="0" w:line="46" w:lineRule="exact"/>
        <w:rPr>
          <w:rFonts w:ascii="Arial" w:cs="Arial" w:eastAsia="Arial" w:hAnsi="Arial"/>
          <w:sz w:val="26"/>
          <w:szCs w:val="26"/>
          <w:color w:val="auto"/>
          <w:vertAlign w:val="superscript"/>
        </w:rPr>
      </w:pPr>
    </w:p>
    <w:p>
      <w:pPr>
        <w:ind w:left="1620" w:right="1039" w:hanging="358"/>
        <w:spacing w:after="0" w:line="219"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67" w:lineRule="exact"/>
        <w:rPr>
          <w:rFonts w:ascii="Arial" w:cs="Arial" w:eastAsia="Arial" w:hAnsi="Arial"/>
          <w:sz w:val="27"/>
          <w:szCs w:val="27"/>
          <w:color w:val="auto"/>
          <w:vertAlign w:val="superscript"/>
        </w:rPr>
      </w:pPr>
    </w:p>
    <w:p>
      <w:pPr>
        <w:ind w:left="1620" w:right="839" w:hanging="358"/>
        <w:spacing w:after="0" w:line="246" w:lineRule="auto"/>
        <w:tabs>
          <w:tab w:leader="none" w:pos="1620" w:val="left"/>
        </w:tabs>
        <w:numPr>
          <w:ilvl w:val="0"/>
          <w:numId w:val="70"/>
        </w:numPr>
        <w:rPr>
          <w:rFonts w:ascii="Arial" w:cs="Arial" w:eastAsia="Arial" w:hAnsi="Arial"/>
          <w:sz w:val="24"/>
          <w:szCs w:val="24"/>
          <w:color w:val="auto"/>
          <w:vertAlign w:val="superscript"/>
        </w:rPr>
      </w:pPr>
      <w:r>
        <w:rPr>
          <w:rFonts w:ascii="Arial" w:cs="Arial" w:eastAsia="Arial" w:hAnsi="Arial"/>
          <w:sz w:val="16"/>
          <w:szCs w:val="16"/>
          <w:color w:val="auto"/>
        </w:rPr>
        <w:t>Mr. Chiang’s AAP Management Unit grant agreement provides that in the event of his death or disability, AAP will not have a call right and all of his earned AAP Management Units will vest. As of December 31, 2019, all of Mr. Chiang’s AAP Management Units had been earned. The dollar value given assumes</w:t>
      </w:r>
    </w:p>
    <w:p>
      <w:pPr>
        <w:spacing w:after="0" w:line="2" w:lineRule="exact"/>
        <w:rPr>
          <w:rFonts w:ascii="Arial" w:cs="Arial" w:eastAsia="Arial" w:hAnsi="Arial"/>
          <w:sz w:val="24"/>
          <w:szCs w:val="24"/>
          <w:color w:val="auto"/>
          <w:vertAlign w:val="superscript"/>
        </w:rPr>
      </w:pPr>
    </w:p>
    <w:p>
      <w:pPr>
        <w:ind w:left="1620" w:right="819"/>
        <w:spacing w:after="0" w:line="284" w:lineRule="auto"/>
        <w:rPr>
          <w:rFonts w:ascii="Arial" w:cs="Arial" w:eastAsia="Arial" w:hAnsi="Arial"/>
          <w:sz w:val="24"/>
          <w:szCs w:val="24"/>
          <w:color w:val="auto"/>
          <w:vertAlign w:val="superscript"/>
        </w:rPr>
      </w:pPr>
      <w:r>
        <w:rPr>
          <w:rFonts w:ascii="Arial" w:cs="Arial" w:eastAsia="Arial" w:hAnsi="Arial"/>
          <w:sz w:val="16"/>
          <w:szCs w:val="16"/>
          <w:color w:val="auto"/>
        </w:rPr>
        <w:t>Mr. Chiang’s death or disability on December 31, 2019 and represents the implied value of such “benefit,” calculated as of December 31, 2019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($18.95) of PAGP’s Class A shares at December 31, 2019 (the last trading day of the fiscal year).</w:t>
      </w:r>
    </w:p>
    <w:p>
      <w:pPr>
        <w:spacing w:after="0" w:line="41" w:lineRule="exact"/>
        <w:rPr>
          <w:rFonts w:ascii="Arial" w:cs="Arial" w:eastAsia="Arial" w:hAnsi="Arial"/>
          <w:sz w:val="24"/>
          <w:szCs w:val="24"/>
          <w:color w:val="auto"/>
          <w:vertAlign w:val="superscript"/>
        </w:rPr>
      </w:pPr>
    </w:p>
    <w:p>
      <w:pPr>
        <w:ind w:left="1620" w:right="699" w:hanging="358"/>
        <w:spacing w:after="0" w:line="207"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Under the AAP Management Unit grant agreements for Messrs. McGee and Goebel, their death or disability would trigger AAP’s call right, which is assumed to be exercised.</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62"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Pursuant to his employment agreement, 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48" w:lineRule="exact"/>
        <w:rPr>
          <w:sz w:val="20"/>
          <w:szCs w:val="20"/>
          <w:color w:val="auto"/>
        </w:rPr>
      </w:pPr>
    </w:p>
    <w:p>
      <w:pPr>
        <w:ind w:left="1260" w:right="759" w:firstLine="360"/>
        <w:spacing w:after="0" w:line="311"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2019:</w:t>
      </w:r>
    </w:p>
    <w:p>
      <w:pPr>
        <w:spacing w:after="0" w:line="41" w:lineRule="exact"/>
        <w:rPr>
          <w:sz w:val="20"/>
          <w:szCs w:val="20"/>
          <w:color w:val="auto"/>
        </w:rPr>
      </w:pPr>
    </w:p>
    <w:p>
      <w:pPr>
        <w:ind w:left="5280" w:right="2039" w:hanging="3658"/>
        <w:spacing w:after="0" w:line="747" w:lineRule="auto"/>
        <w:tabs>
          <w:tab w:leader="none" w:pos="18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2019 was approximately $4,141,000.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2019 was approximately $109,000.</w:t>
      </w:r>
    </w:p>
    <w:p>
      <w:pPr>
        <w:spacing w:after="0" w:line="117" w:lineRule="exact"/>
        <w:rPr>
          <w:rFonts w:ascii="Arial" w:cs="Arial" w:eastAsia="Arial" w:hAnsi="Arial"/>
          <w:sz w:val="18"/>
          <w:szCs w:val="18"/>
          <w:color w:val="auto"/>
        </w:rPr>
      </w:pPr>
    </w:p>
    <w:p>
      <w:pPr>
        <w:ind w:left="1620" w:right="979" w:firstLine="2"/>
        <w:spacing w:after="0" w:line="440" w:lineRule="auto"/>
        <w:tabs>
          <w:tab w:leader="none" w:pos="1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ratio of Mr. Chiang’s pay to the pay of our median employee for 2019 was approximately 38 to 1. PAA’s median employee was identified as of December 31, 2019 using the following methodology:</w:t>
      </w:r>
    </w:p>
    <w:p>
      <w:pPr>
        <w:ind w:left="1800" w:right="759" w:hanging="178"/>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2019. We included all U.S. and Canadian employees.</w:t>
      </w:r>
    </w:p>
    <w:p>
      <w:pPr>
        <w:spacing w:after="0" w:line="62" w:lineRule="exact"/>
        <w:rPr>
          <w:rFonts w:ascii="Arial" w:cs="Arial" w:eastAsia="Arial" w:hAnsi="Arial"/>
          <w:sz w:val="18"/>
          <w:szCs w:val="18"/>
          <w:color w:val="auto"/>
        </w:rPr>
      </w:pPr>
    </w:p>
    <w:p>
      <w:pPr>
        <w:ind w:left="1800" w:right="739" w:hanging="178"/>
        <w:spacing w:after="0" w:line="301" w:lineRule="auto"/>
        <w:tabs>
          <w:tab w:leader="none" w:pos="1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Basic wage data for each U.S. employee was extracted from Form W-2 information provided to the Internal Revenue Service for calendar year 2019. Basic wage data for each Canadian employee was extracted from Form T4 information provided to the Canada Revenue Agency for calendar year 2019 and converted to U.S. dollars. This information was then sorted and the median employee was identified.</w:t>
      </w:r>
    </w:p>
    <w:p>
      <w:pPr>
        <w:spacing w:after="0" w:line="90"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median employee’s annual total compensation for 2019 was determined using the same methodology we used for determining the annual total compensation for the Named Executive Officers as set forth in the 2019 Summary Compensation Table.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62"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2019 (other than Messrs. Chiang and Pefanis, who were not compensated as directors and whose compensation is set forth in the Summary Compensation Table above):</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Fees Earned or</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r>
      <w:tr>
        <w:trPr>
          <w:trHeight w:val="158"/>
        </w:trPr>
        <w:tc>
          <w:tcPr>
            <w:tcW w:w="4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Paid in Cash</w:t>
            </w:r>
          </w:p>
        </w:tc>
        <w:tc>
          <w:tcPr>
            <w:tcW w:w="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62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Total</w:t>
            </w:r>
          </w:p>
        </w:tc>
      </w:tr>
      <w:tr>
        <w:trPr>
          <w:trHeight w:val="230"/>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r>
      <w:tr>
        <w:trPr>
          <w:trHeight w:val="263"/>
        </w:trPr>
        <w:tc>
          <w:tcPr>
            <w:tcW w:w="426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Greg Armstrong</w:t>
            </w:r>
            <w:r>
              <w:rPr>
                <w:rFonts w:ascii="Arial" w:cs="Arial" w:eastAsia="Arial" w:hAnsi="Arial"/>
                <w:sz w:val="26"/>
                <w:szCs w:val="26"/>
                <w:color w:val="auto"/>
                <w:vertAlign w:val="superscript"/>
              </w:rPr>
              <w:t>(2)</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17,760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267,760</w:t>
            </w:r>
          </w:p>
        </w:tc>
      </w:tr>
      <w:tr>
        <w:trPr>
          <w:trHeight w:val="256"/>
        </w:trPr>
        <w:tc>
          <w:tcPr>
            <w:tcW w:w="4480" w:type="dxa"/>
            <w:vAlign w:val="bottom"/>
            <w:gridSpan w:val="2"/>
          </w:tcPr>
          <w:p>
            <w:pPr>
              <w:spacing w:after="0"/>
              <w:rPr>
                <w:sz w:val="20"/>
                <w:szCs w:val="20"/>
                <w:color w:val="auto"/>
              </w:rPr>
            </w:pPr>
            <w:r>
              <w:rPr>
                <w:rFonts w:ascii="Arial" w:cs="Arial" w:eastAsia="Arial" w:hAnsi="Arial"/>
                <w:sz w:val="18"/>
                <w:szCs w:val="18"/>
                <w:color w:val="auto"/>
              </w:rPr>
              <w:t>Victor Burk</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2"/>
                <w:szCs w:val="2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204,318</w:t>
            </w:r>
          </w:p>
        </w:tc>
      </w:tr>
      <w:tr>
        <w:trPr>
          <w:trHeight w:val="270"/>
        </w:trPr>
        <w:tc>
          <w:tcPr>
            <w:tcW w:w="44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Oscar K. Brown</w:t>
            </w:r>
            <w:r>
              <w:rPr>
                <w:rFonts w:ascii="Arial" w:cs="Arial" w:eastAsia="Arial" w:hAnsi="Arial"/>
                <w:sz w:val="26"/>
                <w:szCs w:val="26"/>
                <w:color w:val="auto"/>
                <w:vertAlign w:val="superscript"/>
              </w:rPr>
              <w:t>(3)</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56,250</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r>
      <w:tr>
        <w:trPr>
          <w:trHeight w:val="257"/>
        </w:trPr>
        <w:tc>
          <w:tcPr>
            <w:tcW w:w="448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2"/>
                <w:szCs w:val="2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219,318</w:t>
            </w:r>
          </w:p>
        </w:tc>
      </w:tr>
      <w:tr>
        <w:trPr>
          <w:trHeight w:val="25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R. Petersen</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189,318</w:t>
            </w:r>
          </w:p>
        </w:tc>
      </w:tr>
      <w:tr>
        <w:trPr>
          <w:trHeight w:val="256"/>
        </w:trPr>
        <w:tc>
          <w:tcPr>
            <w:tcW w:w="4480" w:type="dxa"/>
            <w:vAlign w:val="bottom"/>
            <w:gridSpan w:val="2"/>
          </w:tcPr>
          <w:p>
            <w:pPr>
              <w:spacing w:after="0"/>
              <w:rPr>
                <w:sz w:val="20"/>
                <w:szCs w:val="20"/>
                <w:color w:val="auto"/>
              </w:rPr>
            </w:pPr>
            <w:r>
              <w:rPr>
                <w:rFonts w:ascii="Arial" w:cs="Arial" w:eastAsia="Arial" w:hAnsi="Arial"/>
                <w:sz w:val="18"/>
                <w:szCs w:val="18"/>
                <w:color w:val="auto"/>
              </w:rPr>
              <w:t>Alexandra Pruner</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2"/>
                <w:szCs w:val="2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204,318</w:t>
            </w:r>
          </w:p>
        </w:tc>
      </w:tr>
      <w:tr>
        <w:trPr>
          <w:trHeight w:val="25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91,323</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166,323</w:t>
            </w: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Bobby S. Shackouls</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3"/>
                <w:szCs w:val="2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199,318</w:t>
            </w:r>
          </w:p>
        </w:tc>
      </w:tr>
      <w:tr>
        <w:trPr>
          <w:trHeight w:val="27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Sinnott</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85,000</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91,323</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176,323</w:t>
            </w: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3"/>
                <w:szCs w:val="2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204,318</w:t>
            </w:r>
          </w:p>
        </w:tc>
      </w:tr>
      <w:tr>
        <w:trPr>
          <w:trHeight w:val="27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189,318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-1851025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-1851025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-1851025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-1851025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779" w:hanging="358"/>
        <w:spacing w:after="0" w:line="254" w:lineRule="auto"/>
        <w:tabs>
          <w:tab w:leader="none" w:pos="162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The dollar value of LTIPs granted during 2019 is based on the grant date fair value computed in accordance with FASB ASC Topic 718. See Note 18 to our Consolidated Financial Statements included in our 2019 Annual Report for additional discussion regarding the calculation of grant date fair values. In August 2019, the directors received LTIP awards for PAGP phantom Class A shares as follows: Burk — 5,220; Goyanes</w:t>
      </w:r>
    </w:p>
    <w:p>
      <w:pPr>
        <w:spacing w:after="0" w:line="2" w:lineRule="exact"/>
        <w:rPr>
          <w:rFonts w:ascii="Arial" w:cs="Arial" w:eastAsia="Arial" w:hAnsi="Arial"/>
          <w:sz w:val="24"/>
          <w:szCs w:val="24"/>
          <w:color w:val="auto"/>
          <w:vertAlign w:val="superscript"/>
        </w:rPr>
      </w:pPr>
    </w:p>
    <w:p>
      <w:pPr>
        <w:ind w:left="1620" w:right="759"/>
        <w:spacing w:after="0" w:line="268" w:lineRule="auto"/>
        <w:rPr>
          <w:rFonts w:ascii="Arial" w:cs="Arial" w:eastAsia="Arial" w:hAnsi="Arial"/>
          <w:sz w:val="24"/>
          <w:szCs w:val="24"/>
          <w:color w:val="auto"/>
          <w:vertAlign w:val="superscript"/>
        </w:rPr>
      </w:pPr>
      <w:r>
        <w:rPr>
          <w:rFonts w:ascii="Arial" w:cs="Arial" w:eastAsia="Arial" w:hAnsi="Arial"/>
          <w:sz w:val="17"/>
          <w:szCs w:val="17"/>
          <w:color w:val="auto"/>
        </w:rPr>
        <w:t>— 5,220; Petersen — 5,220; Pruner — 5,220; Raymond — 4,170; Shackouls — 5,220; Sinnott — 4,170; Symonds — 5,220 and Temple — 5,220. Upon vesting of director LTIP awards in August 2019, a cash payment of $65,750 was made to Occidental as directed by Mr. Brown. Such cash payment was based on the unit value of Mr. Sinnott’s award on the previous year’s vesting date. As of December 31, 2019, the number of outstanding PAA LTIPs held by our directors was as follows: Burk — 10,000; Petersen — 7,500; Shackouls — 7,500; Sinnott — 5,000 and Symonds — 10,000. As of December 31, 2019, the number of outstanding PAGP LTIPs held by our directors was as follows: Burk — 10,099; Goyanes — 20,099; Petersen — 10,099; Pruner — 22,668; Raymond — 13,073; Shackouls — 10,099; Sinnott — 8,073; Symonds — 10,099 and Temple — 17,559.</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939" w:hanging="358"/>
        <w:spacing w:after="0" w:line="246" w:lineRule="auto"/>
        <w:tabs>
          <w:tab w:leader="none" w:pos="162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Mr. Armstrong served as non-executive Chairman of the Board during 2019 and was compensated for his services as an employee. For 2019, he received a salary of $250,000 and other compensation of $17,760 (comprising 401(k) plan matching contributions and premium payments for group term life insurance).</w:t>
      </w:r>
    </w:p>
    <w:p>
      <w:pPr>
        <w:spacing w:after="0" w:line="2" w:lineRule="exact"/>
        <w:rPr>
          <w:rFonts w:ascii="Arial" w:cs="Arial" w:eastAsia="Arial" w:hAnsi="Arial"/>
          <w:sz w:val="24"/>
          <w:szCs w:val="24"/>
          <w:color w:val="auto"/>
          <w:vertAlign w:val="superscript"/>
        </w:rPr>
      </w:pPr>
    </w:p>
    <w:p>
      <w:pPr>
        <w:jc w:val="both"/>
        <w:ind w:left="1620" w:right="739"/>
        <w:spacing w:after="0" w:line="253" w:lineRule="auto"/>
        <w:rPr>
          <w:rFonts w:ascii="Arial" w:cs="Arial" w:eastAsia="Arial" w:hAnsi="Arial"/>
          <w:sz w:val="24"/>
          <w:szCs w:val="24"/>
          <w:color w:val="auto"/>
          <w:vertAlign w:val="superscript"/>
        </w:rPr>
      </w:pPr>
      <w:r>
        <w:rPr>
          <w:rFonts w:ascii="Arial" w:cs="Arial" w:eastAsia="Arial" w:hAnsi="Arial"/>
          <w:sz w:val="18"/>
          <w:szCs w:val="18"/>
          <w:color w:val="auto"/>
        </w:rPr>
        <w:t>Beginning January 1, 2020, Mr. Armstrong will continue to serve as a director and will also serve as Senior Advisor to the CEO for up to a two-year term. Pursuant to his employment agreement, which was amended and restated effective January 1, 2020, Mr. Armstrong will continue to receive an annual salary of $250,000 for these services.</w:t>
      </w:r>
    </w:p>
    <w:p>
      <w:pPr>
        <w:spacing w:after="0" w:line="44" w:lineRule="exact"/>
        <w:rPr>
          <w:rFonts w:ascii="Arial" w:cs="Arial" w:eastAsia="Arial" w:hAnsi="Arial"/>
          <w:sz w:val="24"/>
          <w:szCs w:val="24"/>
          <w:color w:val="auto"/>
          <w:vertAlign w:val="superscript"/>
        </w:rPr>
      </w:pPr>
    </w:p>
    <w:p>
      <w:pPr>
        <w:ind w:left="1620" w:right="679" w:hanging="358"/>
        <w:spacing w:after="0" w:line="207"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Mr. Brown served as Occidental’s designated director until September 2019. His compensation was assigned to Occidental.</w:t>
      </w:r>
    </w:p>
    <w:p>
      <w:pPr>
        <w:spacing w:after="0" w:line="134" w:lineRule="exact"/>
        <w:rPr>
          <w:sz w:val="20"/>
          <w:szCs w:val="20"/>
          <w:color w:val="auto"/>
        </w:rPr>
      </w:pPr>
    </w:p>
    <w:p>
      <w:pPr>
        <w:ind w:left="1260" w:right="859" w:firstLine="360"/>
        <w:spacing w:after="0" w:line="288" w:lineRule="auto"/>
        <w:rPr>
          <w:sz w:val="20"/>
          <w:szCs w:val="20"/>
          <w:color w:val="auto"/>
        </w:rPr>
      </w:pPr>
      <w:r>
        <w:rPr>
          <w:rFonts w:ascii="Arial" w:cs="Arial" w:eastAsia="Arial" w:hAnsi="Arial"/>
          <w:sz w:val="16"/>
          <w:szCs w:val="16"/>
          <w:color w:val="auto"/>
        </w:rPr>
        <w:t>Each director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$75,000; however, the annual retainer fee for the director designated by Occidental was paid to Occidental. Messrs. Chiang and Pefanis are otherwise compensated for their services as employees and therefore receive no separate compensation for services as directors. In addition to the annual retainer, each committee chairman (other than the audit committee chairman) receives $10,000 annually. The chairman of the audit committee receives $30,000 annually, and the other members of the audit committee receive $15,000 annually, in each case, in addition to the annual retainer. Beginning on January 1, 2020, the Lead Director (Mr. Shackouls) began receiving $35,000 annually in addition to the annual retainer.</w:t>
      </w:r>
    </w:p>
    <w:p>
      <w:pPr>
        <w:spacing w:after="0" w:line="87"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Our non-employee directors receive LTIP awards as part of their compensation. Prior to August 2018, the directors received LTIP awards denominated in either PAA phantom units or PAGP phantom Class A shares based on a one-time election made by each director. Such LTIP awards vested 25% on the August distribution date of each year, with an automatic re-grant of an additional 25% immediately upon each such vesting, together with associated DERs. In August 2018, the automatic re-grant feature of the existing director LTIP awards was eliminated and directors began to receive annual grants of LTIP awards for PAGP phantom Class A shares having a market value on the date of grant equal to approximately $125,000 for independent directors and approximately $100,000 for designated directors. The annual LTIP awards will vest (become payable in PAGP Class A shares on a one-for-one basis) in August four years after the date of grant, and include associated DERs.</w:t>
      </w:r>
    </w:p>
    <w:p>
      <w:pPr>
        <w:spacing w:after="0" w:line="99" w:lineRule="exact"/>
        <w:rPr>
          <w:sz w:val="20"/>
          <w:szCs w:val="20"/>
          <w:color w:val="auto"/>
        </w:rPr>
      </w:pPr>
    </w:p>
    <w:p>
      <w:pPr>
        <w:ind w:left="1260" w:right="679" w:firstLine="360"/>
        <w:spacing w:after="0" w:line="288" w:lineRule="auto"/>
        <w:rPr>
          <w:sz w:val="20"/>
          <w:szCs w:val="20"/>
          <w:color w:val="auto"/>
        </w:rPr>
      </w:pPr>
      <w:r>
        <w:rPr>
          <w:rFonts w:ascii="Arial" w:cs="Arial" w:eastAsia="Arial" w:hAnsi="Arial"/>
          <w:sz w:val="16"/>
          <w:szCs w:val="16"/>
          <w:color w:val="auto"/>
        </w:rPr>
        <w:t>In connection with his appointment to the Board in January 2020, Mr. Ziemba received an initial LTIP award for 23,490 PAGP phantom Class A shares that will vest (become payable in PAGP Class A shares on a one-for-one basis) in August of each year for the next four years commencing in August 2020 and continuing through August 2023. This initial grant was sized so that the number of phantom Class A shares vesting each August will have a market value on the date of such initial grant equal to approximately $125,000 (or pro rata portion thereof for the period from January 2020 through August 2020), based on a VWAP per unit for the 10-trading day period immediately preceding the date of grant. As each tranche of phantom Class A shares vests, they will be replaced with a new grant of phantom Class A shares having a market value on the date of grant equal to approximately $125,000 (based on the then applicable VWAP) and that will vest four years after the date of grant. The phantom Class A shares awarded to Mr. Ziemba include associated DERs.</w:t>
      </w:r>
    </w:p>
    <w:p>
      <w:pPr>
        <w:spacing w:after="0" w:line="10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or failure to reelect is for “Cause,” as defined in the PAGP GP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148"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PAA does not pay its general partner a management fee, but it does reimburse its general partner for all direct and indirect costs of services provided to PAA, incurred on PAA’s behalf, including the costs of employee, officer and director compensation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w:t>
      </w:r>
    </w:p>
    <w:p>
      <w:pPr>
        <w:spacing w:after="0" w:line="148"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6"/>
          <w:szCs w:val="16"/>
          <w:color w:val="auto"/>
        </w:rPr>
        <w:t>Our Class A, Class B and Class C shares outstanding represent 100% of our voting securities. The following table sets forth certain information regarding the beneficial ownership of our Class A, Class B and Class C shares as of March 23, 2020 (unless otherwise noted) by each person who is known to us to beneficially own more than 5% of our Class A shares, each person who is known to us to beneficially own more than 5% of our Class B shares, each person who is known to us to beneficially own more than 5% of our Class C shares, the Named Executive Officers, our directors, and all directors and executive officers as a group. Holders of our Class A, Class B and Class C shares are entitled to vote on all matters presented at the Annual Meeting.</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Class A</w:t>
            </w:r>
          </w:p>
        </w:tc>
        <w:tc>
          <w:tcPr>
            <w:tcW w:w="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Percentage</w:t>
            </w: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Class B</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C</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Percentage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of Class A</w:t>
            </w:r>
          </w:p>
        </w:tc>
        <w:tc>
          <w:tcPr>
            <w:tcW w:w="960" w:type="dxa"/>
            <w:vAlign w:val="bottom"/>
            <w:gridSpan w:val="2"/>
            <w:vMerge w:val="continue"/>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of Class B</w:t>
            </w:r>
          </w:p>
        </w:tc>
        <w:tc>
          <w:tcPr>
            <w:tcW w:w="900" w:type="dxa"/>
            <w:vAlign w:val="bottom"/>
            <w:gridSpan w:val="2"/>
            <w:vMerge w:val="continue"/>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 Class C</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of Class A,</w:t>
            </w:r>
          </w:p>
        </w:tc>
        <w:tc>
          <w:tcPr>
            <w:tcW w:w="0" w:type="dxa"/>
            <w:vAlign w:val="bottom"/>
          </w:tcPr>
          <w:p>
            <w:pPr>
              <w:spacing w:after="0"/>
              <w:rPr>
                <w:sz w:val="1"/>
                <w:szCs w:val="1"/>
                <w:color w:val="auto"/>
              </w:rPr>
            </w:pPr>
          </w:p>
        </w:tc>
      </w:tr>
      <w:tr>
        <w:trPr>
          <w:trHeight w:val="135"/>
        </w:trPr>
        <w:tc>
          <w:tcPr>
            <w:tcW w:w="31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Name of Beneficial Owner and Address</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B and C</w:t>
            </w:r>
          </w:p>
        </w:tc>
        <w:tc>
          <w:tcPr>
            <w:tcW w:w="0" w:type="dxa"/>
            <w:vAlign w:val="bottom"/>
          </w:tcPr>
          <w:p>
            <w:pPr>
              <w:spacing w:after="0"/>
              <w:rPr>
                <w:sz w:val="1"/>
                <w:szCs w:val="1"/>
                <w:color w:val="auto"/>
              </w:rPr>
            </w:pPr>
          </w:p>
        </w:tc>
      </w:tr>
      <w:tr>
        <w:trPr>
          <w:trHeight w:val="135"/>
        </w:trPr>
        <w:tc>
          <w:tcPr>
            <w:tcW w:w="3100" w:type="dxa"/>
            <w:vAlign w:val="bottom"/>
            <w:gridSpan w:val="5"/>
            <w:vMerge w:val="continue"/>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Beneficially</w:t>
            </w: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Beneficially</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76"/>
        </w:trPr>
        <w:tc>
          <w:tcPr>
            <w:tcW w:w="3100" w:type="dxa"/>
            <w:vAlign w:val="bottom"/>
            <w:gridSpan w:val="5"/>
          </w:tcPr>
          <w:p>
            <w:pPr>
              <w:spacing w:after="0"/>
              <w:rPr>
                <w:sz w:val="20"/>
                <w:szCs w:val="20"/>
                <w:color w:val="auto"/>
              </w:rPr>
            </w:pPr>
            <w:r>
              <w:rPr>
                <w:rFonts w:ascii="Arial" w:cs="Arial" w:eastAsia="Arial" w:hAnsi="Arial"/>
                <w:sz w:val="14"/>
                <w:szCs w:val="14"/>
                <w:b w:val="1"/>
                <w:bCs w:val="1"/>
                <w:color w:val="auto"/>
              </w:rPr>
              <w:t>(in the case of Owners of more than 5%)</w:t>
            </w:r>
          </w:p>
        </w:tc>
        <w:tc>
          <w:tcPr>
            <w:tcW w:w="900" w:type="dxa"/>
            <w:vAlign w:val="bottom"/>
            <w:gridSpan w:val="2"/>
          </w:tcPr>
          <w:p>
            <w:pPr>
              <w:jc w:val="center"/>
              <w:ind w:right="180"/>
              <w:spacing w:after="0" w:line="176"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0"/>
                <w:szCs w:val="20"/>
                <w:b w:val="1"/>
                <w:bCs w:val="1"/>
                <w:color w:val="auto"/>
                <w:w w:val="88"/>
                <w:vertAlign w:val="superscript"/>
              </w:rPr>
              <w:t>(1)</w:t>
            </w:r>
          </w:p>
        </w:tc>
        <w:tc>
          <w:tcPr>
            <w:tcW w:w="2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20"/>
                <w:szCs w:val="20"/>
                <w:b w:val="1"/>
                <w:bCs w:val="1"/>
                <w:color w:val="auto"/>
                <w:vertAlign w:val="subscript"/>
              </w:rPr>
              <w:t>Owned</w:t>
            </w:r>
            <w:r>
              <w:rPr>
                <w:rFonts w:ascii="Arial" w:cs="Arial" w:eastAsia="Arial" w:hAnsi="Arial"/>
                <w:sz w:val="9"/>
                <w:szCs w:val="9"/>
                <w:b w:val="1"/>
                <w:bCs w:val="1"/>
                <w:color w:val="auto"/>
              </w:rPr>
              <w:t>(1)(2)</w:t>
            </w:r>
          </w:p>
        </w:tc>
        <w:tc>
          <w:tcPr>
            <w:tcW w:w="820" w:type="dxa"/>
            <w:vAlign w:val="bottom"/>
            <w:gridSpan w:val="2"/>
          </w:tcPr>
          <w:p>
            <w:pPr>
              <w:jc w:val="center"/>
              <w:ind w:right="100"/>
              <w:spacing w:after="0" w:line="176"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0"/>
                <w:szCs w:val="20"/>
                <w:b w:val="1"/>
                <w:bCs w:val="1"/>
                <w:color w:val="auto"/>
                <w:w w:val="88"/>
                <w:vertAlign w:val="superscript"/>
              </w:rPr>
              <w:t>(2)</w:t>
            </w:r>
          </w:p>
        </w:tc>
        <w:tc>
          <w:tcPr>
            <w:tcW w:w="900" w:type="dxa"/>
            <w:vAlign w:val="bottom"/>
            <w:gridSpan w:val="2"/>
          </w:tcPr>
          <w:p>
            <w:pPr>
              <w:jc w:val="center"/>
              <w:ind w:right="100"/>
              <w:spacing w:after="0" w:line="176"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0"/>
                <w:szCs w:val="20"/>
                <w:b w:val="1"/>
                <w:bCs w:val="1"/>
                <w:color w:val="auto"/>
                <w:w w:val="88"/>
                <w:vertAlign w:val="superscript"/>
              </w:rPr>
              <w:t>(3)</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top w:val="single" w:sz="8" w:color="auto"/>
            </w:tcBorders>
            <w:gridSpan w:val="3"/>
            <w:shd w:val="clear" w:color="auto" w:fill="CCEEFF"/>
          </w:tcPr>
          <w:p>
            <w:pPr>
              <w:spacing w:after="0" w:line="150" w:lineRule="exact"/>
              <w:rPr>
                <w:sz w:val="20"/>
                <w:szCs w:val="20"/>
                <w:color w:val="auto"/>
              </w:rPr>
            </w:pPr>
            <w:r>
              <w:rPr>
                <w:rFonts w:ascii="Arial" w:cs="Arial" w:eastAsia="Arial" w:hAnsi="Arial"/>
                <w:sz w:val="12"/>
                <w:szCs w:val="12"/>
                <w:color w:val="auto"/>
              </w:rPr>
              <w:t>Tortoise Capital Advisors, L.L.C.</w:t>
            </w:r>
            <w:r>
              <w:rPr>
                <w:rFonts w:ascii="Arial" w:cs="Arial" w:eastAsia="Arial" w:hAnsi="Arial"/>
                <w:sz w:val="17"/>
                <w:szCs w:val="17"/>
                <w:color w:val="auto"/>
                <w:vertAlign w:val="superscript"/>
              </w:rPr>
              <w:t>(4)</w:t>
            </w: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3"/>
              </w:rPr>
              <w:t>12,708,176</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44"/>
              <w:spacing w:after="0" w:line="149" w:lineRule="exact"/>
              <w:rPr>
                <w:sz w:val="20"/>
                <w:szCs w:val="20"/>
                <w:color w:val="auto"/>
              </w:rPr>
            </w:pPr>
            <w:r>
              <w:rPr>
                <w:rFonts w:ascii="Arial" w:cs="Arial" w:eastAsia="Arial" w:hAnsi="Arial"/>
                <w:sz w:val="15"/>
                <w:szCs w:val="15"/>
                <w:color w:val="auto"/>
              </w:rPr>
              <w:t>6.9%</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165"/>
              <w:spacing w:after="0" w:line="149"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38,736,270</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44"/>
              <w:spacing w:after="0" w:line="149" w:lineRule="exact"/>
              <w:rPr>
                <w:sz w:val="20"/>
                <w:szCs w:val="20"/>
                <w:color w:val="auto"/>
              </w:rPr>
            </w:pPr>
            <w:r>
              <w:rPr>
                <w:rFonts w:ascii="Arial" w:cs="Arial" w:eastAsia="Arial" w:hAnsi="Arial"/>
                <w:sz w:val="15"/>
                <w:szCs w:val="15"/>
                <w:color w:val="auto"/>
              </w:rPr>
              <w:t>7.0%</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4"/>
              <w:spacing w:after="0" w:line="149"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4"/>
            <w:shd w:val="clear" w:color="auto" w:fill="CCEEFF"/>
          </w:tcPr>
          <w:p>
            <w:pPr>
              <w:ind w:left="120"/>
              <w:spacing w:after="0" w:line="209" w:lineRule="exact"/>
              <w:rPr>
                <w:sz w:val="20"/>
                <w:szCs w:val="20"/>
                <w:color w:val="auto"/>
              </w:rPr>
            </w:pPr>
            <w:r>
              <w:rPr>
                <w:rFonts w:ascii="Arial" w:cs="Arial" w:eastAsia="Arial" w:hAnsi="Arial"/>
                <w:sz w:val="15"/>
                <w:szCs w:val="15"/>
                <w:color w:val="auto"/>
              </w:rPr>
              <w:t>5100 W 115</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Place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5"/>
                <w:szCs w:val="15"/>
                <w:color w:val="auto"/>
              </w:rPr>
              <w:t>Leawood, KS 66211</w:t>
            </w: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4"/>
          </w:tcPr>
          <w:p>
            <w:pPr>
              <w:spacing w:after="0" w:line="176" w:lineRule="exact"/>
              <w:rPr>
                <w:sz w:val="20"/>
                <w:szCs w:val="20"/>
                <w:color w:val="auto"/>
              </w:rPr>
            </w:pPr>
            <w:r>
              <w:rPr>
                <w:rFonts w:ascii="Arial" w:cs="Arial" w:eastAsia="Arial" w:hAnsi="Arial"/>
                <w:sz w:val="14"/>
                <w:szCs w:val="14"/>
                <w:color w:val="auto"/>
              </w:rPr>
              <w:t>Chickasaw Capital Management, LLC</w:t>
            </w:r>
            <w:r>
              <w:rPr>
                <w:rFonts w:ascii="Arial" w:cs="Arial" w:eastAsia="Arial" w:hAnsi="Arial"/>
                <w:sz w:val="20"/>
                <w:szCs w:val="20"/>
                <w:color w:val="auto"/>
                <w:vertAlign w:val="superscript"/>
              </w:rPr>
              <w:t>(5)</w:t>
            </w:r>
          </w:p>
        </w:tc>
        <w:tc>
          <w:tcPr>
            <w:tcW w:w="720" w:type="dxa"/>
            <w:vAlign w:val="bottom"/>
          </w:tcPr>
          <w:p>
            <w:pPr>
              <w:jc w:val="right"/>
              <w:spacing w:after="0"/>
              <w:rPr>
                <w:sz w:val="20"/>
                <w:szCs w:val="20"/>
                <w:color w:val="auto"/>
              </w:rPr>
            </w:pPr>
            <w:r>
              <w:rPr>
                <w:rFonts w:ascii="Arial" w:cs="Arial" w:eastAsia="Arial" w:hAnsi="Arial"/>
                <w:sz w:val="15"/>
                <w:szCs w:val="15"/>
                <w:color w:val="auto"/>
              </w:rPr>
              <w:t>9,966,216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4"/>
          </w:tcPr>
          <w:p>
            <w:pPr>
              <w:ind w:left="120"/>
              <w:spacing w:after="0"/>
              <w:rPr>
                <w:sz w:val="20"/>
                <w:szCs w:val="20"/>
                <w:color w:val="auto"/>
              </w:rPr>
            </w:pPr>
            <w:r>
              <w:rPr>
                <w:rFonts w:ascii="Arial" w:cs="Arial" w:eastAsia="Arial" w:hAnsi="Arial"/>
                <w:sz w:val="15"/>
                <w:szCs w:val="15"/>
                <w:color w:val="auto"/>
              </w:rPr>
              <w:t>6075 Poplar Avenue, Suite 720</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5"/>
                <w:szCs w:val="15"/>
                <w:color w:val="auto"/>
              </w:rPr>
              <w:t>Memphis, TN 38119</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80" w:type="dxa"/>
            <w:vAlign w:val="bottom"/>
            <w:gridSpan w:val="4"/>
            <w:shd w:val="clear" w:color="auto" w:fill="CCEEFF"/>
          </w:tcPr>
          <w:p>
            <w:pPr>
              <w:spacing w:after="0" w:line="143" w:lineRule="exact"/>
              <w:rPr>
                <w:sz w:val="20"/>
                <w:szCs w:val="20"/>
                <w:color w:val="auto"/>
              </w:rPr>
            </w:pPr>
            <w:r>
              <w:rPr>
                <w:rFonts w:ascii="Arial" w:cs="Arial" w:eastAsia="Arial" w:hAnsi="Arial"/>
                <w:sz w:val="15"/>
                <w:szCs w:val="15"/>
                <w:color w:val="auto"/>
              </w:rPr>
              <w:t>Kayne Anderson Capital</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5,856,050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4"/>
              <w:spacing w:after="0" w:line="143" w:lineRule="exact"/>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19,926,558</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4"/>
              <w:spacing w:after="0" w:line="143" w:lineRule="exact"/>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
              <w:spacing w:after="0" w:line="143"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4"/>
            <w:shd w:val="clear" w:color="auto" w:fill="CCEEFF"/>
          </w:tcPr>
          <w:p>
            <w:pPr>
              <w:ind w:left="120"/>
              <w:spacing w:after="0" w:line="209" w:lineRule="exact"/>
              <w:rPr>
                <w:sz w:val="20"/>
                <w:szCs w:val="20"/>
                <w:color w:val="auto"/>
              </w:rPr>
            </w:pPr>
            <w:r>
              <w:rPr>
                <w:rFonts w:ascii="Arial" w:cs="Arial" w:eastAsia="Arial" w:hAnsi="Arial"/>
                <w:sz w:val="15"/>
                <w:szCs w:val="15"/>
                <w:color w:val="auto"/>
              </w:rPr>
              <w:t>Advisors, L.P./Richard A. Kayne</w:t>
            </w:r>
            <w:r>
              <w:rPr>
                <w:rFonts w:ascii="Arial" w:cs="Arial" w:eastAsia="Arial" w:hAnsi="Arial"/>
                <w:sz w:val="23"/>
                <w:szCs w:val="23"/>
                <w:color w:val="auto"/>
                <w:vertAlign w:val="superscript"/>
              </w:rPr>
              <w:t>(6)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1800 Avenue of the Stars, 3rd Floor</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5"/>
                <w:szCs w:val="15"/>
                <w:color w:val="auto"/>
              </w:rPr>
              <w:t>Los Angeles, CA 90067</w:t>
            </w: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gridSpan w:val="4"/>
          </w:tcPr>
          <w:p>
            <w:pPr>
              <w:spacing w:after="0" w:line="162" w:lineRule="exact"/>
              <w:rPr>
                <w:sz w:val="20"/>
                <w:szCs w:val="20"/>
                <w:color w:val="auto"/>
              </w:rPr>
            </w:pPr>
            <w:r>
              <w:rPr>
                <w:rFonts w:ascii="Arial" w:cs="Arial" w:eastAsia="Arial" w:hAnsi="Arial"/>
                <w:sz w:val="15"/>
                <w:szCs w:val="15"/>
                <w:color w:val="auto"/>
              </w:rPr>
              <w:t>EMG Investment, LLC</w:t>
            </w: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8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6,220,955</w:t>
            </w:r>
          </w:p>
        </w:tc>
        <w:tc>
          <w:tcPr>
            <w:tcW w:w="260" w:type="dxa"/>
            <w:vAlign w:val="bottom"/>
          </w:tcPr>
          <w:p>
            <w:pPr>
              <w:spacing w:after="0"/>
              <w:rPr>
                <w:sz w:val="14"/>
                <w:szCs w:val="14"/>
                <w:color w:val="auto"/>
              </w:rPr>
            </w:pPr>
          </w:p>
        </w:tc>
        <w:tc>
          <w:tcPr>
            <w:tcW w:w="720" w:type="dxa"/>
            <w:vAlign w:val="bottom"/>
          </w:tcPr>
          <w:p>
            <w:pPr>
              <w:jc w:val="right"/>
              <w:ind w:right="25"/>
              <w:spacing w:after="0" w:line="162" w:lineRule="exact"/>
              <w:rPr>
                <w:sz w:val="20"/>
                <w:szCs w:val="20"/>
                <w:color w:val="auto"/>
              </w:rPr>
            </w:pPr>
            <w:r>
              <w:rPr>
                <w:rFonts w:ascii="Arial" w:cs="Arial" w:eastAsia="Arial" w:hAnsi="Arial"/>
                <w:sz w:val="15"/>
                <w:szCs w:val="15"/>
                <w:color w:val="auto"/>
              </w:rPr>
              <w:t>9.7%</w:t>
            </w:r>
          </w:p>
        </w:tc>
        <w:tc>
          <w:tcPr>
            <w:tcW w:w="100" w:type="dxa"/>
            <w:vAlign w:val="bottom"/>
          </w:tcPr>
          <w:p>
            <w:pPr>
              <w:spacing w:after="0"/>
              <w:rPr>
                <w:sz w:val="14"/>
                <w:szCs w:val="14"/>
                <w:color w:val="auto"/>
              </w:rPr>
            </w:pPr>
          </w:p>
        </w:tc>
        <w:tc>
          <w:tcPr>
            <w:tcW w:w="900" w:type="dxa"/>
            <w:vAlign w:val="bottom"/>
            <w:gridSpan w:val="2"/>
          </w:tcPr>
          <w:p>
            <w:pPr>
              <w:ind w:left="64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4"/>
          </w:tcPr>
          <w:p>
            <w:pPr>
              <w:ind w:left="120"/>
              <w:spacing w:after="0"/>
              <w:rPr>
                <w:sz w:val="20"/>
                <w:szCs w:val="20"/>
                <w:color w:val="auto"/>
              </w:rPr>
            </w:pPr>
            <w:r>
              <w:rPr>
                <w:rFonts w:ascii="Arial" w:cs="Arial" w:eastAsia="Arial" w:hAnsi="Arial"/>
                <w:sz w:val="15"/>
                <w:szCs w:val="15"/>
                <w:color w:val="auto"/>
              </w:rPr>
              <w:t>2229 San Felipe, Suite 1300</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5"/>
                <w:szCs w:val="15"/>
                <w:color w:val="auto"/>
              </w:rPr>
              <w:t>Houston, TX 77019</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color w:val="auto"/>
              </w:rPr>
              <w:t>KAFU Holdings (QP), L.P. et al</w:t>
            </w: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18,338,133</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5"/>
              <w:spacing w:after="0" w:line="162" w:lineRule="exact"/>
              <w:rPr>
                <w:sz w:val="20"/>
                <w:szCs w:val="20"/>
                <w:color w:val="auto"/>
              </w:rPr>
            </w:pPr>
            <w:r>
              <w:rPr>
                <w:rFonts w:ascii="Arial" w:cs="Arial" w:eastAsia="Arial" w:hAnsi="Arial"/>
                <w:sz w:val="15"/>
                <w:szCs w:val="15"/>
                <w:color w:val="auto"/>
              </w:rPr>
              <w:t>28.5%</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4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1800 Avenue of the Stars, 3rd Floor</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5"/>
                <w:szCs w:val="15"/>
                <w:color w:val="auto"/>
              </w:rPr>
              <w:t>Los Angeles, CA 90067</w:t>
            </w: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gridSpan w:val="4"/>
          </w:tcPr>
          <w:p>
            <w:pPr>
              <w:spacing w:after="0" w:line="162" w:lineRule="exact"/>
              <w:rPr>
                <w:sz w:val="20"/>
                <w:szCs w:val="20"/>
                <w:color w:val="auto"/>
              </w:rPr>
            </w:pPr>
            <w:r>
              <w:rPr>
                <w:rFonts w:ascii="Arial" w:cs="Arial" w:eastAsia="Arial" w:hAnsi="Arial"/>
                <w:sz w:val="15"/>
                <w:szCs w:val="15"/>
                <w:color w:val="auto"/>
              </w:rPr>
              <w:t>Plains All American Pipeline, L.P.</w:t>
            </w: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8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w w:val="91"/>
              </w:rPr>
              <w:t>550,707,207</w:t>
            </w: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100%</w:t>
            </w:r>
          </w:p>
        </w:tc>
        <w:tc>
          <w:tcPr>
            <w:tcW w:w="100" w:type="dxa"/>
            <w:vAlign w:val="bottom"/>
          </w:tcPr>
          <w:p>
            <w:pPr>
              <w:spacing w:after="0"/>
              <w:rPr>
                <w:sz w:val="14"/>
                <w:szCs w:val="14"/>
                <w:color w:val="auto"/>
              </w:rPr>
            </w:pPr>
          </w:p>
        </w:tc>
        <w:tc>
          <w:tcPr>
            <w:tcW w:w="680" w:type="dxa"/>
            <w:vAlign w:val="bottom"/>
          </w:tcPr>
          <w:p>
            <w:pPr>
              <w:jc w:val="right"/>
              <w:ind w:right="4"/>
              <w:spacing w:after="0" w:line="162" w:lineRule="exact"/>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4"/>
          </w:tcPr>
          <w:p>
            <w:pPr>
              <w:ind w:left="120"/>
              <w:spacing w:after="0"/>
              <w:rPr>
                <w:sz w:val="20"/>
                <w:szCs w:val="20"/>
                <w:color w:val="auto"/>
              </w:rPr>
            </w:pPr>
            <w:r>
              <w:rPr>
                <w:rFonts w:ascii="Arial" w:cs="Arial" w:eastAsia="Arial" w:hAnsi="Arial"/>
                <w:sz w:val="15"/>
                <w:szCs w:val="15"/>
                <w:color w:val="auto"/>
              </w:rPr>
              <w:t>333 Clay Street, Suite 1600</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5"/>
                <w:szCs w:val="15"/>
                <w:color w:val="auto"/>
              </w:rPr>
              <w:t>Houston, TX 77002</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Willie Chiang</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241,704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5"/>
                <w:szCs w:val="15"/>
                <w:color w:val="auto"/>
              </w:rPr>
              <w:t>353,489</w:t>
            </w:r>
            <w:r>
              <w:rPr>
                <w:rFonts w:ascii="Arial" w:cs="Arial" w:eastAsia="Arial" w:hAnsi="Arial"/>
                <w:sz w:val="23"/>
                <w:szCs w:val="23"/>
                <w:color w:val="auto"/>
                <w:vertAlign w:val="superscript"/>
              </w:rPr>
              <w:t>(7)</w:t>
            </w: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223,302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3100" w:type="dxa"/>
            <w:vAlign w:val="bottom"/>
            <w:gridSpan w:val="5"/>
          </w:tcPr>
          <w:p>
            <w:pPr>
              <w:spacing w:after="0"/>
              <w:rPr>
                <w:sz w:val="20"/>
                <w:szCs w:val="20"/>
                <w:color w:val="auto"/>
              </w:rPr>
            </w:pPr>
            <w:r>
              <w:rPr>
                <w:rFonts w:ascii="Arial" w:cs="Arial" w:eastAsia="Arial" w:hAnsi="Arial"/>
                <w:sz w:val="15"/>
                <w:szCs w:val="15"/>
                <w:color w:val="auto"/>
              </w:rPr>
              <w:t>Harry N. Pefanis</w:t>
            </w:r>
          </w:p>
        </w:tc>
        <w:tc>
          <w:tcPr>
            <w:tcW w:w="720" w:type="dxa"/>
            <w:vAlign w:val="bottom"/>
          </w:tcPr>
          <w:p>
            <w:pPr>
              <w:jc w:val="right"/>
              <w:spacing w:after="0"/>
              <w:rPr>
                <w:sz w:val="20"/>
                <w:szCs w:val="20"/>
                <w:color w:val="auto"/>
              </w:rPr>
            </w:pPr>
            <w:r>
              <w:rPr>
                <w:rFonts w:ascii="Arial" w:cs="Arial" w:eastAsia="Arial" w:hAnsi="Arial"/>
                <w:sz w:val="15"/>
                <w:szCs w:val="15"/>
                <w:color w:val="auto"/>
              </w:rPr>
              <w:t>233,653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3,768,988</w:t>
            </w:r>
          </w:p>
        </w:tc>
        <w:tc>
          <w:tcPr>
            <w:tcW w:w="260" w:type="dxa"/>
            <w:vAlign w:val="bottom"/>
          </w:tcPr>
          <w:p>
            <w:pPr>
              <w:spacing w:after="0"/>
              <w:rPr>
                <w:sz w:val="18"/>
                <w:szCs w:val="18"/>
                <w:color w:val="auto"/>
              </w:rPr>
            </w:pP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650,194</w:t>
            </w:r>
          </w:p>
        </w:tc>
        <w:tc>
          <w:tcPr>
            <w:tcW w:w="12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Al Swanson</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1,351,839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234,357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00" w:type="dxa"/>
            <w:vAlign w:val="bottom"/>
            <w:gridSpan w:val="5"/>
          </w:tcPr>
          <w:p>
            <w:pPr>
              <w:spacing w:after="0"/>
              <w:rPr>
                <w:sz w:val="20"/>
                <w:szCs w:val="20"/>
                <w:color w:val="auto"/>
              </w:rPr>
            </w:pPr>
            <w:r>
              <w:rPr>
                <w:rFonts w:ascii="Arial" w:cs="Arial" w:eastAsia="Arial" w:hAnsi="Arial"/>
                <w:sz w:val="15"/>
                <w:szCs w:val="15"/>
                <w:color w:val="auto"/>
              </w:rPr>
              <w:t>Richard McGee</w:t>
            </w:r>
          </w:p>
        </w:tc>
        <w:tc>
          <w:tcPr>
            <w:tcW w:w="720" w:type="dxa"/>
            <w:vAlign w:val="bottom"/>
          </w:tcPr>
          <w:p>
            <w:pPr>
              <w:jc w:val="right"/>
              <w:spacing w:after="0"/>
              <w:rPr>
                <w:sz w:val="20"/>
                <w:szCs w:val="20"/>
                <w:color w:val="auto"/>
              </w:rPr>
            </w:pPr>
            <w:r>
              <w:rPr>
                <w:rFonts w:ascii="Arial" w:cs="Arial" w:eastAsia="Arial" w:hAnsi="Arial"/>
                <w:sz w:val="15"/>
                <w:szCs w:val="15"/>
                <w:color w:val="auto"/>
              </w:rPr>
              <w:t>2,500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5"/>
                <w:szCs w:val="15"/>
                <w:color w:val="auto"/>
              </w:rPr>
              <w:t>429,346</w:t>
            </w:r>
            <w:r>
              <w:rPr>
                <w:rFonts w:ascii="Arial" w:cs="Arial" w:eastAsia="Arial" w:hAnsi="Arial"/>
                <w:sz w:val="23"/>
                <w:szCs w:val="23"/>
                <w:color w:val="auto"/>
                <w:vertAlign w:val="superscript"/>
              </w:rPr>
              <w:t>(8)</w:t>
            </w:r>
          </w:p>
        </w:tc>
        <w:tc>
          <w:tcPr>
            <w:tcW w:w="7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240,473</w:t>
            </w:r>
          </w:p>
        </w:tc>
        <w:tc>
          <w:tcPr>
            <w:tcW w:w="12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Chris Chandler</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28,340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00" w:type="dxa"/>
            <w:vAlign w:val="bottom"/>
            <w:gridSpan w:val="5"/>
          </w:tcPr>
          <w:p>
            <w:pPr>
              <w:spacing w:after="0"/>
              <w:rPr>
                <w:sz w:val="20"/>
                <w:szCs w:val="20"/>
                <w:color w:val="auto"/>
              </w:rPr>
            </w:pPr>
            <w:r>
              <w:rPr>
                <w:rFonts w:ascii="Arial" w:cs="Arial" w:eastAsia="Arial" w:hAnsi="Arial"/>
                <w:sz w:val="15"/>
                <w:szCs w:val="15"/>
                <w:color w:val="auto"/>
              </w:rPr>
              <w:t>Jeremy Goebel</w:t>
            </w:r>
          </w:p>
        </w:tc>
        <w:tc>
          <w:tcPr>
            <w:tcW w:w="720" w:type="dxa"/>
            <w:vAlign w:val="bottom"/>
          </w:tcPr>
          <w:p>
            <w:pPr>
              <w:jc w:val="right"/>
              <w:spacing w:after="0"/>
              <w:rPr>
                <w:sz w:val="20"/>
                <w:szCs w:val="20"/>
                <w:color w:val="auto"/>
              </w:rPr>
            </w:pPr>
            <w:r>
              <w:rPr>
                <w:rFonts w:ascii="Arial" w:cs="Arial" w:eastAsia="Arial" w:hAnsi="Arial"/>
                <w:sz w:val="15"/>
                <w:szCs w:val="15"/>
                <w:color w:val="auto"/>
              </w:rPr>
              <w:t>1,314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5"/>
                <w:szCs w:val="15"/>
                <w:color w:val="auto"/>
              </w:rPr>
              <w:t>35,350</w:t>
            </w:r>
            <w:r>
              <w:rPr>
                <w:rFonts w:ascii="Arial" w:cs="Arial" w:eastAsia="Arial" w:hAnsi="Arial"/>
                <w:sz w:val="23"/>
                <w:szCs w:val="23"/>
                <w:color w:val="auto"/>
                <w:vertAlign w:val="superscript"/>
              </w:rPr>
              <w:t>(9)</w:t>
            </w:r>
          </w:p>
        </w:tc>
        <w:tc>
          <w:tcPr>
            <w:tcW w:w="7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108,051</w:t>
            </w:r>
          </w:p>
        </w:tc>
        <w:tc>
          <w:tcPr>
            <w:tcW w:w="12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Greg L. Armstrong</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1,865,812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4,492,268</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1,508,418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00" w:type="dxa"/>
            <w:vAlign w:val="bottom"/>
            <w:gridSpan w:val="5"/>
          </w:tcPr>
          <w:p>
            <w:pPr>
              <w:spacing w:after="0"/>
              <w:rPr>
                <w:sz w:val="20"/>
                <w:szCs w:val="20"/>
                <w:color w:val="auto"/>
              </w:rPr>
            </w:pPr>
            <w:r>
              <w:rPr>
                <w:rFonts w:ascii="Arial" w:cs="Arial" w:eastAsia="Arial" w:hAnsi="Arial"/>
                <w:sz w:val="15"/>
                <w:szCs w:val="15"/>
                <w:color w:val="auto"/>
              </w:rPr>
              <w:t>Victor Burk</w:t>
            </w:r>
          </w:p>
        </w:tc>
        <w:tc>
          <w:tcPr>
            <w:tcW w:w="920" w:type="dxa"/>
            <w:vAlign w:val="bottom"/>
            <w:gridSpan w:val="3"/>
          </w:tcPr>
          <w:p>
            <w:pPr>
              <w:jc w:val="right"/>
              <w:spacing w:after="0" w:line="202" w:lineRule="exact"/>
              <w:rPr>
                <w:sz w:val="20"/>
                <w:szCs w:val="20"/>
                <w:color w:val="auto"/>
              </w:rPr>
            </w:pPr>
            <w:r>
              <w:rPr>
                <w:rFonts w:ascii="Arial" w:cs="Arial" w:eastAsia="Arial" w:hAnsi="Arial"/>
                <w:sz w:val="15"/>
                <w:szCs w:val="15"/>
                <w:color w:val="auto"/>
              </w:rPr>
              <w:t>10,138</w:t>
            </w:r>
            <w:r>
              <w:rPr>
                <w:rFonts w:ascii="Arial" w:cs="Arial" w:eastAsia="Arial" w:hAnsi="Arial"/>
                <w:sz w:val="23"/>
                <w:szCs w:val="23"/>
                <w:color w:val="auto"/>
                <w:vertAlign w:val="superscript"/>
              </w:rPr>
              <w:t>(10)</w:t>
            </w: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27,043</w:t>
            </w:r>
          </w:p>
        </w:tc>
        <w:tc>
          <w:tcPr>
            <w:tcW w:w="12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Everardo Goyanes</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5"/>
                <w:szCs w:val="15"/>
                <w:color w:val="auto"/>
              </w:rPr>
              <w:t>57,305</w:t>
            </w:r>
            <w:r>
              <w:rPr>
                <w:rFonts w:ascii="Arial" w:cs="Arial" w:eastAsia="Arial" w:hAnsi="Arial"/>
                <w:sz w:val="23"/>
                <w:szCs w:val="23"/>
                <w:color w:val="auto"/>
                <w:vertAlign w:val="superscript"/>
              </w:rPr>
              <w:t>(10)</w:t>
            </w: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88,400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00" w:type="dxa"/>
            <w:vAlign w:val="bottom"/>
            <w:gridSpan w:val="5"/>
          </w:tcPr>
          <w:p>
            <w:pPr>
              <w:spacing w:after="0"/>
              <w:rPr>
                <w:sz w:val="20"/>
                <w:szCs w:val="20"/>
                <w:color w:val="auto"/>
              </w:rPr>
            </w:pPr>
            <w:r>
              <w:rPr>
                <w:rFonts w:ascii="Arial" w:cs="Arial" w:eastAsia="Arial" w:hAnsi="Arial"/>
                <w:sz w:val="15"/>
                <w:szCs w:val="15"/>
                <w:color w:val="auto"/>
              </w:rPr>
              <w:t>Gary R. Petersen</w:t>
            </w:r>
          </w:p>
        </w:tc>
        <w:tc>
          <w:tcPr>
            <w:tcW w:w="920" w:type="dxa"/>
            <w:vAlign w:val="bottom"/>
            <w:gridSpan w:val="3"/>
          </w:tcPr>
          <w:p>
            <w:pPr>
              <w:jc w:val="right"/>
              <w:spacing w:after="0" w:line="202" w:lineRule="exact"/>
              <w:rPr>
                <w:sz w:val="20"/>
                <w:szCs w:val="20"/>
                <w:color w:val="auto"/>
              </w:rPr>
            </w:pPr>
            <w:r>
              <w:rPr>
                <w:rFonts w:ascii="Arial" w:cs="Arial" w:eastAsia="Arial" w:hAnsi="Arial"/>
                <w:sz w:val="15"/>
                <w:szCs w:val="15"/>
                <w:color w:val="auto"/>
              </w:rPr>
              <w:t>3,755</w:t>
            </w:r>
            <w:r>
              <w:rPr>
                <w:rFonts w:ascii="Arial" w:cs="Arial" w:eastAsia="Arial" w:hAnsi="Arial"/>
                <w:sz w:val="23"/>
                <w:szCs w:val="23"/>
                <w:color w:val="auto"/>
                <w:vertAlign w:val="superscript"/>
              </w:rPr>
              <w:t>(10)</w:t>
            </w: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25,417,820</w:t>
            </w:r>
          </w:p>
        </w:tc>
        <w:tc>
          <w:tcPr>
            <w:tcW w:w="120" w:type="dxa"/>
            <w:vAlign w:val="bottom"/>
          </w:tcPr>
          <w:p>
            <w:pPr>
              <w:spacing w:after="0"/>
              <w:rPr>
                <w:sz w:val="17"/>
                <w:szCs w:val="17"/>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Alexandra Pruner</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5"/>
                <w:szCs w:val="15"/>
                <w:color w:val="auto"/>
              </w:rPr>
              <w:t>3,936</w:t>
            </w:r>
            <w:r>
              <w:rPr>
                <w:rFonts w:ascii="Arial" w:cs="Arial" w:eastAsia="Arial" w:hAnsi="Arial"/>
                <w:sz w:val="23"/>
                <w:szCs w:val="23"/>
                <w:color w:val="auto"/>
                <w:vertAlign w:val="superscript"/>
              </w:rPr>
              <w:t>(10)</w:t>
            </w: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00" w:type="dxa"/>
            <w:vAlign w:val="bottom"/>
            <w:gridSpan w:val="5"/>
          </w:tcPr>
          <w:p>
            <w:pPr>
              <w:spacing w:after="0"/>
              <w:rPr>
                <w:sz w:val="20"/>
                <w:szCs w:val="20"/>
                <w:color w:val="auto"/>
              </w:rPr>
            </w:pPr>
            <w:r>
              <w:rPr>
                <w:rFonts w:ascii="Arial" w:cs="Arial" w:eastAsia="Arial" w:hAnsi="Arial"/>
                <w:sz w:val="15"/>
                <w:szCs w:val="15"/>
                <w:color w:val="auto"/>
              </w:rPr>
              <w:t>John T. Raymond</w:t>
            </w:r>
          </w:p>
        </w:tc>
        <w:tc>
          <w:tcPr>
            <w:tcW w:w="920" w:type="dxa"/>
            <w:vAlign w:val="bottom"/>
            <w:gridSpan w:val="3"/>
          </w:tcPr>
          <w:p>
            <w:pPr>
              <w:jc w:val="right"/>
              <w:spacing w:after="0" w:line="202" w:lineRule="exact"/>
              <w:rPr>
                <w:sz w:val="20"/>
                <w:szCs w:val="20"/>
                <w:color w:val="auto"/>
              </w:rPr>
            </w:pPr>
            <w:r>
              <w:rPr>
                <w:rFonts w:ascii="Arial" w:cs="Arial" w:eastAsia="Arial" w:hAnsi="Arial"/>
                <w:sz w:val="15"/>
                <w:szCs w:val="15"/>
                <w:color w:val="auto"/>
              </w:rPr>
              <w:t>248,031</w:t>
            </w:r>
            <w:r>
              <w:rPr>
                <w:rFonts w:ascii="Arial" w:cs="Arial" w:eastAsia="Arial" w:hAnsi="Arial"/>
                <w:sz w:val="23"/>
                <w:szCs w:val="23"/>
                <w:color w:val="auto"/>
                <w:vertAlign w:val="superscript"/>
              </w:rPr>
              <w:t>(10)</w:t>
            </w: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5"/>
                <w:szCs w:val="15"/>
                <w:color w:val="auto"/>
                <w:w w:val="85"/>
              </w:rPr>
              <w:t>17,679,691</w:t>
            </w:r>
            <w:r>
              <w:rPr>
                <w:rFonts w:ascii="Arial" w:cs="Arial" w:eastAsia="Arial" w:hAnsi="Arial"/>
                <w:sz w:val="23"/>
                <w:szCs w:val="23"/>
                <w:color w:val="auto"/>
                <w:w w:val="85"/>
                <w:vertAlign w:val="superscript"/>
              </w:rPr>
              <w:t>(11)</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21,975,875</w:t>
            </w:r>
          </w:p>
        </w:tc>
        <w:tc>
          <w:tcPr>
            <w:tcW w:w="120" w:type="dxa"/>
            <w:vAlign w:val="bottom"/>
          </w:tcPr>
          <w:p>
            <w:pPr>
              <w:spacing w:after="0"/>
              <w:rPr>
                <w:sz w:val="17"/>
                <w:szCs w:val="17"/>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Bobby S. Shackouls</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5"/>
                <w:szCs w:val="15"/>
                <w:color w:val="auto"/>
              </w:rPr>
              <w:t>9,012</w:t>
            </w:r>
            <w:r>
              <w:rPr>
                <w:rFonts w:ascii="Arial" w:cs="Arial" w:eastAsia="Arial" w:hAnsi="Arial"/>
                <w:sz w:val="23"/>
                <w:szCs w:val="23"/>
                <w:color w:val="auto"/>
                <w:vertAlign w:val="superscript"/>
              </w:rPr>
              <w:t>(10)</w:t>
            </w: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27,533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100" w:type="dxa"/>
            <w:vAlign w:val="bottom"/>
            <w:gridSpan w:val="5"/>
          </w:tcPr>
          <w:p>
            <w:pPr>
              <w:spacing w:after="0"/>
              <w:rPr>
                <w:sz w:val="20"/>
                <w:szCs w:val="20"/>
                <w:color w:val="auto"/>
              </w:rPr>
            </w:pPr>
            <w:r>
              <w:rPr>
                <w:rFonts w:ascii="Arial" w:cs="Arial" w:eastAsia="Arial" w:hAnsi="Arial"/>
                <w:sz w:val="15"/>
                <w:szCs w:val="15"/>
                <w:color w:val="auto"/>
              </w:rPr>
              <w:t>Robert V. Sinnott</w:t>
            </w:r>
          </w:p>
        </w:tc>
        <w:tc>
          <w:tcPr>
            <w:tcW w:w="920" w:type="dxa"/>
            <w:vAlign w:val="bottom"/>
            <w:gridSpan w:val="3"/>
          </w:tcPr>
          <w:p>
            <w:pPr>
              <w:jc w:val="right"/>
              <w:spacing w:after="0" w:line="216" w:lineRule="exact"/>
              <w:rPr>
                <w:sz w:val="20"/>
                <w:szCs w:val="20"/>
                <w:color w:val="auto"/>
              </w:rPr>
            </w:pPr>
            <w:r>
              <w:rPr>
                <w:rFonts w:ascii="Arial" w:cs="Arial" w:eastAsia="Arial" w:hAnsi="Arial"/>
                <w:sz w:val="15"/>
                <w:szCs w:val="15"/>
                <w:color w:val="auto"/>
                <w:w w:val="95"/>
              </w:rPr>
              <w:t>1,423,008</w:t>
            </w:r>
            <w:r>
              <w:rPr>
                <w:rFonts w:ascii="Arial" w:cs="Arial" w:eastAsia="Arial" w:hAnsi="Arial"/>
                <w:sz w:val="23"/>
                <w:szCs w:val="23"/>
                <w:color w:val="auto"/>
                <w:w w:val="95"/>
                <w:vertAlign w:val="superscript"/>
              </w:rPr>
              <w:t>(10)</w:t>
            </w: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line="216" w:lineRule="exact"/>
              <w:rPr>
                <w:sz w:val="20"/>
                <w:szCs w:val="20"/>
                <w:color w:val="auto"/>
              </w:rPr>
            </w:pPr>
            <w:r>
              <w:rPr>
                <w:rFonts w:ascii="Arial" w:cs="Arial" w:eastAsia="Arial" w:hAnsi="Arial"/>
                <w:sz w:val="15"/>
                <w:szCs w:val="15"/>
                <w:color w:val="auto"/>
                <w:w w:val="85"/>
              </w:rPr>
              <w:t>16,026,307</w:t>
            </w:r>
            <w:r>
              <w:rPr>
                <w:rFonts w:ascii="Arial" w:cs="Arial" w:eastAsia="Arial" w:hAnsi="Arial"/>
                <w:sz w:val="23"/>
                <w:szCs w:val="23"/>
                <w:color w:val="auto"/>
                <w:w w:val="85"/>
                <w:vertAlign w:val="superscript"/>
              </w:rPr>
              <w:t>(12)</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389,391</w:t>
            </w:r>
          </w:p>
        </w:tc>
        <w:tc>
          <w:tcPr>
            <w:tcW w:w="12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J. Taft Symonds</w:t>
            </w:r>
          </w:p>
        </w:tc>
        <w:tc>
          <w:tcPr>
            <w:tcW w:w="92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15"/>
                <w:szCs w:val="15"/>
                <w:color w:val="auto"/>
              </w:rPr>
              <w:t>9,256</w:t>
            </w:r>
            <w:r>
              <w:rPr>
                <w:rFonts w:ascii="Arial" w:cs="Arial" w:eastAsia="Arial" w:hAnsi="Arial"/>
                <w:sz w:val="23"/>
                <w:szCs w:val="23"/>
                <w:color w:val="auto"/>
                <w:vertAlign w:val="superscript"/>
              </w:rPr>
              <w:t>(10)</w:t>
            </w: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119,050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100" w:type="dxa"/>
            <w:vAlign w:val="bottom"/>
            <w:gridSpan w:val="5"/>
          </w:tcPr>
          <w:p>
            <w:pPr>
              <w:spacing w:after="0"/>
              <w:rPr>
                <w:sz w:val="20"/>
                <w:szCs w:val="20"/>
                <w:color w:val="auto"/>
              </w:rPr>
            </w:pPr>
            <w:r>
              <w:rPr>
                <w:rFonts w:ascii="Arial" w:cs="Arial" w:eastAsia="Arial" w:hAnsi="Arial"/>
                <w:sz w:val="15"/>
                <w:szCs w:val="15"/>
                <w:color w:val="auto"/>
              </w:rPr>
              <w:t>Christopher M. Temple</w:t>
            </w:r>
          </w:p>
        </w:tc>
        <w:tc>
          <w:tcPr>
            <w:tcW w:w="920" w:type="dxa"/>
            <w:vAlign w:val="bottom"/>
            <w:gridSpan w:val="3"/>
          </w:tcPr>
          <w:p>
            <w:pPr>
              <w:jc w:val="right"/>
              <w:spacing w:after="0" w:line="216" w:lineRule="exact"/>
              <w:rPr>
                <w:sz w:val="20"/>
                <w:szCs w:val="20"/>
                <w:color w:val="auto"/>
              </w:rPr>
            </w:pPr>
            <w:r>
              <w:rPr>
                <w:rFonts w:ascii="Arial" w:cs="Arial" w:eastAsia="Arial" w:hAnsi="Arial"/>
                <w:sz w:val="15"/>
                <w:szCs w:val="15"/>
                <w:color w:val="auto"/>
              </w:rPr>
              <w:t>11,250</w:t>
            </w:r>
            <w:r>
              <w:rPr>
                <w:rFonts w:ascii="Arial" w:cs="Arial" w:eastAsia="Arial" w:hAnsi="Arial"/>
                <w:sz w:val="23"/>
                <w:szCs w:val="23"/>
                <w:color w:val="auto"/>
                <w:vertAlign w:val="superscript"/>
              </w:rPr>
              <w:t>(10)</w:t>
            </w:r>
          </w:p>
        </w:tc>
        <w:tc>
          <w:tcPr>
            <w:tcW w:w="7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31,250</w:t>
            </w:r>
          </w:p>
        </w:tc>
        <w:tc>
          <w:tcPr>
            <w:tcW w:w="12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Lawrence M. Ziemba</w:t>
            </w:r>
          </w:p>
        </w:tc>
        <w:tc>
          <w:tcPr>
            <w:tcW w:w="92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15"/>
                <w:szCs w:val="15"/>
                <w:color w:val="auto"/>
              </w:rPr>
              <w:t>10,000</w:t>
            </w:r>
            <w:r>
              <w:rPr>
                <w:rFonts w:ascii="Arial" w:cs="Arial" w:eastAsia="Arial" w:hAnsi="Arial"/>
                <w:sz w:val="23"/>
                <w:szCs w:val="23"/>
                <w:color w:val="auto"/>
                <w:vertAlign w:val="superscript"/>
              </w:rPr>
              <w:t>(10)</w:t>
            </w:r>
          </w:p>
        </w:tc>
        <w:tc>
          <w:tcPr>
            <w:tcW w:w="7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00" w:type="dxa"/>
            <w:vAlign w:val="bottom"/>
            <w:gridSpan w:val="5"/>
          </w:tcPr>
          <w:p>
            <w:pPr>
              <w:spacing w:after="0"/>
              <w:rPr>
                <w:sz w:val="20"/>
                <w:szCs w:val="20"/>
                <w:color w:val="auto"/>
              </w:rPr>
            </w:pPr>
            <w:r>
              <w:rPr>
                <w:rFonts w:ascii="Arial" w:cs="Arial" w:eastAsia="Arial" w:hAnsi="Arial"/>
                <w:sz w:val="15"/>
                <w:szCs w:val="15"/>
                <w:color w:val="auto"/>
              </w:rPr>
              <w:t>All directors and executive officers as a</w:t>
            </w:r>
          </w:p>
        </w:tc>
        <w:tc>
          <w:tcPr>
            <w:tcW w:w="1620" w:type="dxa"/>
            <w:vAlign w:val="bottom"/>
            <w:gridSpan w:val="4"/>
            <w:vMerge w:val="restart"/>
          </w:tcPr>
          <w:p>
            <w:pPr>
              <w:jc w:val="right"/>
              <w:ind w:right="44"/>
              <w:spacing w:after="0"/>
              <w:rPr>
                <w:sz w:val="20"/>
                <w:szCs w:val="20"/>
                <w:color w:val="auto"/>
              </w:rPr>
            </w:pPr>
            <w:r>
              <w:rPr>
                <w:rFonts w:ascii="Arial" w:cs="Arial" w:eastAsia="Arial" w:hAnsi="Arial"/>
                <w:sz w:val="15"/>
                <w:szCs w:val="15"/>
                <w:color w:val="auto"/>
                <w:w w:val="92"/>
              </w:rPr>
              <w:t>5,482,513</w:t>
            </w:r>
            <w:r>
              <w:rPr>
                <w:rFonts w:ascii="Arial" w:cs="Arial" w:eastAsia="Arial" w:hAnsi="Arial"/>
                <w:sz w:val="23"/>
                <w:szCs w:val="23"/>
                <w:color w:val="auto"/>
                <w:w w:val="92"/>
                <w:vertAlign w:val="superscript"/>
              </w:rPr>
              <w:t>(10)(14)</w:t>
            </w:r>
            <w:r>
              <w:rPr>
                <w:rFonts w:ascii="Arial" w:cs="Arial" w:eastAsia="Arial" w:hAnsi="Arial"/>
                <w:sz w:val="15"/>
                <w:szCs w:val="15"/>
                <w:color w:val="auto"/>
                <w:w w:val="92"/>
              </w:rPr>
              <w:t xml:space="preserve"> 3.0%</w:t>
            </w:r>
          </w:p>
        </w:tc>
        <w:tc>
          <w:tcPr>
            <w:tcW w:w="120" w:type="dxa"/>
            <w:vAlign w:val="bottom"/>
          </w:tcPr>
          <w:p>
            <w:pPr>
              <w:spacing w:after="0"/>
              <w:rPr>
                <w:sz w:val="17"/>
                <w:szCs w:val="17"/>
                <w:color w:val="auto"/>
              </w:rPr>
            </w:pPr>
          </w:p>
        </w:tc>
        <w:tc>
          <w:tcPr>
            <w:tcW w:w="1680" w:type="dxa"/>
            <w:vAlign w:val="bottom"/>
            <w:gridSpan w:val="3"/>
            <w:vMerge w:val="restart"/>
          </w:tcPr>
          <w:p>
            <w:pPr>
              <w:jc w:val="right"/>
              <w:ind w:right="25"/>
              <w:spacing w:after="0"/>
              <w:rPr>
                <w:sz w:val="20"/>
                <w:szCs w:val="20"/>
                <w:color w:val="auto"/>
              </w:rPr>
            </w:pPr>
            <w:r>
              <w:rPr>
                <w:rFonts w:ascii="Arial" w:cs="Arial" w:eastAsia="Arial" w:hAnsi="Arial"/>
                <w:sz w:val="15"/>
                <w:szCs w:val="15"/>
                <w:color w:val="auto"/>
                <w:w w:val="86"/>
              </w:rPr>
              <w:t>42,931,843</w:t>
            </w:r>
            <w:r>
              <w:rPr>
                <w:rFonts w:ascii="Arial" w:cs="Arial" w:eastAsia="Arial" w:hAnsi="Arial"/>
                <w:sz w:val="23"/>
                <w:szCs w:val="23"/>
                <w:color w:val="auto"/>
                <w:w w:val="86"/>
                <w:vertAlign w:val="superscript"/>
              </w:rPr>
              <w:t>(13)(14)</w:t>
            </w:r>
            <w:r>
              <w:rPr>
                <w:rFonts w:ascii="Arial" w:cs="Arial" w:eastAsia="Arial" w:hAnsi="Arial"/>
                <w:sz w:val="15"/>
                <w:szCs w:val="15"/>
                <w:color w:val="auto"/>
                <w:w w:val="86"/>
              </w:rPr>
              <w:t xml:space="preserve">  66.8%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4"/>
          </w:tcPr>
          <w:p>
            <w:pPr>
              <w:ind w:left="120"/>
              <w:spacing w:after="0"/>
              <w:rPr>
                <w:sz w:val="20"/>
                <w:szCs w:val="20"/>
                <w:color w:val="auto"/>
              </w:rPr>
            </w:pPr>
            <w:r>
              <w:rPr>
                <w:rFonts w:ascii="Arial" w:cs="Arial" w:eastAsia="Arial" w:hAnsi="Arial"/>
                <w:sz w:val="15"/>
                <w:szCs w:val="15"/>
                <w:color w:val="auto"/>
              </w:rPr>
              <w:t>group (18 persons)</w:t>
            </w:r>
          </w:p>
        </w:tc>
        <w:tc>
          <w:tcPr>
            <w:tcW w:w="16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51,121,232</w:t>
            </w:r>
          </w:p>
        </w:tc>
        <w:tc>
          <w:tcPr>
            <w:tcW w:w="120" w:type="dxa"/>
            <w:vAlign w:val="bottom"/>
          </w:tcPr>
          <w:p>
            <w:pPr>
              <w:spacing w:after="0"/>
              <w:rPr>
                <w:sz w:val="17"/>
                <w:szCs w:val="17"/>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-4773930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-4773930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-4773930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-4773930</wp:posOffset>
            </wp:positionV>
            <wp:extent cx="1625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-4773930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-4773930</wp:posOffset>
            </wp:positionV>
            <wp:extent cx="120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-4773930</wp:posOffset>
            </wp:positionV>
            <wp:extent cx="120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1" w:lineRule="exact"/>
        <w:rPr>
          <w:sz w:val="20"/>
          <w:szCs w:val="20"/>
          <w:color w:val="auto"/>
        </w:rPr>
      </w:pPr>
    </w:p>
    <w:p>
      <w:pPr>
        <w:ind w:left="1720" w:hanging="458"/>
        <w:spacing w:after="0"/>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720" w:right="1219" w:hanging="458"/>
        <w:spacing w:after="0" w:line="232" w:lineRule="auto"/>
        <w:tabs>
          <w:tab w:leader="none" w:pos="1720" w:val="left"/>
        </w:tabs>
        <w:numPr>
          <w:ilvl w:val="0"/>
          <w:numId w:val="76"/>
        </w:numPr>
        <w:rPr>
          <w:rFonts w:ascii="Arial" w:cs="Arial" w:eastAsia="Arial" w:hAnsi="Arial"/>
          <w:sz w:val="24"/>
          <w:szCs w:val="24"/>
          <w:color w:val="auto"/>
          <w:vertAlign w:val="superscript"/>
        </w:rPr>
      </w:pPr>
      <w:r>
        <w:rPr>
          <w:rFonts w:ascii="Arial" w:cs="Arial" w:eastAsia="Arial" w:hAnsi="Arial"/>
          <w:sz w:val="16"/>
          <w:szCs w:val="16"/>
          <w:color w:val="auto"/>
        </w:rPr>
        <w:t>Class A shares beneficially owned do not include any Class A shares issuable in connection with the exchange of any Class B shares, whether such Class B shares are currently outstanding or issuable</w:t>
      </w:r>
    </w:p>
    <w:p>
      <w:pPr>
        <w:spacing w:after="0" w:line="3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20" w:right="679"/>
        <w:spacing w:after="0" w:line="289" w:lineRule="auto"/>
        <w:rPr>
          <w:sz w:val="20"/>
          <w:szCs w:val="20"/>
          <w:color w:val="auto"/>
        </w:rPr>
      </w:pPr>
      <w:r>
        <w:rPr>
          <w:rFonts w:ascii="Arial" w:cs="Arial" w:eastAsia="Arial" w:hAnsi="Arial"/>
          <w:sz w:val="16"/>
          <w:szCs w:val="16"/>
          <w:color w:val="auto"/>
        </w:rPr>
        <w:t>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40" w:lineRule="exact"/>
        <w:rPr>
          <w:sz w:val="20"/>
          <w:szCs w:val="20"/>
          <w:color w:val="auto"/>
        </w:rPr>
      </w:pPr>
    </w:p>
    <w:p>
      <w:pPr>
        <w:ind w:left="1720" w:right="719" w:hanging="458"/>
        <w:spacing w:after="0" w:line="267" w:lineRule="auto"/>
        <w:tabs>
          <w:tab w:leader="none" w:pos="1720" w:val="left"/>
        </w:tabs>
        <w:numPr>
          <w:ilvl w:val="0"/>
          <w:numId w:val="77"/>
        </w:numPr>
        <w:rPr>
          <w:rFonts w:ascii="Arial" w:cs="Arial" w:eastAsia="Arial" w:hAnsi="Arial"/>
          <w:sz w:val="24"/>
          <w:szCs w:val="24"/>
          <w:color w:val="auto"/>
          <w:vertAlign w:val="superscript"/>
        </w:rPr>
      </w:pPr>
      <w:r>
        <w:rPr>
          <w:rFonts w:ascii="Arial" w:cs="Arial" w:eastAsia="Arial" w:hAnsi="Arial"/>
          <w:sz w:val="16"/>
          <w:szCs w:val="16"/>
          <w:color w:val="auto"/>
        </w:rPr>
        <w:t>As long as our Class A shares are publicly traded, a holder of vested AAP Management Units will be entitled to convert such AAP Management Units into Class B shares and a like number of AAP units based on a conversion ratio of approximately 0.941 AAP units (and Class B shares) for each AAP Management Unit.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33" w:lineRule="exact"/>
        <w:rPr>
          <w:rFonts w:ascii="Arial" w:cs="Arial" w:eastAsia="Arial" w:hAnsi="Arial"/>
          <w:sz w:val="24"/>
          <w:szCs w:val="24"/>
          <w:color w:val="auto"/>
          <w:vertAlign w:val="superscript"/>
        </w:rPr>
      </w:pPr>
    </w:p>
    <w:p>
      <w:pPr>
        <w:ind w:left="1720" w:right="719" w:hanging="458"/>
        <w:spacing w:after="0" w:line="253" w:lineRule="auto"/>
        <w:tabs>
          <w:tab w:leader="none" w:pos="1720" w:val="left"/>
        </w:tabs>
        <w:numPr>
          <w:ilvl w:val="0"/>
          <w:numId w:val="77"/>
        </w:numPr>
        <w:rPr>
          <w:rFonts w:ascii="Arial" w:cs="Arial" w:eastAsia="Arial" w:hAnsi="Arial"/>
          <w:sz w:val="26"/>
          <w:szCs w:val="26"/>
          <w:color w:val="auto"/>
          <w:vertAlign w:val="superscript"/>
        </w:rPr>
      </w:pPr>
      <w:r>
        <w:rPr>
          <w:rFonts w:ascii="Arial" w:cs="Arial" w:eastAsia="Arial" w:hAnsi="Arial"/>
          <w:sz w:val="17"/>
          <w:szCs w:val="17"/>
          <w:color w:val="auto"/>
        </w:rPr>
        <w:t>All of our issued and outstanding Class C shares are owned by PAA. Through a “pass-through” voting right, holders of PAA’s common units (other than AAP) and holders of PAA’s Series A preferred units have the effective right to vote, together with the holders of our Class A shares and Class B shares, on the election of directors and other matters submitted to a vote of our shareholders. Therefore,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p>
    <w:p>
      <w:pPr>
        <w:spacing w:after="0" w:line="61" w:lineRule="exact"/>
        <w:rPr>
          <w:rFonts w:ascii="Arial" w:cs="Arial" w:eastAsia="Arial" w:hAnsi="Arial"/>
          <w:sz w:val="26"/>
          <w:szCs w:val="26"/>
          <w:color w:val="auto"/>
          <w:vertAlign w:val="superscript"/>
        </w:rPr>
      </w:pPr>
    </w:p>
    <w:p>
      <w:pPr>
        <w:ind w:left="1720" w:right="1379" w:hanging="458"/>
        <w:spacing w:after="0" w:line="207" w:lineRule="auto"/>
        <w:tabs>
          <w:tab w:leader="none" w:pos="17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Reflects ownership as of December 31, 2019 as reported in a Schedule 13G filed with the SEC on February 14, 2020.</w:t>
      </w:r>
    </w:p>
    <w:p>
      <w:pPr>
        <w:spacing w:after="0" w:line="53" w:lineRule="exact"/>
        <w:rPr>
          <w:rFonts w:ascii="Arial" w:cs="Arial" w:eastAsia="Arial" w:hAnsi="Arial"/>
          <w:sz w:val="27"/>
          <w:szCs w:val="27"/>
          <w:color w:val="auto"/>
          <w:vertAlign w:val="superscript"/>
        </w:rPr>
      </w:pPr>
    </w:p>
    <w:p>
      <w:pPr>
        <w:ind w:left="1720" w:right="1379" w:hanging="458"/>
        <w:spacing w:after="0" w:line="207" w:lineRule="auto"/>
        <w:tabs>
          <w:tab w:leader="none" w:pos="17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Reflects ownership as of December 31, 2019 as reported in a Schedule 13G filed with the SEC on February 7, 2020.</w:t>
      </w:r>
    </w:p>
    <w:p>
      <w:pPr>
        <w:spacing w:after="0" w:line="53" w:lineRule="exact"/>
        <w:rPr>
          <w:rFonts w:ascii="Arial" w:cs="Arial" w:eastAsia="Arial" w:hAnsi="Arial"/>
          <w:sz w:val="27"/>
          <w:szCs w:val="27"/>
          <w:color w:val="auto"/>
          <w:vertAlign w:val="superscript"/>
        </w:rPr>
      </w:pPr>
    </w:p>
    <w:p>
      <w:pPr>
        <w:ind w:left="1720" w:right="759" w:hanging="458"/>
        <w:spacing w:after="0" w:line="250" w:lineRule="auto"/>
        <w:tabs>
          <w:tab w:leader="none" w:pos="1720" w:val="left"/>
        </w:tabs>
        <w:numPr>
          <w:ilvl w:val="0"/>
          <w:numId w:val="77"/>
        </w:numPr>
        <w:rPr>
          <w:rFonts w:ascii="Arial" w:cs="Arial" w:eastAsia="Arial" w:hAnsi="Arial"/>
          <w:sz w:val="26"/>
          <w:szCs w:val="26"/>
          <w:color w:val="auto"/>
          <w:vertAlign w:val="superscript"/>
        </w:rPr>
      </w:pPr>
      <w:r>
        <w:rPr>
          <w:rFonts w:ascii="Arial" w:cs="Arial" w:eastAsia="Arial" w:hAnsi="Arial"/>
          <w:sz w:val="17"/>
          <w:szCs w:val="17"/>
          <w:color w:val="auto"/>
        </w:rPr>
        <w:t>Richard A. Kayne is Chief Executive Officer and Director of Kayne Anderson Investment Management, Inc., which is the general partner of Kayne Anderson Capital Advisors, L.P. (“KACALP”). Various accounts under the management or control of KACALP own 5,165,377 Class A shares. Mr. Kayne may be deemed to beneficially own such shares. In addition, Mr. Kayne directly owns or has sole voting and dispositive power over 690,673 Class A shares. Mr. Kayne disclaims beneficial ownership of any of our Class A shares other than Class A shares held by him or attributable to him by virtue of his interests in the accounts that own our Class A shares.</w:t>
      </w:r>
    </w:p>
    <w:p>
      <w:pPr>
        <w:spacing w:after="0" w:line="59" w:lineRule="exact"/>
        <w:rPr>
          <w:rFonts w:ascii="Arial" w:cs="Arial" w:eastAsia="Arial" w:hAnsi="Arial"/>
          <w:sz w:val="26"/>
          <w:szCs w:val="26"/>
          <w:color w:val="auto"/>
          <w:vertAlign w:val="superscript"/>
        </w:rPr>
      </w:pPr>
    </w:p>
    <w:p>
      <w:pPr>
        <w:ind w:left="1720" w:right="839" w:hanging="458"/>
        <w:spacing w:after="0" w:line="219" w:lineRule="auto"/>
        <w:tabs>
          <w:tab w:leader="none" w:pos="17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Class B shares beneficially owned by Mr. Chiang through his beneficial ownership of 353,489 AAP units and Class B shares, based on a conversion ratio of 0.941 AAP units and Class B shares for each AAP Management Unit.</w:t>
      </w:r>
    </w:p>
    <w:p>
      <w:pPr>
        <w:spacing w:after="0" w:line="54" w:lineRule="exact"/>
        <w:rPr>
          <w:rFonts w:ascii="Arial" w:cs="Arial" w:eastAsia="Arial" w:hAnsi="Arial"/>
          <w:sz w:val="27"/>
          <w:szCs w:val="27"/>
          <w:color w:val="auto"/>
          <w:vertAlign w:val="superscript"/>
        </w:rPr>
      </w:pPr>
    </w:p>
    <w:p>
      <w:pPr>
        <w:ind w:left="1720" w:right="919" w:hanging="458"/>
        <w:spacing w:after="0" w:line="226" w:lineRule="auto"/>
        <w:tabs>
          <w:tab w:leader="none" w:pos="17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Class B shares beneficially owned by Mr. McGee through his (i) direct ownership of 199,008 AAP units and Class B shares and (ii) beneficial ownership of 230,338 AAP units and Class B shares, based on a conversion ratio of 0.941 AAP units and Class B shares for each AAP Management Unit.</w:t>
      </w:r>
    </w:p>
    <w:p>
      <w:pPr>
        <w:spacing w:after="0" w:line="54" w:lineRule="exact"/>
        <w:rPr>
          <w:rFonts w:ascii="Arial" w:cs="Arial" w:eastAsia="Arial" w:hAnsi="Arial"/>
          <w:sz w:val="27"/>
          <w:szCs w:val="27"/>
          <w:color w:val="auto"/>
          <w:vertAlign w:val="superscript"/>
        </w:rPr>
      </w:pPr>
    </w:p>
    <w:p>
      <w:pPr>
        <w:ind w:left="1720" w:right="939" w:hanging="458"/>
        <w:spacing w:after="0" w:line="219" w:lineRule="auto"/>
        <w:tabs>
          <w:tab w:leader="none" w:pos="17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Class B shares beneficially owned by Mr. Goebel through his beneficial ownership of 35,350 AAP units and Class B shares, based on a conversion ratio of 0.941 AAP units and Class B shares for each AAP Management Unit.</w:t>
      </w:r>
    </w:p>
    <w:p>
      <w:pPr>
        <w:spacing w:after="0" w:line="67" w:lineRule="exact"/>
        <w:rPr>
          <w:rFonts w:ascii="Arial" w:cs="Arial" w:eastAsia="Arial" w:hAnsi="Arial"/>
          <w:sz w:val="27"/>
          <w:szCs w:val="27"/>
          <w:color w:val="auto"/>
          <w:vertAlign w:val="superscript"/>
        </w:rPr>
      </w:pPr>
    </w:p>
    <w:p>
      <w:pPr>
        <w:ind w:left="1720" w:right="859" w:hanging="458"/>
        <w:spacing w:after="0" w:line="216" w:lineRule="auto"/>
        <w:tabs>
          <w:tab w:leader="none" w:pos="1720" w:val="left"/>
        </w:tabs>
        <w:numPr>
          <w:ilvl w:val="0"/>
          <w:numId w:val="77"/>
        </w:numPr>
        <w:rPr>
          <w:rFonts w:ascii="Arial" w:cs="Arial" w:eastAsia="Arial" w:hAnsi="Arial"/>
          <w:sz w:val="26"/>
          <w:szCs w:val="26"/>
          <w:color w:val="auto"/>
          <w:vertAlign w:val="superscript"/>
        </w:rPr>
      </w:pPr>
      <w:r>
        <w:rPr>
          <w:rFonts w:ascii="Arial" w:cs="Arial" w:eastAsia="Arial" w:hAnsi="Arial"/>
          <w:sz w:val="17"/>
          <w:szCs w:val="17"/>
          <w:color w:val="auto"/>
        </w:rPr>
        <w:t>Does not include unvested phantom Class A shares granted under our Long-Term Incentive Plan, none of which will vest within 60 days from the date hereof. See “Director Compensation.”</w:t>
      </w:r>
    </w:p>
    <w:p>
      <w:pPr>
        <w:spacing w:after="0" w:line="54" w:lineRule="exact"/>
        <w:rPr>
          <w:rFonts w:ascii="Arial" w:cs="Arial" w:eastAsia="Arial" w:hAnsi="Arial"/>
          <w:sz w:val="26"/>
          <w:szCs w:val="26"/>
          <w:color w:val="auto"/>
          <w:vertAlign w:val="superscript"/>
        </w:rPr>
      </w:pPr>
    </w:p>
    <w:p>
      <w:pPr>
        <w:ind w:left="1720" w:right="859" w:hanging="458"/>
        <w:spacing w:after="0" w:line="233" w:lineRule="auto"/>
        <w:tabs>
          <w:tab w:leader="none" w:pos="17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Mr. Raymond is (i) the sole member of the general partner of the manager of EMG Investment, LLC, which entity owns 6,220,955 Class B shares, and (ii) the sole member of Lynx Holdings I, LLC, which entity owns 3,183,216 Class B shares. As such, Mr. Raymond has sole voting and dispositive power over the Class B shares owned by each of EMG Investment, LLC and Lynx Holdings I, LLC. Mr. Raymond disclaims any deemed beneficial ownership of the interests owned by EMG Investment, LLC beyond his pecuniary interest therein.</w:t>
      </w: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20" w:right="719" w:hanging="458"/>
        <w:spacing w:after="0" w:line="249" w:lineRule="auto"/>
        <w:tabs>
          <w:tab w:leader="none" w:pos="172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Mr. Sinnott has shared voting and dispositive power over the Class B shares owned by KAFU Holdings (QP), L.P. (“KAFU QP”), which entity owns 16,026,307 Class B shares. Mr. Sinnott disclaims any deemed beneficial ownership of the interests owned by KAFU QP beyond his pecuniary interest therein.</w:t>
      </w:r>
    </w:p>
    <w:p>
      <w:pPr>
        <w:spacing w:after="0" w:line="47" w:lineRule="exact"/>
        <w:rPr>
          <w:rFonts w:ascii="Arial" w:cs="Arial" w:eastAsia="Arial" w:hAnsi="Arial"/>
          <w:sz w:val="24"/>
          <w:szCs w:val="24"/>
          <w:color w:val="auto"/>
          <w:vertAlign w:val="superscript"/>
        </w:rPr>
      </w:pPr>
    </w:p>
    <w:p>
      <w:pPr>
        <w:ind w:left="1720" w:right="679" w:hanging="458"/>
        <w:spacing w:after="0" w:line="219" w:lineRule="auto"/>
        <w:tabs>
          <w:tab w:leader="none" w:pos="1720" w:val="left"/>
        </w:tabs>
        <w:numPr>
          <w:ilvl w:val="0"/>
          <w:numId w:val="78"/>
        </w:numPr>
        <w:rPr>
          <w:rFonts w:ascii="Arial" w:cs="Arial" w:eastAsia="Arial" w:hAnsi="Arial"/>
          <w:sz w:val="27"/>
          <w:szCs w:val="27"/>
          <w:color w:val="auto"/>
          <w:vertAlign w:val="superscript"/>
        </w:rPr>
      </w:pPr>
      <w:r>
        <w:rPr>
          <w:rFonts w:ascii="Arial" w:cs="Arial" w:eastAsia="Arial" w:hAnsi="Arial"/>
          <w:sz w:val="18"/>
          <w:szCs w:val="18"/>
          <w:color w:val="auto"/>
        </w:rPr>
        <w:t>Certain members of this group directly own 16,836,120 AAP units and Class B shares and beneficially own 665,245 AAP units and Class B shares based on a conversion ratio of 0.941 AAP units and Class B shares for each AAP Management Unit.</w:t>
      </w:r>
    </w:p>
    <w:p>
      <w:pPr>
        <w:spacing w:after="0" w:line="54" w:lineRule="exact"/>
        <w:rPr>
          <w:rFonts w:ascii="Arial" w:cs="Arial" w:eastAsia="Arial" w:hAnsi="Arial"/>
          <w:sz w:val="27"/>
          <w:szCs w:val="27"/>
          <w:color w:val="auto"/>
          <w:vertAlign w:val="superscript"/>
        </w:rPr>
      </w:pPr>
    </w:p>
    <w:p>
      <w:pPr>
        <w:ind w:left="1720" w:right="759" w:hanging="458"/>
        <w:spacing w:after="0" w:line="207" w:lineRule="auto"/>
        <w:tabs>
          <w:tab w:leader="none" w:pos="1720" w:val="left"/>
        </w:tabs>
        <w:numPr>
          <w:ilvl w:val="0"/>
          <w:numId w:val="78"/>
        </w:numPr>
        <w:rPr>
          <w:rFonts w:ascii="Arial" w:cs="Arial" w:eastAsia="Arial" w:hAnsi="Arial"/>
          <w:sz w:val="27"/>
          <w:szCs w:val="27"/>
          <w:color w:val="auto"/>
          <w:vertAlign w:val="superscript"/>
        </w:rPr>
      </w:pPr>
      <w:r>
        <w:rPr>
          <w:rFonts w:ascii="Arial" w:cs="Arial" w:eastAsia="Arial" w:hAnsi="Arial"/>
          <w:sz w:val="18"/>
          <w:szCs w:val="18"/>
          <w:color w:val="auto"/>
        </w:rPr>
        <w:t>As of March 23, 2020, no Class A shares or Class B shares were pledged by directors or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148"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The following table sets forth the percentage ownership of the Class A limited partners of AAP, including our Directors and Named Executive Officers, and the resulting economic interest of such limited partners and the holders of the AAP Management Units as a group, in each case as of March 23, 2020:</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Ownership of</w:t>
            </w: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Economic</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Plains AAP, L.P.</w:t>
            </w: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Name of Owner and Address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Class A LP</w:t>
            </w:r>
          </w:p>
        </w:tc>
        <w:tc>
          <w:tcPr>
            <w:tcW w:w="1020" w:type="dxa"/>
            <w:vAlign w:val="bottom"/>
          </w:tcPr>
          <w:p>
            <w:pPr>
              <w:jc w:val="right"/>
              <w:ind w:right="34"/>
              <w:spacing w:after="0"/>
              <w:rPr>
                <w:sz w:val="20"/>
                <w:szCs w:val="20"/>
                <w:color w:val="auto"/>
              </w:rPr>
            </w:pPr>
            <w:r>
              <w:rPr>
                <w:rFonts w:ascii="Arial" w:cs="Arial" w:eastAsia="Arial" w:hAnsi="Arial"/>
                <w:sz w:val="14"/>
                <w:szCs w:val="14"/>
                <w:b w:val="1"/>
                <w:bCs w:val="1"/>
                <w:color w:val="auto"/>
              </w:rPr>
              <w:t>Interest in</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4"/>
              </w:rPr>
              <w:t>(1)</w:t>
            </w:r>
          </w:p>
        </w:tc>
        <w:tc>
          <w:tcPr>
            <w:tcW w:w="0" w:type="dxa"/>
            <w:vAlign w:val="bottom"/>
          </w:tcPr>
          <w:p>
            <w:pPr>
              <w:spacing w:after="0"/>
              <w:rPr>
                <w:sz w:val="1"/>
                <w:szCs w:val="1"/>
                <w:color w:val="auto"/>
              </w:rPr>
            </w:pPr>
          </w:p>
        </w:tc>
      </w:tr>
      <w:tr>
        <w:trPr>
          <w:trHeight w:val="186"/>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(in the case of Owners of more than 5%)</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2"/>
              </w:rPr>
              <w:t>Plains AAP, L.P.</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GP Holdings, L.P. and Plains All American GP LLC</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333 Clay Street, Suite 1600</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KAFU Holdings (QP), L.P. and Affiliates</w:t>
            </w: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1800 Avenue of the Stars, 3rd Floor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Los Angeles, CA 90067</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EMG Investment, LLC</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rPr>
                <w:sz w:val="20"/>
                <w:szCs w:val="20"/>
                <w:color w:val="auto"/>
              </w:rPr>
            </w:pPr>
            <w:r>
              <w:rPr>
                <w:rFonts w:ascii="Arial" w:cs="Arial" w:eastAsia="Arial" w:hAnsi="Arial"/>
                <w:sz w:val="18"/>
                <w:szCs w:val="18"/>
                <w:color w:val="auto"/>
              </w:rPr>
              <w:t>John T. Raymond and Affiliate</w:t>
            </w: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Windy, L.L.C.</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80" w:type="dxa"/>
            <w:vAlign w:val="bottom"/>
            <w:gridSpan w:val="2"/>
          </w:tcPr>
          <w:p>
            <w:pPr>
              <w:spacing w:after="0"/>
              <w:rPr>
                <w:sz w:val="20"/>
                <w:szCs w:val="20"/>
                <w:color w:val="auto"/>
              </w:rPr>
            </w:pPr>
            <w:r>
              <w:rPr>
                <w:rFonts w:ascii="Arial" w:cs="Arial" w:eastAsia="Arial" w:hAnsi="Arial"/>
                <w:sz w:val="18"/>
                <w:szCs w:val="18"/>
                <w:color w:val="auto"/>
              </w:rPr>
              <w:t>Greg L. Armstrong</w:t>
            </w: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2"/>
                <w:szCs w:val="22"/>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80" w:type="dxa"/>
            <w:vAlign w:val="bottom"/>
            <w:gridSpan w:val="2"/>
          </w:tcPr>
          <w:p>
            <w:pPr>
              <w:spacing w:after="0"/>
              <w:rPr>
                <w:sz w:val="20"/>
                <w:szCs w:val="20"/>
                <w:color w:val="auto"/>
              </w:rPr>
            </w:pPr>
            <w:r>
              <w:rPr>
                <w:rFonts w:ascii="Arial" w:cs="Arial" w:eastAsia="Arial" w:hAnsi="Arial"/>
                <w:sz w:val="18"/>
                <w:szCs w:val="18"/>
                <w:color w:val="auto"/>
              </w:rPr>
              <w:t>Richard McGee</w:t>
            </w: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Individual Investors</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80" w:type="dxa"/>
            <w:vAlign w:val="bottom"/>
            <w:gridSpan w:val="2"/>
          </w:tcPr>
          <w:p>
            <w:pPr>
              <w:spacing w:after="0"/>
              <w:rPr>
                <w:sz w:val="20"/>
                <w:szCs w:val="20"/>
                <w:color w:val="auto"/>
              </w:rPr>
            </w:pPr>
            <w:r>
              <w:rPr>
                <w:rFonts w:ascii="Arial" w:cs="Arial" w:eastAsia="Arial" w:hAnsi="Arial"/>
                <w:sz w:val="18"/>
                <w:szCs w:val="18"/>
                <w:color w:val="auto"/>
              </w:rPr>
              <w:t>AAP Management Unitholders</w:t>
            </w:r>
            <w:r>
              <w:rPr>
                <w:rFonts w:ascii="Arial" w:cs="Arial" w:eastAsia="Arial" w:hAnsi="Arial"/>
                <w:sz w:val="26"/>
                <w:szCs w:val="26"/>
                <w:color w:val="auto"/>
                <w:vertAlign w:val="superscript"/>
              </w:rPr>
              <w:t>(2)</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-2280920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-2280920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101600</wp:posOffset>
            </wp:positionV>
            <wp:extent cx="12344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4" w:lineRule="exact"/>
        <w:rPr>
          <w:sz w:val="20"/>
          <w:szCs w:val="20"/>
          <w:color w:val="auto"/>
        </w:rPr>
      </w:pPr>
    </w:p>
    <w:p>
      <w:pPr>
        <w:ind w:left="1620" w:hanging="358"/>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799" w:hanging="358"/>
        <w:spacing w:after="0" w:line="207"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AAP owns approximately 248.4 million PAA common units and a 100% member interest in PAA GP LLC, which owns PAA’s non-economic general partner interest.</w:t>
      </w:r>
    </w:p>
    <w:p>
      <w:pPr>
        <w:spacing w:after="0" w:line="53" w:lineRule="exact"/>
        <w:rPr>
          <w:rFonts w:ascii="Arial" w:cs="Arial" w:eastAsia="Arial" w:hAnsi="Arial"/>
          <w:sz w:val="27"/>
          <w:szCs w:val="27"/>
          <w:color w:val="auto"/>
          <w:vertAlign w:val="superscript"/>
        </w:rPr>
      </w:pPr>
    </w:p>
    <w:p>
      <w:pPr>
        <w:ind w:left="1620" w:right="879" w:hanging="358"/>
        <w:spacing w:after="0" w:line="207"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Represents a profits interest in AAP in the form of AAP Management Units owned by certain members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48"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following table sets forth certain information with respect to our equity compensation plan as of December 31, 2019. For a description of this plan, see “Certain Relationships and Related Transactions — Plains GP Holdings, L.P. Long Term Incentive Plan.”</w:t>
      </w:r>
    </w:p>
    <w:p>
      <w:pPr>
        <w:spacing w:after="0" w:line="1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 to</w:t>
            </w:r>
          </w:p>
        </w:tc>
        <w:tc>
          <w:tcPr>
            <w:tcW w:w="12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be Issued upon</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Price of</w:t>
            </w:r>
          </w:p>
        </w:tc>
        <w:tc>
          <w:tcPr>
            <w:tcW w:w="142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3"/>
              </w:rPr>
              <w:t>Remaining Available</w:t>
            </w:r>
          </w:p>
        </w:tc>
      </w:t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Exercise/Vesting of</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for Future Issuance</w:t>
            </w:r>
          </w:p>
        </w:tc>
      </w:t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under Equity</w:t>
            </w:r>
          </w:p>
        </w:tc>
      </w:t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Options, Warrants</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Warrants and</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Plans</w:t>
            </w:r>
          </w:p>
        </w:tc>
      </w:tr>
      <w:tr>
        <w:trPr>
          <w:trHeight w:val="186"/>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26"/>
        </w:trPr>
        <w:tc>
          <w:tcPr>
            <w:tcW w:w="4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Equity compensation plans approved by shareholders:</w:t>
            </w: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311"/>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Long Term Incentive Plan</w:t>
            </w:r>
          </w:p>
        </w:tc>
        <w:tc>
          <w:tcPr>
            <w:tcW w:w="1280" w:type="dxa"/>
            <w:vAlign w:val="bottom"/>
          </w:tcPr>
          <w:p>
            <w:pPr>
              <w:jc w:val="right"/>
              <w:ind w:right="124"/>
              <w:spacing w:after="0"/>
              <w:rPr>
                <w:sz w:val="20"/>
                <w:szCs w:val="20"/>
                <w:color w:val="auto"/>
              </w:rPr>
            </w:pPr>
            <w:r>
              <w:rPr>
                <w:rFonts w:ascii="Arial" w:cs="Arial" w:eastAsia="Arial" w:hAnsi="Arial"/>
                <w:sz w:val="18"/>
                <w:szCs w:val="18"/>
                <w:color w:val="auto"/>
              </w:rPr>
              <w:t>121,908</w:t>
            </w:r>
            <w:r>
              <w:rPr>
                <w:rFonts w:ascii="Arial" w:cs="Arial" w:eastAsia="Arial" w:hAnsi="Arial"/>
                <w:sz w:val="26"/>
                <w:szCs w:val="26"/>
                <w:color w:val="auto"/>
                <w:vertAlign w:val="superscript"/>
              </w:rPr>
              <w:t>(1)</w:t>
            </w: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420" w:type="dxa"/>
            <w:vAlign w:val="bottom"/>
            <w:gridSpan w:val="2"/>
          </w:tcPr>
          <w:p>
            <w:pPr>
              <w:jc w:val="right"/>
              <w:ind w:right="45"/>
              <w:spacing w:after="0"/>
              <w:rPr>
                <w:sz w:val="20"/>
                <w:szCs w:val="20"/>
                <w:color w:val="auto"/>
              </w:rPr>
            </w:pPr>
            <w:r>
              <w:rPr>
                <w:rFonts w:ascii="Arial" w:cs="Arial" w:eastAsia="Arial" w:hAnsi="Arial"/>
                <w:sz w:val="18"/>
                <w:szCs w:val="18"/>
                <w:color w:val="auto"/>
              </w:rPr>
              <w:t>3,572,183</w:t>
            </w:r>
            <w:r>
              <w:rPr>
                <w:rFonts w:ascii="Arial" w:cs="Arial" w:eastAsia="Arial" w:hAnsi="Arial"/>
                <w:sz w:val="26"/>
                <w:szCs w:val="26"/>
                <w:color w:val="auto"/>
                <w:vertAlign w:val="superscript"/>
              </w:rPr>
              <w:t>(1)</w:t>
            </w:r>
          </w:p>
        </w:tc>
      </w:tr>
      <w:tr>
        <w:trPr>
          <w:trHeight w:val="297"/>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Equity compensation plans not approved by shareholders</w:t>
            </w:r>
          </w:p>
        </w:tc>
        <w:tc>
          <w:tcPr>
            <w:tcW w:w="12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5"/>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-599440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-599440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-599440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699" w:hanging="358"/>
        <w:spacing w:after="0" w:line="233"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The Plains GP Holdings, L.P. Long Term Incentive Plan (the “PAGP Plan”) was adopted by our general partner in connection with our initial public offering in October 2013. The PAGP Plan contemplates the issuance or delivery of up to 3,755,208 Class A shares to satisfy awards under the PAGP Plan. In accordance with Item 201(d) of Regulation S-K, column (c) excludes the securities disclosed in column (a). However, any phantom Class A shares represented in column (a) that are not satisfied by the issuance of Class A shares become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 “Omnibus Agreement,” all of our direct or indirect expenses, other than income taxes, if any, will be paid by PAA. These direct or indirect expenses include, but are not limited to (i) compensation for the non-employee directors of PAGP GP, (ii) director and officer liability insurance, (iii) listing exchange fees, (iv) investor relations expenses, and (v) fees related to legal, tax, financial advisory and accounting services.</w:t>
      </w:r>
    </w:p>
    <w:p>
      <w:pPr>
        <w:spacing w:after="0" w:line="112"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 Long Term Incentive Plan</w:t>
      </w:r>
    </w:p>
    <w:p>
      <w:pPr>
        <w:spacing w:after="0" w:line="162"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6"/>
          <w:szCs w:val="16"/>
          <w:color w:val="auto"/>
        </w:rPr>
        <w:t>In connection with our initial public offering, our general partner adopted the Plains GP Holdings, L.P. Long Term Incentive Plan (the “PAGP Plan”) on our behalf for (i) the employees of our general partner and its affiliates who perform services for us and (ii) the non-employee directors of our general partner. Awards that may be granted under the PAGP Plan include restricted shares, phantom shares, options and share appreciation rights. The PAGP Plan limits the number of shares that may be delivered pursuant to awards to 3,755,208 Class A shares (subject to any adjustment due to recapitalization, reorganization or a similar event permitted under the PAGP Plan). Shares (other than restricted shares) that are forfeited or withheld to satisfy exercise price or tax withholding obligations are available for delivery pursuant to other awards. As of December 31, 2019, grants of 121,908 unvested phantom Class A shares were outstanding under the PAGP Plan.</w:t>
      </w:r>
    </w:p>
    <w:p>
      <w:pPr>
        <w:spacing w:after="0" w:line="88"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The PAGP Plan is administered by the Board. The Board has the right to terminate or amend the PAGP Plan or any part of the PAGP Plan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PAGP Plan will expire upon the earlier of the termination of the PAGP Plan by the Board or the date that no shares remain available under the PAGP Plan for awards. Upon termination of the PAGP Plan, awards then outstanding will continue pursuant to the terms of their grants.</w:t>
      </w:r>
    </w:p>
    <w:p>
      <w:pPr>
        <w:spacing w:after="0" w:line="126"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Class A shares to be delivered in settlement of awards under the PAGP Plan may be newly issued Class A shares, Class A shares acquired in the open market, Class A shares acquired from any other person, or any combination of the foregoing.</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8"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A restricted share is a Class A share that vests over a period of time and that during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time is subject to forfeiture. The Board will determine the period over which restricted shares granted to participants will vest. The Board,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terms of the award agreement provide otherwise.</w:t>
      </w:r>
    </w:p>
    <w:p>
      <w:pPr>
        <w:spacing w:after="0" w:line="110"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We intend the restricted shares under the PAGP Plan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20"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i w:val="1"/>
          <w:iCs w:val="1"/>
          <w:color w:val="auto"/>
        </w:rPr>
        <w:t xml:space="preserve">Phantom Shares. </w:t>
      </w:r>
      <w:r>
        <w:rPr>
          <w:rFonts w:ascii="Arial" w:cs="Arial" w:eastAsia="Arial" w:hAnsi="Arial"/>
          <w:sz w:val="17"/>
          <w:szCs w:val="17"/>
          <w:color w:val="auto"/>
        </w:rPr>
        <w:t>A phantom share entitles the grantee to receive a Class A share upon the vesting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phantom share or, in the discretion of the Board, cash equivalent to the value of a Class A share. The Board will determine the period over which phantom shares granted to participants will vest. The Board, in</w:t>
      </w: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299"/>
        <w:spacing w:after="0" w:line="231" w:lineRule="auto"/>
        <w:rPr>
          <w:sz w:val="20"/>
          <w:szCs w:val="20"/>
          <w:color w:val="auto"/>
        </w:rPr>
      </w:pPr>
      <w:r>
        <w:rPr>
          <w:rFonts w:ascii="Arial" w:cs="Arial" w:eastAsia="Arial" w:hAnsi="Arial"/>
          <w:sz w:val="18"/>
          <w:szCs w:val="18"/>
          <w:color w:val="auto"/>
        </w:rPr>
        <w:t>its discretion, may base its determination upon the achievement of performance metrics. If a grantee’s employment or membership on the Board terminates for any reason, the grantee’s phantom shares will be automatically forfeited unless, and to the extent, the Board or the terms of the award agreement provide otherwise.</w:t>
      </w:r>
    </w:p>
    <w:p>
      <w:pPr>
        <w:spacing w:after="0" w:line="94"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6"/>
          <w:szCs w:val="16"/>
          <w:color w:val="auto"/>
        </w:rPr>
        <w:t>The Board, in its discretion, may grant distribution equivalent rights, which we refer to as DERs, with respect to a phantom share. DERs entitle the grantee to receive an amount in cash equal to the cash distributions made on a Class A share during the period the related award is outstanding. The Board will establish whether the DERs are paid currently, when the tandem phantom share vests or on some other basis.</w:t>
      </w:r>
    </w:p>
    <w:p>
      <w:pPr>
        <w:spacing w:after="0" w:line="89" w:lineRule="exact"/>
        <w:rPr>
          <w:sz w:val="20"/>
          <w:szCs w:val="20"/>
          <w:color w:val="auto"/>
        </w:rPr>
      </w:pPr>
    </w:p>
    <w:p>
      <w:pPr>
        <w:ind w:left="1260" w:right="759" w:firstLine="360"/>
        <w:spacing w:after="0" w:line="246" w:lineRule="auto"/>
        <w:rPr>
          <w:sz w:val="20"/>
          <w:szCs w:val="20"/>
          <w:color w:val="auto"/>
        </w:rPr>
      </w:pPr>
      <w:r>
        <w:rPr>
          <w:rFonts w:ascii="Arial" w:cs="Arial" w:eastAsia="Arial" w:hAnsi="Arial"/>
          <w:sz w:val="17"/>
          <w:szCs w:val="17"/>
          <w:color w:val="auto"/>
        </w:rPr>
        <w:t>We intend the issuance of any Class A shares upon vesting of the phantom shares under the PAGP Plan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17" w:lineRule="exact"/>
        <w:rPr>
          <w:sz w:val="20"/>
          <w:szCs w:val="20"/>
          <w:color w:val="auto"/>
        </w:rPr>
      </w:pPr>
    </w:p>
    <w:p>
      <w:pPr>
        <w:ind w:left="1260" w:right="699" w:firstLine="360"/>
        <w:spacing w:after="0" w:line="274"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An option provides a participant with the option to acquire Class A shares at a specified price.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each option granted under the PAGP Plan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determines for each option. The Board will determine the methods and form of payment for the exercise price of an option and the methods and forms in which Class A shares will be delivered to a participant. The Board, in its discretion, may grant DERs with respect to an option.</w:t>
      </w:r>
    </w:p>
    <w:p>
      <w:pPr>
        <w:spacing w:after="0" w:line="82"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i w:val="1"/>
          <w:iCs w:val="1"/>
          <w:color w:val="auto"/>
        </w:rPr>
        <w:t xml:space="preserve">Share Appreciation Rights. </w:t>
      </w:r>
      <w:r>
        <w:rPr>
          <w:rFonts w:ascii="Arial" w:cs="Arial" w:eastAsia="Arial" w:hAnsi="Arial"/>
          <w:sz w:val="17"/>
          <w:szCs w:val="17"/>
          <w:color w:val="auto"/>
        </w:rPr>
        <w:t>A share appreciation right is an award that, upon exercise, entitles the holder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the excess, if any, of the fair market value of a Class A share on the exercise date over the grant price of the share appreciation right. The excess may be paid in cash and/or in Class A shares, as determined by the Board in its discretion. The Board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at the time the share appreciation right is granted, but each share appreciation right must have an exercise price that is not less than the fair market value of the Class A shares on the date of grant. The Board will determine the time or times at which a share appreciation right may be exercised in whole or in part. Unless otherwise waived by the Board, or set forth in an award agreement, outstanding share appreciation rights awarded to a participant will be automatically forfeited upon a termination of the individual’s employment or membership on the Board terminates for any reason. The Board, in its discretion, may grant DERs with respect to a share appreciation right.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PAGP Plan Provisions</w:t>
      </w:r>
    </w:p>
    <w:p>
      <w:pPr>
        <w:spacing w:after="0" w:line="158"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Unless other arrangements are made, our general partner and its affiliates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to withhold from any award, from any 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12"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Upon the occurrence of any “equity restructuring” event that could result in an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compensation expense under FASB ASC Topic 718 if adjustments to awards with respect to such event were discretionary, the Board will equitably adjust the number and type of shares covered by each outstanding award and the terms and conditions of such award to equitably reflect the restructuring event, and the Board will adjust the number and type of shares with respect to which future awards may be granted. With respect to a similar event that would not result in a FASB ASC Topic 718 accounting charge if adjustment to awards were discretionary, the Board shall have complete discretion to adjust awards in the manner it deems appropriate.</w:t>
      </w:r>
    </w:p>
    <w:p>
      <w:pPr>
        <w:spacing w:after="0" w:line="82"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agreement), the award may automatically vest and be payable or become exercisable in full, as the case may be.</w:t>
      </w: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participant’s lifetime, or by the person to whom the participant’s rights pass by will or the laws of descent and distribution. No award or right granted under the PAGP Plan may be assigned, alienated, pledged, attached, sold or otherwise transferred or encumbered and any such purported transfer shall be void and unenforceable. Notwithstanding the foregoing, the Board may, in its discretion, allow a participant to transfer an option or a share appreciation right without consideration to an immediate family member or a related family trust, limited partnership, or similar entity on the terms and conditions established by the Board from time to time.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AAP Management Units</w:t>
      </w:r>
    </w:p>
    <w:p>
      <w:pPr>
        <w:spacing w:after="0" w:line="14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to issue grants of AAP Management Units to create additional long-term incentives for our management designed to attract talent and encourage retention over an extended period of time. Each AAP Management Unit represents a “profits interest” in AAP, which entitles the holder to participate in future profits and losses from operations, current distributions from operations, and an interest in future appreciation or depreciation in AAP’s asset values. As of March 23, 2020, 1,165,204 AAP Management Units were issued and outstanding. The compensation committee does not plan to issue any additional AAP Management Units.</w:t>
      </w:r>
    </w:p>
    <w:p>
      <w:pPr>
        <w:spacing w:after="0" w:line="126" w:lineRule="exact"/>
        <w:rPr>
          <w:sz w:val="20"/>
          <w:szCs w:val="20"/>
          <w:color w:val="auto"/>
        </w:rPr>
      </w:pPr>
    </w:p>
    <w:p>
      <w:pPr>
        <w:ind w:left="1260" w:right="919" w:firstLine="360"/>
        <w:spacing w:after="0" w:line="284"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distributions) in percentage increments upon achievement of certain performance thresholds that are aligned with the interests of PAA’s common unitholders, such as distributable cash flow per common unit. As of March 23, 2020, all of the then outstanding AAP Management Units had been earned.</w:t>
      </w:r>
    </w:p>
    <w:p>
      <w:pPr>
        <w:spacing w:after="0" w:line="8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6"/>
          <w:szCs w:val="16"/>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such designated date (or prior to such date such holder is terminated without cause or quits for good reason), any earned units are no longer subject to the call right and are deemed to have “vested.” The vesting dates for currently outstanding AAP Management Unit grants range from January 1, 2021 to January 1, 2023, depending on the date of grant. All earned AAP Management Units will also vest if AAP does not timely exercise its call right or in the event of a change of control.</w:t>
      </w:r>
    </w:p>
    <w:p>
      <w:pPr>
        <w:spacing w:after="0" w:line="86"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7"/>
          <w:szCs w:val="17"/>
          <w:color w:val="auto"/>
        </w:rPr>
        <w:t>As long as our Class A shares are publicly traded, each vested AAP Management Unit may be converted into AAP units and a like number of Class B shares based on a conversion ratio of approximately 0.941 AAP units and Class B shares for each AAP Management Unit. Following any such conversion, the resulting AAP units and Class B shares are exchangeable for Class A shares or redeemable for PAA common units, in each case on a one-for-one basis as provided in the AAP limited partnership agreement.</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 connection with the closing of the Simplification Transactions, AAP received one PAA common unit for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each outstanding earned AAP Management Unit (on a post-conversion basis), and PAA withheld approximately</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800,000 units from the Simplification consideration for future distribution or issuance when and if any</w:t>
      </w:r>
    </w:p>
    <w:p>
      <w:pPr>
        <w:ind w:left="1260"/>
        <w:spacing w:after="0" w:line="234" w:lineRule="auto"/>
        <w:rPr>
          <w:sz w:val="20"/>
          <w:szCs w:val="20"/>
          <w:color w:val="auto"/>
        </w:rPr>
      </w:pPr>
      <w:r>
        <w:rPr>
          <w:rFonts w:ascii="Arial" w:cs="Arial" w:eastAsia="Arial" w:hAnsi="Arial"/>
          <w:sz w:val="18"/>
          <w:szCs w:val="18"/>
          <w:color w:val="auto"/>
        </w:rPr>
        <w:t>outstanding but unearned AAP Management Units become earned. As of March 23, 2020, all of such</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withheld units have been issued to AAP in connection with additional AAP Management Units becoming earned.</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62" w:lineRule="exact"/>
        <w:rPr>
          <w:sz w:val="20"/>
          <w:szCs w:val="20"/>
          <w:color w:val="auto"/>
        </w:rPr>
      </w:pPr>
    </w:p>
    <w:p>
      <w:pPr>
        <w:jc w:val="both"/>
        <w:ind w:left="1260" w:right="1259" w:firstLine="360"/>
        <w:spacing w:after="0" w:line="284" w:lineRule="auto"/>
        <w:rPr>
          <w:sz w:val="20"/>
          <w:szCs w:val="20"/>
          <w:color w:val="auto"/>
        </w:rPr>
      </w:pPr>
      <w:r>
        <w:rPr>
          <w:rFonts w:ascii="Arial" w:cs="Arial" w:eastAsia="Arial" w:hAnsi="Arial"/>
          <w:sz w:val="16"/>
          <w:szCs w:val="16"/>
          <w:color w:val="auto"/>
        </w:rPr>
        <w:t>In connection with the Simplification Transactions completed in November 2016, we entered into an omnibus agreement (the “Omnibus Agreement”) with PAA, PAGP GP, AAP, PAA GP LLC and GP LLC (collectively with us, the “Plains Entities”), which provides, among other things, that all direct or indirect expenses of any of the Plains Entities will be paid by PAA, other than income taxes, if any, of PAGP GP,</w:t>
      </w: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PAGP, GP LLC, AAP and PAA GP LLC. Such direct or indirect expenses include, but are not limited to</w:t>
      </w:r>
    </w:p>
    <w:p>
      <w:pPr>
        <w:spacing w:after="0" w:line="23" w:lineRule="exact"/>
        <w:rPr>
          <w:sz w:val="20"/>
          <w:szCs w:val="20"/>
          <w:color w:val="auto"/>
        </w:rPr>
      </w:pPr>
    </w:p>
    <w:p>
      <w:pPr>
        <w:ind w:left="1260" w:right="699" w:firstLine="2"/>
        <w:spacing w:after="0" w:line="255" w:lineRule="auto"/>
        <w:tabs>
          <w:tab w:leader="none" w:pos="14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compensation for the directors of PAGP GP, (ii) director and officer liability insurance, (iii) listing exchange fees, (iv) investor relations expenses, and (v) fees related to legal, tax, financial advisory and accounting services. PAA paid $4 million of such expenses in 2019.</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As described in Proposal 1 — Election of Directors in this Proxy Statement, prior to September 2019, Occidental had the right to designate a director to serve on our Board. In September 2019, as a result of its sale of its ownership interests in AAP, Occidental lost its designation right and Mr. Brown, Occidental’s designee to the Board, automatically ceased to be a member of the Board. Through September 2019, PAA had net sales of approximately $910 million from companies affiliated with Occidental. These transactions were conducted at posted tariff rates or prices that PAA believes approximate market. These transactions included inventory exchanges under crude oil buy/sell agreements, one of which includes a multi-year minimum volume commitment. These amounts do not include revenues from unconsolidated equity investments.</w:t>
      </w:r>
    </w:p>
    <w:p>
      <w:pPr>
        <w:spacing w:after="0" w:line="4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Also as described in Proposal 1 — Election of Directors in this Proxy Statement, prior to May 2019, EMG</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had the right to designate a director to serve on our Board. In May 2019, as a result of a series of transactions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pursuant to which EMG’s ownership interest in Plains AAP, L.P. was reduced to below the 10% requisite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qualifying interest level, EMG lost its designation right and Mr. Raymond, EMG’s designee to the Board,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automatically ceased to be a member of the Board. Mr. Raymond was subsequently elected to continue to serve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the Board. During 2019, PAA recognized sales and transportation and storage revenues of approximately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 million from companies affiliated with EMG. During 2019, PAA also purchased approximately $176 million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of oil from companies affiliated with EMG. These transactions were conducted at posted tariff rates or prices that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PAA believes approximate market.</w:t>
      </w:r>
    </w:p>
    <w:p>
      <w:pPr>
        <w:spacing w:after="0" w:line="89"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During 2019, PAA purchased approximately $20 million of oil from companies owned and controlled by funds managed by KACALP. PAA pays the same amount per barrel to these companies that it pays to other producers in the same area.</w:t>
      </w:r>
    </w:p>
    <w:p>
      <w:pPr>
        <w:spacing w:after="0" w:line="49"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An employee in PAA’s marketing department, who has been with the company for over 10 years, is the daughter of Willie Chiang, our Chief Executive Officer. Mr. Chiang’s daughter’s total compensation for 2019 was approximately $164,200.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66"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p>
    <w:p>
      <w:pPr>
        <w:spacing w:after="0" w:line="46"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w:t>
      </w:r>
    </w:p>
    <w:p>
      <w:pPr>
        <w:spacing w:after="0" w:line="49"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REPORT OF THE AUDIT COMMITTEE</w:t>
      </w:r>
    </w:p>
    <w:p>
      <w:pPr>
        <w:spacing w:after="0" w:line="94"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62"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2019.</w:t>
      </w:r>
    </w:p>
    <w:p>
      <w:pPr>
        <w:spacing w:after="0" w:line="62"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5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56"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2019 for filing with the SEC.</w:t>
      </w:r>
    </w:p>
    <w:p>
      <w:pPr>
        <w:spacing w:after="0" w:line="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Everardo Goyanes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Alexandra Pruner</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 Taft Symonds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9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81"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22225</wp:posOffset>
            </wp:positionV>
            <wp:extent cx="5657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16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6"/>
        </w:trPr>
        <w:tc>
          <w:tcPr>
            <w:tcW w:w="6520" w:type="dxa"/>
            <w:vAlign w:val="bottom"/>
            <w:gridSpan w:val="3"/>
          </w:tcPr>
          <w:p>
            <w:pPr>
              <w:ind w:left="360"/>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4"/>
        </w:trPr>
        <w:tc>
          <w:tcPr>
            <w:tcW w:w="360" w:type="dxa"/>
            <w:vAlign w:val="bottom"/>
          </w:tcPr>
          <w:p>
            <w:pPr>
              <w:spacing w:after="0"/>
              <w:rPr>
                <w:sz w:val="24"/>
                <w:szCs w:val="24"/>
                <w:color w:val="auto"/>
              </w:rPr>
            </w:pPr>
          </w:p>
        </w:tc>
        <w:tc>
          <w:tcPr>
            <w:tcW w:w="6160" w:type="dxa"/>
            <w:vAlign w:val="bottom"/>
            <w:tcBorders>
              <w:bottom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(2)</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6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-796290</wp:posOffset>
            </wp:positionV>
            <wp:extent cx="46805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69" w:lineRule="exact"/>
        <w:rPr>
          <w:sz w:val="20"/>
          <w:szCs w:val="20"/>
          <w:color w:val="auto"/>
        </w:rPr>
      </w:pPr>
    </w:p>
    <w:p>
      <w:pPr>
        <w:ind w:left="1620" w:hanging="358"/>
        <w:spacing w:after="0"/>
        <w:tabs>
          <w:tab w:leader="none" w:pos="1620" w:val="left"/>
        </w:tabs>
        <w:numPr>
          <w:ilvl w:val="0"/>
          <w:numId w:val="83"/>
        </w:numPr>
        <w:rPr>
          <w:rFonts w:ascii="Arial" w:cs="Arial" w:eastAsia="Arial" w:hAnsi="Arial"/>
          <w:sz w:val="24"/>
          <w:szCs w:val="24"/>
          <w:color w:val="auto"/>
          <w:vertAlign w:val="superscript"/>
        </w:rPr>
      </w:pPr>
      <w:r>
        <w:rPr>
          <w:rFonts w:ascii="Arial" w:cs="Arial" w:eastAsia="Arial" w:hAnsi="Arial"/>
          <w:sz w:val="16"/>
          <w:szCs w:val="16"/>
          <w:color w:val="auto"/>
        </w:rPr>
        <w:t>Audit fees include those related to (a) our annual audit (including internal control evaluation and reporting);</w:t>
      </w:r>
    </w:p>
    <w:p>
      <w:pPr>
        <w:spacing w:after="0" w:line="1" w:lineRule="exact"/>
        <w:rPr>
          <w:rFonts w:ascii="Arial" w:cs="Arial" w:eastAsia="Arial" w:hAnsi="Arial"/>
          <w:sz w:val="24"/>
          <w:szCs w:val="24"/>
          <w:color w:val="auto"/>
          <w:vertAlign w:val="superscript"/>
        </w:rPr>
      </w:pPr>
    </w:p>
    <w:p>
      <w:pPr>
        <w:ind w:left="1620" w:right="1459"/>
        <w:spacing w:after="0" w:line="258" w:lineRule="auto"/>
        <w:rPr>
          <w:rFonts w:ascii="Arial" w:cs="Arial" w:eastAsia="Arial" w:hAnsi="Arial"/>
          <w:sz w:val="24"/>
          <w:szCs w:val="24"/>
          <w:color w:val="auto"/>
          <w:vertAlign w:val="superscript"/>
        </w:rPr>
      </w:pPr>
      <w:r>
        <w:rPr>
          <w:rFonts w:ascii="Arial" w:cs="Arial" w:eastAsia="Arial" w:hAnsi="Arial"/>
          <w:sz w:val="18"/>
          <w:szCs w:val="18"/>
          <w:color w:val="auto"/>
        </w:rPr>
        <w:t>(b) the audit of certain joint ventures of which we are the operator, and (c) work performed on our registration of publicly held debt and equity.</w:t>
      </w:r>
    </w:p>
    <w:p>
      <w:pPr>
        <w:spacing w:after="0" w:line="38" w:lineRule="exact"/>
        <w:rPr>
          <w:rFonts w:ascii="Arial" w:cs="Arial" w:eastAsia="Arial" w:hAnsi="Arial"/>
          <w:sz w:val="24"/>
          <w:szCs w:val="24"/>
          <w:color w:val="auto"/>
          <w:vertAlign w:val="superscript"/>
        </w:rPr>
      </w:pPr>
    </w:p>
    <w:p>
      <w:pPr>
        <w:ind w:left="1620" w:right="739" w:hanging="358"/>
        <w:spacing w:after="0" w:line="232" w:lineRule="auto"/>
        <w:tabs>
          <w:tab w:leader="none" w:pos="1620" w:val="left"/>
        </w:tabs>
        <w:numPr>
          <w:ilvl w:val="0"/>
          <w:numId w:val="83"/>
        </w:numPr>
        <w:rPr>
          <w:rFonts w:ascii="Arial" w:cs="Arial" w:eastAsia="Arial" w:hAnsi="Arial"/>
          <w:sz w:val="24"/>
          <w:szCs w:val="24"/>
          <w:color w:val="auto"/>
          <w:vertAlign w:val="superscript"/>
        </w:rPr>
      </w:pPr>
      <w:r>
        <w:rPr>
          <w:rFonts w:ascii="Arial" w:cs="Arial" w:eastAsia="Arial" w:hAnsi="Arial"/>
          <w:sz w:val="16"/>
          <w:szCs w:val="16"/>
          <w:color w:val="auto"/>
        </w:rPr>
        <w:t>Tax fees are primarily related to tax processing as well as the preparation of Forms K-1 for PAA unitholders and international tax planning work associated with the structure of our Canadian investment.</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0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2019 and 2018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PROPOSAL 2 — RATIFICATION OF APPOINTMENT OF INDEPENDENT REGISTERED</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PUBLIC ACCOUNTING FIRM</w:t>
      </w:r>
    </w:p>
    <w:p>
      <w:pPr>
        <w:spacing w:after="0" w:line="207" w:lineRule="exact"/>
        <w:rPr>
          <w:sz w:val="20"/>
          <w:szCs w:val="20"/>
          <w:color w:val="auto"/>
        </w:rPr>
      </w:pPr>
    </w:p>
    <w:p>
      <w:pPr>
        <w:jc w:val="center"/>
        <w:ind w:left="1660" w:right="300"/>
        <w:spacing w:after="0" w:line="261"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PAGP’S AND PAA’S INDEPENDENT REGISTERED PUBLIC ACCOUNTING FIRM FOR THE FISCAL YEAR ENDING DECEMBER 31, 2020.</w:t>
      </w:r>
    </w:p>
    <w:p>
      <w:pPr>
        <w:spacing w:after="0" w:line="103"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second proposal item to be voted on at the Annual Meeting is ratification of the appointment of PricewaterhouseCoopers LLP as our and PAA’s independent registered public accounting firm for the fiscal year ending December 31, 2020.</w:t>
      </w:r>
    </w:p>
    <w:p>
      <w:pPr>
        <w:spacing w:after="0" w:line="116" w:lineRule="exact"/>
        <w:rPr>
          <w:sz w:val="20"/>
          <w:szCs w:val="20"/>
          <w:color w:val="auto"/>
        </w:rPr>
      </w:pPr>
    </w:p>
    <w:p>
      <w:pPr>
        <w:ind w:left="1260" w:right="779" w:firstLine="360"/>
        <w:spacing w:after="0" w:line="311" w:lineRule="auto"/>
        <w:rPr>
          <w:sz w:val="20"/>
          <w:szCs w:val="20"/>
          <w:color w:val="auto"/>
        </w:rPr>
      </w:pPr>
      <w:r>
        <w:rPr>
          <w:rFonts w:ascii="Arial" w:cs="Arial" w:eastAsia="Arial" w:hAnsi="Arial"/>
          <w:sz w:val="16"/>
          <w:szCs w:val="16"/>
          <w:color w:val="auto"/>
        </w:rPr>
        <w:t>The audit committee of the Board has appointed PricewaterhouseCoopers LLP to continue to act as our and PAA’s independent registered public accounting firm for the fiscal year ending December 31, 2020. The Board has directed that such appointment be submitted to our Shareholders for ratification at the Annual Meeting.</w:t>
      </w:r>
    </w:p>
    <w:p>
      <w:pPr>
        <w:spacing w:after="0" w:line="81" w:lineRule="exact"/>
        <w:rPr>
          <w:sz w:val="20"/>
          <w:szCs w:val="20"/>
          <w:color w:val="auto"/>
        </w:rPr>
      </w:pPr>
    </w:p>
    <w:p>
      <w:pPr>
        <w:ind w:left="1260" w:right="779" w:firstLine="360"/>
        <w:spacing w:after="0" w:line="296" w:lineRule="auto"/>
        <w:rPr>
          <w:sz w:val="20"/>
          <w:szCs w:val="20"/>
          <w:color w:val="auto"/>
        </w:rPr>
      </w:pPr>
      <w:r>
        <w:rPr>
          <w:rFonts w:ascii="Arial" w:cs="Arial" w:eastAsia="Arial" w:hAnsi="Arial"/>
          <w:sz w:val="16"/>
          <w:szCs w:val="16"/>
          <w:color w:val="auto"/>
        </w:rPr>
        <w:t>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Annual Meeting and will have an opportunity to make a statement if they so desire. They will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PROPOSAL 3 — ADVISORY VOTE TO APPROVE OUR NAMED EXECUTIVE</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OFFICER COMPENSATION</w:t>
      </w:r>
    </w:p>
    <w:p>
      <w:pPr>
        <w:spacing w:after="0" w:line="20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THE BOARD UNANIMOUSLY RECOMMENDS THAT YOU VOTE, ON A NON-BINDING</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ADVISORY BASIS, “FOR” THE RESOLUTION APPROVING THE COMPENSATION OF THE</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NAMED EXECUTIVE OFFICERS AS DESCRIBED IN THIS PROXY STATEMENT.</w:t>
      </w:r>
    </w:p>
    <w:p>
      <w:pPr>
        <w:spacing w:after="0" w:line="130" w:lineRule="exact"/>
        <w:rPr>
          <w:sz w:val="20"/>
          <w:szCs w:val="20"/>
          <w:color w:val="auto"/>
        </w:rPr>
      </w:pPr>
    </w:p>
    <w:p>
      <w:pPr>
        <w:ind w:left="1260" w:right="1139" w:firstLine="360"/>
        <w:spacing w:after="0" w:line="342" w:lineRule="auto"/>
        <w:rPr>
          <w:sz w:val="20"/>
          <w:szCs w:val="20"/>
          <w:color w:val="auto"/>
        </w:rPr>
      </w:pPr>
      <w:r>
        <w:rPr>
          <w:rFonts w:ascii="Arial" w:cs="Arial" w:eastAsia="Arial" w:hAnsi="Arial"/>
          <w:sz w:val="16"/>
          <w:szCs w:val="16"/>
          <w:color w:val="auto"/>
        </w:rPr>
        <w:t>This proposal, commonly known as a “say-on-pay” proposal, provides our Shareholders with the opportunity to cast an advisory vote on the approval of the compensation of our Named Executive Officers.</w:t>
      </w:r>
    </w:p>
    <w:p>
      <w:pPr>
        <w:spacing w:after="0" w:line="56"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our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p>
    <w:p>
      <w:pPr>
        <w:spacing w:after="0" w:line="104"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As described in the Compensation Discussion and Analysis (“CD&amp;A”) section of this proxy statement,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CD&amp;A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84" w:lineRule="exact"/>
        <w:rPr>
          <w:sz w:val="20"/>
          <w:szCs w:val="20"/>
          <w:color w:val="auto"/>
        </w:rPr>
      </w:pPr>
    </w:p>
    <w:p>
      <w:pPr>
        <w:jc w:val="both"/>
        <w:ind w:left="1260" w:right="759" w:firstLine="360"/>
        <w:spacing w:after="0" w:line="275" w:lineRule="auto"/>
        <w:rPr>
          <w:sz w:val="20"/>
          <w:szCs w:val="20"/>
          <w:color w:val="auto"/>
        </w:rPr>
      </w:pPr>
      <w:r>
        <w:rPr>
          <w:rFonts w:ascii="Arial" w:cs="Arial" w:eastAsia="Arial" w:hAnsi="Arial"/>
          <w:sz w:val="17"/>
          <w:szCs w:val="17"/>
          <w:color w:val="auto"/>
        </w:rPr>
        <w:t>The Dodd-Frank Wall Street Reform and Consumer Protection Act of 2012, as well as Section 14A of the Exchange Act, and the rules promulgated thereunder, enables our Shareholders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09"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For the reasons set forth above, the following resolution will be submitted for Shareholder approval at the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Annual Meeting:</w:t>
      </w:r>
    </w:p>
    <w:p>
      <w:pPr>
        <w:spacing w:after="0" w:line="126"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as disclosed pursuant to Item 402 of Regulation S-K in PAGP’s proxy statement for its 2020 Annual Meeting of Shareholders, including the Compensation Discussion and Analysis, compensation tables and accompanying narrative discussion, is hereby approved.”</w:t>
      </w: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OTHER MATTERS FOR THE ANNUAL MEETING</w:t>
      </w:r>
    </w:p>
    <w:p>
      <w:pPr>
        <w:spacing w:after="0" w:line="67"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7"/>
          <w:szCs w:val="17"/>
          <w:color w:val="auto"/>
        </w:rPr>
        <w:t>We know of no matters to be acted upon at the Annual Meeting other than the proposals included in the accompanying notice and described in this proxy statement. If any other matter requiring a vote of Shareholders arises, including a question of adjourning the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SHAREHOLDER PROPOSALS FOR THE 2021 ANNUAL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67"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6"/>
          <w:szCs w:val="16"/>
          <w:color w:val="auto"/>
        </w:rPr>
        <w:t>Pursuant to Section 13.4(c)(ii) of our partnership agreement, any eligible Shareholder who owns 10% or more of our outstanding Class A, Class B and Class C shares, taken together as a single class, is entitled to nominate one person for election as an Eligible Director. Eligible Shareholders who wish to submit a director nomination for our 2021 annual meeting must deliver written notice thereof to our principal executive offices in care of the Corporate Secretary by mail to 333 Clay Street, Suite 1600, Houston, Texas 77002 no later than the close of business on February 19, 2021, nor earlier than the close of business on January 20, 2021. In the event that the date of the 2021 annual meeting is changed by more than 30 days before or more than 60 days after the one-year anniversary of the 2020 annual meeting, Shareholder notice of a director nomination must be received no earlier than the close of business on the 120th day prior to the 2021 annual meeting and not later than the close of business on the date that is the later of the (i) 90th day prior to the 2021 annual meeting or (ii) if the first public announcement of the 2021 annual meeting is less than 100 days prior to such meeting, the 10th day following the day on which public announcement of the date of the 2021 annual meeting is first made.</w:t>
      </w:r>
    </w:p>
    <w:p>
      <w:pPr>
        <w:spacing w:after="0" w:line="9"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The written notice must comply with the procedures set forth in Section 13.4(c)(ii) of our partnership agreement, including the informational requirements included in Section 13.4(c)(ii)(A)(3). We will not entertain any nomination at the annual meeting that does not meet the requirements set forth in our partnership agreement. Our partnership agreement is filed as Exhibit 3.2 to our Current Report on Form 8-K filed on November 21, 2016.</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Proposals</w:t>
      </w:r>
    </w:p>
    <w:p>
      <w:pPr>
        <w:spacing w:after="0" w:line="6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6"/>
          <w:szCs w:val="16"/>
          <w:color w:val="auto"/>
        </w:rPr>
        <w:t>Any Shareholder who, in accordance with Rule 14a-8 under the Exchange Act wishes to submit a proposal for inclusion in our proxy statement for the 2021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16, 2020,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w:t>
      </w:r>
    </w:p>
    <w:p>
      <w:pPr>
        <w:spacing w:after="0" w:line="165"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HOUSEHOLDING MATTERS</w:t>
      </w:r>
    </w:p>
    <w:p>
      <w:pPr>
        <w:spacing w:after="0" w:line="67"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 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 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7610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610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610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sectPr>
      <w:pgSz w:w="11900" w:h="16838" w:orient="portrait"/>
      <w:cols w:equalWidth="0" w:num="1">
        <w:col w:w="10139"/>
      </w:cols>
      <w:pgMar w:left="32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lvl w:ilvl="1">
      <w:lvlJc w:val="left"/>
      <w:lvlText w:val="(%2)"/>
      <w:numFmt w:val="decimal"/>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1:"/>
      <w:numFmt w:val="upperLetter"/>
      <w:start w:val="1"/>
    </w:lvl>
  </w:abstractNum>
  <w:abstractNum w:abstractNumId="6">
    <w:nsid w:val="57E4CCAF"/>
    <w:multiLevelType w:val="hybridMultilevel"/>
    <w:lvl w:ilvl="0">
      <w:lvlJc w:val="left"/>
      <w:lvlText w:val="%1:"/>
      <w:numFmt w:val="upperLetter"/>
      <w:start w:val="1"/>
    </w:lvl>
    <w:lvl w:ilvl="1">
      <w:lvlJc w:val="left"/>
      <w:lvlText w:val="•"/>
      <w:numFmt w:val="bullet"/>
      <w:start w:val="1"/>
    </w:lvl>
  </w:abstractNum>
  <w:abstractNum w:abstractNumId="7">
    <w:nsid w:val="7A6D8D3C"/>
    <w:multiLevelType w:val="hybridMultilevel"/>
    <w:lvl w:ilvl="0">
      <w:lvlJc w:val="left"/>
      <w:lvlText w:val="%1:"/>
      <w:numFmt w:val="upperLetter"/>
      <w:start w:val="17"/>
    </w:lvl>
  </w:abstractNum>
  <w:abstractNum w:abstractNumId="8">
    <w:nsid w:val="4B588F54"/>
    <w:multiLevelType w:val="hybridMultilevel"/>
    <w:lvl w:ilvl="0">
      <w:lvlJc w:val="left"/>
      <w:lvlText w:val="%1:"/>
      <w:numFmt w:val="upperLetter"/>
      <w:start w:val="1"/>
    </w:lvl>
  </w:abstractNum>
  <w:abstractNum w:abstractNumId="9">
    <w:nsid w:val="542289EC"/>
    <w:multiLevelType w:val="hybridMultilevel"/>
    <w:lvl w:ilvl="0">
      <w:lvlJc w:val="left"/>
      <w:lvlText w:val="%1:"/>
      <w:numFmt w:val="upperLetter"/>
      <w:start w:val="1"/>
    </w:lvl>
  </w:abstractNum>
  <w:abstractNum w:abstractNumId="10">
    <w:nsid w:val="6DE91B18"/>
    <w:multiLevelType w:val="hybridMultilevel"/>
    <w:lvl w:ilvl="0">
      <w:lvlJc w:val="left"/>
      <w:lvlText w:val="%1:"/>
      <w:numFmt w:val="upperLetter"/>
      <w:start w:val="1"/>
    </w:lvl>
  </w:abstractNum>
  <w:abstractNum w:abstractNumId="11">
    <w:nsid w:val="38437FDB"/>
    <w:multiLevelType w:val="hybridMultilevel"/>
    <w:lvl w:ilvl="0">
      <w:lvlJc w:val="left"/>
      <w:lvlText w:val="%1:"/>
      <w:numFmt w:val="upperLetter"/>
      <w:start w:val="1"/>
    </w:lvl>
    <w:lvl w:ilvl="1">
      <w:lvlJc w:val="left"/>
      <w:lvlText w:val="•"/>
      <w:numFmt w:val="bullet"/>
      <w:start w:val="1"/>
    </w:lvl>
  </w:abstractNum>
  <w:abstractNum w:abstractNumId="12">
    <w:nsid w:val="7644A45C"/>
    <w:multiLevelType w:val="hybridMultilevel"/>
    <w:lvl w:ilvl="0">
      <w:lvlJc w:val="left"/>
      <w:lvlText w:val="%1:"/>
      <w:numFmt w:val="upperLetter"/>
      <w:start w:val="1"/>
    </w:lvl>
    <w:lvl w:ilvl="1">
      <w:lvlJc w:val="left"/>
      <w:lvlText w:val="•"/>
      <w:numFmt w:val="bullet"/>
      <w:start w:val="1"/>
    </w:lvl>
  </w:abstractNum>
  <w:abstractNum w:abstractNumId="13">
    <w:nsid w:val="32FFF902"/>
    <w:multiLevelType w:val="hybridMultilevel"/>
    <w:lvl w:ilvl="0">
      <w:lvlJc w:val="left"/>
      <w:lvlText w:val="%1:"/>
      <w:numFmt w:val="upperLetter"/>
      <w:start w:val="1"/>
    </w:lvl>
  </w:abstractNum>
  <w:abstractNum w:abstractNumId="14">
    <w:nsid w:val="684A481A"/>
    <w:multiLevelType w:val="hybridMultilevel"/>
    <w:lvl w:ilvl="0">
      <w:lvlJc w:val="left"/>
      <w:lvlText w:val="%1:"/>
      <w:numFmt w:val="upperLetter"/>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1:"/>
      <w:numFmt w:val="upperLetter"/>
      <w:start w:val="1"/>
    </w:lvl>
  </w:abstractNum>
  <w:abstractNum w:abstractNumId="17">
    <w:nsid w:val="3DC240FB"/>
    <w:multiLevelType w:val="hybridMultilevel"/>
    <w:lvl w:ilvl="0">
      <w:lvlJc w:val="left"/>
      <w:lvlText w:val="%1:"/>
      <w:numFmt w:val="upperLetter"/>
      <w:start w:val="1"/>
    </w:lvl>
  </w:abstractNum>
  <w:abstractNum w:abstractNumId="18">
    <w:nsid w:val="1BA026FA"/>
    <w:multiLevelType w:val="hybridMultilevel"/>
    <w:lvl w:ilvl="0">
      <w:lvlJc w:val="left"/>
      <w:lvlText w:val="%1:"/>
      <w:numFmt w:val="upperLetter"/>
      <w:start w:val="1"/>
    </w:lvl>
  </w:abstractNum>
  <w:abstractNum w:abstractNumId="19">
    <w:nsid w:val="79A1DEAA"/>
    <w:multiLevelType w:val="hybridMultilevel"/>
    <w:lvl w:ilvl="0">
      <w:lvlJc w:val="left"/>
      <w:lvlText w:val="%1:"/>
      <w:numFmt w:val="upperLetter"/>
      <w:start w:val="1"/>
    </w:lvl>
  </w:abstractNum>
  <w:abstractNum w:abstractNumId="20">
    <w:nsid w:val="75C6C33A"/>
    <w:multiLevelType w:val="hybridMultilevel"/>
    <w:lvl w:ilvl="0">
      <w:lvlJc w:val="left"/>
      <w:lvlText w:val="%1"/>
      <w:numFmt w:val="decimal"/>
      <w:start w:val="1"/>
    </w:lvl>
    <w:lvl w:ilvl="1">
      <w:lvlJc w:val="left"/>
      <w:lvlText w:val="•"/>
      <w:numFmt w:val="bullet"/>
      <w:start w:val="1"/>
    </w:lvl>
  </w:abstractNum>
  <w:abstractNum w:abstractNumId="21">
    <w:nsid w:val="12E685FB"/>
    <w:multiLevelType w:val="hybridMultilevel"/>
    <w:lvl w:ilvl="0">
      <w:lvlJc w:val="left"/>
      <w:lvlText w:val="2"/>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emdash "/>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3"/>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4"/>
      <w:numFmt w:val="bullet"/>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emdash "/>
      <w:numFmt w:val="bullet"/>
      <w:start w:val="1"/>
    </w:lvl>
    <w:lvl w:ilvl="1">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5"/>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1)"/>
      <w:numFmt w:val="decimal"/>
      <w:start w:val="4"/>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decimal"/>
      <w:start w:val="3"/>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2"/>
    </w:lvl>
    <w:lvl w:ilvl="1">
      <w:lvlJc w:val="left"/>
      <w:lvlText w:val="(%2)"/>
      <w:numFmt w:val="lowerRoman"/>
      <w:start w:val="2"/>
    </w:lvl>
  </w:abstractNum>
  <w:abstractNum w:abstractNumId="55">
    <w:nsid w:val="15014ACB"/>
    <w:multiLevelType w:val="hybridMultilevel"/>
    <w:lvl w:ilvl="0">
      <w:lvlJc w:val="left"/>
      <w:lvlText w:val="%1"/>
      <w:numFmt w:val="decimal"/>
      <w:start w:val="1"/>
    </w:lvl>
    <w:lvl w:ilvl="1">
      <w:lvlJc w:val="left"/>
      <w:lvlText w:val="(%2)"/>
      <w:numFmt w:val="lowerRoman"/>
      <w:start w:val="1"/>
    </w:lvl>
  </w:abstractNum>
  <w:abstractNum w:abstractNumId="56">
    <w:nsid w:val="5F5E7FD0"/>
    <w:multiLevelType w:val="hybridMultilevel"/>
    <w:lvl w:ilvl="0">
      <w:lvlJc w:val="left"/>
      <w:lvlText w:val="%1"/>
      <w:numFmt w:val="decimal"/>
      <w:start w:val="1"/>
    </w:lvl>
    <w:lvl w:ilvl="1">
      <w:lvlJc w:val="left"/>
      <w:lvlText w:val="(%2)"/>
      <w:numFmt w:val="lowerRoman"/>
      <w:start w:val="1"/>
    </w:lvl>
  </w:abstractNum>
  <w:abstractNum w:abstractNumId="57">
    <w:nsid w:val="98A3148"/>
    <w:multiLevelType w:val="hybridMultilevel"/>
    <w:lvl w:ilvl="0">
      <w:lvlJc w:val="left"/>
      <w:lvlText w:val="(%1)"/>
      <w:numFmt w:val="decimal"/>
      <w:start w:val="7"/>
    </w:lvl>
    <w:lvl w:ilvl="1">
      <w:lvlJc w:val="left"/>
      <w:lvlText w:val="%2"/>
      <w:numFmt w:val="lowerRoman"/>
      <w:start w:val="1"/>
    </w:lvl>
  </w:abstractNum>
  <w:abstractNum w:abstractNumId="58">
    <w:nsid w:val="799D0247"/>
    <w:multiLevelType w:val="hybridMultilevel"/>
    <w:lvl w:ilvl="0">
      <w:lvlJc w:val="left"/>
      <w:lvlText w:val="(%1)"/>
      <w:numFmt w:val="decimal"/>
      <w:start w:val="9"/>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2"/>
    </w:lvl>
  </w:abstractNum>
  <w:abstractNum w:abstractNumId="62">
    <w:nsid w:val="1EBA5D23"/>
    <w:multiLevelType w:val="hybridMultilevel"/>
    <w:lvl w:ilvl="0">
      <w:lvlJc w:val="left"/>
      <w:lvlText w:val="(%1)"/>
      <w:numFmt w:val="decimal"/>
      <w:start w:val="3"/>
    </w:lvl>
  </w:abstractNum>
  <w:abstractNum w:abstractNumId="63">
    <w:nsid w:val="661E3F1E"/>
    <w:multiLevelType w:val="hybridMultilevel"/>
    <w:lvl w:ilvl="0">
      <w:lvlJc w:val="left"/>
      <w:lvlText w:val="(%1)"/>
      <w:numFmt w:val="decimal"/>
      <w:start w:val="4"/>
    </w:lvl>
  </w:abstractNum>
  <w:abstractNum w:abstractNumId="64">
    <w:nsid w:val="5DC79EA8"/>
    <w:multiLevelType w:val="hybridMultilevel"/>
    <w:lvl w:ilvl="0">
      <w:lvlJc w:val="left"/>
      <w:lvlText w:val="(%1)"/>
      <w:numFmt w:val="decimal"/>
      <w:start w:val="5"/>
    </w:lvl>
  </w:abstractNum>
  <w:abstractNum w:abstractNumId="65">
    <w:nsid w:val="540A471C"/>
    <w:multiLevelType w:val="hybridMultilevel"/>
    <w:lvl w:ilvl="0">
      <w:lvlJc w:val="left"/>
      <w:lvlText w:val="(%1)"/>
      <w:numFmt w:val="lowerRoman"/>
      <w:start w:val="1"/>
    </w:lvl>
  </w:abstractNum>
  <w:abstractNum w:abstractNumId="66">
    <w:nsid w:val="7BD3EE7B"/>
    <w:multiLevelType w:val="hybridMultilevel"/>
    <w:lvl w:ilvl="0">
      <w:lvlJc w:val="left"/>
      <w:lvlText w:val="(%1)"/>
      <w:numFmt w:val="decimal"/>
      <w:start w:val="6"/>
    </w:lvl>
  </w:abstractNum>
  <w:abstractNum w:abstractNumId="67">
    <w:nsid w:val="51D9C564"/>
    <w:multiLevelType w:val="hybridMultilevel"/>
    <w:lvl w:ilvl="0">
      <w:lvlJc w:val="left"/>
      <w:lvlText w:val="(%1)"/>
      <w:numFmt w:val="lowerRoman"/>
      <w:start w:val="2"/>
    </w:lvl>
  </w:abstractNum>
  <w:abstractNum w:abstractNumId="68">
    <w:nsid w:val="613EFDC5"/>
    <w:multiLevelType w:val="hybridMultilevel"/>
    <w:lvl w:ilvl="0">
      <w:lvlJc w:val="left"/>
      <w:lvlText w:val="(%1)"/>
      <w:numFmt w:val="decimal"/>
      <w:start w:val="7"/>
    </w:lvl>
  </w:abstractNum>
  <w:abstractNum w:abstractNumId="69">
    <w:nsid w:val="BF72B14"/>
    <w:multiLevelType w:val="hybridMultilevel"/>
    <w:lvl w:ilvl="0">
      <w:lvlJc w:val="left"/>
      <w:lvlText w:val="(%1)"/>
      <w:numFmt w:val="decimal"/>
      <w:start w:val="8"/>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2"/>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2"/>
    </w:lvl>
  </w:abstractNum>
  <w:abstractNum w:abstractNumId="77">
    <w:nsid w:val="4962813B"/>
    <w:multiLevelType w:val="hybridMultilevel"/>
    <w:lvl w:ilvl="0">
      <w:lvlJc w:val="left"/>
      <w:lvlText w:val="(%1)"/>
      <w:numFmt w:val="decimal"/>
      <w:start w:val="12"/>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lowerRoman"/>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2020-04-15T05:24:36Z</dcterms:created>
  <dcterms:modified xsi:type="dcterms:W3CDTF">2020-04-15T05:24:36Z</dcterms:modified>
</cp:coreProperties>
</file>