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87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8762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3"/>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800" w:type="dxa"/>
            <w:vAlign w:val="bottom"/>
            <w:vMerge w:val="restart"/>
          </w:tcPr>
          <w:p>
            <w:pPr>
              <w:spacing w:after="0"/>
              <w:rPr>
                <w:rFonts w:ascii="Arial" w:cs="Arial" w:eastAsia="Arial" w:hAnsi="Arial"/>
                <w:sz w:val="14"/>
                <w:szCs w:val="14"/>
                <w:color w:val="0000EE"/>
                <w:w w:val="90"/>
              </w:rPr>
            </w:pPr>
            <w:hyperlink r:id="rId12">
              <w:r>
                <w:rPr>
                  <w:rFonts w:ascii="Arial" w:cs="Arial" w:eastAsia="Arial" w:hAnsi="Arial"/>
                  <w:sz w:val="14"/>
                  <w:szCs w:val="14"/>
                  <w:color w:val="0000EE"/>
                  <w:w w:val="90"/>
                </w:rPr>
                <w:t>vonBerg John</w:t>
              </w:r>
            </w:hyperlink>
          </w:p>
        </w:tc>
        <w:tc>
          <w:tcPr>
            <w:tcW w:w="1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2"/>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PLAINS ALL AMERICAN PIPELINE LP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PAA</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2"/>
                <w:szCs w:val="2"/>
                <w:color w:val="auto"/>
              </w:rPr>
            </w:pPr>
          </w:p>
        </w:tc>
        <w:tc>
          <w:tcPr>
            <w:tcW w:w="800" w:type="dxa"/>
            <w:vAlign w:val="bottom"/>
            <w:tcBorders>
              <w:bottom w:val="single" w:sz="8" w:color="0000EE"/>
            </w:tcBorders>
            <w:vMerge w:val="continue"/>
          </w:tcPr>
          <w:p>
            <w:pPr>
              <w:spacing w:after="0"/>
              <w:rPr>
                <w:sz w:val="2"/>
                <w:szCs w:val="2"/>
                <w:color w:val="auto"/>
              </w:rPr>
            </w:pPr>
          </w:p>
        </w:tc>
        <w:tc>
          <w:tcPr>
            <w:tcW w:w="1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Borders>
              <w:top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9"/>
                <w:szCs w:val="9"/>
                <w:color w:val="auto"/>
              </w:rPr>
              <w:t>(Last)</w:t>
            </w:r>
          </w:p>
        </w:tc>
        <w:tc>
          <w:tcPr>
            <w:tcW w:w="1340" w:type="dxa"/>
            <w:vAlign w:val="bottom"/>
          </w:tcPr>
          <w:p>
            <w:pPr>
              <w:ind w:left="500"/>
              <w:spacing w:after="0"/>
              <w:rPr>
                <w:sz w:val="20"/>
                <w:szCs w:val="20"/>
                <w:color w:val="auto"/>
              </w:rPr>
            </w:pPr>
            <w:r>
              <w:rPr>
                <w:rFonts w:ascii="Arial" w:cs="Arial" w:eastAsia="Arial" w:hAnsi="Arial"/>
                <w:sz w:val="9"/>
                <w:szCs w:val="9"/>
                <w:color w:val="auto"/>
              </w:rPr>
              <w:t>(First)</w:t>
            </w:r>
          </w:p>
        </w:tc>
        <w:tc>
          <w:tcPr>
            <w:tcW w:w="1720" w:type="dxa"/>
            <w:vAlign w:val="bottom"/>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3. Date of Earliest Transaction (Month/Day/Year)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140" w:type="dxa"/>
            <w:vAlign w:val="bottom"/>
            <w:gridSpan w:val="2"/>
            <w:vMerge w:val="restart"/>
          </w:tcPr>
          <w:p>
            <w:pPr>
              <w:spacing w:after="0"/>
              <w:rPr>
                <w:sz w:val="20"/>
                <w:szCs w:val="20"/>
                <w:color w:val="auto"/>
              </w:rPr>
            </w:pPr>
            <w:r>
              <w:rPr>
                <w:rFonts w:ascii="Arial" w:cs="Arial" w:eastAsia="Arial" w:hAnsi="Arial"/>
                <w:sz w:val="12"/>
                <w:szCs w:val="12"/>
                <w:color w:val="0000FF"/>
              </w:rPr>
              <w:t>333 CLAY STREET, # 1600</w:t>
            </w:r>
          </w:p>
        </w:tc>
        <w:tc>
          <w:tcPr>
            <w:tcW w:w="1720" w:type="dxa"/>
            <w:vAlign w:val="bottom"/>
          </w:tcPr>
          <w:p>
            <w:pPr>
              <w:spacing w:after="0"/>
              <w:rPr>
                <w:sz w:val="12"/>
                <w:szCs w:val="12"/>
                <w:color w:val="auto"/>
              </w:rPr>
            </w:pPr>
          </w:p>
        </w:tc>
        <w:tc>
          <w:tcPr>
            <w:tcW w:w="2600" w:type="dxa"/>
            <w:vAlign w:val="bottom"/>
            <w:gridSpan w:val="3"/>
          </w:tcPr>
          <w:p>
            <w:pPr>
              <w:ind w:left="120"/>
              <w:spacing w:after="0"/>
              <w:rPr>
                <w:sz w:val="20"/>
                <w:szCs w:val="20"/>
                <w:color w:val="auto"/>
              </w:rPr>
            </w:pPr>
            <w:r>
              <w:rPr>
                <w:rFonts w:ascii="Arial" w:cs="Arial" w:eastAsia="Arial" w:hAnsi="Arial"/>
                <w:sz w:val="12"/>
                <w:szCs w:val="12"/>
                <w:color w:val="0000FF"/>
              </w:rPr>
              <w:t>11/15/2016</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1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 - Commercial Activities</w:t>
      </w:r>
    </w:p>
    <w:p>
      <w:pPr>
        <w:spacing w:after="0" w:line="354"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2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40" w:type="dxa"/>
            <w:vAlign w:val="bottom"/>
            <w:gridSpan w:val="7"/>
          </w:tcPr>
          <w:p>
            <w:pPr>
              <w:ind w:left="120"/>
              <w:spacing w:after="0"/>
              <w:rPr>
                <w:sz w:val="20"/>
                <w:szCs w:val="20"/>
                <w:color w:val="auto"/>
              </w:rPr>
            </w:pPr>
            <w:r>
              <w:rPr>
                <w:rFonts w:ascii="Arial" w:cs="Arial" w:eastAsia="Arial" w:hAnsi="Arial"/>
                <w:sz w:val="9"/>
                <w:szCs w:val="9"/>
                <w:color w:val="auto"/>
              </w:rPr>
              <w:t>4. If Amendment, Date of Original Filed (Month/Day/Year)</w:t>
            </w:r>
          </w:p>
        </w:tc>
        <w:tc>
          <w:tcPr>
            <w:tcW w:w="1000" w:type="dxa"/>
            <w:vAlign w:val="bottom"/>
          </w:tcPr>
          <w:p>
            <w:pPr>
              <w:spacing w:after="0"/>
              <w:rPr>
                <w:sz w:val="10"/>
                <w:szCs w:val="10"/>
                <w:color w:val="auto"/>
              </w:rPr>
            </w:pPr>
          </w:p>
        </w:tc>
        <w:tc>
          <w:tcPr>
            <w:tcW w:w="2960" w:type="dxa"/>
            <w:vAlign w:val="bottom"/>
            <w:gridSpan w:val="7"/>
          </w:tcPr>
          <w:p>
            <w:pPr>
              <w:ind w:left="38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HOUSTON</w:t>
            </w:r>
          </w:p>
        </w:tc>
        <w:tc>
          <w:tcPr>
            <w:tcW w:w="720" w:type="dxa"/>
            <w:vAlign w:val="bottom"/>
          </w:tcPr>
          <w:p>
            <w:pPr>
              <w:ind w:left="60"/>
              <w:spacing w:after="0"/>
              <w:rPr>
                <w:sz w:val="20"/>
                <w:szCs w:val="20"/>
                <w:color w:val="auto"/>
              </w:rPr>
            </w:pPr>
            <w:r>
              <w:rPr>
                <w:rFonts w:ascii="Arial" w:cs="Arial" w:eastAsia="Arial" w:hAnsi="Arial"/>
                <w:sz w:val="12"/>
                <w:szCs w:val="12"/>
                <w:color w:val="0000FF"/>
              </w:rPr>
              <w:t>TX</w:t>
            </w:r>
          </w:p>
        </w:tc>
        <w:tc>
          <w:tcPr>
            <w:tcW w:w="1440" w:type="dxa"/>
            <w:vAlign w:val="bottom"/>
            <w:gridSpan w:val="2"/>
          </w:tcPr>
          <w:p>
            <w:pPr>
              <w:ind w:left="620"/>
              <w:spacing w:after="0"/>
              <w:rPr>
                <w:sz w:val="20"/>
                <w:szCs w:val="20"/>
                <w:color w:val="auto"/>
              </w:rPr>
            </w:pPr>
            <w:r>
              <w:rPr>
                <w:rFonts w:ascii="Arial" w:cs="Arial" w:eastAsia="Arial" w:hAnsi="Arial"/>
                <w:sz w:val="12"/>
                <w:szCs w:val="12"/>
                <w:color w:val="0000FF"/>
              </w:rPr>
              <w:t>77002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gridSpan w:val="2"/>
          </w:tcPr>
          <w:p>
            <w:pPr>
              <w:ind w:left="62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240" w:type="dxa"/>
            <w:vAlign w:val="bottom"/>
            <w:vMerge w:val="restart"/>
          </w:tcPr>
          <w:p>
            <w:pPr>
              <w:spacing w:after="0"/>
              <w:rPr>
                <w:sz w:val="20"/>
                <w:szCs w:val="20"/>
                <w:color w:val="auto"/>
              </w:rPr>
            </w:pPr>
            <w:r>
              <w:rPr>
                <w:rFonts w:ascii="Arial" w:cs="Arial" w:eastAsia="Arial" w:hAnsi="Arial"/>
                <w:sz w:val="9"/>
                <w:szCs w:val="9"/>
                <w:color w:val="auto"/>
              </w:rPr>
              <w:t>(City)</w:t>
            </w:r>
          </w:p>
        </w:tc>
        <w:tc>
          <w:tcPr>
            <w:tcW w:w="720" w:type="dxa"/>
            <w:vAlign w:val="bottom"/>
            <w:vMerge w:val="restart"/>
          </w:tcPr>
          <w:p>
            <w:pPr>
              <w:ind w:left="60"/>
              <w:spacing w:after="0"/>
              <w:rPr>
                <w:sz w:val="20"/>
                <w:szCs w:val="20"/>
                <w:color w:val="auto"/>
              </w:rPr>
            </w:pPr>
            <w:r>
              <w:rPr>
                <w:rFonts w:ascii="Arial" w:cs="Arial" w:eastAsia="Arial" w:hAnsi="Arial"/>
                <w:sz w:val="9"/>
                <w:szCs w:val="9"/>
                <w:color w:val="auto"/>
              </w:rPr>
              <w:t>(State)</w:t>
            </w:r>
          </w:p>
        </w:tc>
        <w:tc>
          <w:tcPr>
            <w:tcW w:w="820" w:type="dxa"/>
            <w:vAlign w:val="bottom"/>
            <w:vMerge w:val="restart"/>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202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gridSpan w:val="4"/>
          </w:tcPr>
          <w:p>
            <w:pPr>
              <w:spacing w:after="0"/>
              <w:rPr>
                <w:sz w:val="6"/>
                <w:szCs w:val="6"/>
                <w:color w:val="auto"/>
              </w:rPr>
            </w:pPr>
          </w:p>
        </w:tc>
        <w:tc>
          <w:tcPr>
            <w:tcW w:w="2920" w:type="dxa"/>
            <w:vAlign w:val="bottom"/>
            <w:tcBorders>
              <w:bottom w:val="single" w:sz="8" w:color="2C2C2C"/>
            </w:tcBorders>
            <w:gridSpan w:val="6"/>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2"/>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4"/>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1520" w:type="dxa"/>
            <w:vAlign w:val="bottom"/>
            <w:gridSpan w:val="2"/>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2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320" w:type="dxa"/>
            <w:vAlign w:val="bottom"/>
          </w:tcPr>
          <w:p>
            <w:pPr>
              <w:jc w:val="right"/>
              <w:ind w:right="81"/>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80"/>
              <w:spacing w:after="0"/>
              <w:rPr>
                <w:sz w:val="20"/>
                <w:szCs w:val="20"/>
                <w:color w:val="auto"/>
              </w:rPr>
            </w:pPr>
            <w:r>
              <w:rPr>
                <w:rFonts w:ascii="Arial" w:cs="Arial" w:eastAsia="Arial" w:hAnsi="Arial"/>
                <w:sz w:val="8"/>
                <w:szCs w:val="8"/>
                <w:b w:val="1"/>
                <w:bCs w:val="1"/>
                <w:color w:val="auto"/>
              </w:rPr>
              <w:t>Amount</w:t>
            </w:r>
          </w:p>
        </w:tc>
        <w:tc>
          <w:tcPr>
            <w:tcW w:w="1000" w:type="dxa"/>
            <w:vAlign w:val="bottom"/>
          </w:tcPr>
          <w:p>
            <w:pPr>
              <w:ind w:left="5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920" w:type="dxa"/>
            <w:vAlign w:val="bottom"/>
            <w:tcBorders>
              <w:bottom w:val="single" w:sz="8" w:color="2C2C2C"/>
            </w:tcBorders>
            <w:gridSpan w:val="6"/>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1"/>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40" w:type="dxa"/>
            <w:vAlign w:val="bottom"/>
            <w:gridSpan w:val="8"/>
          </w:tcPr>
          <w:p>
            <w:pPr>
              <w:jc w:val="center"/>
              <w:ind w:right="119"/>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3"/>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20" w:type="dxa"/>
            <w:vAlign w:val="bottom"/>
          </w:tcPr>
          <w:p>
            <w:pPr>
              <w:ind w:left="22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50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20" w:type="dxa"/>
            <w:vAlign w:val="bottom"/>
          </w:tcPr>
          <w:p>
            <w:pPr>
              <w:ind w:left="22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20" w:type="dxa"/>
            <w:vAlign w:val="bottom"/>
          </w:tcPr>
          <w:p>
            <w:pPr>
              <w:ind w:left="22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50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20" w:type="dxa"/>
            <w:vAlign w:val="bottom"/>
          </w:tcPr>
          <w:p>
            <w:pPr>
              <w:ind w:left="22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20" w:type="dxa"/>
            <w:vAlign w:val="bottom"/>
          </w:tcPr>
          <w:p>
            <w:pPr>
              <w:ind w:left="220"/>
              <w:spacing w:after="0" w:line="66"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6"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1000" w:type="dxa"/>
            <w:vAlign w:val="bottom"/>
          </w:tcPr>
          <w:p>
            <w:pPr>
              <w:spacing w:after="0"/>
              <w:rPr>
                <w:sz w:val="7"/>
                <w:szCs w:val="7"/>
                <w:color w:val="auto"/>
              </w:rPr>
            </w:pPr>
          </w:p>
        </w:tc>
        <w:tc>
          <w:tcPr>
            <w:tcW w:w="76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500" w:type="dxa"/>
            <w:vAlign w:val="bottom"/>
          </w:tcPr>
          <w:p>
            <w:pPr>
              <w:ind w:left="12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1600" w:type="dxa"/>
            <w:vAlign w:val="bottom"/>
            <w:gridSpan w:val="4"/>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320" w:type="dxa"/>
            <w:vAlign w:val="bottom"/>
            <w:gridSpan w:val="2"/>
          </w:tcPr>
          <w:p>
            <w:pPr>
              <w:ind w:left="40"/>
              <w:spacing w:after="0"/>
              <w:rPr>
                <w:sz w:val="20"/>
                <w:szCs w:val="20"/>
                <w:color w:val="auto"/>
              </w:rPr>
            </w:pPr>
            <w:r>
              <w:rPr>
                <w:rFonts w:ascii="Arial" w:cs="Arial" w:eastAsia="Arial" w:hAnsi="Arial"/>
                <w:sz w:val="9"/>
                <w:szCs w:val="9"/>
                <w:color w:val="0000FF"/>
                <w:w w:val="93"/>
              </w:rPr>
              <w:t>Class B Shares/Class A Units/GP</w:t>
            </w:r>
          </w:p>
        </w:tc>
        <w:tc>
          <w:tcPr>
            <w:tcW w:w="720" w:type="dxa"/>
            <w:vAlign w:val="bottom"/>
            <w:vMerge w:val="restart"/>
          </w:tcPr>
          <w:p>
            <w:pPr>
              <w:ind w:left="40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820" w:type="dxa"/>
            <w:vAlign w:val="bottom"/>
            <w:vMerge w:val="restart"/>
          </w:tcPr>
          <w:p>
            <w:pPr>
              <w:ind w:left="180"/>
              <w:spacing w:after="0"/>
              <w:rPr>
                <w:sz w:val="20"/>
                <w:szCs w:val="20"/>
                <w:color w:val="auto"/>
              </w:rPr>
            </w:pPr>
            <w:r>
              <w:rPr>
                <w:rFonts w:ascii="Arial" w:cs="Arial" w:eastAsia="Arial" w:hAnsi="Arial"/>
                <w:sz w:val="9"/>
                <w:szCs w:val="9"/>
                <w:color w:val="0000FF"/>
              </w:rPr>
              <w:t>11/15/2016</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ind w:left="120"/>
              <w:spacing w:after="0"/>
              <w:rPr>
                <w:sz w:val="20"/>
                <w:szCs w:val="20"/>
                <w:color w:val="auto"/>
              </w:rPr>
            </w:pPr>
            <w:r>
              <w:rPr>
                <w:rFonts w:ascii="Arial" w:cs="Arial" w:eastAsia="Arial" w:hAnsi="Arial"/>
                <w:sz w:val="18"/>
                <w:szCs w:val="18"/>
                <w:color w:val="0000FF"/>
                <w:w w:val="93"/>
                <w:vertAlign w:val="subscript"/>
              </w:rPr>
              <w:t>J</w:t>
            </w:r>
            <w:r>
              <w:rPr>
                <w:rFonts w:ascii="Arial" w:cs="Arial" w:eastAsia="Arial" w:hAnsi="Arial"/>
                <w:sz w:val="8"/>
                <w:szCs w:val="8"/>
                <w:color w:val="008000"/>
                <w:w w:val="93"/>
              </w:rPr>
              <w:t>(1)(2)</w:t>
            </w:r>
          </w:p>
        </w:tc>
        <w:tc>
          <w:tcPr>
            <w:tcW w:w="500" w:type="dxa"/>
            <w:vAlign w:val="bottom"/>
          </w:tcPr>
          <w:p>
            <w:pPr>
              <w:spacing w:after="0"/>
              <w:rPr>
                <w:sz w:val="10"/>
                <w:szCs w:val="10"/>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9"/>
                <w:szCs w:val="9"/>
                <w:color w:val="0000FF"/>
              </w:rPr>
              <w:t>344,451</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8"/>
                <w:szCs w:val="8"/>
                <w:color w:val="008000"/>
                <w:w w:val="81"/>
              </w:rPr>
              <w:t>(3)</w:t>
            </w:r>
          </w:p>
        </w:tc>
        <w:tc>
          <w:tcPr>
            <w:tcW w:w="520" w:type="dxa"/>
            <w:vAlign w:val="bottom"/>
            <w:vMerge w:val="restart"/>
          </w:tcPr>
          <w:p>
            <w:pPr>
              <w:ind w:left="220"/>
              <w:spacing w:after="0"/>
              <w:rPr>
                <w:sz w:val="20"/>
                <w:szCs w:val="20"/>
                <w:color w:val="auto"/>
              </w:rPr>
            </w:pPr>
            <w:r>
              <w:rPr>
                <w:rFonts w:ascii="Arial" w:cs="Arial" w:eastAsia="Arial" w:hAnsi="Arial"/>
                <w:sz w:val="8"/>
                <w:szCs w:val="8"/>
                <w:color w:val="008000"/>
              </w:rPr>
              <w:t>(3)</w:t>
            </w:r>
          </w:p>
        </w:tc>
        <w:tc>
          <w:tcPr>
            <w:tcW w:w="1000" w:type="dxa"/>
            <w:vAlign w:val="bottom"/>
            <w:vMerge w:val="restart"/>
          </w:tcPr>
          <w:p>
            <w:pPr>
              <w:ind w:left="280"/>
              <w:spacing w:after="0"/>
              <w:rPr>
                <w:sz w:val="20"/>
                <w:szCs w:val="20"/>
                <w:color w:val="auto"/>
              </w:rPr>
            </w:pPr>
            <w:r>
              <w:rPr>
                <w:rFonts w:ascii="Arial" w:cs="Arial" w:eastAsia="Arial" w:hAnsi="Arial"/>
                <w:sz w:val="9"/>
                <w:szCs w:val="9"/>
                <w:color w:val="0000FF"/>
              </w:rPr>
              <w:t>Common Units</w:t>
            </w:r>
          </w:p>
        </w:tc>
        <w:tc>
          <w:tcPr>
            <w:tcW w:w="740" w:type="dxa"/>
            <w:vAlign w:val="bottom"/>
            <w:vMerge w:val="restart"/>
          </w:tcPr>
          <w:p>
            <w:pPr>
              <w:ind w:left="340"/>
              <w:spacing w:after="0"/>
              <w:rPr>
                <w:sz w:val="20"/>
                <w:szCs w:val="20"/>
                <w:color w:val="auto"/>
              </w:rPr>
            </w:pPr>
            <w:r>
              <w:rPr>
                <w:rFonts w:ascii="Arial" w:cs="Arial" w:eastAsia="Arial" w:hAnsi="Arial"/>
                <w:sz w:val="12"/>
                <w:szCs w:val="12"/>
                <w:color w:val="0000FF"/>
                <w:w w:val="87"/>
              </w:rPr>
              <w:t>344,451</w:t>
            </w:r>
          </w:p>
        </w:tc>
        <w:tc>
          <w:tcPr>
            <w:tcW w:w="20" w:type="dxa"/>
            <w:vAlign w:val="bottom"/>
          </w:tcPr>
          <w:p>
            <w:pPr>
              <w:spacing w:after="0"/>
              <w:rPr>
                <w:sz w:val="10"/>
                <w:szCs w:val="10"/>
                <w:color w:val="auto"/>
              </w:rPr>
            </w:pPr>
          </w:p>
        </w:tc>
        <w:tc>
          <w:tcPr>
            <w:tcW w:w="840" w:type="dxa"/>
            <w:vAlign w:val="bottom"/>
            <w:gridSpan w:val="2"/>
            <w:vMerge w:val="restart"/>
          </w:tcPr>
          <w:p>
            <w:pPr>
              <w:ind w:left="46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740" w:type="dxa"/>
            <w:vAlign w:val="bottom"/>
            <w:gridSpan w:val="2"/>
            <w:vMerge w:val="restart"/>
          </w:tcPr>
          <w:p>
            <w:pPr>
              <w:ind w:left="120"/>
              <w:spacing w:after="0"/>
              <w:rPr>
                <w:sz w:val="20"/>
                <w:szCs w:val="20"/>
                <w:color w:val="auto"/>
              </w:rPr>
            </w:pPr>
            <w:r>
              <w:rPr>
                <w:rFonts w:ascii="Arial" w:cs="Arial" w:eastAsia="Arial" w:hAnsi="Arial"/>
                <w:sz w:val="9"/>
                <w:szCs w:val="9"/>
                <w:color w:val="0000FF"/>
              </w:rPr>
              <w:t>344,451</w:t>
            </w:r>
            <w:r>
              <w:rPr>
                <w:rFonts w:ascii="Arial" w:cs="Arial" w:eastAsia="Arial" w:hAnsi="Arial"/>
                <w:sz w:val="15"/>
                <w:szCs w:val="15"/>
                <w:color w:val="008000"/>
                <w:vertAlign w:val="superscript"/>
              </w:rPr>
              <w:t>(1)(2)</w:t>
            </w:r>
          </w:p>
        </w:tc>
        <w:tc>
          <w:tcPr>
            <w:tcW w:w="620" w:type="dxa"/>
            <w:vAlign w:val="bottom"/>
            <w:vMerge w:val="restart"/>
          </w:tcPr>
          <w:p>
            <w:pPr>
              <w:ind w:left="280"/>
              <w:spacing w:after="0"/>
              <w:rPr>
                <w:sz w:val="20"/>
                <w:szCs w:val="20"/>
                <w:color w:val="auto"/>
              </w:rPr>
            </w:pPr>
            <w:r>
              <w:rPr>
                <w:rFonts w:ascii="Arial" w:cs="Arial" w:eastAsia="Arial" w:hAnsi="Arial"/>
                <w:sz w:val="9"/>
                <w:szCs w:val="9"/>
                <w:color w:val="0000FF"/>
              </w:rPr>
              <w:t>I</w:t>
            </w:r>
          </w:p>
        </w:tc>
        <w:tc>
          <w:tcPr>
            <w:tcW w:w="840" w:type="dxa"/>
            <w:vAlign w:val="bottom"/>
            <w:gridSpan w:val="2"/>
            <w:vMerge w:val="restart"/>
          </w:tcPr>
          <w:p>
            <w:pPr>
              <w:ind w:left="80"/>
              <w:spacing w:after="0"/>
              <w:rPr>
                <w:sz w:val="20"/>
                <w:szCs w:val="20"/>
                <w:color w:val="auto"/>
              </w:rPr>
            </w:pPr>
            <w:r>
              <w:rPr>
                <w:rFonts w:ascii="Arial" w:cs="Arial" w:eastAsia="Arial" w:hAnsi="Arial"/>
                <w:sz w:val="9"/>
                <w:szCs w:val="9"/>
                <w:color w:val="0000FF"/>
                <w:w w:val="97"/>
              </w:rPr>
              <w:t>See footnote (1)(2)</w:t>
            </w:r>
          </w:p>
        </w:tc>
        <w:tc>
          <w:tcPr>
            <w:tcW w:w="0" w:type="dxa"/>
            <w:vAlign w:val="bottom"/>
          </w:tcPr>
          <w:p>
            <w:pPr>
              <w:spacing w:after="0"/>
              <w:rPr>
                <w:sz w:val="1"/>
                <w:szCs w:val="1"/>
                <w:color w:val="auto"/>
              </w:rPr>
            </w:pPr>
          </w:p>
        </w:tc>
      </w:tr>
      <w:tr>
        <w:trPr>
          <w:trHeight w:val="88"/>
        </w:trPr>
        <w:tc>
          <w:tcPr>
            <w:tcW w:w="1320" w:type="dxa"/>
            <w:vAlign w:val="bottom"/>
            <w:gridSpan w:val="2"/>
            <w:vMerge w:val="restart"/>
          </w:tcPr>
          <w:p>
            <w:pPr>
              <w:ind w:left="40"/>
              <w:spacing w:after="0"/>
              <w:rPr>
                <w:sz w:val="20"/>
                <w:szCs w:val="20"/>
                <w:color w:val="auto"/>
              </w:rPr>
            </w:pPr>
            <w:r>
              <w:rPr>
                <w:rFonts w:ascii="Arial" w:cs="Arial" w:eastAsia="Arial" w:hAnsi="Arial"/>
                <w:sz w:val="9"/>
                <w:szCs w:val="9"/>
                <w:color w:val="0000FF"/>
              </w:rPr>
              <w:t>Units</w:t>
            </w: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32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right="60" w:hanging="1"/>
        <w:spacing w:after="0" w:line="242"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limited partnership agreement of Plains AAP, L.P. ("AAP") was amended and restated on November 15, 2016 to provide, among other things, that each limited partner of AAP holding Class A Units, including the Reporting Person, will have the right, subject to certain limitations, to redeem its Class A Units in AAP (the "Class A Units"), for common units ("Common Units") of Plains All American Pipeline, L.P. (the "Issuer") held by AAP on a one-for-one basis, by delivering such Class A Units to Plains AAP along with the associated Class B Shares (the "Class B Shares") in Plains GP Holdings, L.P. ("PAGP") and GP Units (the "GP Units") in PAA GP Holdings LLC (if applicable), to PAGP (the "Redemption Right").</w:t>
      </w:r>
    </w:p>
    <w:p>
      <w:pPr>
        <w:spacing w:after="0" w:line="20" w:lineRule="exact"/>
        <w:rPr>
          <w:rFonts w:ascii="Arial" w:cs="Arial" w:eastAsia="Arial" w:hAnsi="Arial"/>
          <w:sz w:val="9"/>
          <w:szCs w:val="9"/>
          <w:color w:val="008000"/>
        </w:rPr>
      </w:pPr>
    </w:p>
    <w:p>
      <w:pPr>
        <w:ind w:left="20" w:right="540" w:hanging="1"/>
        <w:spacing w:after="0" w:line="305" w:lineRule="auto"/>
        <w:tabs>
          <w:tab w:leader="none" w:pos="110" w:val="left"/>
        </w:tabs>
        <w:numPr>
          <w:ilvl w:val="0"/>
          <w:numId w:val="2"/>
        </w:numPr>
        <w:rPr>
          <w:rFonts w:ascii="Arial" w:cs="Arial" w:eastAsia="Arial" w:hAnsi="Arial"/>
          <w:sz w:val="8"/>
          <w:szCs w:val="8"/>
          <w:color w:val="008000"/>
        </w:rPr>
      </w:pPr>
      <w:r>
        <w:rPr>
          <w:rFonts w:ascii="Arial" w:cs="Arial" w:eastAsia="Arial" w:hAnsi="Arial"/>
          <w:sz w:val="8"/>
          <w:szCs w:val="8"/>
          <w:color w:val="008000"/>
        </w:rPr>
        <w:t>PAA Management, L.P. ("PAA Management") is a limited partner of AAP and may from time to time exercise the Redemption Right with respect to its Class A Units. The Reporting Person is a member of PAA Management LLC, the general partner of PAA Management, and a limited partner of PAA Management. Therefore he may be deemed to be a beneficial owner of the interests held by PAA Management. The Reporting Person disclaims beneficial ownership of the securities held by PAA Management, except to the extent of his pecuniary interest therein.</w:t>
      </w:r>
    </w:p>
    <w:p>
      <w:pPr>
        <w:ind w:left="20" w:right="400" w:hanging="1"/>
        <w:spacing w:after="0" w:line="299" w:lineRule="auto"/>
        <w:tabs>
          <w:tab w:leader="none" w:pos="110" w:val="left"/>
        </w:tabs>
        <w:numPr>
          <w:ilvl w:val="0"/>
          <w:numId w:val="2"/>
        </w:numPr>
        <w:rPr>
          <w:rFonts w:ascii="Arial" w:cs="Arial" w:eastAsia="Arial" w:hAnsi="Arial"/>
          <w:sz w:val="8"/>
          <w:szCs w:val="8"/>
          <w:color w:val="008000"/>
        </w:rPr>
      </w:pPr>
      <w:r>
        <w:rPr>
          <w:rFonts w:ascii="Arial" w:cs="Arial" w:eastAsia="Arial" w:hAnsi="Arial"/>
          <w:sz w:val="8"/>
          <w:szCs w:val="8"/>
          <w:color w:val="008000"/>
        </w:rPr>
        <w:t>Pursuant to the limited partnership agreement of AAP, prior to November 15, 2017, PAA Management may not exercise its Redemption Right with respect to Class A Units attributable to the interest of the Reporting Person if such exercise would result in the redemption (taken together with any previous redemptions attributable to the interest of the Reporting Person) of more than 78% of the Class A Units attributable to the Reporting Person through PAA Management as of November 15, 2016. Pursuant to the limited partnership agreement of AAP, the Redemption Right does not expire.</w:t>
      </w: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John vonBerg</w:t>
            </w:r>
          </w:p>
        </w:tc>
        <w:tc>
          <w:tcPr>
            <w:tcW w:w="540" w:type="dxa"/>
            <w:vAlign w:val="bottom"/>
          </w:tcPr>
          <w:p>
            <w:pPr>
              <w:spacing w:after="0"/>
              <w:rPr>
                <w:sz w:val="20"/>
                <w:szCs w:val="20"/>
                <w:color w:val="auto"/>
              </w:rPr>
            </w:pPr>
            <w:r>
              <w:rPr>
                <w:rFonts w:ascii="Arial" w:cs="Arial" w:eastAsia="Arial" w:hAnsi="Arial"/>
                <w:sz w:val="12"/>
                <w:szCs w:val="12"/>
                <w:color w:val="0000FF"/>
                <w:w w:val="86"/>
              </w:rPr>
              <w:t>11/17/2016</w:t>
            </w:r>
          </w:p>
        </w:tc>
      </w:tr>
      <w:tr>
        <w:trPr>
          <w:trHeight w:val="20"/>
        </w:trPr>
        <w:tc>
          <w:tcPr>
            <w:tcW w:w="7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with</w:t>
      </w:r>
    </w:p>
    <w:p>
      <w:pPr>
        <w:spacing w:after="0" w:line="146" w:lineRule="exact"/>
        <w:rPr>
          <w:sz w:val="20"/>
          <w:szCs w:val="20"/>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All American GP LLC, the general partner of</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ind w:left="68" w:hanging="68"/>
        <w:spacing w:after="0" w:line="474" w:lineRule="auto"/>
        <w:tabs>
          <w:tab w:leader="none" w:pos="279"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17th day of November,2016,</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John vonBerg</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39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2020-01-19T09:52:34Z</dcterms:created>
  <dcterms:modified xsi:type="dcterms:W3CDTF">2020-01-19T09:52:34Z</dcterms:modified>
</cp:coreProperties>
</file>