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02/04/2020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560" w:type="dxa"/>
            <w:vAlign w:val="bottom"/>
            <w:tcBorders>
              <w:right w:val="single" w:sz="8" w:color="9A9A9A"/>
            </w:tcBorders>
            <w:shd w:val="clear" w:color="auto" w:fill="9A9A9A"/>
          </w:tcPr>
          <w:p>
            <w:pPr>
              <w:spacing w:after="0"/>
              <w:rPr>
                <w:sz w:val="2"/>
                <w:szCs w:val="2"/>
                <w:color w:val="auto"/>
              </w:rPr>
            </w:pPr>
          </w:p>
        </w:tc>
        <w:tc>
          <w:tcPr>
            <w:tcW w:w="3880" w:type="dxa"/>
            <w:vAlign w:val="bottom"/>
            <w:gridSpan w:val="9"/>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80" w:type="dxa"/>
            <w:vAlign w:val="bottom"/>
            <w:gridSpan w:val="9"/>
            <w:vMerge w:val="continue"/>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0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256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7"/>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9"/>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98"/>
              <w:spacing w:after="0"/>
              <w:rPr>
                <w:sz w:val="20"/>
                <w:szCs w:val="20"/>
                <w:color w:val="auto"/>
              </w:rPr>
            </w:pPr>
            <w:r>
              <w:rPr>
                <w:rFonts w:ascii="Arial" w:cs="Arial" w:eastAsia="Arial" w:hAnsi="Arial"/>
                <w:sz w:val="18"/>
                <w:szCs w:val="18"/>
                <w:color w:val="0000FF"/>
              </w:rPr>
              <w:t>02/04/2020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760" w:type="dxa"/>
            <w:vAlign w:val="bottom"/>
            <w:vMerge w:val="restart"/>
          </w:tcPr>
          <w:p>
            <w:pPr>
              <w:ind w:left="200"/>
              <w:spacing w:after="0"/>
              <w:rPr>
                <w:sz w:val="20"/>
                <w:szCs w:val="20"/>
                <w:color w:val="auto"/>
              </w:rPr>
            </w:pPr>
            <w:r>
              <w:rPr>
                <w:rFonts w:ascii="Arial" w:cs="Arial" w:eastAsia="Arial" w:hAnsi="Arial"/>
                <w:sz w:val="18"/>
                <w:szCs w:val="18"/>
                <w:color w:val="0000FF"/>
                <w:w w:val="82"/>
              </w:rPr>
              <w:t>918,539</w:t>
            </w:r>
          </w:p>
        </w:tc>
        <w:tc>
          <w:tcPr>
            <w:tcW w:w="68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640" w:type="dxa"/>
            <w:vAlign w:val="bottom"/>
            <w:gridSpan w:val="2"/>
            <w:vMerge w:val="restart"/>
          </w:tcPr>
          <w:p>
            <w:pPr>
              <w:jc w:val="right"/>
              <w:ind w:right="34"/>
              <w:spacing w:after="0" w:line="386" w:lineRule="exact"/>
              <w:rPr>
                <w:sz w:val="20"/>
                <w:szCs w:val="20"/>
                <w:color w:val="auto"/>
              </w:rPr>
            </w:pPr>
            <w:r>
              <w:rPr>
                <w:rFonts w:ascii="Arial" w:cs="Arial" w:eastAsia="Arial" w:hAnsi="Arial"/>
                <w:sz w:val="35"/>
                <w:szCs w:val="35"/>
                <w:color w:val="000000"/>
                <w:w w:val="98"/>
                <w:vertAlign w:val="subscript"/>
              </w:rPr>
              <w:t>$</w:t>
            </w:r>
            <w:r>
              <w:rPr>
                <w:rFonts w:ascii="Arial" w:cs="Arial" w:eastAsia="Arial" w:hAnsi="Arial"/>
                <w:sz w:val="35"/>
                <w:szCs w:val="35"/>
                <w:color w:val="0000FF"/>
                <w:w w:val="98"/>
                <w:vertAlign w:val="subscript"/>
              </w:rPr>
              <w:t>0</w:t>
            </w:r>
            <w:r>
              <w:rPr>
                <w:rFonts w:ascii="Arial" w:cs="Arial" w:eastAsia="Arial" w:hAnsi="Arial"/>
                <w:sz w:val="11"/>
                <w:szCs w:val="11"/>
                <w:color w:val="008000"/>
                <w:w w:val="98"/>
              </w:rPr>
              <w:t>(1)(2)</w:t>
            </w: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248,524,162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40" w:type="dxa"/>
            <w:vAlign w:val="bottom"/>
            <w:gridSpan w:val="9"/>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6"/>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13"/>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Plains All American GP LLC</w:t>
              </w:r>
            </w:hyperlink>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31" w:lineRule="exact"/>
        <w:rPr>
          <w:rFonts w:ascii="Arial" w:cs="Arial" w:eastAsia="Arial" w:hAnsi="Arial"/>
          <w:sz w:val="14"/>
          <w:szCs w:val="14"/>
          <w:color w:val="008000"/>
        </w:rPr>
      </w:pPr>
    </w:p>
    <w:p>
      <w:pPr>
        <w:ind w:left="20" w:right="2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Effective February 4, 2020, various limited partners of AAP exercised the Redemption Right with respect to an aggregate 918,539 AAP Class A units, resulting in the cancellation of such AAP Class A units and the distribution of 918,539 Common Units from AAP to the redeeming partners.</w:t>
      </w:r>
    </w:p>
    <w:p>
      <w:pPr>
        <w:spacing w:after="0" w:line="30" w:lineRule="exact"/>
        <w:rPr>
          <w:rFonts w:ascii="Arial" w:cs="Arial" w:eastAsia="Arial" w:hAnsi="Arial"/>
          <w:sz w:val="14"/>
          <w:szCs w:val="14"/>
          <w:color w:val="008000"/>
        </w:rPr>
      </w:pPr>
    </w:p>
    <w:p>
      <w:pPr>
        <w:ind w:left="20" w:right="16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02/04/2020</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2020-02-04T17:51:47Z</dcterms:created>
  <dcterms:modified xsi:type="dcterms:W3CDTF">2020-02-04T17:51:47Z</dcterms:modified>
</cp:coreProperties>
</file>