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SECURITIES AND EXCHANGE COMMISSION</w:t>
      </w:r>
    </w:p>
    <w:p>
      <w:pPr>
        <w:ind w:left="47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SCHEDULE 13D/A</w:t>
      </w:r>
    </w:p>
    <w:p>
      <w:pPr>
        <w:spacing w:after="0" w:line="22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(Amendment No. 3)</w:t>
      </w:r>
    </w:p>
    <w:p>
      <w:pPr>
        <w:spacing w:after="0" w:line="234"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PAA Natural Gas Storage, L.P.</w:t>
      </w:r>
    </w:p>
    <w:p>
      <w:pPr>
        <w:spacing w:after="0" w:line="5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Common Units Representing Limited Partner Interests</w:t>
      </w:r>
    </w:p>
    <w:p>
      <w:pPr>
        <w:spacing w:after="0" w:line="40"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693139107</w:t>
      </w:r>
    </w:p>
    <w:p>
      <w:pPr>
        <w:spacing w:after="0" w:line="5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Richard McGee</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Plains All American GP LLC</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333 Clay Street, Suite 1600</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(713) 646-4100</w:t>
      </w:r>
    </w:p>
    <w:p>
      <w:pPr>
        <w:spacing w:after="0" w:line="35"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December 31, 2013</w:t>
      </w:r>
    </w:p>
    <w:p>
      <w:pPr>
        <w:spacing w:after="0" w:line="40"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2677160</wp:posOffset>
            </wp:positionH>
            <wp:positionV relativeFrom="paragraph">
              <wp:posOffset>220980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60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o</w:t>
      </w:r>
    </w:p>
    <w:p>
      <w:pPr>
        <w:spacing w:after="0" w:line="45" w:lineRule="exact"/>
        <w:rPr>
          <w:sz w:val="24"/>
          <w:szCs w:val="24"/>
          <w:color w:val="auto"/>
        </w:rPr>
      </w:pPr>
    </w:p>
    <w:p>
      <w:pPr>
        <w:ind w:left="600" w:right="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parties to whom copies are to be sent.</w:t>
      </w:r>
    </w:p>
    <w:p>
      <w:pPr>
        <w:spacing w:after="0" w:line="44" w:lineRule="exact"/>
        <w:rPr>
          <w:sz w:val="24"/>
          <w:szCs w:val="24"/>
          <w:color w:val="auto"/>
        </w:rPr>
      </w:pPr>
    </w:p>
    <w:p>
      <w:pPr>
        <w:ind w:left="600" w:right="240" w:hanging="4"/>
        <w:spacing w:after="0" w:line="267" w:lineRule="auto"/>
        <w:tabs>
          <w:tab w:leader="none" w:pos="700" w:val="left"/>
        </w:tabs>
        <w:numPr>
          <w:ilvl w:val="0"/>
          <w:numId w:val="1"/>
        </w:numPr>
        <w:rPr>
          <w:rFonts w:ascii="Arial" w:cs="Arial" w:eastAsia="Arial" w:hAnsi="Arial"/>
          <w:sz w:val="21"/>
          <w:szCs w:val="21"/>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40" w:lineRule="exact"/>
        <w:rPr>
          <w:sz w:val="24"/>
          <w:szCs w:val="24"/>
          <w:color w:val="auto"/>
        </w:rPr>
      </w:pPr>
    </w:p>
    <w:p>
      <w:pPr>
        <w:ind w:left="600" w:right="40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1"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218440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ind w:left="4920"/>
        <w:spacing w:after="0"/>
        <w:rPr>
          <w:sz w:val="20"/>
          <w:szCs w:val="20"/>
          <w:color w:val="auto"/>
        </w:rPr>
      </w:pPr>
      <w:r>
        <w:rPr>
          <w:rFonts w:ascii="Arial" w:cs="Arial" w:eastAsia="Arial" w:hAnsi="Arial"/>
          <w:sz w:val="18"/>
          <w:szCs w:val="18"/>
          <w:color w:val="auto"/>
        </w:rPr>
        <w:t>SCHEDULE 13D/A</w:t>
      </w: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color w:val="auto"/>
        </w:rPr>
        <w:t>CUSIP No. 693139107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92075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ind w:left="1040" w:hanging="646"/>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83185</wp:posOffset>
            </wp:positionV>
            <wp:extent cx="6586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1040" w:hanging="646"/>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6" w:lineRule="exact"/>
        <w:rPr>
          <w:sz w:val="24"/>
          <w:szCs w:val="24"/>
          <w:color w:val="auto"/>
        </w:rPr>
      </w:pPr>
    </w:p>
    <w:p>
      <w:pPr>
        <w:ind w:left="1040"/>
        <w:spacing w:after="0"/>
        <w:tabs>
          <w:tab w:leader="none" w:pos="20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1270635</wp:posOffset>
            </wp:positionH>
            <wp:positionV relativeFrom="paragraph">
              <wp:posOffset>40640</wp:posOffset>
            </wp:positionV>
            <wp:extent cx="5942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165" w:lineRule="exact"/>
        <w:rPr>
          <w:sz w:val="24"/>
          <w:szCs w:val="24"/>
          <w:color w:val="auto"/>
        </w:rPr>
      </w:pPr>
    </w:p>
    <w:p>
      <w:pPr>
        <w:ind w:left="1040"/>
        <w:spacing w:after="0"/>
        <w:tabs>
          <w:tab w:leader="none" w:pos="20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1270635</wp:posOffset>
            </wp:positionH>
            <wp:positionV relativeFrom="paragraph">
              <wp:posOffset>48895</wp:posOffset>
            </wp:positionV>
            <wp:extent cx="59429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1040" w:hanging="646"/>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92075</wp:posOffset>
            </wp:positionV>
            <wp:extent cx="658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1040" w:hanging="646"/>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OO (please see Item 3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83185</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0680"/>
          </w:cols>
          <w:pgMar w:left="300" w:top="436" w:right="919" w:bottom="0" w:gutter="0" w:footer="0" w:header="0"/>
        </w:sectPr>
      </w:pPr>
    </w:p>
    <w:bookmarkStart w:id="1" w:name="page2"/>
    <w:bookmarkEnd w:id="1"/>
    <w:p>
      <w:pPr>
        <w:ind w:left="460"/>
        <w:spacing w:after="0"/>
        <w:tabs>
          <w:tab w:leader="none" w:pos="1080" w:val="left"/>
          <w:tab w:leader="none" w:pos="738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99060</wp:posOffset>
            </wp:positionV>
            <wp:extent cx="65862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100" w:right="7700" w:hanging="646"/>
        <w:spacing w:after="0" w:line="342" w:lineRule="auto"/>
        <w:tabs>
          <w:tab w:leader="none" w:pos="11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27940</wp:posOffset>
            </wp:positionV>
            <wp:extent cx="65862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7</w:t>
            </w:r>
          </w:p>
        </w:tc>
        <w:tc>
          <w:tcPr>
            <w:tcW w:w="94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53,589,877 Common Units(1)</w:t>
            </w:r>
          </w:p>
        </w:tc>
        <w:tc>
          <w:tcPr>
            <w:tcW w:w="0" w:type="dxa"/>
            <w:vAlign w:val="bottom"/>
          </w:tcPr>
          <w:p>
            <w:pPr>
              <w:spacing w:after="0"/>
              <w:rPr>
                <w:sz w:val="1"/>
                <w:szCs w:val="1"/>
                <w:color w:val="auto"/>
              </w:rPr>
            </w:pPr>
          </w:p>
        </w:tc>
      </w:tr>
      <w:tr>
        <w:trPr>
          <w:trHeight w:val="122"/>
        </w:trPr>
        <w:tc>
          <w:tcPr>
            <w:tcW w:w="11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10"/>
                <w:szCs w:val="10"/>
                <w:color w:val="auto"/>
              </w:rPr>
            </w:pPr>
          </w:p>
        </w:tc>
        <w:tc>
          <w:tcPr>
            <w:tcW w:w="9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01"/>
        </w:trPr>
        <w:tc>
          <w:tcPr>
            <w:tcW w:w="1180" w:type="dxa"/>
            <w:vAlign w:val="bottom"/>
            <w:vMerge w:val="continue"/>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8</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spacing w:after="0"/>
              <w:rPr>
                <w:sz w:val="18"/>
                <w:szCs w:val="18"/>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176"/>
        </w:trPr>
        <w:tc>
          <w:tcPr>
            <w:tcW w:w="1180" w:type="dxa"/>
            <w:vAlign w:val="bottom"/>
          </w:tcPr>
          <w:p>
            <w:pPr>
              <w:spacing w:after="0" w:line="156" w:lineRule="exact"/>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15"/>
                <w:szCs w:val="15"/>
                <w:color w:val="auto"/>
              </w:rPr>
            </w:pPr>
          </w:p>
        </w:tc>
        <w:tc>
          <w:tcPr>
            <w:tcW w:w="9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20"/>
                <w:szCs w:val="20"/>
                <w:color w:val="auto"/>
              </w:rPr>
            </w:pPr>
          </w:p>
        </w:tc>
        <w:tc>
          <w:tcPr>
            <w:tcW w:w="9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vMerge w:val="restart"/>
          </w:tcPr>
          <w:p>
            <w:pPr>
              <w:ind w:left="300"/>
              <w:spacing w:after="0"/>
              <w:rPr>
                <w:sz w:val="20"/>
                <w:szCs w:val="20"/>
                <w:color w:val="auto"/>
              </w:rPr>
            </w:pPr>
            <w:r>
              <w:rPr>
                <w:rFonts w:ascii="Arial" w:cs="Arial" w:eastAsia="Arial" w:hAnsi="Arial"/>
                <w:sz w:val="18"/>
                <w:szCs w:val="18"/>
                <w:color w:val="auto"/>
              </w:rPr>
              <w:t>9</w:t>
            </w:r>
          </w:p>
        </w:tc>
        <w:tc>
          <w:tcPr>
            <w:tcW w:w="94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89"/>
        </w:trPr>
        <w:tc>
          <w:tcPr>
            <w:tcW w:w="1180" w:type="dxa"/>
            <w:vAlign w:val="bottom"/>
          </w:tcPr>
          <w:p>
            <w:pPr>
              <w:spacing w:after="0" w:line="189" w:lineRule="exact"/>
              <w:rPr>
                <w:sz w:val="20"/>
                <w:szCs w:val="20"/>
                <w:color w:val="auto"/>
              </w:rPr>
            </w:pPr>
            <w:r>
              <w:rPr>
                <w:rFonts w:ascii="Arial" w:cs="Arial" w:eastAsia="Arial" w:hAnsi="Arial"/>
                <w:sz w:val="18"/>
                <w:szCs w:val="18"/>
                <w:color w:val="auto"/>
              </w:rPr>
              <w:t>Reporting</w:t>
            </w:r>
          </w:p>
        </w:tc>
        <w:tc>
          <w:tcPr>
            <w:tcW w:w="740" w:type="dxa"/>
            <w:vAlign w:val="bottom"/>
            <w:vMerge w:val="continue"/>
          </w:tcPr>
          <w:p>
            <w:pPr>
              <w:spacing w:after="0"/>
              <w:rPr>
                <w:sz w:val="16"/>
                <w:szCs w:val="16"/>
                <w:color w:val="auto"/>
              </w:rPr>
            </w:pPr>
          </w:p>
        </w:tc>
        <w:tc>
          <w:tcPr>
            <w:tcW w:w="9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22"/>
                <w:szCs w:val="22"/>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53,589,877 Common Units(1)</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41"/>
        </w:trPr>
        <w:tc>
          <w:tcPr>
            <w:tcW w:w="118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10</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1100" w:right="5520" w:hanging="646"/>
        <w:spacing w:after="0" w:line="277" w:lineRule="auto"/>
        <w:tabs>
          <w:tab w:leader="none" w:pos="11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53,589,877 Common Units(1)</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00" w:hanging="646"/>
        <w:spacing w:after="0"/>
        <w:tabs>
          <w:tab w:leader="none" w:pos="110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o</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1100" w:hanging="646"/>
        <w:spacing w:after="0"/>
        <w:tabs>
          <w:tab w:leader="none" w:pos="110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100% of Common Units</w:t>
      </w:r>
    </w:p>
    <w:p>
      <w:pPr>
        <w:spacing w:after="0" w:line="200" w:lineRule="exact"/>
        <w:rPr>
          <w:rFonts w:ascii="Arial" w:cs="Arial" w:eastAsia="Arial" w:hAnsi="Arial"/>
          <w:sz w:val="18"/>
          <w:szCs w:val="18"/>
          <w:color w:val="auto"/>
        </w:rPr>
      </w:pPr>
    </w:p>
    <w:p>
      <w:pPr>
        <w:spacing w:after="0" w:line="375" w:lineRule="exact"/>
        <w:rPr>
          <w:rFonts w:ascii="Arial" w:cs="Arial" w:eastAsia="Arial" w:hAnsi="Arial"/>
          <w:sz w:val="18"/>
          <w:szCs w:val="18"/>
          <w:color w:val="auto"/>
        </w:rPr>
      </w:pPr>
    </w:p>
    <w:p>
      <w:pPr>
        <w:ind w:left="1100" w:hanging="646"/>
        <w:spacing w:after="0"/>
        <w:tabs>
          <w:tab w:leader="none" w:pos="11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right="40" w:firstLine="8"/>
        <w:spacing w:after="0" w:line="272" w:lineRule="auto"/>
        <w:tabs>
          <w:tab w:leader="none" w:pos="255"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11,934,351 Series A Subordinated Units and 13,500,000 Series B Subordinated Units, each representing limited partner interests in the Issuer. The Series A Subordinated Units may be converted into Common Units on a one-for-one basis upon termination of the subordination period under certain circumstances, as set forth in the Second Amended and Restated Agreement of Limited Partnership of PAA Natural Gas Storage, L.P., as amended (the “</w:t>
      </w:r>
      <w:r>
        <w:rPr>
          <w:rFonts w:ascii="Arial" w:cs="Arial" w:eastAsia="Arial" w:hAnsi="Arial"/>
          <w:sz w:val="17"/>
          <w:szCs w:val="17"/>
          <w:u w:val="single" w:color="auto"/>
          <w:color w:val="auto"/>
        </w:rPr>
        <w:t>Partnership Agreement</w:t>
      </w:r>
      <w:r>
        <w:rPr>
          <w:rFonts w:ascii="Arial" w:cs="Arial" w:eastAsia="Arial" w:hAnsi="Arial"/>
          <w:sz w:val="17"/>
          <w:szCs w:val="17"/>
          <w:color w:val="auto"/>
        </w:rPr>
        <w:t>”). The Series B Subordinated Units may be converted into Series A Subordinated Units on a one-for-one basis upon the satisfaction of certain operational and financial conditions or, if the subordination period has ended at the time the various operation and financial conditions are satisfied, into Common Units on a one-for-one basis, as set forth in the Partnership Agreement; provided, however, that any Series B Subordinated Units that remain outstanding as of December 31, 2018 will be automatically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-1223645</wp:posOffset>
            </wp:positionV>
            <wp:extent cx="65862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-1866900</wp:posOffset>
            </wp:positionV>
            <wp:extent cx="65862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-2510155</wp:posOffset>
            </wp:positionV>
            <wp:extent cx="65862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-3016250</wp:posOffset>
            </wp:positionV>
            <wp:extent cx="65862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-1052195</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13D/A</w:t>
      </w:r>
    </w:p>
    <w:p>
      <w:pPr>
        <w:spacing w:after="0" w:line="3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693139107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100" w:hanging="646"/>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PAA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83185</wp:posOffset>
            </wp:positionV>
            <wp:extent cx="65862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100" w:hanging="646"/>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5"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4"/>
          <w:szCs w:val="14"/>
          <w:color w:val="auto"/>
        </w:rPr>
        <w:t>o</w:t>
      </w:r>
    </w:p>
    <w:p>
      <w:pPr>
        <w:spacing w:after="0" w:line="184"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48895</wp:posOffset>
            </wp:positionV>
            <wp:extent cx="59429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-207645</wp:posOffset>
            </wp:positionV>
            <wp:extent cx="59429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ectPr>
          <w:pgSz w:w="11900" w:h="16838" w:orient="portrait"/>
          <w:cols w:equalWidth="0" w:num="1">
            <w:col w:w="11420"/>
          </w:cols>
          <w:pgMar w:left="240" w:top="530" w:right="239" w:bottom="59" w:gutter="0" w:footer="0" w:header="0"/>
        </w:sectPr>
      </w:pPr>
    </w:p>
    <w:bookmarkStart w:id="2" w:name="page3"/>
    <w:bookmarkEnd w:id="2"/>
    <w:p>
      <w:pPr>
        <w:spacing w:after="0" w:line="13" w:lineRule="exact"/>
        <w:rPr>
          <w:sz w:val="20"/>
          <w:szCs w:val="20"/>
          <w:color w:val="auto"/>
        </w:rPr>
      </w:pPr>
    </w:p>
    <w:p>
      <w:pPr>
        <w:ind w:left="1100" w:hanging="646"/>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92075</wp:posOffset>
            </wp:positionV>
            <wp:extent cx="65862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100" w:hanging="646"/>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OO (please see Item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83185</wp:posOffset>
            </wp:positionV>
            <wp:extent cx="65862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60"/>
        <w:spacing w:after="0"/>
        <w:tabs>
          <w:tab w:leader="none" w:pos="1080" w:val="left"/>
          <w:tab w:leader="none" w:pos="738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99060</wp:posOffset>
            </wp:positionV>
            <wp:extent cx="65862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100" w:right="7700" w:hanging="646"/>
        <w:spacing w:after="0" w:line="342" w:lineRule="auto"/>
        <w:tabs>
          <w:tab w:leader="none" w:pos="11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27940</wp:posOffset>
            </wp:positionV>
            <wp:extent cx="65862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7</w:t>
            </w:r>
          </w:p>
        </w:tc>
        <w:tc>
          <w:tcPr>
            <w:tcW w:w="94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53,589,877 Common Units(1)</w:t>
            </w:r>
          </w:p>
        </w:tc>
        <w:tc>
          <w:tcPr>
            <w:tcW w:w="0" w:type="dxa"/>
            <w:vAlign w:val="bottom"/>
          </w:tcPr>
          <w:p>
            <w:pPr>
              <w:spacing w:after="0"/>
              <w:rPr>
                <w:sz w:val="1"/>
                <w:szCs w:val="1"/>
                <w:color w:val="auto"/>
              </w:rPr>
            </w:pPr>
          </w:p>
        </w:tc>
      </w:tr>
      <w:tr>
        <w:trPr>
          <w:trHeight w:val="122"/>
        </w:trPr>
        <w:tc>
          <w:tcPr>
            <w:tcW w:w="11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10"/>
                <w:szCs w:val="10"/>
                <w:color w:val="auto"/>
              </w:rPr>
            </w:pPr>
          </w:p>
        </w:tc>
        <w:tc>
          <w:tcPr>
            <w:tcW w:w="9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01"/>
        </w:trPr>
        <w:tc>
          <w:tcPr>
            <w:tcW w:w="1180" w:type="dxa"/>
            <w:vAlign w:val="bottom"/>
            <w:vMerge w:val="continue"/>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8</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spacing w:after="0"/>
              <w:rPr>
                <w:sz w:val="18"/>
                <w:szCs w:val="18"/>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176"/>
        </w:trPr>
        <w:tc>
          <w:tcPr>
            <w:tcW w:w="1180" w:type="dxa"/>
            <w:vAlign w:val="bottom"/>
          </w:tcPr>
          <w:p>
            <w:pPr>
              <w:spacing w:after="0" w:line="156" w:lineRule="exact"/>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15"/>
                <w:szCs w:val="15"/>
                <w:color w:val="auto"/>
              </w:rPr>
            </w:pPr>
          </w:p>
        </w:tc>
        <w:tc>
          <w:tcPr>
            <w:tcW w:w="9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20"/>
                <w:szCs w:val="20"/>
                <w:color w:val="auto"/>
              </w:rPr>
            </w:pPr>
          </w:p>
        </w:tc>
        <w:tc>
          <w:tcPr>
            <w:tcW w:w="9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vMerge w:val="restart"/>
          </w:tcPr>
          <w:p>
            <w:pPr>
              <w:ind w:left="300"/>
              <w:spacing w:after="0"/>
              <w:rPr>
                <w:sz w:val="20"/>
                <w:szCs w:val="20"/>
                <w:color w:val="auto"/>
              </w:rPr>
            </w:pPr>
            <w:r>
              <w:rPr>
                <w:rFonts w:ascii="Arial" w:cs="Arial" w:eastAsia="Arial" w:hAnsi="Arial"/>
                <w:sz w:val="18"/>
                <w:szCs w:val="18"/>
                <w:color w:val="auto"/>
              </w:rPr>
              <w:t>9</w:t>
            </w:r>
          </w:p>
        </w:tc>
        <w:tc>
          <w:tcPr>
            <w:tcW w:w="94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89"/>
        </w:trPr>
        <w:tc>
          <w:tcPr>
            <w:tcW w:w="1180" w:type="dxa"/>
            <w:vAlign w:val="bottom"/>
          </w:tcPr>
          <w:p>
            <w:pPr>
              <w:spacing w:after="0" w:line="189" w:lineRule="exact"/>
              <w:rPr>
                <w:sz w:val="20"/>
                <w:szCs w:val="20"/>
                <w:color w:val="auto"/>
              </w:rPr>
            </w:pPr>
            <w:r>
              <w:rPr>
                <w:rFonts w:ascii="Arial" w:cs="Arial" w:eastAsia="Arial" w:hAnsi="Arial"/>
                <w:sz w:val="18"/>
                <w:szCs w:val="18"/>
                <w:color w:val="auto"/>
              </w:rPr>
              <w:t>Reporting</w:t>
            </w:r>
          </w:p>
        </w:tc>
        <w:tc>
          <w:tcPr>
            <w:tcW w:w="740" w:type="dxa"/>
            <w:vAlign w:val="bottom"/>
            <w:vMerge w:val="continue"/>
          </w:tcPr>
          <w:p>
            <w:pPr>
              <w:spacing w:after="0"/>
              <w:rPr>
                <w:sz w:val="16"/>
                <w:szCs w:val="16"/>
                <w:color w:val="auto"/>
              </w:rPr>
            </w:pPr>
          </w:p>
        </w:tc>
        <w:tc>
          <w:tcPr>
            <w:tcW w:w="9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22"/>
                <w:szCs w:val="22"/>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53,589,877 Common Units(1)</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41"/>
        </w:trPr>
        <w:tc>
          <w:tcPr>
            <w:tcW w:w="118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10</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1100" w:right="5520" w:hanging="646"/>
        <w:spacing w:after="0" w:line="277" w:lineRule="auto"/>
        <w:tabs>
          <w:tab w:leader="none" w:pos="11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53,589,877 Common Units(1)</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00" w:hanging="646"/>
        <w:spacing w:after="0"/>
        <w:tabs>
          <w:tab w:leader="none" w:pos="11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o</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1100" w:hanging="646"/>
        <w:spacing w:after="0"/>
        <w:tabs>
          <w:tab w:leader="none" w:pos="11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100% of Common Units</w:t>
      </w:r>
    </w:p>
    <w:p>
      <w:pPr>
        <w:spacing w:after="0" w:line="200" w:lineRule="exact"/>
        <w:rPr>
          <w:rFonts w:ascii="Arial" w:cs="Arial" w:eastAsia="Arial" w:hAnsi="Arial"/>
          <w:sz w:val="18"/>
          <w:szCs w:val="18"/>
          <w:color w:val="auto"/>
        </w:rPr>
      </w:pPr>
    </w:p>
    <w:p>
      <w:pPr>
        <w:spacing w:after="0" w:line="375" w:lineRule="exact"/>
        <w:rPr>
          <w:rFonts w:ascii="Arial" w:cs="Arial" w:eastAsia="Arial" w:hAnsi="Arial"/>
          <w:sz w:val="18"/>
          <w:szCs w:val="18"/>
          <w:color w:val="auto"/>
        </w:rPr>
      </w:pPr>
    </w:p>
    <w:p>
      <w:pPr>
        <w:ind w:left="1100" w:hanging="646"/>
        <w:spacing w:after="0"/>
        <w:tabs>
          <w:tab w:leader="none" w:pos="11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75" w:lineRule="exact"/>
        <w:rPr>
          <w:rFonts w:ascii="Arial" w:cs="Arial" w:eastAsia="Arial" w:hAnsi="Arial"/>
          <w:sz w:val="18"/>
          <w:szCs w:val="18"/>
          <w:color w:val="auto"/>
        </w:rPr>
      </w:pPr>
    </w:p>
    <w:p>
      <w:pPr>
        <w:ind w:right="120" w:firstLine="8"/>
        <w:spacing w:after="0" w:line="293" w:lineRule="auto"/>
        <w:tabs>
          <w:tab w:leader="none" w:pos="2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11,934,351 Series A Subordinated Units and 13,500,000 Series B Subordinated Units, each representing limited partner interests in the Issuer. The Series A Subordinated Units may be converted into Common Units on a one-for-one basis upon termination of the subordination period under certain circumstances, as set forth in the Partnership Agreement. The Series B Subordinated Units may be converted into Series A Subordinated Units on a one-for-one basis upon the satisfaction of certain operational and financial conditions or, if the subordination period has ended at the time the various operation and financial conditions are satisfied, into Common Units on a one-for-one basis, as set forth in the Partnership Agreement; provided, however, that any Series B Subordinated Units that remain outstanding as of December 31, 2018 will be automatically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-1137920</wp:posOffset>
            </wp:positionV>
            <wp:extent cx="65862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-1780540</wp:posOffset>
            </wp:positionV>
            <wp:extent cx="65862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-2423795</wp:posOffset>
            </wp:positionV>
            <wp:extent cx="65862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-2929890</wp:posOffset>
            </wp:positionV>
            <wp:extent cx="65862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-923290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13D/A</w:t>
      </w:r>
    </w:p>
    <w:p>
      <w:pPr>
        <w:spacing w:after="0" w:line="3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693139107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100" w:right="8400" w:hanging="646"/>
        <w:spacing w:after="0" w:line="308" w:lineRule="auto"/>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Name of Reporting Person Plains AAP,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41910</wp:posOffset>
            </wp:positionV>
            <wp:extent cx="65862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11" w:lineRule="exact"/>
        <w:rPr>
          <w:sz w:val="20"/>
          <w:szCs w:val="20"/>
          <w:color w:val="auto"/>
        </w:rPr>
      </w:pPr>
    </w:p>
    <w:p>
      <w:pPr>
        <w:ind w:left="1100" w:hanging="646"/>
        <w:spacing w:after="0"/>
        <w:tabs>
          <w:tab w:leader="none" w:pos="11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Check the Appropriate Box if a Member of a Group</w:t>
      </w:r>
    </w:p>
    <w:p>
      <w:pPr>
        <w:sectPr>
          <w:pgSz w:w="11900" w:h="16851" w:orient="portrait"/>
          <w:cols w:equalWidth="0" w:num="1">
            <w:col w:w="11420"/>
          </w:cols>
          <w:pgMar w:left="240" w:top="125" w:right="239" w:bottom="0" w:gutter="0" w:footer="0" w:header="0"/>
          <w:type w:val="continuous"/>
        </w:sectPr>
      </w:pPr>
    </w:p>
    <w:bookmarkStart w:id="3" w:name="page4"/>
    <w:bookmarkEnd w:id="3"/>
    <w:p>
      <w:pPr>
        <w:ind w:left="1100"/>
        <w:spacing w:after="0"/>
        <w:tabs>
          <w:tab w:leader="none" w:pos="21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40640</wp:posOffset>
            </wp:positionV>
            <wp:extent cx="59429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165" w:lineRule="exact"/>
        <w:rPr>
          <w:sz w:val="20"/>
          <w:szCs w:val="20"/>
          <w:color w:val="auto"/>
        </w:rPr>
      </w:pPr>
    </w:p>
    <w:p>
      <w:pPr>
        <w:ind w:left="1100"/>
        <w:spacing w:after="0"/>
        <w:tabs>
          <w:tab w:leader="none" w:pos="21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48895</wp:posOffset>
            </wp:positionV>
            <wp:extent cx="59429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100" w:hanging="646"/>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92075</wp:posOffset>
            </wp:positionV>
            <wp:extent cx="65862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100" w:hanging="646"/>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OO (please see Item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83185</wp:posOffset>
            </wp:positionV>
            <wp:extent cx="65862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60"/>
        <w:spacing w:after="0"/>
        <w:tabs>
          <w:tab w:leader="none" w:pos="1080" w:val="left"/>
          <w:tab w:leader="none" w:pos="738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99060</wp:posOffset>
            </wp:positionV>
            <wp:extent cx="65862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100" w:right="7700" w:hanging="646"/>
        <w:spacing w:after="0" w:line="342" w:lineRule="auto"/>
        <w:tabs>
          <w:tab w:leader="none" w:pos="11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27940</wp:posOffset>
            </wp:positionV>
            <wp:extent cx="65862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7</w:t>
            </w:r>
          </w:p>
        </w:tc>
        <w:tc>
          <w:tcPr>
            <w:tcW w:w="94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53,589,877 Common Units(1)</w:t>
            </w:r>
          </w:p>
        </w:tc>
        <w:tc>
          <w:tcPr>
            <w:tcW w:w="0" w:type="dxa"/>
            <w:vAlign w:val="bottom"/>
          </w:tcPr>
          <w:p>
            <w:pPr>
              <w:spacing w:after="0"/>
              <w:rPr>
                <w:sz w:val="1"/>
                <w:szCs w:val="1"/>
                <w:color w:val="auto"/>
              </w:rPr>
            </w:pPr>
          </w:p>
        </w:tc>
      </w:tr>
      <w:tr>
        <w:trPr>
          <w:trHeight w:val="122"/>
        </w:trPr>
        <w:tc>
          <w:tcPr>
            <w:tcW w:w="11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10"/>
                <w:szCs w:val="10"/>
                <w:color w:val="auto"/>
              </w:rPr>
            </w:pPr>
          </w:p>
        </w:tc>
        <w:tc>
          <w:tcPr>
            <w:tcW w:w="9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01"/>
        </w:trPr>
        <w:tc>
          <w:tcPr>
            <w:tcW w:w="1180" w:type="dxa"/>
            <w:vAlign w:val="bottom"/>
            <w:vMerge w:val="continue"/>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8</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spacing w:after="0"/>
              <w:rPr>
                <w:sz w:val="18"/>
                <w:szCs w:val="18"/>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176"/>
        </w:trPr>
        <w:tc>
          <w:tcPr>
            <w:tcW w:w="1180" w:type="dxa"/>
            <w:vAlign w:val="bottom"/>
          </w:tcPr>
          <w:p>
            <w:pPr>
              <w:spacing w:after="0" w:line="156" w:lineRule="exact"/>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15"/>
                <w:szCs w:val="15"/>
                <w:color w:val="auto"/>
              </w:rPr>
            </w:pPr>
          </w:p>
        </w:tc>
        <w:tc>
          <w:tcPr>
            <w:tcW w:w="9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20"/>
                <w:szCs w:val="20"/>
                <w:color w:val="auto"/>
              </w:rPr>
            </w:pPr>
          </w:p>
        </w:tc>
        <w:tc>
          <w:tcPr>
            <w:tcW w:w="9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vMerge w:val="restart"/>
          </w:tcPr>
          <w:p>
            <w:pPr>
              <w:ind w:left="300"/>
              <w:spacing w:after="0"/>
              <w:rPr>
                <w:sz w:val="20"/>
                <w:szCs w:val="20"/>
                <w:color w:val="auto"/>
              </w:rPr>
            </w:pPr>
            <w:r>
              <w:rPr>
                <w:rFonts w:ascii="Arial" w:cs="Arial" w:eastAsia="Arial" w:hAnsi="Arial"/>
                <w:sz w:val="18"/>
                <w:szCs w:val="18"/>
                <w:color w:val="auto"/>
              </w:rPr>
              <w:t>9</w:t>
            </w:r>
          </w:p>
        </w:tc>
        <w:tc>
          <w:tcPr>
            <w:tcW w:w="94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89"/>
        </w:trPr>
        <w:tc>
          <w:tcPr>
            <w:tcW w:w="1180" w:type="dxa"/>
            <w:vAlign w:val="bottom"/>
          </w:tcPr>
          <w:p>
            <w:pPr>
              <w:spacing w:after="0" w:line="189" w:lineRule="exact"/>
              <w:rPr>
                <w:sz w:val="20"/>
                <w:szCs w:val="20"/>
                <w:color w:val="auto"/>
              </w:rPr>
            </w:pPr>
            <w:r>
              <w:rPr>
                <w:rFonts w:ascii="Arial" w:cs="Arial" w:eastAsia="Arial" w:hAnsi="Arial"/>
                <w:sz w:val="18"/>
                <w:szCs w:val="18"/>
                <w:color w:val="auto"/>
              </w:rPr>
              <w:t>Reporting</w:t>
            </w:r>
          </w:p>
        </w:tc>
        <w:tc>
          <w:tcPr>
            <w:tcW w:w="740" w:type="dxa"/>
            <w:vAlign w:val="bottom"/>
            <w:vMerge w:val="continue"/>
          </w:tcPr>
          <w:p>
            <w:pPr>
              <w:spacing w:after="0"/>
              <w:rPr>
                <w:sz w:val="16"/>
                <w:szCs w:val="16"/>
                <w:color w:val="auto"/>
              </w:rPr>
            </w:pPr>
          </w:p>
        </w:tc>
        <w:tc>
          <w:tcPr>
            <w:tcW w:w="9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22"/>
                <w:szCs w:val="22"/>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53,589,877 Common Units(1)</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41"/>
        </w:trPr>
        <w:tc>
          <w:tcPr>
            <w:tcW w:w="118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10</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1100" w:right="5520" w:hanging="646"/>
        <w:spacing w:after="0" w:line="277" w:lineRule="auto"/>
        <w:tabs>
          <w:tab w:leader="none" w:pos="11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53,589,877 Common Units(1)</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00" w:hanging="646"/>
        <w:spacing w:after="0"/>
        <w:tabs>
          <w:tab w:leader="none" w:pos="11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o</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1100" w:hanging="646"/>
        <w:spacing w:after="0"/>
        <w:tabs>
          <w:tab w:leader="none" w:pos="11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100% of Common Units</w:t>
      </w:r>
    </w:p>
    <w:p>
      <w:pPr>
        <w:spacing w:after="0" w:line="200" w:lineRule="exact"/>
        <w:rPr>
          <w:rFonts w:ascii="Arial" w:cs="Arial" w:eastAsia="Arial" w:hAnsi="Arial"/>
          <w:sz w:val="18"/>
          <w:szCs w:val="18"/>
          <w:color w:val="auto"/>
        </w:rPr>
      </w:pPr>
    </w:p>
    <w:p>
      <w:pPr>
        <w:spacing w:after="0" w:line="375" w:lineRule="exact"/>
        <w:rPr>
          <w:rFonts w:ascii="Arial" w:cs="Arial" w:eastAsia="Arial" w:hAnsi="Arial"/>
          <w:sz w:val="18"/>
          <w:szCs w:val="18"/>
          <w:color w:val="auto"/>
        </w:rPr>
      </w:pPr>
    </w:p>
    <w:p>
      <w:pPr>
        <w:ind w:left="1100" w:hanging="646"/>
        <w:spacing w:after="0"/>
        <w:tabs>
          <w:tab w:leader="none" w:pos="11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75" w:lineRule="exact"/>
        <w:rPr>
          <w:rFonts w:ascii="Arial" w:cs="Arial" w:eastAsia="Arial" w:hAnsi="Arial"/>
          <w:sz w:val="18"/>
          <w:szCs w:val="18"/>
          <w:color w:val="auto"/>
        </w:rPr>
      </w:pPr>
    </w:p>
    <w:p>
      <w:pPr>
        <w:ind w:right="120" w:firstLine="8"/>
        <w:spacing w:after="0" w:line="293" w:lineRule="auto"/>
        <w:tabs>
          <w:tab w:leader="none" w:pos="2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11,934,351 Series A Subordinated Units and 13,500,000 Series B Subordinated Units, each representing limited partner interests in the Issuer. The Series A Subordinated Units may be converted into Common Units on a one-for-one basis upon termination of the subordination period under certain circumstances, as set forth in the Partnership Agreement. The Series B Subordinated Units may be converted into Series A Subordinated Units on a one-for-one basis upon the satisfaction of certain operational and financial conditions or, if the subordination period has ended at the time the various operation and financial conditions are satisfied, into Common Units on a one-for-one basis, as set forth in the Partnership Agreement; provided, however, that any Series B Subordinated Units that remain outstanding as of December 31, 2018 will be automatically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-1137920</wp:posOffset>
            </wp:positionV>
            <wp:extent cx="65862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-1780540</wp:posOffset>
            </wp:positionV>
            <wp:extent cx="65862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-2423795</wp:posOffset>
            </wp:positionV>
            <wp:extent cx="65862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-2929890</wp:posOffset>
            </wp:positionV>
            <wp:extent cx="65862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-923290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13D/A</w:t>
      </w:r>
    </w:p>
    <w:p>
      <w:pPr>
        <w:spacing w:after="0" w:line="3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693139107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59" w:gutter="0" w:footer="0" w:header="0"/>
        </w:sectPr>
      </w:pPr>
    </w:p>
    <w:bookmarkStart w:id="4" w:name="page5"/>
    <w:bookmarkEnd w:id="4"/>
    <w:p>
      <w:pPr>
        <w:ind w:left="1092" w:right="8180" w:hanging="646"/>
        <w:spacing w:after="0" w:line="308" w:lineRule="auto"/>
        <w:tabs>
          <w:tab w:leader="none" w:pos="1092" w:val="left"/>
        </w:tabs>
        <w:numPr>
          <w:ilvl w:val="0"/>
          <w:numId w:val="23"/>
        </w:numPr>
        <w:rPr>
          <w:rFonts w:ascii="Arial" w:cs="Arial" w:eastAsia="Arial" w:hAnsi="Arial"/>
          <w:sz w:val="17"/>
          <w:szCs w:val="17"/>
          <w:color w:val="auto"/>
        </w:rPr>
      </w:pPr>
      <w:r>
        <w:rPr>
          <w:rFonts w:ascii="Arial" w:cs="Arial" w:eastAsia="Arial" w:hAnsi="Arial"/>
          <w:sz w:val="17"/>
          <w:szCs w:val="17"/>
          <w:color w:val="auto"/>
        </w:rPr>
        <w:t>Name of Reporting Person Plains All American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41910</wp:posOffset>
            </wp:positionV>
            <wp:extent cx="65862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1092" w:hanging="646"/>
        <w:spacing w:after="0"/>
        <w:tabs>
          <w:tab w:leader="none" w:pos="1092"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6" w:lineRule="exact"/>
        <w:rPr>
          <w:sz w:val="20"/>
          <w:szCs w:val="20"/>
          <w:color w:val="auto"/>
        </w:rPr>
      </w:pPr>
    </w:p>
    <w:p>
      <w:pPr>
        <w:ind w:left="1092"/>
        <w:spacing w:after="0"/>
        <w:tabs>
          <w:tab w:leader="none" w:pos="2132"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40640</wp:posOffset>
            </wp:positionV>
            <wp:extent cx="59429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165" w:lineRule="exact"/>
        <w:rPr>
          <w:sz w:val="20"/>
          <w:szCs w:val="20"/>
          <w:color w:val="auto"/>
        </w:rPr>
      </w:pPr>
    </w:p>
    <w:p>
      <w:pPr>
        <w:ind w:left="1092"/>
        <w:spacing w:after="0"/>
        <w:tabs>
          <w:tab w:leader="none" w:pos="2132"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48895</wp:posOffset>
            </wp:positionV>
            <wp:extent cx="59429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092" w:hanging="646"/>
        <w:spacing w:after="0"/>
        <w:tabs>
          <w:tab w:leader="none" w:pos="1092"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92075</wp:posOffset>
            </wp:positionV>
            <wp:extent cx="65862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092" w:hanging="646"/>
        <w:spacing w:after="0"/>
        <w:tabs>
          <w:tab w:leader="none" w:pos="10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OO (please see Item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83185</wp:posOffset>
            </wp:positionV>
            <wp:extent cx="65862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52"/>
        <w:spacing w:after="0"/>
        <w:tabs>
          <w:tab w:leader="none" w:pos="1072" w:val="left"/>
          <w:tab w:leader="none" w:pos="7372"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99060</wp:posOffset>
            </wp:positionV>
            <wp:extent cx="65862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092" w:right="7700" w:hanging="646"/>
        <w:spacing w:after="0" w:line="342" w:lineRule="auto"/>
        <w:tabs>
          <w:tab w:leader="none" w:pos="1092" w:val="left"/>
        </w:tabs>
        <w:numPr>
          <w:ilvl w:val="0"/>
          <w:numId w:val="27"/>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27940</wp:posOffset>
            </wp:positionV>
            <wp:extent cx="65862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52"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7</w:t>
            </w:r>
          </w:p>
        </w:tc>
        <w:tc>
          <w:tcPr>
            <w:tcW w:w="94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53,589,877 Common Units(1)</w:t>
            </w:r>
          </w:p>
        </w:tc>
        <w:tc>
          <w:tcPr>
            <w:tcW w:w="0" w:type="dxa"/>
            <w:vAlign w:val="bottom"/>
          </w:tcPr>
          <w:p>
            <w:pPr>
              <w:spacing w:after="0"/>
              <w:rPr>
                <w:sz w:val="1"/>
                <w:szCs w:val="1"/>
                <w:color w:val="auto"/>
              </w:rPr>
            </w:pPr>
          </w:p>
        </w:tc>
      </w:tr>
      <w:tr>
        <w:trPr>
          <w:trHeight w:val="122"/>
        </w:trPr>
        <w:tc>
          <w:tcPr>
            <w:tcW w:w="11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10"/>
                <w:szCs w:val="10"/>
                <w:color w:val="auto"/>
              </w:rPr>
            </w:pPr>
          </w:p>
        </w:tc>
        <w:tc>
          <w:tcPr>
            <w:tcW w:w="9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01"/>
        </w:trPr>
        <w:tc>
          <w:tcPr>
            <w:tcW w:w="1180" w:type="dxa"/>
            <w:vAlign w:val="bottom"/>
            <w:vMerge w:val="continue"/>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8</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spacing w:after="0"/>
              <w:rPr>
                <w:sz w:val="18"/>
                <w:szCs w:val="18"/>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176"/>
        </w:trPr>
        <w:tc>
          <w:tcPr>
            <w:tcW w:w="1180" w:type="dxa"/>
            <w:vAlign w:val="bottom"/>
          </w:tcPr>
          <w:p>
            <w:pPr>
              <w:spacing w:after="0" w:line="156" w:lineRule="exact"/>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15"/>
                <w:szCs w:val="15"/>
                <w:color w:val="auto"/>
              </w:rPr>
            </w:pPr>
          </w:p>
        </w:tc>
        <w:tc>
          <w:tcPr>
            <w:tcW w:w="9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20"/>
                <w:szCs w:val="20"/>
                <w:color w:val="auto"/>
              </w:rPr>
            </w:pPr>
          </w:p>
        </w:tc>
        <w:tc>
          <w:tcPr>
            <w:tcW w:w="9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vMerge w:val="restart"/>
          </w:tcPr>
          <w:p>
            <w:pPr>
              <w:ind w:left="300"/>
              <w:spacing w:after="0"/>
              <w:rPr>
                <w:sz w:val="20"/>
                <w:szCs w:val="20"/>
                <w:color w:val="auto"/>
              </w:rPr>
            </w:pPr>
            <w:r>
              <w:rPr>
                <w:rFonts w:ascii="Arial" w:cs="Arial" w:eastAsia="Arial" w:hAnsi="Arial"/>
                <w:sz w:val="18"/>
                <w:szCs w:val="18"/>
                <w:color w:val="auto"/>
              </w:rPr>
              <w:t>9</w:t>
            </w:r>
          </w:p>
        </w:tc>
        <w:tc>
          <w:tcPr>
            <w:tcW w:w="94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89"/>
        </w:trPr>
        <w:tc>
          <w:tcPr>
            <w:tcW w:w="1180" w:type="dxa"/>
            <w:vAlign w:val="bottom"/>
          </w:tcPr>
          <w:p>
            <w:pPr>
              <w:spacing w:after="0" w:line="189" w:lineRule="exact"/>
              <w:rPr>
                <w:sz w:val="20"/>
                <w:szCs w:val="20"/>
                <w:color w:val="auto"/>
              </w:rPr>
            </w:pPr>
            <w:r>
              <w:rPr>
                <w:rFonts w:ascii="Arial" w:cs="Arial" w:eastAsia="Arial" w:hAnsi="Arial"/>
                <w:sz w:val="18"/>
                <w:szCs w:val="18"/>
                <w:color w:val="auto"/>
              </w:rPr>
              <w:t>Reporting</w:t>
            </w:r>
          </w:p>
        </w:tc>
        <w:tc>
          <w:tcPr>
            <w:tcW w:w="740" w:type="dxa"/>
            <w:vAlign w:val="bottom"/>
            <w:vMerge w:val="continue"/>
          </w:tcPr>
          <w:p>
            <w:pPr>
              <w:spacing w:after="0"/>
              <w:rPr>
                <w:sz w:val="16"/>
                <w:szCs w:val="16"/>
                <w:color w:val="auto"/>
              </w:rPr>
            </w:pPr>
          </w:p>
        </w:tc>
        <w:tc>
          <w:tcPr>
            <w:tcW w:w="9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22"/>
                <w:szCs w:val="22"/>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53,589,877 Common Units(1)</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41"/>
        </w:trPr>
        <w:tc>
          <w:tcPr>
            <w:tcW w:w="118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10</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1092" w:right="5520" w:hanging="646"/>
        <w:spacing w:after="0" w:line="277" w:lineRule="auto"/>
        <w:tabs>
          <w:tab w:leader="none" w:pos="10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53,589,877 Common Units(1)</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092" w:hanging="646"/>
        <w:spacing w:after="0"/>
        <w:tabs>
          <w:tab w:leader="none" w:pos="10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o</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1092" w:hanging="646"/>
        <w:spacing w:after="0"/>
        <w:tabs>
          <w:tab w:leader="none" w:pos="10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100% of Common Units</w:t>
      </w:r>
    </w:p>
    <w:p>
      <w:pPr>
        <w:spacing w:after="0" w:line="200" w:lineRule="exact"/>
        <w:rPr>
          <w:rFonts w:ascii="Arial" w:cs="Arial" w:eastAsia="Arial" w:hAnsi="Arial"/>
          <w:sz w:val="18"/>
          <w:szCs w:val="18"/>
          <w:color w:val="auto"/>
        </w:rPr>
      </w:pPr>
    </w:p>
    <w:p>
      <w:pPr>
        <w:spacing w:after="0" w:line="375" w:lineRule="exact"/>
        <w:rPr>
          <w:rFonts w:ascii="Arial" w:cs="Arial" w:eastAsia="Arial" w:hAnsi="Arial"/>
          <w:sz w:val="18"/>
          <w:szCs w:val="18"/>
          <w:color w:val="auto"/>
        </w:rPr>
      </w:pPr>
    </w:p>
    <w:p>
      <w:pPr>
        <w:ind w:left="1092" w:hanging="646"/>
        <w:spacing w:after="0"/>
        <w:tabs>
          <w:tab w:leader="none" w:pos="10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75" w:lineRule="exact"/>
        <w:rPr>
          <w:rFonts w:ascii="Arial" w:cs="Arial" w:eastAsia="Arial" w:hAnsi="Arial"/>
          <w:sz w:val="18"/>
          <w:szCs w:val="18"/>
          <w:color w:val="auto"/>
        </w:rPr>
      </w:pPr>
    </w:p>
    <w:p>
      <w:pPr>
        <w:ind w:left="-8" w:right="120" w:firstLine="8"/>
        <w:spacing w:after="0" w:line="293" w:lineRule="auto"/>
        <w:tabs>
          <w:tab w:leader="none" w:pos="247"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11,934,351 Series A Subordinated Units and 13,500,000 Series B Subordinated Units, each representing limited partner interests in the Issuer. The Series A Subordinated Units may be converted into Common Units on a one-for-one basis upon termination of the subordination period under certain circumstances, as set forth in the Partnership Agreement. The Series B Subordinated Units may be converted into Series A Subordinated Units on a one-for-one basis upon the satisfaction of certain operational and financial conditions or, if the subordination period has ended at the time the various operation and financial conditions are satisfied, into Common Units on a one-for-one basis, as set forth in the Partnership Agreement; provided, however, that any Series B Subordinated Units that remain outstanding as of December 31, 2018 will be automatically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-1137920</wp:posOffset>
            </wp:positionV>
            <wp:extent cx="65862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-1780540</wp:posOffset>
            </wp:positionV>
            <wp:extent cx="65862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-2423795</wp:posOffset>
            </wp:positionV>
            <wp:extent cx="65862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-2929890</wp:posOffset>
            </wp:positionV>
            <wp:extent cx="65862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-923290</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12"/>
          </w:cols>
          <w:pgMar w:left="248" w:top="247" w:right="239" w:bottom="206" w:gutter="0" w:footer="0" w:header="0"/>
        </w:sectPr>
      </w:pPr>
    </w:p>
    <w:p>
      <w:pPr>
        <w:spacing w:after="0" w:line="165"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247" w:right="239" w:bottom="206" w:gutter="0" w:footer="0" w:header="0"/>
          <w:type w:val="continuous"/>
        </w:sectPr>
      </w:pPr>
    </w:p>
    <w:bookmarkStart w:id="5" w:name="page6"/>
    <w:bookmarkEnd w:id="5"/>
    <w:p>
      <w:pPr>
        <w:spacing w:after="0" w:line="109" w:lineRule="exact"/>
        <w:rPr>
          <w:sz w:val="20"/>
          <w:szCs w:val="20"/>
          <w:color w:val="auto"/>
        </w:rPr>
      </w:pPr>
    </w:p>
    <w:p>
      <w:pPr>
        <w:ind w:left="52"/>
        <w:spacing w:after="0"/>
        <w:rPr>
          <w:sz w:val="20"/>
          <w:szCs w:val="20"/>
          <w:color w:val="auto"/>
        </w:rPr>
      </w:pPr>
      <w:r>
        <w:rPr>
          <w:rFonts w:ascii="Arial" w:cs="Arial" w:eastAsia="Arial" w:hAnsi="Arial"/>
          <w:sz w:val="18"/>
          <w:szCs w:val="18"/>
          <w:color w:val="auto"/>
        </w:rPr>
        <w:t>CUSIP No. 693139107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092" w:right="8400" w:hanging="646"/>
        <w:spacing w:after="0" w:line="342" w:lineRule="auto"/>
        <w:tabs>
          <w:tab w:leader="none" w:pos="1092" w:val="left"/>
        </w:tabs>
        <w:numPr>
          <w:ilvl w:val="0"/>
          <w:numId w:val="30"/>
        </w:numPr>
        <w:rPr>
          <w:rFonts w:ascii="Arial" w:cs="Arial" w:eastAsia="Arial" w:hAnsi="Arial"/>
          <w:sz w:val="16"/>
          <w:szCs w:val="16"/>
          <w:color w:val="auto"/>
        </w:rPr>
      </w:pPr>
      <w:r>
        <w:rPr>
          <w:rFonts w:ascii="Arial" w:cs="Arial" w:eastAsia="Arial" w:hAnsi="Arial"/>
          <w:sz w:val="16"/>
          <w:szCs w:val="16"/>
          <w:color w:val="auto"/>
        </w:rPr>
        <w:t>Name of Reporting Person 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36195</wp:posOffset>
            </wp:positionV>
            <wp:extent cx="65862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092" w:hanging="646"/>
        <w:spacing w:after="0"/>
        <w:tabs>
          <w:tab w:leader="none" w:pos="10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6" w:lineRule="exact"/>
        <w:rPr>
          <w:sz w:val="20"/>
          <w:szCs w:val="20"/>
          <w:color w:val="auto"/>
        </w:rPr>
      </w:pPr>
    </w:p>
    <w:p>
      <w:pPr>
        <w:ind w:left="1092"/>
        <w:spacing w:after="0"/>
        <w:tabs>
          <w:tab w:leader="none" w:pos="2132"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48895</wp:posOffset>
            </wp:positionV>
            <wp:extent cx="59429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165" w:lineRule="exact"/>
        <w:rPr>
          <w:sz w:val="20"/>
          <w:szCs w:val="20"/>
          <w:color w:val="auto"/>
        </w:rPr>
      </w:pPr>
    </w:p>
    <w:p>
      <w:pPr>
        <w:ind w:left="1092"/>
        <w:spacing w:after="0"/>
        <w:tabs>
          <w:tab w:leader="none" w:pos="2132"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57785</wp:posOffset>
            </wp:positionV>
            <wp:extent cx="59429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092" w:hanging="646"/>
        <w:spacing w:after="0"/>
        <w:tabs>
          <w:tab w:leader="none" w:pos="10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100330</wp:posOffset>
            </wp:positionV>
            <wp:extent cx="65862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092" w:hanging="646"/>
        <w:spacing w:after="0"/>
        <w:tabs>
          <w:tab w:leader="none" w:pos="10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OO (please see Item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91440</wp:posOffset>
            </wp:positionV>
            <wp:extent cx="65862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52"/>
        <w:spacing w:after="0"/>
        <w:tabs>
          <w:tab w:leader="none" w:pos="1072" w:val="left"/>
          <w:tab w:leader="none" w:pos="7372"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107950</wp:posOffset>
            </wp:positionV>
            <wp:extent cx="65862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092" w:right="7700" w:hanging="646"/>
        <w:spacing w:after="0" w:line="342" w:lineRule="auto"/>
        <w:tabs>
          <w:tab w:leader="none" w:pos="1092" w:val="left"/>
        </w:tabs>
        <w:numPr>
          <w:ilvl w:val="0"/>
          <w:numId w:val="34"/>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36195</wp:posOffset>
            </wp:positionV>
            <wp:extent cx="65862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52"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7</w:t>
            </w:r>
          </w:p>
        </w:tc>
        <w:tc>
          <w:tcPr>
            <w:tcW w:w="94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53,589,877 Common Units(1)</w:t>
            </w:r>
          </w:p>
        </w:tc>
        <w:tc>
          <w:tcPr>
            <w:tcW w:w="0" w:type="dxa"/>
            <w:vAlign w:val="bottom"/>
          </w:tcPr>
          <w:p>
            <w:pPr>
              <w:spacing w:after="0"/>
              <w:rPr>
                <w:sz w:val="1"/>
                <w:szCs w:val="1"/>
                <w:color w:val="auto"/>
              </w:rPr>
            </w:pPr>
          </w:p>
        </w:tc>
      </w:tr>
      <w:tr>
        <w:trPr>
          <w:trHeight w:val="135"/>
        </w:trPr>
        <w:tc>
          <w:tcPr>
            <w:tcW w:w="11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88"/>
        </w:trPr>
        <w:tc>
          <w:tcPr>
            <w:tcW w:w="1180" w:type="dxa"/>
            <w:vAlign w:val="bottom"/>
            <w:vMerge w:val="continue"/>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8</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spacing w:after="0"/>
              <w:rPr>
                <w:sz w:val="18"/>
                <w:szCs w:val="18"/>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189"/>
        </w:trPr>
        <w:tc>
          <w:tcPr>
            <w:tcW w:w="1180" w:type="dxa"/>
            <w:vAlign w:val="bottom"/>
          </w:tcPr>
          <w:p>
            <w:pPr>
              <w:spacing w:after="0" w:line="189" w:lineRule="exact"/>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16"/>
                <w:szCs w:val="16"/>
                <w:color w:val="auto"/>
              </w:rPr>
            </w:pPr>
          </w:p>
        </w:tc>
        <w:tc>
          <w:tcPr>
            <w:tcW w:w="9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9"/>
                <w:szCs w:val="19"/>
                <w:color w:val="auto"/>
              </w:rPr>
            </w:pPr>
          </w:p>
        </w:tc>
        <w:tc>
          <w:tcPr>
            <w:tcW w:w="9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vMerge w:val="restart"/>
          </w:tcPr>
          <w:p>
            <w:pPr>
              <w:ind w:left="300"/>
              <w:spacing w:after="0"/>
              <w:rPr>
                <w:sz w:val="20"/>
                <w:szCs w:val="20"/>
                <w:color w:val="auto"/>
              </w:rPr>
            </w:pPr>
            <w:r>
              <w:rPr>
                <w:rFonts w:ascii="Arial" w:cs="Arial" w:eastAsia="Arial" w:hAnsi="Arial"/>
                <w:sz w:val="18"/>
                <w:szCs w:val="18"/>
                <w:color w:val="auto"/>
              </w:rPr>
              <w:t>9</w:t>
            </w:r>
          </w:p>
        </w:tc>
        <w:tc>
          <w:tcPr>
            <w:tcW w:w="94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89"/>
        </w:trPr>
        <w:tc>
          <w:tcPr>
            <w:tcW w:w="1180" w:type="dxa"/>
            <w:vAlign w:val="bottom"/>
          </w:tcPr>
          <w:p>
            <w:pPr>
              <w:spacing w:after="0" w:line="189" w:lineRule="exact"/>
              <w:rPr>
                <w:sz w:val="20"/>
                <w:szCs w:val="20"/>
                <w:color w:val="auto"/>
              </w:rPr>
            </w:pPr>
            <w:r>
              <w:rPr>
                <w:rFonts w:ascii="Arial" w:cs="Arial" w:eastAsia="Arial" w:hAnsi="Arial"/>
                <w:sz w:val="18"/>
                <w:szCs w:val="18"/>
                <w:color w:val="auto"/>
              </w:rPr>
              <w:t>Reporting</w:t>
            </w:r>
          </w:p>
        </w:tc>
        <w:tc>
          <w:tcPr>
            <w:tcW w:w="740" w:type="dxa"/>
            <w:vAlign w:val="bottom"/>
            <w:vMerge w:val="continue"/>
          </w:tcPr>
          <w:p>
            <w:pPr>
              <w:spacing w:after="0"/>
              <w:rPr>
                <w:sz w:val="16"/>
                <w:szCs w:val="16"/>
                <w:color w:val="auto"/>
              </w:rPr>
            </w:pPr>
          </w:p>
        </w:tc>
        <w:tc>
          <w:tcPr>
            <w:tcW w:w="9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22"/>
                <w:szCs w:val="22"/>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53,589,877 Common Units(1)</w:t>
            </w: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27"/>
        </w:trPr>
        <w:tc>
          <w:tcPr>
            <w:tcW w:w="118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10</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092" w:right="5520" w:hanging="646"/>
        <w:spacing w:after="0" w:line="277" w:lineRule="auto"/>
        <w:tabs>
          <w:tab w:leader="none" w:pos="1092" w:val="left"/>
        </w:tabs>
        <w:numPr>
          <w:ilvl w:val="1"/>
          <w:numId w:val="3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53,589,877 Common Units(1)</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092" w:hanging="646"/>
        <w:spacing w:after="0"/>
        <w:tabs>
          <w:tab w:leader="none" w:pos="1092" w:val="left"/>
        </w:tabs>
        <w:numPr>
          <w:ilvl w:val="1"/>
          <w:numId w:val="3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o</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1092" w:hanging="646"/>
        <w:spacing w:after="0"/>
        <w:tabs>
          <w:tab w:leader="none" w:pos="1092" w:val="left"/>
        </w:tabs>
        <w:numPr>
          <w:ilvl w:val="1"/>
          <w:numId w:val="3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100% of Common Units</w:t>
      </w:r>
    </w:p>
    <w:p>
      <w:pPr>
        <w:spacing w:after="0" w:line="200" w:lineRule="exact"/>
        <w:rPr>
          <w:rFonts w:ascii="Arial" w:cs="Arial" w:eastAsia="Arial" w:hAnsi="Arial"/>
          <w:sz w:val="18"/>
          <w:szCs w:val="18"/>
          <w:color w:val="auto"/>
        </w:rPr>
      </w:pPr>
    </w:p>
    <w:p>
      <w:pPr>
        <w:spacing w:after="0" w:line="375" w:lineRule="exact"/>
        <w:rPr>
          <w:rFonts w:ascii="Arial" w:cs="Arial" w:eastAsia="Arial" w:hAnsi="Arial"/>
          <w:sz w:val="18"/>
          <w:szCs w:val="18"/>
          <w:color w:val="auto"/>
        </w:rPr>
      </w:pPr>
    </w:p>
    <w:p>
      <w:pPr>
        <w:ind w:left="1092" w:hanging="646"/>
        <w:spacing w:after="0"/>
        <w:tabs>
          <w:tab w:leader="none" w:pos="1092" w:val="left"/>
        </w:tabs>
        <w:numPr>
          <w:ilvl w:val="1"/>
          <w:numId w:val="3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8" w:right="120" w:firstLine="8"/>
        <w:spacing w:after="0" w:line="293" w:lineRule="auto"/>
        <w:tabs>
          <w:tab w:leader="none" w:pos="247"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11,934,351 Series A Subordinated Units and 13,500,000 Series B Subordinated Units, each representing limited partner interests in the Issuer. The Series A Subordinated Units may be converted into Common Units on a one-for-one basis upon termination of the subordination period under certain circumstances, as set forth in the Partnership Agreement. The Series B Subordinated Units may be converted into Series A Subordinated Units on a one-for-one basis upon the satisfaction of certain operational and financial conditions or, if the subordination period has ended at the time the various operation and financial conditions are satisfied, into Common Units on a one-for-one basis, as set forth in the Partnership Agreement; provided, however, that any Series B Subordinated Units that remain outstanding as of December 31, 2018 will be automatically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-1137920</wp:posOffset>
            </wp:positionV>
            <wp:extent cx="65862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-1780540</wp:posOffset>
            </wp:positionV>
            <wp:extent cx="65862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-2423795</wp:posOffset>
            </wp:positionV>
            <wp:extent cx="65862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-2929890</wp:posOffset>
            </wp:positionV>
            <wp:extent cx="65862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-923290</wp:posOffset>
            </wp:positionV>
            <wp:extent cx="1826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48" w:orient="portrait"/>
          <w:cols w:equalWidth="0" w:num="1">
            <w:col w:w="11412"/>
          </w:cols>
          <w:pgMar w:left="248" w:top="463" w:right="239" w:bottom="0" w:gutter="0" w:footer="0" w:header="0"/>
        </w:sectPr>
      </w:pPr>
    </w:p>
    <w:bookmarkStart w:id="6" w:name="page7"/>
    <w:bookmarkEnd w:id="6"/>
    <w:p>
      <w:pPr>
        <w:jc w:val="center"/>
        <w:ind w:right="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88900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41" w:right="239" w:bottom="5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CUSIP No. 693139107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100330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040" w:right="8400" w:hanging="646"/>
        <w:spacing w:after="0" w:line="342" w:lineRule="auto"/>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Name of Reporting Person PAA GP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36195</wp:posOffset>
            </wp:positionV>
            <wp:extent cx="65862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040" w:hanging="646"/>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6" w:lineRule="exact"/>
        <w:rPr>
          <w:sz w:val="20"/>
          <w:szCs w:val="20"/>
          <w:color w:val="auto"/>
        </w:rPr>
      </w:pPr>
    </w:p>
    <w:p>
      <w:pPr>
        <w:ind w:left="1040"/>
        <w:spacing w:after="0"/>
        <w:tabs>
          <w:tab w:leader="none" w:pos="20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48895</wp:posOffset>
            </wp:positionV>
            <wp:extent cx="59429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165" w:lineRule="exact"/>
        <w:rPr>
          <w:sz w:val="20"/>
          <w:szCs w:val="20"/>
          <w:color w:val="auto"/>
        </w:rPr>
      </w:pPr>
    </w:p>
    <w:p>
      <w:pPr>
        <w:ind w:left="1040"/>
        <w:spacing w:after="0"/>
        <w:tabs>
          <w:tab w:leader="none" w:pos="20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57785</wp:posOffset>
            </wp:positionV>
            <wp:extent cx="59429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040" w:hanging="646"/>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100330</wp:posOffset>
            </wp:positionV>
            <wp:extent cx="65862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040" w:hanging="646"/>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OO (please see Item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91440</wp:posOffset>
            </wp:positionV>
            <wp:extent cx="65862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00"/>
        <w:spacing w:after="0"/>
        <w:tabs>
          <w:tab w:leader="none" w:pos="1020" w:val="left"/>
          <w:tab w:leader="none" w:pos="732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107950</wp:posOffset>
            </wp:positionV>
            <wp:extent cx="65862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040" w:right="7700" w:hanging="646"/>
        <w:spacing w:after="0" w:line="342" w:lineRule="auto"/>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36195</wp:posOffset>
            </wp:positionV>
            <wp:extent cx="65862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7</w:t>
            </w:r>
          </w:p>
        </w:tc>
        <w:tc>
          <w:tcPr>
            <w:tcW w:w="94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53,589,877 Common Units(1)</w:t>
            </w:r>
          </w:p>
        </w:tc>
        <w:tc>
          <w:tcPr>
            <w:tcW w:w="0" w:type="dxa"/>
            <w:vAlign w:val="bottom"/>
          </w:tcPr>
          <w:p>
            <w:pPr>
              <w:spacing w:after="0"/>
              <w:rPr>
                <w:sz w:val="1"/>
                <w:szCs w:val="1"/>
                <w:color w:val="auto"/>
              </w:rPr>
            </w:pPr>
          </w:p>
        </w:tc>
      </w:tr>
      <w:tr>
        <w:trPr>
          <w:trHeight w:val="135"/>
        </w:trPr>
        <w:tc>
          <w:tcPr>
            <w:tcW w:w="11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88"/>
        </w:trPr>
        <w:tc>
          <w:tcPr>
            <w:tcW w:w="1180" w:type="dxa"/>
            <w:vAlign w:val="bottom"/>
            <w:vMerge w:val="continue"/>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8</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spacing w:after="0"/>
              <w:rPr>
                <w:sz w:val="18"/>
                <w:szCs w:val="18"/>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189"/>
        </w:trPr>
        <w:tc>
          <w:tcPr>
            <w:tcW w:w="1180" w:type="dxa"/>
            <w:vAlign w:val="bottom"/>
          </w:tcPr>
          <w:p>
            <w:pPr>
              <w:spacing w:after="0" w:line="189" w:lineRule="exact"/>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16"/>
                <w:szCs w:val="16"/>
                <w:color w:val="auto"/>
              </w:rPr>
            </w:pPr>
          </w:p>
        </w:tc>
        <w:tc>
          <w:tcPr>
            <w:tcW w:w="9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9"/>
                <w:szCs w:val="19"/>
                <w:color w:val="auto"/>
              </w:rPr>
            </w:pPr>
          </w:p>
        </w:tc>
        <w:tc>
          <w:tcPr>
            <w:tcW w:w="9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vMerge w:val="restart"/>
          </w:tcPr>
          <w:p>
            <w:pPr>
              <w:ind w:left="300"/>
              <w:spacing w:after="0"/>
              <w:rPr>
                <w:sz w:val="20"/>
                <w:szCs w:val="20"/>
                <w:color w:val="auto"/>
              </w:rPr>
            </w:pPr>
            <w:r>
              <w:rPr>
                <w:rFonts w:ascii="Arial" w:cs="Arial" w:eastAsia="Arial" w:hAnsi="Arial"/>
                <w:sz w:val="18"/>
                <w:szCs w:val="18"/>
                <w:color w:val="auto"/>
              </w:rPr>
              <w:t>9</w:t>
            </w:r>
          </w:p>
        </w:tc>
        <w:tc>
          <w:tcPr>
            <w:tcW w:w="94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89"/>
        </w:trPr>
        <w:tc>
          <w:tcPr>
            <w:tcW w:w="1180" w:type="dxa"/>
            <w:vAlign w:val="bottom"/>
          </w:tcPr>
          <w:p>
            <w:pPr>
              <w:spacing w:after="0" w:line="189" w:lineRule="exact"/>
              <w:rPr>
                <w:sz w:val="20"/>
                <w:szCs w:val="20"/>
                <w:color w:val="auto"/>
              </w:rPr>
            </w:pPr>
            <w:r>
              <w:rPr>
                <w:rFonts w:ascii="Arial" w:cs="Arial" w:eastAsia="Arial" w:hAnsi="Arial"/>
                <w:sz w:val="18"/>
                <w:szCs w:val="18"/>
                <w:color w:val="auto"/>
              </w:rPr>
              <w:t>Reporting</w:t>
            </w:r>
          </w:p>
        </w:tc>
        <w:tc>
          <w:tcPr>
            <w:tcW w:w="740" w:type="dxa"/>
            <w:vAlign w:val="bottom"/>
            <w:vMerge w:val="continue"/>
          </w:tcPr>
          <w:p>
            <w:pPr>
              <w:spacing w:after="0"/>
              <w:rPr>
                <w:sz w:val="16"/>
                <w:szCs w:val="16"/>
                <w:color w:val="auto"/>
              </w:rPr>
            </w:pPr>
          </w:p>
        </w:tc>
        <w:tc>
          <w:tcPr>
            <w:tcW w:w="9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22"/>
                <w:szCs w:val="22"/>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53,589,877 Common Units(1)</w:t>
            </w: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27"/>
        </w:trPr>
        <w:tc>
          <w:tcPr>
            <w:tcW w:w="118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10</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040" w:right="5520" w:hanging="646"/>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53,589,877 Common Units(1)</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040" w:hanging="646"/>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o</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1040" w:right="6440" w:hanging="646"/>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100% of Common Units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040" w:hanging="646"/>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91440</wp:posOffset>
            </wp:positionV>
            <wp:extent cx="65862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-551180</wp:posOffset>
            </wp:positionV>
            <wp:extent cx="65862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-1194435</wp:posOffset>
            </wp:positionV>
            <wp:extent cx="65862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-1699895</wp:posOffset>
            </wp:positionV>
            <wp:extent cx="65862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306070</wp:posOffset>
            </wp:positionV>
            <wp:extent cx="18268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300" w:top="341" w:right="239" w:bottom="531" w:gutter="0" w:footer="0" w:header="0"/>
          <w:type w:val="continuous"/>
        </w:sectPr>
      </w:pPr>
    </w:p>
    <w:bookmarkStart w:id="7" w:name="page8"/>
    <w:bookmarkEnd w:id="7"/>
    <w:p>
      <w:pPr>
        <w:ind w:right="120" w:firstLine="8"/>
        <w:spacing w:after="0" w:line="293" w:lineRule="auto"/>
        <w:tabs>
          <w:tab w:leader="none" w:pos="2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11,934,351 Series A Subordinated Units and 13,500,000 Series B Subordinated Units, each representing limited partner interests in the Issuer. The Series A Subordinated Units may be converted into Common Units on a one-for-one basis upon termination of the subordination period under certain circumstances, as set forth in the Partnership Agreement. The Series B Subordinated Units may be converted into Series A Subordinated Units on a one-for-one basis upon the satisfaction of certain operational and financial conditions or, if the subordination period has ended at the time the various operation and financial conditions are satisfied, into Common Units on a one-for-one basis, as set forth in the Partnership Agreement; provided, however, that any Series B Subordinated Units that remain outstanding as of December 31, 2018 will be automatically cancelled.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83" w:lineRule="exact"/>
        <w:rPr>
          <w:sz w:val="20"/>
          <w:szCs w:val="20"/>
          <w:color w:val="auto"/>
        </w:rPr>
      </w:pPr>
    </w:p>
    <w:p>
      <w:pPr>
        <w:ind w:right="60" w:firstLine="843"/>
        <w:spacing w:after="0" w:line="290" w:lineRule="auto"/>
        <w:rPr>
          <w:sz w:val="20"/>
          <w:szCs w:val="20"/>
          <w:color w:val="auto"/>
        </w:rPr>
      </w:pPr>
      <w:r>
        <w:rPr>
          <w:rFonts w:ascii="Arial" w:cs="Arial" w:eastAsia="Arial" w:hAnsi="Arial"/>
          <w:sz w:val="16"/>
          <w:szCs w:val="16"/>
          <w:color w:val="auto"/>
        </w:rPr>
        <w:t>This Amendment No. 3 to Schedule 13D (this “</w:t>
      </w:r>
      <w:r>
        <w:rPr>
          <w:rFonts w:ascii="Arial" w:cs="Arial" w:eastAsia="Arial" w:hAnsi="Arial"/>
          <w:sz w:val="16"/>
          <w:szCs w:val="16"/>
          <w:u w:val="single" w:color="auto"/>
          <w:color w:val="auto"/>
        </w:rPr>
        <w:t>Amendment</w:t>
      </w:r>
      <w:r>
        <w:rPr>
          <w:rFonts w:ascii="Arial" w:cs="Arial" w:eastAsia="Arial" w:hAnsi="Arial"/>
          <w:sz w:val="16"/>
          <w:szCs w:val="16"/>
          <w:color w:val="auto"/>
        </w:rPr>
        <w:t>”) relates to the common units representing limited partner interests (the “</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Units</w:t>
      </w:r>
      <w:r>
        <w:rPr>
          <w:rFonts w:ascii="Arial" w:cs="Arial" w:eastAsia="Arial" w:hAnsi="Arial"/>
          <w:sz w:val="16"/>
          <w:szCs w:val="16"/>
          <w:color w:val="auto"/>
        </w:rPr>
        <w:t>”) and subordinated units representing limited partner interests (the “</w:t>
      </w:r>
      <w:r>
        <w:rPr>
          <w:rFonts w:ascii="Arial" w:cs="Arial" w:eastAsia="Arial" w:hAnsi="Arial"/>
          <w:sz w:val="16"/>
          <w:szCs w:val="16"/>
          <w:u w:val="single" w:color="auto"/>
          <w:color w:val="auto"/>
        </w:rPr>
        <w:t>Subordinated Units</w:t>
      </w:r>
      <w:r>
        <w:rPr>
          <w:rFonts w:ascii="Arial" w:cs="Arial" w:eastAsia="Arial" w:hAnsi="Arial"/>
          <w:sz w:val="16"/>
          <w:szCs w:val="16"/>
          <w:color w:val="auto"/>
        </w:rPr>
        <w:t>”) of PAA Natural Gas Storage, L.P., a Delaware limited partnership (the “</w:t>
      </w:r>
      <w:r>
        <w:rPr>
          <w:rFonts w:ascii="Arial" w:cs="Arial" w:eastAsia="Arial" w:hAnsi="Arial"/>
          <w:sz w:val="16"/>
          <w:szCs w:val="16"/>
          <w:u w:val="single" w:color="auto"/>
          <w:color w:val="auto"/>
        </w:rPr>
        <w:t>Issuer</w:t>
      </w:r>
      <w:r>
        <w:rPr>
          <w:rFonts w:ascii="Arial" w:cs="Arial" w:eastAsia="Arial" w:hAnsi="Arial"/>
          <w:sz w:val="16"/>
          <w:szCs w:val="16"/>
          <w:color w:val="auto"/>
        </w:rPr>
        <w:t>”), which has its principal executive offices at 333 Clay Street, Suite 1500, Houston, Texas 77002, and amends the Schedule 13D filed with the Securities and Exchange SEC (the “</w:t>
      </w:r>
      <w:r>
        <w:rPr>
          <w:rFonts w:ascii="Arial" w:cs="Arial" w:eastAsia="Arial" w:hAnsi="Arial"/>
          <w:sz w:val="16"/>
          <w:szCs w:val="16"/>
          <w:u w:val="single" w:color="auto"/>
          <w:color w:val="auto"/>
        </w:rPr>
        <w:t>SEC</w:t>
      </w:r>
      <w:r>
        <w:rPr>
          <w:rFonts w:ascii="Arial" w:cs="Arial" w:eastAsia="Arial" w:hAnsi="Arial"/>
          <w:sz w:val="16"/>
          <w:szCs w:val="16"/>
          <w:color w:val="auto"/>
        </w:rPr>
        <w:t>”) on February 18, 2011, as amended on August 28, 2013 and as further amended on October 24, 2013, by Plains All American Pipeline, L.P., a Delaware limited partnership (“</w:t>
      </w:r>
      <w:r>
        <w:rPr>
          <w:rFonts w:ascii="Arial" w:cs="Arial" w:eastAsia="Arial" w:hAnsi="Arial"/>
          <w:sz w:val="16"/>
          <w:szCs w:val="16"/>
          <w:u w:val="single" w:color="auto"/>
          <w:color w:val="auto"/>
        </w:rPr>
        <w:t>PAA</w:t>
      </w:r>
      <w:r>
        <w:rPr>
          <w:rFonts w:ascii="Arial" w:cs="Arial" w:eastAsia="Arial" w:hAnsi="Arial"/>
          <w:sz w:val="16"/>
          <w:szCs w:val="16"/>
          <w:color w:val="auto"/>
        </w:rPr>
        <w:t>”), PAA GP LLC, a Delaware limited liability company (“</w:t>
      </w:r>
      <w:r>
        <w:rPr>
          <w:rFonts w:ascii="Arial" w:cs="Arial" w:eastAsia="Arial" w:hAnsi="Arial"/>
          <w:sz w:val="16"/>
          <w:szCs w:val="16"/>
          <w:u w:val="single" w:color="auto"/>
          <w:color w:val="auto"/>
        </w:rPr>
        <w:t>General Partner</w:t>
      </w:r>
      <w:r>
        <w:rPr>
          <w:rFonts w:ascii="Arial" w:cs="Arial" w:eastAsia="Arial" w:hAnsi="Arial"/>
          <w:sz w:val="16"/>
          <w:szCs w:val="16"/>
          <w:color w:val="auto"/>
        </w:rPr>
        <w:t>”), Plains AAP, L.P., a Delaware limited partnership (“</w:t>
      </w:r>
      <w:r>
        <w:rPr>
          <w:rFonts w:ascii="Arial" w:cs="Arial" w:eastAsia="Arial" w:hAnsi="Arial"/>
          <w:sz w:val="16"/>
          <w:szCs w:val="16"/>
          <w:u w:val="single" w:color="auto"/>
          <w:color w:val="auto"/>
        </w:rPr>
        <w:t>AAP</w:t>
      </w:r>
      <w:r>
        <w:rPr>
          <w:rFonts w:ascii="Arial" w:cs="Arial" w:eastAsia="Arial" w:hAnsi="Arial"/>
          <w:sz w:val="16"/>
          <w:szCs w:val="16"/>
          <w:color w:val="auto"/>
        </w:rPr>
        <w:t>”), Plains All American GP LLC (“</w:t>
      </w:r>
      <w:r>
        <w:rPr>
          <w:rFonts w:ascii="Arial" w:cs="Arial" w:eastAsia="Arial" w:hAnsi="Arial"/>
          <w:sz w:val="16"/>
          <w:szCs w:val="16"/>
          <w:u w:val="single" w:color="auto"/>
          <w:color w:val="auto"/>
        </w:rPr>
        <w:t>GP LLC</w:t>
      </w:r>
      <w:r>
        <w:rPr>
          <w:rFonts w:ascii="Arial" w:cs="Arial" w:eastAsia="Arial" w:hAnsi="Arial"/>
          <w:sz w:val="16"/>
          <w:szCs w:val="16"/>
          <w:color w:val="auto"/>
        </w:rPr>
        <w:t>”), Plains GP Holdings, L.P. (“</w:t>
      </w:r>
      <w:r>
        <w:rPr>
          <w:rFonts w:ascii="Arial" w:cs="Arial" w:eastAsia="Arial" w:hAnsi="Arial"/>
          <w:sz w:val="16"/>
          <w:szCs w:val="16"/>
          <w:u w:val="single" w:color="auto"/>
          <w:color w:val="auto"/>
        </w:rPr>
        <w:t>GP Holdings</w:t>
      </w:r>
      <w:r>
        <w:rPr>
          <w:rFonts w:ascii="Arial" w:cs="Arial" w:eastAsia="Arial" w:hAnsi="Arial"/>
          <w:sz w:val="16"/>
          <w:szCs w:val="16"/>
          <w:color w:val="auto"/>
        </w:rPr>
        <w:t>”) and PAA GP Holdings LLC (“</w:t>
      </w:r>
      <w:r>
        <w:rPr>
          <w:rFonts w:ascii="Arial" w:cs="Arial" w:eastAsia="Arial" w:hAnsi="Arial"/>
          <w:sz w:val="16"/>
          <w:szCs w:val="16"/>
          <w:u w:val="single" w:color="auto"/>
          <w:color w:val="auto"/>
        </w:rPr>
        <w:t>PAA GP Holdings</w:t>
      </w:r>
      <w:r>
        <w:rPr>
          <w:rFonts w:ascii="Arial" w:cs="Arial" w:eastAsia="Arial" w:hAnsi="Arial"/>
          <w:sz w:val="16"/>
          <w:szCs w:val="16"/>
          <w:color w:val="auto"/>
        </w:rPr>
        <w:t>” and, collectively with PAA, General Partner, AAP, GP LLC and GP Holdings, the “</w:t>
      </w:r>
      <w:r>
        <w:rPr>
          <w:rFonts w:ascii="Arial" w:cs="Arial" w:eastAsia="Arial" w:hAnsi="Arial"/>
          <w:sz w:val="16"/>
          <w:szCs w:val="16"/>
          <w:u w:val="single" w:color="auto"/>
          <w:color w:val="auto"/>
        </w:rPr>
        <w:t>Reporting Persons</w:t>
      </w:r>
      <w:r>
        <w:rPr>
          <w:rFonts w:ascii="Arial" w:cs="Arial" w:eastAsia="Arial" w:hAnsi="Arial"/>
          <w:sz w:val="16"/>
          <w:szCs w:val="16"/>
          <w:color w:val="auto"/>
        </w:rPr>
        <w:t>”) (the “</w:t>
      </w:r>
      <w:r>
        <w:rPr>
          <w:rFonts w:ascii="Arial" w:cs="Arial" w:eastAsia="Arial" w:hAnsi="Arial"/>
          <w:sz w:val="16"/>
          <w:szCs w:val="16"/>
          <w:u w:val="single" w:color="auto"/>
          <w:color w:val="auto"/>
        </w:rPr>
        <w:t>Original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13D</w:t>
      </w:r>
      <w:r>
        <w:rPr>
          <w:rFonts w:ascii="Arial" w:cs="Arial" w:eastAsia="Arial" w:hAnsi="Arial"/>
          <w:sz w:val="16"/>
          <w:szCs w:val="16"/>
          <w:color w:val="auto"/>
        </w:rPr>
        <w:t>”). This is the final amendment to the Original Schedule 13D and constitutes an exit filing for the Reporting Persons.</w:t>
      </w:r>
    </w:p>
    <w:p>
      <w:pPr>
        <w:spacing w:after="0" w:line="166" w:lineRule="exact"/>
        <w:rPr>
          <w:sz w:val="20"/>
          <w:szCs w:val="20"/>
          <w:color w:val="auto"/>
        </w:rPr>
      </w:pPr>
    </w:p>
    <w:p>
      <w:pPr>
        <w:ind w:firstLine="843"/>
        <w:spacing w:after="0" w:line="264" w:lineRule="auto"/>
        <w:rPr>
          <w:sz w:val="20"/>
          <w:szCs w:val="20"/>
          <w:color w:val="auto"/>
        </w:rPr>
      </w:pPr>
      <w:r>
        <w:rPr>
          <w:rFonts w:ascii="Arial" w:cs="Arial" w:eastAsia="Arial" w:hAnsi="Arial"/>
          <w:sz w:val="18"/>
          <w:szCs w:val="18"/>
          <w:color w:val="auto"/>
        </w:rPr>
        <w:t>Except as otherwise specified in this Amendment, all items left blank remain unchanged in all material respects and any items that are reported are deemed to amend and restate the corresponding items in the Original Schedule 13D. Capitalized terms used herein but not defined herein have the respective meanings ascribed to them in the Original Schedule 13D.</w:t>
      </w:r>
    </w:p>
    <w:p>
      <w:pPr>
        <w:spacing w:after="0" w:line="231"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83" w:lineRule="exact"/>
        <w:rPr>
          <w:sz w:val="20"/>
          <w:szCs w:val="20"/>
          <w:color w:val="auto"/>
        </w:rPr>
      </w:pPr>
    </w:p>
    <w:p>
      <w:pPr>
        <w:ind w:firstLine="843"/>
        <w:spacing w:after="0" w:line="264" w:lineRule="auto"/>
        <w:rPr>
          <w:sz w:val="20"/>
          <w:szCs w:val="20"/>
          <w:color w:val="auto"/>
        </w:rPr>
      </w:pPr>
      <w:r>
        <w:rPr>
          <w:rFonts w:ascii="Arial" w:cs="Arial" w:eastAsia="Arial" w:hAnsi="Arial"/>
          <w:sz w:val="18"/>
          <w:szCs w:val="18"/>
          <w:color w:val="auto"/>
        </w:rPr>
        <w:t>Item 2 of the Original Schedule 13D is hereby amended as follows. The list of Listed Persons set forth on Schedule 1 is hereby amended such that the number next to the heading “Amount Beneficially Owned” under each Listed Person’s name is zero (0), indicating that, following consummation of, and as a result of, the Merger, no Listed Person is the beneficial owner of Common Units.</w:t>
      </w:r>
    </w:p>
    <w:p>
      <w:pPr>
        <w:spacing w:after="0" w:line="231"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8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Item 3 of the Original Schedule 13D is hereby amended to add the following paragraph:</w:t>
      </w:r>
    </w:p>
    <w:p>
      <w:pPr>
        <w:spacing w:after="0" w:line="225" w:lineRule="exact"/>
        <w:rPr>
          <w:sz w:val="20"/>
          <w:szCs w:val="20"/>
          <w:color w:val="auto"/>
        </w:rPr>
      </w:pPr>
    </w:p>
    <w:p>
      <w:pPr>
        <w:ind w:right="600" w:firstLine="843"/>
        <w:spacing w:after="0" w:line="277" w:lineRule="auto"/>
        <w:rPr>
          <w:sz w:val="20"/>
          <w:szCs w:val="20"/>
          <w:color w:val="auto"/>
        </w:rPr>
      </w:pPr>
      <w:r>
        <w:rPr>
          <w:rFonts w:ascii="Arial" w:cs="Arial" w:eastAsia="Arial" w:hAnsi="Arial"/>
          <w:sz w:val="18"/>
          <w:szCs w:val="18"/>
          <w:color w:val="auto"/>
        </w:rPr>
        <w:t>Pursuant to the Merger Agreement (as defined below), the funding for the Merger described in Item 4 of this Amendment (which Item 4 is incorporated herein by reference) will consist entirely of newly issued common units of PAA as described in Item 4.</w:t>
      </w:r>
    </w:p>
    <w:p>
      <w:pPr>
        <w:spacing w:after="0" w:line="220"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8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Item 4 of the Original Schedule 13D is hereby amended to add the following paragraphs:</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On December 31, 2013, PAA Acquisition Company LLC, a Delaware limited liability company and wholly-owned subsidiary of PAA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MergerCo</w:t>
      </w:r>
      <w:r>
        <w:rPr>
          <w:rFonts w:ascii="Arial" w:cs="Arial" w:eastAsia="Arial" w:hAnsi="Arial"/>
          <w:sz w:val="16"/>
          <w:szCs w:val="16"/>
          <w:color w:val="auto"/>
        </w:rPr>
        <w:t>”), merged with and into the Issuer (the “</w:t>
      </w:r>
      <w:r>
        <w:rPr>
          <w:rFonts w:ascii="Arial" w:cs="Arial" w:eastAsia="Arial" w:hAnsi="Arial"/>
          <w:sz w:val="16"/>
          <w:szCs w:val="16"/>
          <w:u w:val="single" w:color="auto"/>
          <w:color w:val="auto"/>
        </w:rPr>
        <w:t>Merger</w:t>
      </w:r>
      <w:r>
        <w:rPr>
          <w:rFonts w:ascii="Arial" w:cs="Arial" w:eastAsia="Arial" w:hAnsi="Arial"/>
          <w:sz w:val="16"/>
          <w:szCs w:val="16"/>
          <w:color w:val="auto"/>
        </w:rPr>
        <w:t>”), with the Issuer surviving the merger as a wholly-owned subsidiary of PAA, pursuant to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certain Agreement and Plan of Merger dated as of October 21, 2013, by and among PAA, MergerCo, the Issuer and PNGS GP LLC, a Delaware limited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liability company and the general partner of the Issuer (as amended,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Under the terms of the Merger Agreement, all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Units, other than those owned by PAA, were cancelled and converted into the right to receive 0.445 common units of PAA per Common Unit, plus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in lieu of any fractional common units of PAA otherwise issuable in the Merger.</w:t>
      </w:r>
    </w:p>
    <w:p>
      <w:pPr>
        <w:spacing w:after="0" w:line="211" w:lineRule="exact"/>
        <w:rPr>
          <w:sz w:val="20"/>
          <w:szCs w:val="20"/>
          <w:color w:val="auto"/>
        </w:rPr>
      </w:pPr>
    </w:p>
    <w:p>
      <w:pPr>
        <w:ind w:right="180" w:firstLine="843"/>
        <w:spacing w:after="0" w:line="308" w:lineRule="auto"/>
        <w:rPr>
          <w:sz w:val="20"/>
          <w:szCs w:val="20"/>
          <w:color w:val="auto"/>
        </w:rPr>
      </w:pPr>
      <w:r>
        <w:rPr>
          <w:rFonts w:ascii="Arial" w:cs="Arial" w:eastAsia="Arial" w:hAnsi="Arial"/>
          <w:sz w:val="17"/>
          <w:szCs w:val="17"/>
          <w:color w:val="auto"/>
        </w:rPr>
        <w:t>The foregoing description of the Merger Agreement is qualified in its entirety by reference to the Merger Agreement, which was filed as Exhibit 2.1 to Amendment No. 2 to the Original Schedule 13D on October 24, 2013, and is incorporated herein by reference into this Item 4.</w:t>
      </w:r>
    </w:p>
    <w:p>
      <w:pPr>
        <w:spacing w:after="0" w:line="147" w:lineRule="exact"/>
        <w:rPr>
          <w:sz w:val="20"/>
          <w:szCs w:val="20"/>
          <w:color w:val="auto"/>
        </w:rPr>
      </w:pPr>
    </w:p>
    <w:p>
      <w:pPr>
        <w:jc w:val="both"/>
        <w:ind w:right="120" w:firstLine="843"/>
        <w:spacing w:after="0" w:line="277" w:lineRule="auto"/>
        <w:rPr>
          <w:sz w:val="20"/>
          <w:szCs w:val="20"/>
          <w:color w:val="auto"/>
        </w:rPr>
      </w:pPr>
      <w:r>
        <w:rPr>
          <w:rFonts w:ascii="Arial" w:cs="Arial" w:eastAsia="Arial" w:hAnsi="Arial"/>
          <w:sz w:val="18"/>
          <w:szCs w:val="18"/>
          <w:color w:val="auto"/>
        </w:rPr>
        <w:t>Other than as described above, none of the Reporting Persons has any plan or proposals of the type referred to in clauses (a) through (j) of Item 4 of Schedule 13D, although they reserve the right to formulate such plans or proposals in the future.</w:t>
      </w:r>
    </w:p>
    <w:p>
      <w:pPr>
        <w:spacing w:after="0" w:line="220"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8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Item 5 of the Original Schedule 13D is hereby amended to add the following paragraph:</w:t>
      </w:r>
    </w:p>
    <w:p>
      <w:pPr>
        <w:spacing w:after="0" w:line="225" w:lineRule="exact"/>
        <w:rPr>
          <w:sz w:val="20"/>
          <w:szCs w:val="20"/>
          <w:color w:val="auto"/>
        </w:rPr>
      </w:pPr>
    </w:p>
    <w:p>
      <w:pPr>
        <w:jc w:val="both"/>
        <w:ind w:right="120" w:firstLine="843"/>
        <w:spacing w:after="0" w:line="312" w:lineRule="auto"/>
        <w:rPr>
          <w:sz w:val="20"/>
          <w:szCs w:val="20"/>
          <w:color w:val="auto"/>
        </w:rPr>
      </w:pPr>
      <w:r>
        <w:rPr>
          <w:rFonts w:ascii="Arial" w:cs="Arial" w:eastAsia="Arial" w:hAnsi="Arial"/>
          <w:sz w:val="16"/>
          <w:szCs w:val="16"/>
          <w:color w:val="auto"/>
        </w:rPr>
        <w:t>As a result of the Merger as described in Item 4 (which Item 4 is incorporated herein by reference), neither the Reporting Persons nor the Listed Persons own any publicly-traded Common Units of the Issuer. Therefore, the Reporting Persons and the Listed Persons ceased to be the beneficial owners of more than 5% of publicly-traded Common Units of the Issuer. Consequently, this Amendment constitutes an exit filing for the Reporting Persons.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January 2, 2014</w:t>
      </w:r>
    </w:p>
    <w:p>
      <w:pPr>
        <w:sectPr>
          <w:pgSz w:w="11900" w:h="16838" w:orient="portrait"/>
          <w:cols w:equalWidth="0" w:num="1">
            <w:col w:w="11420"/>
          </w:cols>
          <w:pgMar w:left="240" w:top="125" w:right="239" w:bottom="0" w:gutter="0" w:footer="0" w:header="0"/>
        </w:sectPr>
      </w:pPr>
    </w:p>
    <w:bookmarkStart w:id="8" w:name="page9"/>
    <w:bookmarkEnd w:id="8"/>
    <w:p>
      <w:pPr>
        <w:ind w:left="5720"/>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ind w:left="5720"/>
              <w:spacing w:after="0"/>
              <w:rPr>
                <w:sz w:val="20"/>
                <w:szCs w:val="20"/>
                <w:color w:val="auto"/>
              </w:rPr>
            </w:pPr>
            <w:r>
              <w:rPr>
                <w:rFonts w:ascii="Arial" w:cs="Arial" w:eastAsia="Arial" w:hAnsi="Arial"/>
                <w:sz w:val="18"/>
                <w:szCs w:val="18"/>
                <w:b w:val="1"/>
                <w:bCs w:val="1"/>
                <w:color w:val="auto"/>
              </w:rPr>
              <w:t>By:</w:t>
            </w:r>
          </w:p>
        </w:tc>
        <w:tc>
          <w:tcPr>
            <w:tcW w:w="4940" w:type="dxa"/>
            <w:vAlign w:val="bottom"/>
          </w:tcPr>
          <w:p>
            <w:pPr>
              <w:spacing w:after="0"/>
              <w:rPr>
                <w:sz w:val="20"/>
                <w:szCs w:val="20"/>
                <w:color w:val="auto"/>
              </w:rPr>
            </w:pPr>
            <w:r>
              <w:rPr>
                <w:rFonts w:ascii="Arial" w:cs="Arial" w:eastAsia="Arial" w:hAnsi="Arial"/>
                <w:sz w:val="18"/>
                <w:szCs w:val="18"/>
                <w:b w:val="1"/>
                <w:bCs w:val="1"/>
                <w:color w:val="auto"/>
              </w:rPr>
              <w:t>PAA GP LLC, its general partner</w:t>
            </w:r>
          </w:p>
        </w:tc>
        <w:tc>
          <w:tcPr>
            <w:tcW w:w="40" w:type="dxa"/>
            <w:vAlign w:val="bottom"/>
          </w:tcPr>
          <w:p>
            <w:pPr>
              <w:spacing w:after="0"/>
              <w:rPr>
                <w:sz w:val="20"/>
                <w:szCs w:val="20"/>
                <w:color w:val="auto"/>
              </w:rPr>
            </w:pPr>
          </w:p>
        </w:tc>
      </w:tr>
      <w:tr>
        <w:trPr>
          <w:trHeight w:val="432"/>
        </w:trPr>
        <w:tc>
          <w:tcPr>
            <w:tcW w:w="6480" w:type="dxa"/>
            <w:vAlign w:val="bottom"/>
          </w:tcPr>
          <w:p>
            <w:pPr>
              <w:ind w:left="5720"/>
              <w:spacing w:after="0"/>
              <w:rPr>
                <w:sz w:val="20"/>
                <w:szCs w:val="20"/>
                <w:color w:val="auto"/>
              </w:rPr>
            </w:pPr>
            <w:r>
              <w:rPr>
                <w:rFonts w:ascii="Arial" w:cs="Arial" w:eastAsia="Arial" w:hAnsi="Arial"/>
                <w:sz w:val="18"/>
                <w:szCs w:val="18"/>
                <w:b w:val="1"/>
                <w:bCs w:val="1"/>
                <w:color w:val="auto"/>
              </w:rPr>
              <w:t>By:</w:t>
            </w:r>
          </w:p>
        </w:tc>
        <w:tc>
          <w:tcPr>
            <w:tcW w:w="4940" w:type="dxa"/>
            <w:vAlign w:val="bottom"/>
          </w:tcPr>
          <w:p>
            <w:pPr>
              <w:spacing w:after="0"/>
              <w:rPr>
                <w:sz w:val="20"/>
                <w:szCs w:val="20"/>
                <w:color w:val="auto"/>
              </w:rPr>
            </w:pPr>
            <w:r>
              <w:rPr>
                <w:rFonts w:ascii="Arial" w:cs="Arial" w:eastAsia="Arial" w:hAnsi="Arial"/>
                <w:sz w:val="18"/>
                <w:szCs w:val="18"/>
                <w:b w:val="1"/>
                <w:bCs w:val="1"/>
                <w:color w:val="auto"/>
              </w:rPr>
              <w:t>Plains AAP, L.P., its sole member</w:t>
            </w:r>
          </w:p>
        </w:tc>
        <w:tc>
          <w:tcPr>
            <w:tcW w:w="40" w:type="dxa"/>
            <w:vAlign w:val="bottom"/>
          </w:tcPr>
          <w:p>
            <w:pPr>
              <w:spacing w:after="0"/>
              <w:rPr>
                <w:sz w:val="24"/>
                <w:szCs w:val="24"/>
                <w:color w:val="auto"/>
              </w:rPr>
            </w:pPr>
          </w:p>
        </w:tc>
      </w:tr>
      <w:tr>
        <w:trPr>
          <w:trHeight w:val="432"/>
        </w:trPr>
        <w:tc>
          <w:tcPr>
            <w:tcW w:w="6480" w:type="dxa"/>
            <w:vAlign w:val="bottom"/>
          </w:tcPr>
          <w:p>
            <w:pPr>
              <w:ind w:left="5720"/>
              <w:spacing w:after="0"/>
              <w:rPr>
                <w:sz w:val="20"/>
                <w:szCs w:val="20"/>
                <w:color w:val="auto"/>
              </w:rPr>
            </w:pPr>
            <w:r>
              <w:rPr>
                <w:rFonts w:ascii="Arial" w:cs="Arial" w:eastAsia="Arial" w:hAnsi="Arial"/>
                <w:sz w:val="18"/>
                <w:szCs w:val="18"/>
                <w:b w:val="1"/>
                <w:bCs w:val="1"/>
                <w:color w:val="auto"/>
              </w:rPr>
              <w:t>By:</w:t>
            </w:r>
          </w:p>
        </w:tc>
        <w:tc>
          <w:tcPr>
            <w:tcW w:w="4940" w:type="dxa"/>
            <w:vAlign w:val="bottom"/>
          </w:tcPr>
          <w:p>
            <w:pPr>
              <w:spacing w:after="0"/>
              <w:rPr>
                <w:sz w:val="20"/>
                <w:szCs w:val="20"/>
                <w:color w:val="auto"/>
              </w:rPr>
            </w:pPr>
            <w:r>
              <w:rPr>
                <w:rFonts w:ascii="Arial" w:cs="Arial" w:eastAsia="Arial" w:hAnsi="Arial"/>
                <w:sz w:val="18"/>
                <w:szCs w:val="18"/>
                <w:b w:val="1"/>
                <w:bCs w:val="1"/>
                <w:color w:val="auto"/>
              </w:rPr>
              <w:t>Plains All American GP LLC, its general partner</w:t>
            </w:r>
          </w:p>
        </w:tc>
        <w:tc>
          <w:tcPr>
            <w:tcW w:w="40" w:type="dxa"/>
            <w:vAlign w:val="bottom"/>
          </w:tcPr>
          <w:p>
            <w:pPr>
              <w:spacing w:after="0"/>
              <w:rPr>
                <w:sz w:val="24"/>
                <w:szCs w:val="24"/>
                <w:color w:val="auto"/>
              </w:rPr>
            </w:pPr>
          </w:p>
        </w:tc>
      </w:tr>
      <w:tr>
        <w:trPr>
          <w:trHeight w:val="432"/>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16"/>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 General Counsel and</w:t>
            </w:r>
          </w:p>
        </w:tc>
        <w:tc>
          <w:tcPr>
            <w:tcW w:w="40" w:type="dxa"/>
            <w:vAlign w:val="bottom"/>
          </w:tcPr>
          <w:p>
            <w:pPr>
              <w:spacing w:after="0"/>
              <w:rPr>
                <w:sz w:val="18"/>
                <w:szCs w:val="18"/>
                <w:color w:val="auto"/>
              </w:rPr>
            </w:pPr>
          </w:p>
        </w:tc>
      </w:tr>
      <w:tr>
        <w:trPr>
          <w:trHeight w:val="230"/>
        </w:trPr>
        <w:tc>
          <w:tcPr>
            <w:tcW w:w="64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Secretary</w:t>
            </w:r>
          </w:p>
        </w:tc>
        <w:tc>
          <w:tcPr>
            <w:tcW w:w="40" w:type="dxa"/>
            <w:vAlign w:val="bottom"/>
          </w:tcPr>
          <w:p>
            <w:pPr>
              <w:spacing w:after="0"/>
              <w:rPr>
                <w:sz w:val="20"/>
                <w:szCs w:val="20"/>
                <w:color w:val="auto"/>
              </w:rPr>
            </w:pPr>
          </w:p>
        </w:tc>
      </w:tr>
      <w:tr>
        <w:trPr>
          <w:trHeight w:val="432"/>
        </w:trPr>
        <w:tc>
          <w:tcPr>
            <w:tcW w:w="6480" w:type="dxa"/>
            <w:vAlign w:val="bottom"/>
          </w:tcPr>
          <w:p>
            <w:pPr>
              <w:ind w:left="5660"/>
              <w:spacing w:after="0"/>
              <w:rPr>
                <w:sz w:val="20"/>
                <w:szCs w:val="20"/>
                <w:color w:val="auto"/>
              </w:rPr>
            </w:pPr>
            <w:r>
              <w:rPr>
                <w:rFonts w:ascii="Arial" w:cs="Arial" w:eastAsia="Arial" w:hAnsi="Arial"/>
                <w:sz w:val="18"/>
                <w:szCs w:val="18"/>
                <w:color w:val="auto"/>
              </w:rPr>
              <w:t>9</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January 2,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PAA GP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ind w:left="5720"/>
              <w:spacing w:after="0"/>
              <w:rPr>
                <w:sz w:val="20"/>
                <w:szCs w:val="20"/>
                <w:color w:val="auto"/>
              </w:rPr>
            </w:pPr>
            <w:r>
              <w:rPr>
                <w:rFonts w:ascii="Arial" w:cs="Arial" w:eastAsia="Arial" w:hAnsi="Arial"/>
                <w:sz w:val="18"/>
                <w:szCs w:val="18"/>
                <w:b w:val="1"/>
                <w:bCs w:val="1"/>
                <w:color w:val="auto"/>
              </w:rPr>
              <w:t>By:</w:t>
            </w:r>
          </w:p>
        </w:tc>
        <w:tc>
          <w:tcPr>
            <w:tcW w:w="4940" w:type="dxa"/>
            <w:vAlign w:val="bottom"/>
          </w:tcPr>
          <w:p>
            <w:pPr>
              <w:spacing w:after="0"/>
              <w:rPr>
                <w:sz w:val="20"/>
                <w:szCs w:val="20"/>
                <w:color w:val="auto"/>
              </w:rPr>
            </w:pPr>
            <w:r>
              <w:rPr>
                <w:rFonts w:ascii="Arial" w:cs="Arial" w:eastAsia="Arial" w:hAnsi="Arial"/>
                <w:sz w:val="18"/>
                <w:szCs w:val="18"/>
                <w:b w:val="1"/>
                <w:bCs w:val="1"/>
                <w:color w:val="auto"/>
              </w:rPr>
              <w:t>Plains AAP, L.P., its sole member</w:t>
            </w:r>
          </w:p>
        </w:tc>
        <w:tc>
          <w:tcPr>
            <w:tcW w:w="40" w:type="dxa"/>
            <w:vAlign w:val="bottom"/>
          </w:tcPr>
          <w:p>
            <w:pPr>
              <w:spacing w:after="0"/>
              <w:rPr>
                <w:sz w:val="20"/>
                <w:szCs w:val="20"/>
                <w:color w:val="auto"/>
              </w:rPr>
            </w:pPr>
          </w:p>
        </w:tc>
      </w:tr>
      <w:tr>
        <w:trPr>
          <w:trHeight w:val="432"/>
        </w:trPr>
        <w:tc>
          <w:tcPr>
            <w:tcW w:w="6480" w:type="dxa"/>
            <w:vAlign w:val="bottom"/>
          </w:tcPr>
          <w:p>
            <w:pPr>
              <w:ind w:left="5720"/>
              <w:spacing w:after="0"/>
              <w:rPr>
                <w:sz w:val="20"/>
                <w:szCs w:val="20"/>
                <w:color w:val="auto"/>
              </w:rPr>
            </w:pPr>
            <w:r>
              <w:rPr>
                <w:rFonts w:ascii="Arial" w:cs="Arial" w:eastAsia="Arial" w:hAnsi="Arial"/>
                <w:sz w:val="18"/>
                <w:szCs w:val="18"/>
                <w:b w:val="1"/>
                <w:bCs w:val="1"/>
                <w:color w:val="auto"/>
              </w:rPr>
              <w:t>By:</w:t>
            </w:r>
          </w:p>
        </w:tc>
        <w:tc>
          <w:tcPr>
            <w:tcW w:w="4940" w:type="dxa"/>
            <w:vAlign w:val="bottom"/>
          </w:tcPr>
          <w:p>
            <w:pPr>
              <w:spacing w:after="0"/>
              <w:rPr>
                <w:sz w:val="20"/>
                <w:szCs w:val="20"/>
                <w:color w:val="auto"/>
              </w:rPr>
            </w:pPr>
            <w:r>
              <w:rPr>
                <w:rFonts w:ascii="Arial" w:cs="Arial" w:eastAsia="Arial" w:hAnsi="Arial"/>
                <w:sz w:val="18"/>
                <w:szCs w:val="18"/>
                <w:b w:val="1"/>
                <w:bCs w:val="1"/>
                <w:color w:val="auto"/>
              </w:rPr>
              <w:t>Plains All American GP LLC, its general partner</w:t>
            </w:r>
          </w:p>
        </w:tc>
        <w:tc>
          <w:tcPr>
            <w:tcW w:w="40" w:type="dxa"/>
            <w:vAlign w:val="bottom"/>
          </w:tcPr>
          <w:p>
            <w:pPr>
              <w:spacing w:after="0"/>
              <w:rPr>
                <w:sz w:val="24"/>
                <w:szCs w:val="24"/>
                <w:color w:val="auto"/>
              </w:rPr>
            </w:pPr>
          </w:p>
        </w:tc>
      </w:tr>
      <w:tr>
        <w:trPr>
          <w:trHeight w:val="432"/>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16"/>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 General Counsel and</w:t>
            </w:r>
          </w:p>
        </w:tc>
        <w:tc>
          <w:tcPr>
            <w:tcW w:w="40" w:type="dxa"/>
            <w:vAlign w:val="bottom"/>
          </w:tcPr>
          <w:p>
            <w:pPr>
              <w:spacing w:after="0"/>
              <w:rPr>
                <w:sz w:val="18"/>
                <w:szCs w:val="18"/>
                <w:color w:val="auto"/>
              </w:rPr>
            </w:pPr>
          </w:p>
        </w:tc>
      </w:tr>
      <w:tr>
        <w:trPr>
          <w:trHeight w:val="230"/>
        </w:trPr>
        <w:tc>
          <w:tcPr>
            <w:tcW w:w="64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Secretary</w:t>
            </w:r>
          </w:p>
        </w:tc>
        <w:tc>
          <w:tcPr>
            <w:tcW w:w="40" w:type="dxa"/>
            <w:vAlign w:val="bottom"/>
          </w:tcPr>
          <w:p>
            <w:pPr>
              <w:spacing w:after="0"/>
              <w:rPr>
                <w:sz w:val="20"/>
                <w:szCs w:val="20"/>
                <w:color w:val="auto"/>
              </w:rPr>
            </w:pPr>
          </w:p>
        </w:tc>
      </w:tr>
      <w:tr>
        <w:trPr>
          <w:trHeight w:val="432"/>
        </w:trPr>
        <w:tc>
          <w:tcPr>
            <w:tcW w:w="6480" w:type="dxa"/>
            <w:vAlign w:val="bottom"/>
          </w:tcPr>
          <w:p>
            <w:pPr>
              <w:ind w:left="5620"/>
              <w:spacing w:after="0"/>
              <w:rPr>
                <w:sz w:val="20"/>
                <w:szCs w:val="20"/>
                <w:color w:val="auto"/>
              </w:rPr>
            </w:pPr>
            <w:r>
              <w:rPr>
                <w:rFonts w:ascii="Arial" w:cs="Arial" w:eastAsia="Arial" w:hAnsi="Arial"/>
                <w:sz w:val="18"/>
                <w:szCs w:val="18"/>
                <w:color w:val="auto"/>
              </w:rPr>
              <w:t>10</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January 2,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AAP,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0"/>
                <w:szCs w:val="20"/>
                <w:color w:val="auto"/>
              </w:rPr>
            </w:pPr>
          </w:p>
        </w:tc>
      </w:tr>
      <w:tr>
        <w:trPr>
          <w:trHeight w:val="432"/>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16"/>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 General Counsel and</w:t>
            </w:r>
          </w:p>
        </w:tc>
        <w:tc>
          <w:tcPr>
            <w:tcW w:w="40" w:type="dxa"/>
            <w:vAlign w:val="bottom"/>
          </w:tcPr>
          <w:p>
            <w:pPr>
              <w:spacing w:after="0"/>
              <w:rPr>
                <w:sz w:val="18"/>
                <w:szCs w:val="18"/>
                <w:color w:val="auto"/>
              </w:rPr>
            </w:pPr>
          </w:p>
        </w:tc>
      </w:tr>
      <w:tr>
        <w:trPr>
          <w:trHeight w:val="230"/>
        </w:trPr>
        <w:tc>
          <w:tcPr>
            <w:tcW w:w="64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Secretary</w:t>
            </w:r>
          </w:p>
        </w:tc>
        <w:tc>
          <w:tcPr>
            <w:tcW w:w="40" w:type="dxa"/>
            <w:vAlign w:val="bottom"/>
          </w:tcPr>
          <w:p>
            <w:pPr>
              <w:spacing w:after="0"/>
              <w:rPr>
                <w:sz w:val="20"/>
                <w:szCs w:val="20"/>
                <w:color w:val="auto"/>
              </w:rPr>
            </w:pPr>
          </w:p>
        </w:tc>
      </w:tr>
      <w:tr>
        <w:trPr>
          <w:trHeight w:val="432"/>
        </w:trPr>
        <w:tc>
          <w:tcPr>
            <w:tcW w:w="6480" w:type="dxa"/>
            <w:vAlign w:val="bottom"/>
          </w:tcPr>
          <w:p>
            <w:pPr>
              <w:ind w:left="5620"/>
              <w:spacing w:after="0"/>
              <w:rPr>
                <w:sz w:val="20"/>
                <w:szCs w:val="20"/>
                <w:color w:val="auto"/>
              </w:rPr>
            </w:pPr>
            <w:r>
              <w:rPr>
                <w:rFonts w:ascii="Arial" w:cs="Arial" w:eastAsia="Arial" w:hAnsi="Arial"/>
                <w:sz w:val="18"/>
                <w:szCs w:val="18"/>
                <w:color w:val="auto"/>
              </w:rPr>
              <w:t>11</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January 2,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ALL AMERICAN GP LLC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16"/>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 General Counsel and</w:t>
            </w:r>
          </w:p>
        </w:tc>
        <w:tc>
          <w:tcPr>
            <w:tcW w:w="40" w:type="dxa"/>
            <w:vAlign w:val="bottom"/>
          </w:tcPr>
          <w:p>
            <w:pPr>
              <w:spacing w:after="0"/>
              <w:rPr>
                <w:sz w:val="18"/>
                <w:szCs w:val="18"/>
                <w:color w:val="auto"/>
              </w:rPr>
            </w:pPr>
          </w:p>
        </w:tc>
      </w:tr>
      <w:tr>
        <w:trPr>
          <w:trHeight w:val="230"/>
        </w:trPr>
        <w:tc>
          <w:tcPr>
            <w:tcW w:w="64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Secretary</w:t>
            </w:r>
          </w:p>
        </w:tc>
        <w:tc>
          <w:tcPr>
            <w:tcW w:w="40" w:type="dxa"/>
            <w:vAlign w:val="bottom"/>
          </w:tcPr>
          <w:p>
            <w:pPr>
              <w:spacing w:after="0"/>
              <w:rPr>
                <w:sz w:val="20"/>
                <w:szCs w:val="20"/>
                <w:color w:val="auto"/>
              </w:rPr>
            </w:pPr>
          </w:p>
        </w:tc>
      </w:tr>
      <w:tr>
        <w:trPr>
          <w:trHeight w:val="432"/>
        </w:trPr>
        <w:tc>
          <w:tcPr>
            <w:tcW w:w="6480" w:type="dxa"/>
            <w:vAlign w:val="bottom"/>
          </w:tcPr>
          <w:p>
            <w:pPr>
              <w:jc w:val="right"/>
              <w:ind w:right="590"/>
              <w:spacing w:after="0"/>
              <w:rPr>
                <w:sz w:val="20"/>
                <w:szCs w:val="20"/>
                <w:color w:val="auto"/>
              </w:rPr>
            </w:pPr>
            <w:r>
              <w:rPr>
                <w:rFonts w:ascii="Arial" w:cs="Arial" w:eastAsia="Arial" w:hAnsi="Arial"/>
                <w:sz w:val="18"/>
                <w:szCs w:val="18"/>
                <w:color w:val="auto"/>
              </w:rPr>
              <w:t>12</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January 2,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GP HOLDINGS,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ind w:left="5720"/>
              <w:spacing w:after="0"/>
              <w:rPr>
                <w:sz w:val="20"/>
                <w:szCs w:val="20"/>
                <w:color w:val="auto"/>
              </w:rPr>
            </w:pPr>
            <w:r>
              <w:rPr>
                <w:rFonts w:ascii="Arial" w:cs="Arial" w:eastAsia="Arial" w:hAnsi="Arial"/>
                <w:sz w:val="18"/>
                <w:szCs w:val="18"/>
                <w:b w:val="1"/>
                <w:bCs w:val="1"/>
                <w:color w:val="auto"/>
              </w:rPr>
              <w:t>By:</w:t>
            </w:r>
          </w:p>
        </w:tc>
        <w:tc>
          <w:tcPr>
            <w:tcW w:w="4940" w:type="dxa"/>
            <w:vAlign w:val="bottom"/>
          </w:tcPr>
          <w:p>
            <w:pPr>
              <w:spacing w:after="0"/>
              <w:rPr>
                <w:sz w:val="20"/>
                <w:szCs w:val="20"/>
                <w:color w:val="auto"/>
              </w:rPr>
            </w:pPr>
            <w:r>
              <w:rPr>
                <w:rFonts w:ascii="Arial" w:cs="Arial" w:eastAsia="Arial" w:hAnsi="Arial"/>
                <w:sz w:val="18"/>
                <w:szCs w:val="18"/>
                <w:b w:val="1"/>
                <w:bCs w:val="1"/>
                <w:color w:val="auto"/>
              </w:rPr>
              <w:t>PAA GP HOLDINGS LLC, its general partner</w:t>
            </w:r>
          </w:p>
        </w:tc>
        <w:tc>
          <w:tcPr>
            <w:tcW w:w="40" w:type="dxa"/>
            <w:vAlign w:val="bottom"/>
          </w:tcPr>
          <w:p>
            <w:pPr>
              <w:spacing w:after="0"/>
              <w:rPr>
                <w:sz w:val="20"/>
                <w:szCs w:val="20"/>
                <w:color w:val="auto"/>
              </w:rPr>
            </w:pPr>
          </w:p>
        </w:tc>
      </w:tr>
      <w:tr>
        <w:trPr>
          <w:trHeight w:val="432"/>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16"/>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 General Counsel and</w:t>
            </w:r>
          </w:p>
        </w:tc>
        <w:tc>
          <w:tcPr>
            <w:tcW w:w="40" w:type="dxa"/>
            <w:vAlign w:val="bottom"/>
          </w:tcPr>
          <w:p>
            <w:pPr>
              <w:spacing w:after="0"/>
              <w:rPr>
                <w:sz w:val="18"/>
                <w:szCs w:val="18"/>
                <w:color w:val="auto"/>
              </w:rPr>
            </w:pPr>
          </w:p>
        </w:tc>
      </w:tr>
      <w:tr>
        <w:trPr>
          <w:trHeight w:val="230"/>
        </w:trPr>
        <w:tc>
          <w:tcPr>
            <w:tcW w:w="64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Secretary</w:t>
            </w:r>
          </w:p>
        </w:tc>
        <w:tc>
          <w:tcPr>
            <w:tcW w:w="40" w:type="dxa"/>
            <w:vAlign w:val="bottom"/>
          </w:tcPr>
          <w:p>
            <w:pPr>
              <w:spacing w:after="0"/>
              <w:rPr>
                <w:sz w:val="20"/>
                <w:szCs w:val="20"/>
                <w:color w:val="auto"/>
              </w:rPr>
            </w:pPr>
          </w:p>
        </w:tc>
      </w:tr>
      <w:tr>
        <w:trPr>
          <w:trHeight w:val="432"/>
        </w:trPr>
        <w:tc>
          <w:tcPr>
            <w:tcW w:w="6480" w:type="dxa"/>
            <w:vAlign w:val="bottom"/>
          </w:tcPr>
          <w:p>
            <w:pPr>
              <w:ind w:left="5620"/>
              <w:spacing w:after="0"/>
              <w:rPr>
                <w:sz w:val="20"/>
                <w:szCs w:val="20"/>
                <w:color w:val="auto"/>
              </w:rPr>
            </w:pPr>
            <w:r>
              <w:rPr>
                <w:rFonts w:ascii="Arial" w:cs="Arial" w:eastAsia="Arial" w:hAnsi="Arial"/>
                <w:sz w:val="18"/>
                <w:szCs w:val="18"/>
                <w:color w:val="auto"/>
              </w:rPr>
              <w:t>13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January 2,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PAA GP HOLDINGS LLC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16"/>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 General Counsel and</w:t>
            </w:r>
          </w:p>
        </w:tc>
        <w:tc>
          <w:tcPr>
            <w:tcW w:w="40" w:type="dxa"/>
            <w:vAlign w:val="bottom"/>
          </w:tcPr>
          <w:p>
            <w:pPr>
              <w:spacing w:after="0"/>
              <w:rPr>
                <w:sz w:val="18"/>
                <w:szCs w:val="18"/>
                <w:color w:val="auto"/>
              </w:rPr>
            </w:pPr>
          </w:p>
        </w:tc>
      </w:tr>
      <w:tr>
        <w:trPr>
          <w:trHeight w:val="230"/>
        </w:trPr>
        <w:tc>
          <w:tcPr>
            <w:tcW w:w="64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Secretary</w:t>
            </w:r>
          </w:p>
        </w:tc>
        <w:tc>
          <w:tcPr>
            <w:tcW w:w="40" w:type="dxa"/>
            <w:vAlign w:val="bottom"/>
          </w:tcPr>
          <w:p>
            <w:pPr>
              <w:spacing w:after="0"/>
              <w:rPr>
                <w:sz w:val="20"/>
                <w:szCs w:val="20"/>
                <w:color w:val="auto"/>
              </w:rPr>
            </w:pPr>
          </w:p>
        </w:tc>
      </w:tr>
      <w:tr>
        <w:trPr>
          <w:trHeight w:val="432"/>
        </w:trPr>
        <w:tc>
          <w:tcPr>
            <w:tcW w:w="6480" w:type="dxa"/>
            <w:vAlign w:val="bottom"/>
          </w:tcPr>
          <w:p>
            <w:pPr>
              <w:jc w:val="right"/>
              <w:ind w:right="590"/>
              <w:spacing w:after="0"/>
              <w:rPr>
                <w:sz w:val="20"/>
                <w:szCs w:val="20"/>
                <w:color w:val="auto"/>
              </w:rPr>
            </w:pPr>
            <w:r>
              <w:rPr>
                <w:rFonts w:ascii="Arial" w:cs="Arial" w:eastAsia="Arial" w:hAnsi="Arial"/>
                <w:sz w:val="18"/>
                <w:szCs w:val="18"/>
                <w:color w:val="auto"/>
              </w:rPr>
              <w:t>14</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bullet"/>
      <w:start w:val="1"/>
    </w:lvl>
  </w:abstractNum>
  <w:abstractNum w:abstractNumId="2">
    <w:nsid w:val="2D1D5AE9"/>
    <w:multiLevelType w:val="hybridMultilevel"/>
    <w:lvl w:ilvl="0">
      <w:lvlJc w:val="left"/>
      <w:lvlText w:val="2"/>
      <w:numFmt w:val="bullet"/>
      <w:start w:val="1"/>
    </w:lvl>
  </w:abstractNum>
  <w:abstractNum w:abstractNumId="3">
    <w:nsid w:val="6763845E"/>
    <w:multiLevelType w:val="hybridMultilevel"/>
    <w:lvl w:ilvl="0">
      <w:lvlJc w:val="left"/>
      <w:lvlText w:val="3"/>
      <w:numFmt w:val="bullet"/>
      <w:start w:val="1"/>
    </w:lvl>
  </w:abstractNum>
  <w:abstractNum w:abstractNumId="4">
    <w:nsid w:val="75A2A8D4"/>
    <w:multiLevelType w:val="hybridMultilevel"/>
    <w:lvl w:ilvl="0">
      <w:lvlJc w:val="left"/>
      <w:lvlText w:val="4"/>
      <w:numFmt w:val="bullet"/>
      <w:start w:val="1"/>
    </w:lvl>
  </w:abstractNum>
  <w:abstractNum w:abstractNumId="5">
    <w:nsid w:val="8EDBDAB"/>
    <w:multiLevelType w:val="hybridMultilevel"/>
    <w:lvl w:ilvl="0">
      <w:lvlJc w:val="left"/>
      <w:lvlText w:val="6"/>
      <w:numFmt w:val="bullet"/>
      <w:start w:val="1"/>
    </w:lvl>
  </w:abstractNum>
  <w:abstractNum w:abstractNumId="6">
    <w:nsid w:val="79838CB2"/>
    <w:multiLevelType w:val="hybridMultilevel"/>
    <w:lvl w:ilvl="0">
      <w:lvlJc w:val="left"/>
      <w:lvlText w:val="%1"/>
      <w:numFmt w:val="decimal"/>
      <w:start w:val="1"/>
    </w:lvl>
    <w:lvl w:ilvl="1">
      <w:lvlJc w:val="left"/>
      <w:lvlText w:val="%2"/>
      <w:numFmt w:val="decimal"/>
      <w:start w:val="11"/>
    </w:lvl>
  </w:abstractNum>
  <w:abstractNum w:abstractNumId="7">
    <w:nsid w:val="4353D0CD"/>
    <w:multiLevelType w:val="hybridMultilevel"/>
    <w:lvl w:ilvl="0">
      <w:lvlJc w:val="left"/>
      <w:lvlText w:val="(%1)"/>
      <w:numFmt w:val="decimal"/>
      <w:start w:val="1"/>
    </w:lvl>
    <w:lvl w:ilvl="1">
      <w:lvlJc w:val="left"/>
      <w:lvlText w:val="%2"/>
      <w:numFmt w:val="decimal"/>
      <w:start w:val="1"/>
    </w:lvl>
  </w:abstractNum>
  <w:abstractNum w:abstractNumId="8">
    <w:nsid w:val="B03E0C6"/>
    <w:multiLevelType w:val="hybridMultilevel"/>
    <w:lvl w:ilvl="0">
      <w:lvlJc w:val="left"/>
      <w:lvlText w:val="1"/>
      <w:numFmt w:val="bullet"/>
      <w:start w:val="1"/>
    </w:lvl>
  </w:abstractNum>
  <w:abstractNum w:abstractNumId="9">
    <w:nsid w:val="189A769B"/>
    <w:multiLevelType w:val="hybridMultilevel"/>
    <w:lvl w:ilvl="0">
      <w:lvlJc w:val="left"/>
      <w:lvlText w:val="2"/>
      <w:numFmt w:val="bullet"/>
      <w:start w:val="1"/>
    </w:lvl>
  </w:abstractNum>
  <w:abstractNum w:abstractNumId="10">
    <w:nsid w:val="54E49EB4"/>
    <w:multiLevelType w:val="hybridMultilevel"/>
    <w:lvl w:ilvl="0">
      <w:lvlJc w:val="left"/>
      <w:lvlText w:val="3"/>
      <w:numFmt w:val="bullet"/>
      <w:start w:val="1"/>
    </w:lvl>
  </w:abstractNum>
  <w:abstractNum w:abstractNumId="11">
    <w:nsid w:val="71F32454"/>
    <w:multiLevelType w:val="hybridMultilevel"/>
    <w:lvl w:ilvl="0">
      <w:lvlJc w:val="left"/>
      <w:lvlText w:val="4"/>
      <w:numFmt w:val="bullet"/>
      <w:start w:val="1"/>
    </w:lvl>
  </w:abstractNum>
  <w:abstractNum w:abstractNumId="12">
    <w:nsid w:val="2CA88611"/>
    <w:multiLevelType w:val="hybridMultilevel"/>
    <w:lvl w:ilvl="0">
      <w:lvlJc w:val="left"/>
      <w:lvlText w:val="6"/>
      <w:numFmt w:val="bullet"/>
      <w:start w:val="1"/>
    </w:lvl>
  </w:abstractNum>
  <w:abstractNum w:abstractNumId="13">
    <w:nsid w:val="836C40E"/>
    <w:multiLevelType w:val="hybridMultilevel"/>
    <w:lvl w:ilvl="0">
      <w:lvlJc w:val="left"/>
      <w:lvlText w:val="%1"/>
      <w:numFmt w:val="decimal"/>
      <w:start w:val="1"/>
    </w:lvl>
    <w:lvl w:ilvl="1">
      <w:lvlJc w:val="left"/>
      <w:lvlText w:val="%2"/>
      <w:numFmt w:val="decimal"/>
      <w:start w:val="11"/>
    </w:lvl>
  </w:abstractNum>
  <w:abstractNum w:abstractNumId="14">
    <w:nsid w:val="2901D82"/>
    <w:multiLevelType w:val="hybridMultilevel"/>
    <w:lvl w:ilvl="0">
      <w:lvlJc w:val="left"/>
      <w:lvlText w:val="(%1)"/>
      <w:numFmt w:val="decimal"/>
      <w:start w:val="1"/>
    </w:lvl>
    <w:lvl w:ilvl="1">
      <w:lvlJc w:val="left"/>
      <w:lvlText w:val="%2"/>
      <w:numFmt w:val="decimal"/>
      <w:start w:val="1"/>
    </w:lvl>
  </w:abstractNum>
  <w:abstractNum w:abstractNumId="15">
    <w:nsid w:val="3A95F874"/>
    <w:multiLevelType w:val="hybridMultilevel"/>
    <w:lvl w:ilvl="0">
      <w:lvlJc w:val="left"/>
      <w:lvlText w:val="1"/>
      <w:numFmt w:val="bullet"/>
      <w:start w:val="1"/>
    </w:lvl>
  </w:abstractNum>
  <w:abstractNum w:abstractNumId="16">
    <w:nsid w:val="8138641"/>
    <w:multiLevelType w:val="hybridMultilevel"/>
    <w:lvl w:ilvl="0">
      <w:lvlJc w:val="left"/>
      <w:lvlText w:val="2"/>
      <w:numFmt w:val="bullet"/>
      <w:start w:val="1"/>
    </w:lvl>
  </w:abstractNum>
  <w:abstractNum w:abstractNumId="17">
    <w:nsid w:val="1E7FF521"/>
    <w:multiLevelType w:val="hybridMultilevel"/>
    <w:lvl w:ilvl="0">
      <w:lvlJc w:val="left"/>
      <w:lvlText w:val="3"/>
      <w:numFmt w:val="bullet"/>
      <w:start w:val="1"/>
    </w:lvl>
  </w:abstractNum>
  <w:abstractNum w:abstractNumId="18">
    <w:nsid w:val="7C3DBD3D"/>
    <w:multiLevelType w:val="hybridMultilevel"/>
    <w:lvl w:ilvl="0">
      <w:lvlJc w:val="left"/>
      <w:lvlText w:val="4"/>
      <w:numFmt w:val="bullet"/>
      <w:start w:val="1"/>
    </w:lvl>
  </w:abstractNum>
  <w:abstractNum w:abstractNumId="19">
    <w:nsid w:val="737B8DDC"/>
    <w:multiLevelType w:val="hybridMultilevel"/>
    <w:lvl w:ilvl="0">
      <w:lvlJc w:val="left"/>
      <w:lvlText w:val="6"/>
      <w:numFmt w:val="bullet"/>
      <w:start w:val="1"/>
    </w:lvl>
  </w:abstractNum>
  <w:abstractNum w:abstractNumId="20">
    <w:nsid w:val="6CEAF087"/>
    <w:multiLevelType w:val="hybridMultilevel"/>
    <w:lvl w:ilvl="0">
      <w:lvlJc w:val="left"/>
      <w:lvlText w:val="%1"/>
      <w:numFmt w:val="decimal"/>
      <w:start w:val="1"/>
    </w:lvl>
    <w:lvl w:ilvl="1">
      <w:lvlJc w:val="left"/>
      <w:lvlText w:val="%2"/>
      <w:numFmt w:val="decimal"/>
      <w:start w:val="11"/>
    </w:lvl>
  </w:abstractNum>
  <w:abstractNum w:abstractNumId="21">
    <w:nsid w:val="22221A70"/>
    <w:multiLevelType w:val="hybridMultilevel"/>
    <w:lvl w:ilvl="0">
      <w:lvlJc w:val="left"/>
      <w:lvlText w:val="(%1)"/>
      <w:numFmt w:val="decimal"/>
      <w:start w:val="1"/>
    </w:lvl>
    <w:lvl w:ilvl="1">
      <w:lvlJc w:val="left"/>
      <w:lvlText w:val="%2"/>
      <w:numFmt w:val="decimal"/>
      <w:start w:val="1"/>
    </w:lvl>
  </w:abstractNum>
  <w:abstractNum w:abstractNumId="22">
    <w:nsid w:val="4516DDE9"/>
    <w:multiLevelType w:val="hybridMultilevel"/>
    <w:lvl w:ilvl="0">
      <w:lvlJc w:val="left"/>
      <w:lvlText w:val="1"/>
      <w:numFmt w:val="bullet"/>
      <w:start w:val="1"/>
    </w:lvl>
  </w:abstractNum>
  <w:abstractNum w:abstractNumId="23">
    <w:nsid w:val="3006C83E"/>
    <w:multiLevelType w:val="hybridMultilevel"/>
    <w:lvl w:ilvl="0">
      <w:lvlJc w:val="left"/>
      <w:lvlText w:val="2"/>
      <w:numFmt w:val="bullet"/>
      <w:start w:val="1"/>
    </w:lvl>
  </w:abstractNum>
  <w:abstractNum w:abstractNumId="24">
    <w:nsid w:val="614FD4A1"/>
    <w:multiLevelType w:val="hybridMultilevel"/>
    <w:lvl w:ilvl="0">
      <w:lvlJc w:val="left"/>
      <w:lvlText w:val="3"/>
      <w:numFmt w:val="bullet"/>
      <w:start w:val="1"/>
    </w:lvl>
  </w:abstractNum>
  <w:abstractNum w:abstractNumId="25">
    <w:nsid w:val="419AC241"/>
    <w:multiLevelType w:val="hybridMultilevel"/>
    <w:lvl w:ilvl="0">
      <w:lvlJc w:val="left"/>
      <w:lvlText w:val="4"/>
      <w:numFmt w:val="bullet"/>
      <w:start w:val="1"/>
    </w:lvl>
  </w:abstractNum>
  <w:abstractNum w:abstractNumId="26">
    <w:nsid w:val="5577F8E1"/>
    <w:multiLevelType w:val="hybridMultilevel"/>
    <w:lvl w:ilvl="0">
      <w:lvlJc w:val="left"/>
      <w:lvlText w:val="6"/>
      <w:numFmt w:val="bullet"/>
      <w:start w:val="1"/>
    </w:lvl>
  </w:abstractNum>
  <w:abstractNum w:abstractNumId="27">
    <w:nsid w:val="440BADFC"/>
    <w:multiLevelType w:val="hybridMultilevel"/>
    <w:lvl w:ilvl="0">
      <w:lvlJc w:val="left"/>
      <w:lvlText w:val="%1"/>
      <w:numFmt w:val="decimal"/>
      <w:start w:val="1"/>
    </w:lvl>
    <w:lvl w:ilvl="1">
      <w:lvlJc w:val="left"/>
      <w:lvlText w:val="%2"/>
      <w:numFmt w:val="decimal"/>
      <w:start w:val="11"/>
    </w:lvl>
  </w:abstractNum>
  <w:abstractNum w:abstractNumId="28">
    <w:nsid w:val="5072367"/>
    <w:multiLevelType w:val="hybridMultilevel"/>
    <w:lvl w:ilvl="0">
      <w:lvlJc w:val="left"/>
      <w:lvlText w:val="(%1)"/>
      <w:numFmt w:val="decimal"/>
      <w:start w:val="1"/>
    </w:lvl>
    <w:lvl w:ilvl="1">
      <w:lvlJc w:val="left"/>
      <w:lvlText w:val="%2"/>
      <w:numFmt w:val="decimal"/>
      <w:start w:val="1"/>
    </w:lvl>
  </w:abstractNum>
  <w:abstractNum w:abstractNumId="29">
    <w:nsid w:val="3804823E"/>
    <w:multiLevelType w:val="hybridMultilevel"/>
    <w:lvl w:ilvl="0">
      <w:lvlJc w:val="left"/>
      <w:lvlText w:val="1"/>
      <w:numFmt w:val="bullet"/>
      <w:start w:val="1"/>
    </w:lvl>
  </w:abstractNum>
  <w:abstractNum w:abstractNumId="30">
    <w:nsid w:val="77465F01"/>
    <w:multiLevelType w:val="hybridMultilevel"/>
    <w:lvl w:ilvl="0">
      <w:lvlJc w:val="left"/>
      <w:lvlText w:val="2"/>
      <w:numFmt w:val="bullet"/>
      <w:start w:val="1"/>
    </w:lvl>
  </w:abstractNum>
  <w:abstractNum w:abstractNumId="31">
    <w:nsid w:val="7724C67E"/>
    <w:multiLevelType w:val="hybridMultilevel"/>
    <w:lvl w:ilvl="0">
      <w:lvlJc w:val="left"/>
      <w:lvlText w:val="3"/>
      <w:numFmt w:val="bullet"/>
      <w:start w:val="1"/>
    </w:lvl>
  </w:abstractNum>
  <w:abstractNum w:abstractNumId="32">
    <w:nsid w:val="5C482A97"/>
    <w:multiLevelType w:val="hybridMultilevel"/>
    <w:lvl w:ilvl="0">
      <w:lvlJc w:val="left"/>
      <w:lvlText w:val="4"/>
      <w:numFmt w:val="bullet"/>
      <w:start w:val="1"/>
    </w:lvl>
  </w:abstractNum>
  <w:abstractNum w:abstractNumId="33">
    <w:nsid w:val="2463B9EA"/>
    <w:multiLevelType w:val="hybridMultilevel"/>
    <w:lvl w:ilvl="0">
      <w:lvlJc w:val="left"/>
      <w:lvlText w:val="6"/>
      <w:numFmt w:val="bullet"/>
      <w:start w:val="1"/>
    </w:lvl>
  </w:abstractNum>
  <w:abstractNum w:abstractNumId="34">
    <w:nsid w:val="5E884ADC"/>
    <w:multiLevelType w:val="hybridMultilevel"/>
    <w:lvl w:ilvl="0">
      <w:lvlJc w:val="left"/>
      <w:lvlText w:val="%1"/>
      <w:numFmt w:val="decimal"/>
      <w:start w:val="1"/>
    </w:lvl>
    <w:lvl w:ilvl="1">
      <w:lvlJc w:val="left"/>
      <w:lvlText w:val="%2"/>
      <w:numFmt w:val="decimal"/>
      <w:start w:val="11"/>
    </w:lvl>
  </w:abstractNum>
  <w:abstractNum w:abstractNumId="35">
    <w:nsid w:val="51EAD36B"/>
    <w:multiLevelType w:val="hybridMultilevel"/>
    <w:lvl w:ilvl="0">
      <w:lvlJc w:val="left"/>
      <w:lvlText w:val="(%1)"/>
      <w:numFmt w:val="decimal"/>
      <w:start w:val="1"/>
    </w:lvl>
    <w:lvl w:ilvl="1">
      <w:lvlJc w:val="left"/>
      <w:lvlText w:val="%2"/>
      <w:numFmt w:val="decimal"/>
      <w:start w:val="1"/>
    </w:lvl>
  </w:abstractNum>
  <w:abstractNum w:abstractNumId="36">
    <w:nsid w:val="2D517796"/>
    <w:multiLevelType w:val="hybridMultilevel"/>
    <w:lvl w:ilvl="0">
      <w:lvlJc w:val="left"/>
      <w:lvlText w:val="1"/>
      <w:numFmt w:val="bullet"/>
      <w:start w:val="1"/>
    </w:lvl>
  </w:abstractNum>
  <w:abstractNum w:abstractNumId="37">
    <w:nsid w:val="580BD78F"/>
    <w:multiLevelType w:val="hybridMultilevel"/>
    <w:lvl w:ilvl="0">
      <w:lvlJc w:val="left"/>
      <w:lvlText w:val="2"/>
      <w:numFmt w:val="bullet"/>
      <w:start w:val="1"/>
    </w:lvl>
  </w:abstractNum>
  <w:abstractNum w:abstractNumId="38">
    <w:nsid w:val="153EA438"/>
    <w:multiLevelType w:val="hybridMultilevel"/>
    <w:lvl w:ilvl="0">
      <w:lvlJc w:val="left"/>
      <w:lvlText w:val="3"/>
      <w:numFmt w:val="bullet"/>
      <w:start w:val="1"/>
    </w:lvl>
  </w:abstractNum>
  <w:abstractNum w:abstractNumId="39">
    <w:nsid w:val="3855585C"/>
    <w:multiLevelType w:val="hybridMultilevel"/>
    <w:lvl w:ilvl="0">
      <w:lvlJc w:val="left"/>
      <w:lvlText w:val="4"/>
      <w:numFmt w:val="bullet"/>
      <w:start w:val="1"/>
    </w:lvl>
  </w:abstractNum>
  <w:abstractNum w:abstractNumId="40">
    <w:nsid w:val="70A64E2A"/>
    <w:multiLevelType w:val="hybridMultilevel"/>
    <w:lvl w:ilvl="0">
      <w:lvlJc w:val="left"/>
      <w:lvlText w:val="6"/>
      <w:numFmt w:val="bullet"/>
      <w:start w:val="1"/>
    </w:lvl>
  </w:abstractNum>
  <w:abstractNum w:abstractNumId="41">
    <w:nsid w:val="6A2342EC"/>
    <w:multiLevelType w:val="hybridMultilevel"/>
    <w:lvl w:ilvl="0">
      <w:lvlJc w:val="left"/>
      <w:lvlText w:val="%1"/>
      <w:numFmt w:val="decimal"/>
      <w:start w:val="1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2020-01-25T14:36:50Z</dcterms:created>
  <dcterms:modified xsi:type="dcterms:W3CDTF">2020-01-25T14:36:50Z</dcterms:modified>
</cp:coreProperties>
</file>