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January 7,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2025, Plains All American Pipeline, L.P. (“PAA” or the “Registrant”) issued a press release announcing three bolt-on acquisitions, the purchase of approximately 18% of its outstanding Series A Preferred Units and a 20% increase in its annualized distribution rate. A copy of the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140" w:hanging="628"/>
        <w:spacing w:after="0"/>
        <w:tabs>
          <w:tab w:leader="none" w:pos="11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1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0000EE"/>
        </w:rPr>
        <w:t>Exhibit 99.1  -- Press Release Dated January 7, 2025.</w:t>
      </w:r>
    </w:p>
    <w:p>
      <w:pPr>
        <w:spacing w:after="0" w:line="225"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AAP, L.P., its sole member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All American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Richard McGee</w:t>
      </w:r>
    </w:p>
    <w:p>
      <w:pPr>
        <w:spacing w:after="0" w:line="23"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167640</wp:posOffset>
            </wp:positionV>
            <wp:extent cx="272605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260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Bolt-on Acquisitions,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Structure Optimization &amp; Distribution Increase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HOUSTON – January 7,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announced today three bolt-on acquisitions for an aggregate cash consideration of approximately $670 million net to Plains, the purchase of approximately 18% of its outstanding PAA Series A Preferred Units and a 20% increase in its annualized distribution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Bolt-on Acquisitions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signed a definitive agreement to acquire Ironwood Midstream Energy, which owns an Eagle Ford Basin gathering system, from EnCap Flatrock Midstream for approximately $475 million. The transaction is expected to close in the first quarter of 2025 following satisfaction of customary closing conditions.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 subsidiary of Plains Permian Basin joint venture, Plains Oryx Permian Basin LLC, acquired Medallion Midstream’s Delaware Basin crude oil gathering business from The Energy &amp; Minerals Group for approximately $160 million ($105 million net to PAA’s interest).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2024, a subsidiary of Plains acquired the remaining 50% interest in Midway Pipeline LLC from a subsidiary of CVR Energy for approximately $90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transactions further enhance Plains’ crude oil footprint in the Permian, Eagle Ford and Mid-Con at returns consistent with our bolt-on framework and provide incremental return of capital opportunities for our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Optimization</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has also agreed to purchase approximately 12.7 million units, or 18%, of its outstanding Series A Preferred Units at “par” ($26.25) for a purchase price of approximately $330 million (plus accrued and unpaid distributions) from EnCap Flatrock Midstream. This transaction is expected to close in late January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of these transactions, Plains' leverage ratio is expected to be at or below the low-end of our target range of 3.25x to 3.75x, continuing to provide significant balance sheet optionality and flexibility.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of Capital Update</w:t>
      </w:r>
    </w:p>
    <w:p>
      <w:pPr>
        <w:spacing w:after="0" w:line="229"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Plains Board of Directors has approved an increase in the quarterly distribution payable in February 2025 for both PAA common units and PAGP Class A shares from $0.3175 per unit to $0.38 per unit. On an annualized basis, the distribution represents a $0.25 per unit, or 20%, increase from the distribution paid in November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bolt-on acquisitions announced today are an excellent strategic fit for Plains and allow us to progress our efficient growth strategy by adding high-quality assets adjacent to our existing integrated footprint,” said Willie Chiang, Chairman and CEO of Plains. “Importantly, these transactions create immediate value by delivering sustainable accretion to earnings, distributable cash flow and accelerating return of capital to unitholders. Our capital allocation framework remains intact, and we remain committed to financial flexibility, capital discipline, generating meaningful free cash flow and increasing return of capital to our unitholders as demonstrated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2025-01-10T05:10:20Z</dcterms:created>
  <dcterms:modified xsi:type="dcterms:W3CDTF">2025-01-10T05:10:20Z</dcterms:modified>
</cp:coreProperties>
</file>