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 September 18,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68"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868"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868"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0" w:hanging="1192"/>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200" w:hanging="1192"/>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200" w:hanging="1192"/>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80" w:firstLine="8"/>
        <w:spacing w:after="0" w:line="528" w:lineRule="auto"/>
        <w:tabs>
          <w:tab w:leader="none" w:pos="119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type w:val="continuous"/>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Pursuant to the Third Amended and Restated Limited Liability Company Agreement of PAA GP Holdings LLC, as amended (the “PAGP GP LLC Agreement”), Oxy Holding Company (Pipeline), Inc. (“Oxy”) had the right to designate a director to PAA GP Holdings LLC’s (“PAGP GP”) board of directors for as long as it owned at least a 10% Qualifying Interest (as that term is defined in the PAGP GP LLC Agreement). Effective upon the closing of the Concurrent Secondary Offerings (as defined below) on September 23, 2019, Oxy will cease to own a Qualifying Interest and therefore no longer will have a PAGP GP board designation right. Accordingly, pursuant to Section 6.1(a)(iv) of the PAGP GP LLC Agreement, Oscar K. Brown, Oxy’s PAGP GP board designee, will automatically cease to be a member of the PAGP GP board.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On September 18, 2019, Plains GP Holdings, L.P. (“PAGP”), PAGP GP and Oxy entered into an underwriting agreement (the “Underwriting Agreement”) with Barclays Capital Inc. relating to the offering and sale (the “PAGP Secondary Offering”) by Oxy of 15,000,000 Class A shares representing limited partner interests in PAGP (“Class A shares”). The closing of the PAGP Secondary Offering is expected to occur on September 23, 2019.</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Class A shares will be offered and sold under the PAGP shelf registration statement on Form S-3 (Registration No. 333-200596) filed with the Securities and Exchange Commission on November 26, 2014 (the “Registration Statement”), and are described in a Prospectus Supplement dated September 18, 2019 to the Prospectus dated December 10, 2014, which is included in the Registration Statement.</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closing of the offering and sale by Oxy of 14,977,890 common units representing limited partner interests in Plains All American Pipeline, L.P. in a concurrent underwritten public offering (together with the PAGP Secondary Offering, the “Concurrent Secondary Offerings”) is also expected to occur on September 23, 2019.</w:t>
      </w:r>
    </w:p>
    <w:p>
      <w:pPr>
        <w:spacing w:after="0" w:line="18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The foregoing description of the PAGP Underwriting Agreement does not purport to be complete and is qualified in its entirety by reference to the full text of such agreement. A copy of the PAGP Underwriting Agreement is filed herewith as Exhibit 1.1 and is also incorporated by reference herein.</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Exhibit</w:t>
            </w:r>
          </w:p>
        </w:tc>
        <w:tc>
          <w:tcPr>
            <w:tcW w:w="3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5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3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800" w:type="dxa"/>
            <w:vAlign w:val="bottom"/>
            <w:tcBorders>
              <w:top w:val="single" w:sz="8" w:color="auto"/>
            </w:tcBorders>
            <w:gridSpan w:val="2"/>
          </w:tcPr>
          <w:p>
            <w:pPr>
              <w:jc w:val="center"/>
              <w:ind w:left="490"/>
              <w:spacing w:after="0" w:line="170" w:lineRule="exact"/>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40" w:type="dxa"/>
            <w:vAlign w:val="bottom"/>
            <w:tcBorders>
              <w:top w:val="single" w:sz="8" w:color="auto"/>
            </w:tcBorders>
            <w:gridSpan w:val="5"/>
          </w:tcPr>
          <w:p>
            <w:pPr>
              <w:spacing w:after="0" w:line="170" w:lineRule="exact"/>
              <w:rPr>
                <w:sz w:val="20"/>
                <w:szCs w:val="20"/>
                <w:color w:val="auto"/>
              </w:rPr>
            </w:pPr>
            <w:r>
              <w:rPr>
                <w:rFonts w:ascii="Arial" w:cs="Arial" w:eastAsia="Arial" w:hAnsi="Arial"/>
                <w:sz w:val="18"/>
                <w:szCs w:val="18"/>
                <w:color w:val="0000EE"/>
                <w:w w:val="94"/>
              </w:rPr>
              <w:t>Underwriting Agreement, dated September 18, 2019, by and among Plains GP Holdings, L.P., PAA GP Holdings LLC, Oxy Holding</w:t>
            </w: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Company (Pipeline), Inc. and Barclays Capital Inc.</w:t>
            </w:r>
          </w:p>
        </w:tc>
        <w:tc>
          <w:tcPr>
            <w:tcW w:w="588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r>
      <w:tr>
        <w:trPr>
          <w:trHeight w:val="277"/>
        </w:trPr>
        <w:tc>
          <w:tcPr>
            <w:tcW w:w="800" w:type="dxa"/>
            <w:vAlign w:val="bottom"/>
            <w:gridSpan w:val="2"/>
          </w:tcPr>
          <w:p>
            <w:pPr>
              <w:jc w:val="center"/>
              <w:ind w:left="490"/>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0000EE"/>
              </w:rPr>
              <w:t>Opinion of Vinson &amp; Elkins L.L.P. regarding legality of the Class A shares.</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277"/>
        </w:trPr>
        <w:tc>
          <w:tcPr>
            <w:tcW w:w="800" w:type="dxa"/>
            <w:vAlign w:val="bottom"/>
            <w:gridSpan w:val="2"/>
          </w:tcPr>
          <w:p>
            <w:pPr>
              <w:jc w:val="center"/>
              <w:ind w:left="490"/>
              <w:spacing w:after="0"/>
              <w:rPr>
                <w:sz w:val="20"/>
                <w:szCs w:val="20"/>
                <w:color w:val="auto"/>
              </w:rPr>
            </w:pPr>
            <w:r>
              <w:rPr>
                <w:rFonts w:ascii="Arial" w:cs="Arial" w:eastAsia="Arial" w:hAnsi="Arial"/>
                <w:sz w:val="18"/>
                <w:szCs w:val="18"/>
                <w:color w:val="0000EE"/>
                <w:w w:val="87"/>
              </w:rPr>
              <w:t>8.</w:t>
            </w:r>
            <w:r>
              <w:rPr>
                <w:rFonts w:ascii="Arial" w:cs="Arial" w:eastAsia="Arial" w:hAnsi="Arial"/>
                <w:sz w:val="18"/>
                <w:szCs w:val="18"/>
                <w:u w:val="single" w:color="auto"/>
                <w:color w:val="0000EE"/>
                <w:w w:val="87"/>
              </w:rPr>
              <w:t>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0000EE"/>
              </w:rPr>
              <w:t>Opinion of Vinson &amp; Elkins L.L.P. regarding tax matters.</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4" w:lineRule="exact"/>
        <w:rPr>
          <w:sz w:val="20"/>
          <w:szCs w:val="20"/>
          <w:color w:val="auto"/>
        </w:rPr>
      </w:pPr>
    </w:p>
    <w:p>
      <w:pPr>
        <w:ind w:left="5660" w:right="4000" w:hanging="5105"/>
        <w:spacing w:after="0" w:line="872" w:lineRule="auto"/>
        <w:tabs>
          <w:tab w:leader="none" w:pos="1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820"/>
              <w:spacing w:after="0"/>
              <w:rPr>
                <w:sz w:val="20"/>
                <w:szCs w:val="20"/>
                <w:color w:val="auto"/>
              </w:rPr>
            </w:pPr>
            <w:r>
              <w:rPr>
                <w:rFonts w:ascii="Arial" w:cs="Arial" w:eastAsia="Arial" w:hAnsi="Arial"/>
                <w:sz w:val="18"/>
                <w:szCs w:val="18"/>
                <w:b w:val="1"/>
                <w:bCs w:val="1"/>
                <w:color w:val="auto"/>
              </w:rPr>
              <w:t>PLAINS GP HOLDINGS, L.P.</w:t>
            </w:r>
          </w:p>
        </w:tc>
      </w:tr>
      <w:tr>
        <w:trPr>
          <w:trHeight w:val="459"/>
        </w:trPr>
        <w:tc>
          <w:tcPr>
            <w:tcW w:w="3760" w:type="dxa"/>
            <w:vAlign w:val="bottom"/>
          </w:tcPr>
          <w:p>
            <w:pPr>
              <w:spacing w:after="0"/>
              <w:rPr>
                <w:sz w:val="20"/>
                <w:szCs w:val="20"/>
                <w:color w:val="auto"/>
              </w:rPr>
            </w:pPr>
            <w:r>
              <w:rPr>
                <w:rFonts w:ascii="Arial" w:cs="Arial" w:eastAsia="Arial" w:hAnsi="Arial"/>
                <w:sz w:val="18"/>
                <w:szCs w:val="18"/>
                <w:color w:val="auto"/>
              </w:rPr>
              <w:t>Date: September 23, 2019</w:t>
            </w:r>
          </w:p>
        </w:tc>
        <w:tc>
          <w:tcPr>
            <w:tcW w:w="7660" w:type="dxa"/>
            <w:vAlign w:val="bottom"/>
            <w:gridSpan w:val="2"/>
          </w:tcPr>
          <w:p>
            <w:pPr>
              <w:ind w:left="1820"/>
              <w:spacing w:after="0"/>
              <w:rPr>
                <w:sz w:val="20"/>
                <w:szCs w:val="20"/>
                <w:color w:val="auto"/>
              </w:rPr>
            </w:pPr>
            <w:r>
              <w:rPr>
                <w:rFonts w:ascii="Arial" w:cs="Arial" w:eastAsia="Arial" w:hAnsi="Arial"/>
                <w:sz w:val="18"/>
                <w:szCs w:val="18"/>
                <w:color w:val="auto"/>
              </w:rPr>
              <w:t>By: PAA GP Holdings LLC, its general partner</w:t>
            </w:r>
          </w:p>
        </w:tc>
      </w:tr>
      <w:tr>
        <w:trPr>
          <w:trHeight w:val="466"/>
        </w:trPr>
        <w:tc>
          <w:tcPr>
            <w:tcW w:w="3760" w:type="dxa"/>
            <w:vAlign w:val="bottom"/>
          </w:tcPr>
          <w:p>
            <w:pPr>
              <w:spacing w:after="0"/>
              <w:rPr>
                <w:sz w:val="24"/>
                <w:szCs w:val="24"/>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215"/>
        </w:trPr>
        <w:tc>
          <w:tcPr>
            <w:tcW w:w="376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26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230"/>
        </w:trPr>
        <w:tc>
          <w:tcPr>
            <w:tcW w:w="3760" w:type="dxa"/>
            <w:vAlign w:val="bottom"/>
          </w:tcPr>
          <w:p>
            <w:pPr>
              <w:spacing w:after="0"/>
              <w:rPr>
                <w:sz w:val="20"/>
                <w:szCs w:val="20"/>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662"/>
        </w:trPr>
        <w:tc>
          <w:tcPr>
            <w:tcW w:w="3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3</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 Class A Shares 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Oxy Holding Company (Pipeline), Inc., a Delaware corporation (the “</w:t>
      </w:r>
      <w:r>
        <w:rPr>
          <w:rFonts w:ascii="Arial" w:cs="Arial" w:eastAsia="Arial" w:hAnsi="Arial"/>
          <w:sz w:val="17"/>
          <w:szCs w:val="17"/>
          <w:b w:val="1"/>
          <w:bCs w:val="1"/>
          <w:color w:val="auto"/>
        </w:rPr>
        <w:t>Selling Shareholder</w:t>
      </w:r>
      <w:r>
        <w:rPr>
          <w:rFonts w:ascii="Arial" w:cs="Arial" w:eastAsia="Arial" w:hAnsi="Arial"/>
          <w:sz w:val="17"/>
          <w:szCs w:val="17"/>
          <w:color w:val="auto"/>
        </w:rPr>
        <w:t>”), proposes to sell to Barclays Capital Inc.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w:t>
      </w:r>
      <w:r>
        <w:rPr>
          <w:rFonts w:ascii="Arial" w:cs="Arial" w:eastAsia="Arial" w:hAnsi="Arial"/>
          <w:sz w:val="16"/>
          <w:szCs w:val="16"/>
          <w:color w:val="auto"/>
        </w:rPr>
        <w:t>”), an aggregate number of Class A shares representing limited partner interests (“</w:t>
      </w:r>
      <w:r>
        <w:rPr>
          <w:rFonts w:ascii="Arial" w:cs="Arial" w:eastAsia="Arial" w:hAnsi="Arial"/>
          <w:sz w:val="16"/>
          <w:szCs w:val="16"/>
          <w:b w:val="1"/>
          <w:bCs w:val="1"/>
          <w:color w:val="auto"/>
        </w:rPr>
        <w:t>Class A Shares</w:t>
      </w:r>
      <w:r>
        <w:rPr>
          <w:rFonts w:ascii="Arial" w:cs="Arial" w:eastAsia="Arial" w:hAnsi="Arial"/>
          <w:sz w:val="16"/>
          <w:szCs w:val="16"/>
          <w:color w:val="auto"/>
        </w:rPr>
        <w:t>”) in Plains GP Holdings, L.P.,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partnership (the “</w:t>
      </w:r>
      <w:r>
        <w:rPr>
          <w:rFonts w:ascii="Arial" w:cs="Arial" w:eastAsia="Arial" w:hAnsi="Arial"/>
          <w:sz w:val="17"/>
          <w:szCs w:val="17"/>
          <w:b w:val="1"/>
          <w:bCs w:val="1"/>
          <w:color w:val="auto"/>
        </w:rPr>
        <w:t>Partnership</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Shares</w:t>
      </w:r>
      <w:r>
        <w:rPr>
          <w:rFonts w:ascii="Arial" w:cs="Arial" w:eastAsia="Arial" w:hAnsi="Arial"/>
          <w:sz w:val="17"/>
          <w:szCs w:val="17"/>
          <w:color w:val="auto"/>
        </w:rPr>
        <w:t>”), upon the terms and conditions set forth in Section 2 hereof.</w:t>
      </w:r>
    </w:p>
    <w:p>
      <w:pPr>
        <w:spacing w:after="0" w:line="218" w:lineRule="exact"/>
        <w:rPr>
          <w:sz w:val="20"/>
          <w:szCs w:val="20"/>
          <w:color w:val="auto"/>
        </w:rPr>
      </w:pPr>
    </w:p>
    <w:p>
      <w:pPr>
        <w:ind w:right="80" w:firstLine="667"/>
        <w:spacing w:after="0" w:line="266" w:lineRule="auto"/>
        <w:rPr>
          <w:sz w:val="20"/>
          <w:szCs w:val="20"/>
          <w:color w:val="auto"/>
        </w:rPr>
      </w:pPr>
      <w:r>
        <w:rPr>
          <w:rFonts w:ascii="Arial" w:cs="Arial" w:eastAsia="Arial" w:hAnsi="Arial"/>
          <w:sz w:val="18"/>
          <w:szCs w:val="18"/>
          <w:color w:val="auto"/>
        </w:rPr>
        <w:t>Concurrently herewith, the Underwriter, the Selling Shareholder and Plains All American Pipeline, L.P., a Delaware limited partnership (“</w:t>
      </w:r>
      <w:r>
        <w:rPr>
          <w:rFonts w:ascii="Arial" w:cs="Arial" w:eastAsia="Arial" w:hAnsi="Arial"/>
          <w:sz w:val="18"/>
          <w:szCs w:val="18"/>
          <w:b w:val="1"/>
          <w:bCs w:val="1"/>
          <w:color w:val="auto"/>
        </w:rPr>
        <w:t>PAA</w:t>
      </w:r>
      <w:r>
        <w:rPr>
          <w:rFonts w:ascii="Arial" w:cs="Arial" w:eastAsia="Arial" w:hAnsi="Arial"/>
          <w:sz w:val="18"/>
          <w:szCs w:val="18"/>
          <w:color w:val="auto"/>
        </w:rPr>
        <w:t>”), are entering into an underwriting agreement pursuant to which the Selling Shareholder will sell to the Underwriter common units representing limited partner interests in PAA.</w:t>
      </w:r>
    </w:p>
    <w:p>
      <w:pPr>
        <w:spacing w:after="0" w:line="180" w:lineRule="exact"/>
        <w:rPr>
          <w:sz w:val="20"/>
          <w:szCs w:val="20"/>
          <w:color w:val="auto"/>
        </w:rPr>
      </w:pPr>
    </w:p>
    <w:p>
      <w:pPr>
        <w:ind w:right="140" w:firstLine="667"/>
        <w:spacing w:after="0" w:line="264" w:lineRule="auto"/>
        <w:rPr>
          <w:sz w:val="20"/>
          <w:szCs w:val="20"/>
          <w:color w:val="auto"/>
        </w:rPr>
      </w:pPr>
      <w:r>
        <w:rPr>
          <w:rFonts w:ascii="Arial" w:cs="Arial" w:eastAsia="Arial" w:hAnsi="Arial"/>
          <w:sz w:val="18"/>
          <w:szCs w:val="18"/>
          <w:color w:val="auto"/>
        </w:rPr>
        <w:t>This is to confirm the agreement among the Selling Shareholder, the Partnership and PAA GP Holdings LLC, a Delaware limited liability company and the general partner of the Partnership (the “</w:t>
      </w:r>
      <w:r>
        <w:rPr>
          <w:rFonts w:ascii="Arial" w:cs="Arial" w:eastAsia="Arial" w:hAnsi="Arial"/>
          <w:sz w:val="18"/>
          <w:szCs w:val="18"/>
          <w:b w:val="1"/>
          <w:bCs w:val="1"/>
          <w:color w:val="auto"/>
        </w:rPr>
        <w:t>General Partner</w:t>
      </w:r>
      <w:r>
        <w:rPr>
          <w:rFonts w:ascii="Arial" w:cs="Arial" w:eastAsia="Arial" w:hAnsi="Arial"/>
          <w:sz w:val="18"/>
          <w:szCs w:val="18"/>
          <w:color w:val="auto"/>
        </w:rPr>
        <w:t>,” and together with the Partnership, the “</w:t>
      </w:r>
      <w:r>
        <w:rPr>
          <w:rFonts w:ascii="Arial" w:cs="Arial" w:eastAsia="Arial" w:hAnsi="Arial"/>
          <w:sz w:val="18"/>
          <w:szCs w:val="18"/>
          <w:b w:val="1"/>
          <w:bCs w:val="1"/>
          <w:color w:val="auto"/>
        </w:rPr>
        <w:t>Partnership Parties</w:t>
      </w:r>
      <w:r>
        <w:rPr>
          <w:rFonts w:ascii="Arial" w:cs="Arial" w:eastAsia="Arial" w:hAnsi="Arial"/>
          <w:sz w:val="18"/>
          <w:szCs w:val="18"/>
          <w:color w:val="auto"/>
        </w:rPr>
        <w:t>”), and the Underwriter concerning the sale of the Shares by the Selling Shareholder to the Underwriter.</w:t>
      </w:r>
    </w:p>
    <w:p>
      <w:pPr>
        <w:spacing w:after="0" w:line="177" w:lineRule="exact"/>
        <w:rPr>
          <w:sz w:val="20"/>
          <w:szCs w:val="20"/>
          <w:color w:val="auto"/>
        </w:rPr>
      </w:pPr>
    </w:p>
    <w:p>
      <w:pPr>
        <w:ind w:right="80" w:firstLine="667"/>
        <w:spacing w:after="0" w:line="261" w:lineRule="auto"/>
        <w:rPr>
          <w:sz w:val="20"/>
          <w:szCs w:val="20"/>
          <w:color w:val="auto"/>
        </w:rPr>
      </w:pPr>
      <w:r>
        <w:rPr>
          <w:rFonts w:ascii="Arial" w:cs="Arial" w:eastAsia="Arial" w:hAnsi="Arial"/>
          <w:sz w:val="18"/>
          <w:szCs w:val="18"/>
          <w:color w:val="auto"/>
        </w:rPr>
        <w:t>PAA GP LLC, a Delaware limited liability company (“</w:t>
      </w:r>
      <w:r>
        <w:rPr>
          <w:rFonts w:ascii="Arial" w:cs="Arial" w:eastAsia="Arial" w:hAnsi="Arial"/>
          <w:sz w:val="18"/>
          <w:szCs w:val="18"/>
          <w:b w:val="1"/>
          <w:bCs w:val="1"/>
          <w:color w:val="auto"/>
        </w:rPr>
        <w:t>PAA GP</w:t>
      </w:r>
      <w:r>
        <w:rPr>
          <w:rFonts w:ascii="Arial" w:cs="Arial" w:eastAsia="Arial" w:hAnsi="Arial"/>
          <w:sz w:val="18"/>
          <w:szCs w:val="18"/>
          <w:color w:val="auto"/>
        </w:rPr>
        <w:t>”) is the general partner of PAA. Plains AAP, L.P., a Delaware limited partnership (“</w:t>
      </w:r>
      <w:r>
        <w:rPr>
          <w:rFonts w:ascii="Arial" w:cs="Arial" w:eastAsia="Arial" w:hAnsi="Arial"/>
          <w:sz w:val="18"/>
          <w:szCs w:val="18"/>
          <w:b w:val="1"/>
          <w:bCs w:val="1"/>
          <w:color w:val="auto"/>
        </w:rPr>
        <w:t>Plains AAP</w:t>
      </w:r>
      <w:r>
        <w:rPr>
          <w:rFonts w:ascii="Arial" w:cs="Arial" w:eastAsia="Arial" w:hAnsi="Arial"/>
          <w:sz w:val="18"/>
          <w:szCs w:val="18"/>
          <w:color w:val="auto"/>
        </w:rPr>
        <w:t>”), owns a 100% membership interest in PAA GP. Plains All American GP LLC, a Delaware limited liability company (“</w:t>
      </w:r>
      <w:r>
        <w:rPr>
          <w:rFonts w:ascii="Arial" w:cs="Arial" w:eastAsia="Arial" w:hAnsi="Arial"/>
          <w:sz w:val="18"/>
          <w:szCs w:val="18"/>
          <w:b w:val="1"/>
          <w:bCs w:val="1"/>
          <w:color w:val="auto"/>
        </w:rPr>
        <w:t>GP LLC</w:t>
      </w:r>
      <w:r>
        <w:rPr>
          <w:rFonts w:ascii="Arial" w:cs="Arial" w:eastAsia="Arial" w:hAnsi="Arial"/>
          <w:sz w:val="18"/>
          <w:szCs w:val="18"/>
          <w:color w:val="auto"/>
        </w:rPr>
        <w:t>” and, collectively with PAA GP and Plains AAP, the “</w:t>
      </w:r>
      <w:r>
        <w:rPr>
          <w:rFonts w:ascii="Arial" w:cs="Arial" w:eastAsia="Arial" w:hAnsi="Arial"/>
          <w:sz w:val="18"/>
          <w:szCs w:val="18"/>
          <w:b w:val="1"/>
          <w:bCs w:val="1"/>
          <w:color w:val="auto"/>
        </w:rPr>
        <w:t>PAA GP Entities</w:t>
      </w:r>
      <w:r>
        <w:rPr>
          <w:rFonts w:ascii="Arial" w:cs="Arial" w:eastAsia="Arial" w:hAnsi="Arial"/>
          <w:sz w:val="18"/>
          <w:szCs w:val="18"/>
          <w:color w:val="auto"/>
        </w:rPr>
        <w:t>”), is the general partner of Plains AAP. The Partnership owns a 100% membership interest in GP LLC.</w:t>
      </w:r>
    </w:p>
    <w:p>
      <w:pPr>
        <w:spacing w:after="0" w:line="180" w:lineRule="exact"/>
        <w:rPr>
          <w:sz w:val="20"/>
          <w:szCs w:val="20"/>
          <w:color w:val="auto"/>
        </w:rPr>
      </w:pPr>
    </w:p>
    <w:p>
      <w:pPr>
        <w:ind w:right="180" w:firstLine="667"/>
        <w:spacing w:after="0" w:line="266" w:lineRule="auto"/>
        <w:rPr>
          <w:sz w:val="20"/>
          <w:szCs w:val="20"/>
          <w:color w:val="auto"/>
        </w:rPr>
      </w:pPr>
      <w:r>
        <w:rPr>
          <w:rFonts w:ascii="Arial" w:cs="Arial" w:eastAsia="Arial" w:hAnsi="Arial"/>
          <w:sz w:val="18"/>
          <w:szCs w:val="18"/>
          <w:color w:val="auto"/>
        </w:rPr>
        <w:t xml:space="preserve">The subsidiaries of PAA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 The Partnership Parties, the PAA GP Entities, PAA and the Material Subsidiaries are collectively called the “</w:t>
      </w:r>
      <w:r>
        <w:rPr>
          <w:rFonts w:ascii="Arial" w:cs="Arial" w:eastAsia="Arial" w:hAnsi="Arial"/>
          <w:sz w:val="18"/>
          <w:szCs w:val="18"/>
          <w:b w:val="1"/>
          <w:bCs w:val="1"/>
          <w:color w:val="auto"/>
        </w:rPr>
        <w:t>Partnership Entities</w:t>
      </w:r>
      <w:r>
        <w:rPr>
          <w:rFonts w:ascii="Arial" w:cs="Arial" w:eastAsia="Arial" w:hAnsi="Arial"/>
          <w:sz w:val="18"/>
          <w:szCs w:val="18"/>
          <w:color w:val="auto"/>
        </w:rPr>
        <w:t>.”</w:t>
      </w:r>
    </w:p>
    <w:p>
      <w:pPr>
        <w:spacing w:after="0" w:line="180" w:lineRule="exact"/>
        <w:rPr>
          <w:sz w:val="20"/>
          <w:szCs w:val="20"/>
          <w:color w:val="auto"/>
        </w:rPr>
      </w:pPr>
    </w:p>
    <w:p>
      <w:pPr>
        <w:ind w:firstLine="667"/>
        <w:spacing w:after="0" w:line="302" w:lineRule="auto"/>
        <w:rPr>
          <w:sz w:val="20"/>
          <w:szCs w:val="20"/>
          <w:color w:val="auto"/>
        </w:rPr>
      </w:pPr>
      <w:r>
        <w:rPr>
          <w:rFonts w:ascii="Arial" w:cs="Arial" w:eastAsia="Arial" w:hAnsi="Arial"/>
          <w:sz w:val="16"/>
          <w:szCs w:val="16"/>
          <w:color w:val="auto"/>
        </w:rPr>
        <w:t>Pursuant to the Operative Documents (as defined below), in connection with and prior to the sale of Shares on the Delivery Date, the Selling Shareholder will exchange a number of AAP Class A Units (as defined below), Class B shares representing limited partner interests in the Partnership (“</w:t>
      </w:r>
      <w:r>
        <w:rPr>
          <w:rFonts w:ascii="Arial" w:cs="Arial" w:eastAsia="Arial" w:hAnsi="Arial"/>
          <w:sz w:val="16"/>
          <w:szCs w:val="16"/>
          <w:b w:val="1"/>
          <w:bCs w:val="1"/>
          <w:color w:val="auto"/>
        </w:rPr>
        <w:t>Class</w:t>
      </w:r>
      <w:r>
        <w:rPr>
          <w:rFonts w:ascii="Arial" w:cs="Arial" w:eastAsia="Arial" w:hAnsi="Arial"/>
          <w:sz w:val="16"/>
          <w:szCs w:val="16"/>
          <w:color w:val="auto"/>
        </w:rPr>
        <w:t xml:space="preserve"> </w:t>
      </w:r>
      <w:r>
        <w:rPr>
          <w:rFonts w:ascii="Arial" w:cs="Arial" w:eastAsia="Arial" w:hAnsi="Arial"/>
          <w:sz w:val="16"/>
          <w:szCs w:val="16"/>
          <w:b w:val="1"/>
          <w:bCs w:val="1"/>
          <w:color w:val="auto"/>
        </w:rPr>
        <w:t>B Shares</w:t>
      </w:r>
      <w:r>
        <w:rPr>
          <w:rFonts w:ascii="Arial" w:cs="Arial" w:eastAsia="Arial" w:hAnsi="Arial"/>
          <w:sz w:val="16"/>
          <w:szCs w:val="16"/>
          <w:color w:val="auto"/>
        </w:rPr>
        <w:t>”), and units representing a fractional part of the membership interest in the Partnership (“</w:t>
      </w:r>
      <w:r>
        <w:rPr>
          <w:rFonts w:ascii="Arial" w:cs="Arial" w:eastAsia="Arial" w:hAnsi="Arial"/>
          <w:sz w:val="16"/>
          <w:szCs w:val="16"/>
          <w:b w:val="1"/>
          <w:bCs w:val="1"/>
          <w:color w:val="auto"/>
        </w:rPr>
        <w:t>General Partner Units</w:t>
      </w:r>
      <w:r>
        <w:rPr>
          <w:rFonts w:ascii="Arial" w:cs="Arial" w:eastAsia="Arial" w:hAnsi="Arial"/>
          <w:sz w:val="16"/>
          <w:szCs w:val="16"/>
          <w:color w:val="auto"/>
        </w:rPr>
        <w:t>”) equal to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being sold on such Delivery Date for an equal number of Class A Shares (such exchange(s) being referred to as the “</w:t>
      </w:r>
      <w:r>
        <w:rPr>
          <w:rFonts w:ascii="Arial" w:cs="Arial" w:eastAsia="Arial" w:hAnsi="Arial"/>
          <w:sz w:val="16"/>
          <w:szCs w:val="16"/>
          <w:b w:val="1"/>
          <w:bCs w:val="1"/>
          <w:color w:val="auto"/>
        </w:rPr>
        <w:t>Selling Shareholder Exchange</w:t>
      </w:r>
      <w:r>
        <w:rPr>
          <w:rFonts w:ascii="Arial" w:cs="Arial" w:eastAsia="Arial" w:hAnsi="Arial"/>
          <w:sz w:val="16"/>
          <w:szCs w:val="16"/>
          <w:color w:val="auto"/>
        </w:rPr>
        <w: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524" w:hanging="524"/>
        <w:spacing w:after="0"/>
        <w:tabs>
          <w:tab w:leader="none" w:pos="524"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of the Partnership Parties. </w:t>
      </w:r>
      <w:r>
        <w:rPr>
          <w:rFonts w:ascii="Arial" w:cs="Arial" w:eastAsia="Arial" w:hAnsi="Arial"/>
          <w:sz w:val="17"/>
          <w:szCs w:val="17"/>
          <w:color w:val="auto"/>
        </w:rPr>
        <w:t>The Partnership Parties represent and warrant to the Underwriter that:</w:t>
      </w:r>
    </w:p>
    <w:p>
      <w:pPr>
        <w:spacing w:after="0" w:line="236" w:lineRule="exact"/>
        <w:rPr>
          <w:rFonts w:ascii="Arial" w:cs="Arial" w:eastAsia="Arial" w:hAnsi="Arial"/>
          <w:sz w:val="17"/>
          <w:szCs w:val="17"/>
          <w:color w:val="auto"/>
        </w:rPr>
      </w:pPr>
    </w:p>
    <w:p>
      <w:pPr>
        <w:ind w:left="4" w:right="120" w:firstLine="1293"/>
        <w:spacing w:after="0" w:line="276" w:lineRule="auto"/>
        <w:tabs>
          <w:tab w:leader="none" w:pos="1965"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Registration</w:t>
      </w:r>
      <w:r>
        <w:rPr>
          <w:rFonts w:ascii="Arial" w:cs="Arial" w:eastAsia="Arial" w:hAnsi="Arial"/>
          <w:sz w:val="17"/>
          <w:szCs w:val="17"/>
          <w:color w:val="auto"/>
        </w:rPr>
        <w:t>. A registration statement on Form S-3 relating to the Shares (File No. 333-200596) (i) has been prepared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in conformity with the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(the “</w:t>
      </w:r>
      <w:r>
        <w:rPr>
          <w:rFonts w:ascii="Arial" w:cs="Arial" w:eastAsia="Arial" w:hAnsi="Arial"/>
          <w:sz w:val="17"/>
          <w:szCs w:val="17"/>
          <w:b w:val="1"/>
          <w:bCs w:val="1"/>
          <w:color w:val="auto"/>
        </w:rPr>
        <w:t>Rules and Regulations</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thereunder; (ii) has been filed with the Commission under the Securities Act; and (iii) is effective under the Securities Act. Copies of such registration statement and any amendment thereto have been delivered by the Partnership to the Underwriter. As used in this Agreement:</w:t>
      </w:r>
    </w:p>
    <w:p>
      <w:pPr>
        <w:spacing w:after="0" w:line="168" w:lineRule="exact"/>
        <w:rPr>
          <w:rFonts w:ascii="Arial" w:cs="Arial" w:eastAsia="Arial" w:hAnsi="Arial"/>
          <w:sz w:val="17"/>
          <w:szCs w:val="17"/>
          <w:color w:val="auto"/>
        </w:rPr>
      </w:pPr>
    </w:p>
    <w:p>
      <w:pPr>
        <w:ind w:left="4" w:right="280" w:firstLine="1941"/>
        <w:spacing w:after="0" w:line="282" w:lineRule="auto"/>
        <w:tabs>
          <w:tab w:leader="none" w:pos="2513"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9:05 p.m., New York City time, on September 18, 2019, which the Underwriter has informed the Partnership and its counsel is a time prior to the first sale of the Shares;</w:t>
      </w:r>
    </w:p>
    <w:p>
      <w:pPr>
        <w:spacing w:after="0" w:line="161" w:lineRule="exact"/>
        <w:rPr>
          <w:rFonts w:ascii="Arial" w:cs="Arial" w:eastAsia="Arial" w:hAnsi="Arial"/>
          <w:sz w:val="18"/>
          <w:szCs w:val="18"/>
          <w:color w:val="auto"/>
        </w:rPr>
      </w:pPr>
    </w:p>
    <w:p>
      <w:pPr>
        <w:ind w:left="4" w:right="620" w:firstLine="1941"/>
        <w:spacing w:after="0" w:line="313" w:lineRule="auto"/>
        <w:tabs>
          <w:tab w:leader="none" w:pos="2504" w:val="left"/>
        </w:tabs>
        <w:numPr>
          <w:ilvl w:val="2"/>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any date as of which any part of such registration statement relating to the Shares became, or is deemed to have become, effective under the Securities Act in accordance with the Rules and Regulations;</w:t>
      </w:r>
    </w:p>
    <w:p>
      <w:pPr>
        <w:spacing w:after="0" w:line="138" w:lineRule="exact"/>
        <w:rPr>
          <w:rFonts w:ascii="Arial" w:cs="Arial" w:eastAsia="Arial" w:hAnsi="Arial"/>
          <w:sz w:val="17"/>
          <w:szCs w:val="17"/>
          <w:color w:val="auto"/>
        </w:rPr>
      </w:pPr>
    </w:p>
    <w:p>
      <w:pPr>
        <w:jc w:val="both"/>
        <w:ind w:left="4" w:right="20" w:firstLine="1941"/>
        <w:spacing w:after="0" w:line="266" w:lineRule="auto"/>
        <w:tabs>
          <w:tab w:leader="none" w:pos="2504"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Shares;</w:t>
      </w:r>
    </w:p>
    <w:p>
      <w:pPr>
        <w:spacing w:after="0" w:line="176" w:lineRule="exact"/>
        <w:rPr>
          <w:rFonts w:ascii="Arial" w:cs="Arial" w:eastAsia="Arial" w:hAnsi="Arial"/>
          <w:sz w:val="18"/>
          <w:szCs w:val="18"/>
          <w:color w:val="auto"/>
        </w:rPr>
      </w:pPr>
    </w:p>
    <w:p>
      <w:pPr>
        <w:ind w:left="4" w:right="160" w:firstLine="1941"/>
        <w:spacing w:after="0" w:line="266" w:lineRule="auto"/>
        <w:tabs>
          <w:tab w:leader="none" w:pos="2513"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the Registration Statement or filed with the Commission pursuant to Rule 424(b) of the Rules and Regulations, including the Base Prospectus and any preliminary prospectus supplement thereto relating to the Shares;</w:t>
      </w:r>
    </w:p>
    <w:p>
      <w:pPr>
        <w:spacing w:after="0" w:line="176" w:lineRule="exact"/>
        <w:rPr>
          <w:rFonts w:ascii="Arial" w:cs="Arial" w:eastAsia="Arial" w:hAnsi="Arial"/>
          <w:sz w:val="18"/>
          <w:szCs w:val="18"/>
          <w:color w:val="auto"/>
        </w:rPr>
      </w:pPr>
    </w:p>
    <w:p>
      <w:pPr>
        <w:ind w:left="4" w:right="60" w:firstLine="1941"/>
        <w:spacing w:after="0" w:line="261" w:lineRule="auto"/>
        <w:tabs>
          <w:tab w:leader="none" w:pos="2493"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means, as of the Applicable Time, (A) the most recent Preliminary Prospectus together with Issuer Free Writing Prospectus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(B) each other Issuer Free Writing Prospectus filed or used by the Partnership on or before the Applicable Time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a road show that is an Issuer Free Writing Prospectus but is not required to be filed under Rule 433 of the Rules and Regulations;</w:t>
      </w:r>
    </w:p>
    <w:p>
      <w:pPr>
        <w:spacing w:after="0" w:line="180" w:lineRule="exact"/>
        <w:rPr>
          <w:rFonts w:ascii="Arial" w:cs="Arial" w:eastAsia="Arial" w:hAnsi="Arial"/>
          <w:sz w:val="18"/>
          <w:szCs w:val="18"/>
          <w:color w:val="auto"/>
        </w:rPr>
      </w:pPr>
    </w:p>
    <w:p>
      <w:pPr>
        <w:ind w:left="4" w:right="80" w:firstLine="1941"/>
        <w:spacing w:after="0" w:line="347" w:lineRule="auto"/>
        <w:tabs>
          <w:tab w:leader="none" w:pos="2484" w:val="left"/>
        </w:tabs>
        <w:numPr>
          <w:ilvl w:val="2"/>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the final prospectus relating to the Shares, including the Base Prospectus and any prospectus supplement thereto relating to the Shares, as filed with the Commission pursuant to Rule 424(b) of the Rules and Regulations; and</w:t>
      </w:r>
    </w:p>
    <w:p>
      <w:pPr>
        <w:spacing w:after="0" w:line="116" w:lineRule="exact"/>
        <w:rPr>
          <w:rFonts w:ascii="Arial" w:cs="Arial" w:eastAsia="Arial" w:hAnsi="Arial"/>
          <w:sz w:val="16"/>
          <w:szCs w:val="16"/>
          <w:color w:val="auto"/>
        </w:rPr>
      </w:pPr>
    </w:p>
    <w:p>
      <w:pPr>
        <w:ind w:left="4" w:firstLine="1941"/>
        <w:spacing w:after="0" w:line="313" w:lineRule="auto"/>
        <w:tabs>
          <w:tab w:leader="none" w:pos="2513" w:val="left"/>
        </w:tabs>
        <w:numPr>
          <w:ilvl w:val="2"/>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on Form S-3 (File No. 333-200596), as amended as of the Effective Date, including any Preliminary Prospectus or the Prospectus and all exhibits to such registration statement.</w:t>
      </w:r>
    </w:p>
    <w:p>
      <w:pPr>
        <w:spacing w:after="0" w:line="142" w:lineRule="exact"/>
        <w:rPr>
          <w:sz w:val="20"/>
          <w:szCs w:val="20"/>
          <w:color w:val="auto"/>
        </w:rPr>
      </w:pPr>
    </w:p>
    <w:p>
      <w:pPr>
        <w:ind w:left="24" w:right="20" w:firstLine="667"/>
        <w:spacing w:after="0" w:line="285"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color w:val="auto"/>
        </w:rPr>
        <w:t>Incorporated</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 means the documents that at the time are incorporated by reference in the Registration Statement, the Preliminary Prospectus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any of the Partnership Parties’ knowledge, threatened by the Commission. The Commission has not notified any of the Partnership Parties of any objection to the use of the form of the Registration Statement.</w:t>
      </w:r>
    </w:p>
    <w:p>
      <w:pPr>
        <w:spacing w:after="0" w:line="394"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 w:name="page6"/>
    <w:bookmarkEnd w:id="5"/>
    <w:p>
      <w:pPr>
        <w:ind w:left="-540" w:right="40" w:firstLine="1293"/>
        <w:spacing w:after="0" w:line="257" w:lineRule="auto"/>
        <w:tabs>
          <w:tab w:leader="none" w:pos="142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The Partnership is a “well-known seasoned issuer”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Rule 405 of the Rules and Regulations). For purposes of firm commitment underwritten offerings contemplated under the Registration Statement, at the earliest time after the initial filing of the Registration Statement that the Partnership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Rules and Regulations) of the Shares, the Partnership was not an “ineligible issuer,” as defined in Rule 405 of the Rules and Regulations.</w:t>
      </w:r>
    </w:p>
    <w:p>
      <w:pPr>
        <w:spacing w:after="0" w:line="188" w:lineRule="exact"/>
        <w:rPr>
          <w:rFonts w:ascii="Arial" w:cs="Arial" w:eastAsia="Arial" w:hAnsi="Arial"/>
          <w:sz w:val="18"/>
          <w:szCs w:val="18"/>
          <w:color w:val="auto"/>
        </w:rPr>
      </w:pPr>
    </w:p>
    <w:p>
      <w:pPr>
        <w:ind w:left="-540" w:right="240" w:firstLine="1293"/>
        <w:spacing w:after="0" w:line="272" w:lineRule="auto"/>
        <w:tabs>
          <w:tab w:leader="none" w:pos="1431"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Form of Documents</w:t>
      </w:r>
      <w:r>
        <w:rPr>
          <w:rFonts w:ascii="Arial" w:cs="Arial" w:eastAsia="Arial" w:hAnsi="Arial"/>
          <w:sz w:val="17"/>
          <w:szCs w:val="17"/>
          <w:color w:val="auto"/>
        </w:rPr>
        <w:t>. The Registration Statement conformed in all material respects on the Effective Date and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spacing w:after="0" w:line="177" w:lineRule="exact"/>
        <w:rPr>
          <w:rFonts w:ascii="Arial" w:cs="Arial" w:eastAsia="Arial" w:hAnsi="Arial"/>
          <w:sz w:val="17"/>
          <w:szCs w:val="17"/>
          <w:color w:val="auto"/>
        </w:rPr>
      </w:pPr>
    </w:p>
    <w:p>
      <w:pPr>
        <w:ind w:left="-540" w:right="60" w:firstLine="1293"/>
        <w:spacing w:after="0" w:line="257" w:lineRule="auto"/>
        <w:tabs>
          <w:tab w:leader="none" w:pos="142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The Registration Statement did not, as of its most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recent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Partnership by the Underwriter specifically for inclusion therein, which information is specified in Section 13.</w:t>
      </w:r>
    </w:p>
    <w:p>
      <w:pPr>
        <w:spacing w:after="0" w:line="188" w:lineRule="exact"/>
        <w:rPr>
          <w:rFonts w:ascii="Arial" w:cs="Arial" w:eastAsia="Arial" w:hAnsi="Arial"/>
          <w:sz w:val="18"/>
          <w:szCs w:val="18"/>
          <w:color w:val="auto"/>
        </w:rPr>
      </w:pPr>
    </w:p>
    <w:p>
      <w:pPr>
        <w:ind w:left="-540" w:right="20" w:firstLine="1293"/>
        <w:spacing w:after="0" w:line="257" w:lineRule="auto"/>
        <w:tabs>
          <w:tab w:leader="none" w:pos="141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Prospectus</w:t>
      </w:r>
      <w:r>
        <w:rPr>
          <w:rFonts w:ascii="Arial" w:cs="Arial" w:eastAsia="Arial" w:hAnsi="Arial"/>
          <w:sz w:val="18"/>
          <w:szCs w:val="18"/>
          <w:color w:val="auto"/>
        </w:rPr>
        <w:t>. The Prospectus will not, as of its date and on the Delivery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Partnership by the Underwriter specifically for inclusion therein, which information is specified in Section 13.</w:t>
      </w:r>
    </w:p>
    <w:p>
      <w:pPr>
        <w:spacing w:after="0" w:line="188" w:lineRule="exact"/>
        <w:rPr>
          <w:rFonts w:ascii="Arial" w:cs="Arial" w:eastAsia="Arial" w:hAnsi="Arial"/>
          <w:sz w:val="18"/>
          <w:szCs w:val="18"/>
          <w:color w:val="auto"/>
        </w:rPr>
      </w:pPr>
    </w:p>
    <w:p>
      <w:pPr>
        <w:ind w:left="-540" w:right="140" w:firstLine="1293"/>
        <w:spacing w:after="0" w:line="286" w:lineRule="auto"/>
        <w:tabs>
          <w:tab w:leader="none" w:pos="1421"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Documents Incorporated by Reference</w:t>
      </w:r>
      <w:r>
        <w:rPr>
          <w:rFonts w:ascii="Arial" w:cs="Arial" w:eastAsia="Arial" w:hAnsi="Arial"/>
          <w:sz w:val="17"/>
          <w:szCs w:val="17"/>
          <w:color w:val="auto"/>
        </w:rPr>
        <w:t>. The Incorporated Documents, when</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ind w:left="-540" w:firstLine="1293"/>
        <w:spacing w:after="0" w:line="276" w:lineRule="auto"/>
        <w:tabs>
          <w:tab w:leader="none" w:pos="142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Pricing Disclosure Package</w:t>
      </w:r>
      <w:r>
        <w:rPr>
          <w:rFonts w:ascii="Arial" w:cs="Arial" w:eastAsia="Arial" w:hAnsi="Arial"/>
          <w:sz w:val="17"/>
          <w:szCs w:val="17"/>
          <w:color w:val="auto"/>
        </w:rPr>
        <w:t>. The Pricing Disclosure Package did not, as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Time,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Partnership through the Underwriter specifically for inclusion therein, which information is specified in Section 13.</w:t>
      </w:r>
    </w:p>
    <w:p>
      <w:pPr>
        <w:spacing w:after="0" w:line="172" w:lineRule="exact"/>
        <w:rPr>
          <w:rFonts w:ascii="Arial" w:cs="Arial" w:eastAsia="Arial" w:hAnsi="Arial"/>
          <w:sz w:val="17"/>
          <w:szCs w:val="17"/>
          <w:color w:val="auto"/>
        </w:rPr>
      </w:pPr>
    </w:p>
    <w:p>
      <w:pPr>
        <w:ind w:left="-540" w:right="40" w:firstLine="1293"/>
        <w:spacing w:after="0" w:line="272" w:lineRule="auto"/>
        <w:tabs>
          <w:tab w:leader="none" w:pos="1431"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Issuer Free Writing Prospectus and Pricing Disclosure Package</w:t>
      </w:r>
      <w:r>
        <w:rPr>
          <w:rFonts w:ascii="Arial" w:cs="Arial" w:eastAsia="Arial" w:hAnsi="Arial"/>
          <w:sz w:val="17"/>
          <w:szCs w:val="17"/>
          <w:color w:val="auto"/>
        </w:rPr>
        <w:t>. Each Issuer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representation or warranty is made as to information contained in or omitted from such Issuer Free Writing Prospectus in reliance upon and in conformity with written information furnished to the Partnership through the Underwriter specifically for inclusion therein, which information is specified in Section 13.</w:t>
      </w:r>
    </w:p>
    <w:p>
      <w:pPr>
        <w:spacing w:after="0" w:line="39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6" w:name="page7"/>
    <w:bookmarkEnd w:id="6"/>
    <w:p>
      <w:pPr>
        <w:ind w:left="-540" w:right="100" w:firstLine="1293"/>
        <w:spacing w:after="0" w:line="254" w:lineRule="auto"/>
        <w:tabs>
          <w:tab w:leader="none" w:pos="142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 Conform to the Requirements of the Securities Act</w:t>
      </w:r>
      <w:r>
        <w:rPr>
          <w:rFonts w:ascii="Arial" w:cs="Arial" w:eastAsia="Arial" w:hAnsi="Arial"/>
          <w:sz w:val="18"/>
          <w:szCs w:val="18"/>
          <w:color w:val="auto"/>
        </w:rPr>
        <w:t>. Each Issuer Free Writing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conformed or will 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Shares that would constitute an Issuer Free Writing Prospectus without the prior written consent of the Underwriter.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Shares will not be required to be filed pursuant to the Rules and Regulations.</w:t>
      </w:r>
    </w:p>
    <w:p>
      <w:pPr>
        <w:spacing w:after="0" w:line="192" w:lineRule="exact"/>
        <w:rPr>
          <w:rFonts w:ascii="Arial" w:cs="Arial" w:eastAsia="Arial" w:hAnsi="Arial"/>
          <w:sz w:val="18"/>
          <w:szCs w:val="18"/>
          <w:color w:val="auto"/>
        </w:rPr>
      </w:pPr>
    </w:p>
    <w:p>
      <w:pPr>
        <w:ind w:left="-540" w:firstLine="1293"/>
        <w:spacing w:after="0" w:line="287" w:lineRule="auto"/>
        <w:tabs>
          <w:tab w:leader="none" w:pos="141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Entities has been duly formed or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Entities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 Parties, the PAA GP Entities, PAA and PAA’s direct and indirect majority owned subsidiaries (collectively, the “</w:t>
      </w:r>
      <w:r>
        <w:rPr>
          <w:rFonts w:ascii="Arial" w:cs="Arial" w:eastAsia="Arial" w:hAnsi="Arial"/>
          <w:sz w:val="16"/>
          <w:szCs w:val="16"/>
          <w:b w:val="1"/>
          <w:bCs w:val="1"/>
          <w:color w:val="auto"/>
        </w:rPr>
        <w:t>Partnership Group Entities</w:t>
      </w:r>
      <w:r>
        <w:rPr>
          <w:rFonts w:ascii="Arial" w:cs="Arial" w:eastAsia="Arial" w:hAnsi="Arial"/>
          <w:sz w:val="16"/>
          <w:szCs w:val="16"/>
          <w:color w:val="auto"/>
        </w:rPr>
        <w:t>”), taken as a whole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or (ii) subject the limited partners of the Partnership to any material liability or disability.</w:t>
      </w:r>
    </w:p>
    <w:p>
      <w:pPr>
        <w:spacing w:after="0" w:line="172" w:lineRule="exact"/>
        <w:rPr>
          <w:rFonts w:ascii="Arial" w:cs="Arial" w:eastAsia="Arial" w:hAnsi="Arial"/>
          <w:sz w:val="16"/>
          <w:szCs w:val="16"/>
          <w:color w:val="auto"/>
        </w:rPr>
      </w:pPr>
    </w:p>
    <w:p>
      <w:pPr>
        <w:ind w:left="-540" w:right="360" w:firstLine="1293"/>
        <w:spacing w:after="0" w:line="286" w:lineRule="auto"/>
        <w:tabs>
          <w:tab w:leader="none" w:pos="1421"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General Partners</w:t>
      </w:r>
      <w:r>
        <w:rPr>
          <w:rFonts w:ascii="Arial" w:cs="Arial" w:eastAsia="Arial" w:hAnsi="Arial"/>
          <w:sz w:val="17"/>
          <w:szCs w:val="17"/>
          <w:color w:val="auto"/>
        </w:rPr>
        <w:t>. As disclosed in the Pricing Disclosure Package and the Prospectus, in each case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each Partnership Group Entity that serves as a general partner of another Partnership Group Entity has full corporate or limited liability company power and authority, as the case may be, to serve as general partner of such Partnership Group Entity.</w:t>
      </w:r>
    </w:p>
    <w:p>
      <w:pPr>
        <w:spacing w:after="0" w:line="165" w:lineRule="exact"/>
        <w:rPr>
          <w:rFonts w:ascii="Arial" w:cs="Arial" w:eastAsia="Arial" w:hAnsi="Arial"/>
          <w:sz w:val="17"/>
          <w:szCs w:val="17"/>
          <w:color w:val="auto"/>
        </w:rPr>
      </w:pPr>
    </w:p>
    <w:p>
      <w:pPr>
        <w:ind w:left="-540" w:firstLine="1293"/>
        <w:spacing w:after="0" w:line="285" w:lineRule="auto"/>
        <w:tabs>
          <w:tab w:leader="none" w:pos="142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Interests in the Partnership, the General Partner, PAA, PAA GP, Plains AAP and GP LLC. </w:t>
      </w:r>
      <w:r>
        <w:rPr>
          <w:rFonts w:ascii="Arial" w:cs="Arial" w:eastAsia="Arial" w:hAnsi="Arial"/>
          <w:sz w:val="16"/>
          <w:szCs w:val="16"/>
          <w:color w:val="auto"/>
        </w:rPr>
        <w:t>The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interests, limited partner interests or membership interests in the Partnership, the General Partner, PAA, PAA GP, Plains AAP and GP LLC owned by the PAA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Arial" w:cs="Arial" w:eastAsia="Arial" w:hAnsi="Arial"/>
          <w:sz w:val="16"/>
          <w:szCs w:val="16"/>
          <w:b w:val="1"/>
          <w:bCs w:val="1"/>
          <w:color w:val="auto"/>
        </w:rPr>
        <w:t>Organizational Document</w:t>
      </w:r>
      <w:r>
        <w:rPr>
          <w:rFonts w:ascii="Arial" w:cs="Arial" w:eastAsia="Arial" w:hAnsi="Arial"/>
          <w:sz w:val="16"/>
          <w:szCs w:val="16"/>
          <w:color w:val="auto"/>
        </w:rPr>
        <w:t>”) of the Partnership and the PAA GP Entities, and such membership interests and limited partner interests are fully paid (to the extent 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Arial" w:cs="Arial" w:eastAsia="Arial" w:hAnsi="Arial"/>
          <w:sz w:val="16"/>
          <w:szCs w:val="16"/>
          <w:b w:val="1"/>
          <w:bCs w:val="1"/>
          <w:color w:val="auto"/>
        </w:rPr>
        <w:t>Delaware LP Act</w:t>
      </w:r>
      <w:r>
        <w:rPr>
          <w:rFonts w:ascii="Arial" w:cs="Arial" w:eastAsia="Arial" w:hAnsi="Arial"/>
          <w:sz w:val="16"/>
          <w:szCs w:val="16"/>
          <w:color w:val="auto"/>
        </w:rPr>
        <w:t>”) or Sections 18-607 and 18-804 of the Delaware Limited Liability Company Act (the “</w:t>
      </w:r>
      <w:r>
        <w:rPr>
          <w:rFonts w:ascii="Arial" w:cs="Arial" w:eastAsia="Arial" w:hAnsi="Arial"/>
          <w:sz w:val="16"/>
          <w:szCs w:val="16"/>
          <w:b w:val="1"/>
          <w:bCs w:val="1"/>
          <w:color w:val="auto"/>
        </w:rPr>
        <w:t>Delaware LLC Act</w:t>
      </w:r>
      <w:r>
        <w:rPr>
          <w:rFonts w:ascii="Arial" w:cs="Arial" w:eastAsia="Arial" w:hAnsi="Arial"/>
          <w:sz w:val="16"/>
          <w:szCs w:val="16"/>
          <w:color w:val="auto"/>
        </w:rPr>
        <w:t>”), as applicable, or (B) with respect to the general partner interest of any such entity); and such general partner, limited partner and membership interests held by the PAA GP Entities are owned by the applicable PAA GP Entity free and clear of all liens, encumbrances, security interests, equities, charges or claims (“</w:t>
      </w:r>
      <w:r>
        <w:rPr>
          <w:rFonts w:ascii="Arial" w:cs="Arial" w:eastAsia="Arial" w:hAnsi="Arial"/>
          <w:sz w:val="16"/>
          <w:szCs w:val="16"/>
          <w:b w:val="1"/>
          <w:bCs w:val="1"/>
          <w:color w:val="auto"/>
        </w:rPr>
        <w:t>Liens</w:t>
      </w:r>
      <w:r>
        <w:rPr>
          <w:rFonts w:ascii="Arial" w:cs="Arial" w:eastAsia="Arial" w:hAnsi="Arial"/>
          <w:sz w:val="16"/>
          <w:szCs w:val="16"/>
          <w:color w:val="auto"/>
        </w:rPr>
        <w:t>”), except (i) as disclosed in the Registration Statement, the Pricing Disclosure Package and the Prospectus, (ii) as contained in the Organizational Documents of the applicable PAA GP Entity or (iii) such as would not reasonably be expected to result in a change of control of the Partnership (in the case of any general partner or membership interests held by the PAA GP Entities) or reasonably be expected to materially adversely affect the ability of the Partnership Group Entities considered as a whole to conduct their businesses as currently conducted and as contemplated by the Registration Statement, the Pricing Disclosure Package and the Prospectus to be conducted.</w:t>
      </w:r>
    </w:p>
    <w:p>
      <w:pPr>
        <w:spacing w:after="0" w:line="39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ind w:left="-540" w:right="20" w:firstLine="1293"/>
        <w:spacing w:after="0" w:line="268" w:lineRule="auto"/>
        <w:tabs>
          <w:tab w:leader="none" w:pos="1431"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Ownership of the Material Subsidiaries</w:t>
      </w:r>
      <w:r>
        <w:rPr>
          <w:rFonts w:ascii="Arial" w:cs="Arial" w:eastAsia="Arial" w:hAnsi="Arial"/>
          <w:sz w:val="17"/>
          <w:szCs w:val="17"/>
          <w:color w:val="auto"/>
        </w:rPr>
        <w:t>. All of the outstanding shares of capital stock or other equity interests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Subsidiary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(1) in the case of an interest in a Delaware limited partnership or Delaware limited liability company, as such nonassessability may be affected by Sections 17-607 and 17-804 of the Delaware LP Act or Sections 18-607 and 18-804 of the Delaware LLC Act, as applicable, (2) in the case of an interest in a limited partnership or limited liability company formed under the laws of another domestic state, as such nonassessability may be affected by similar provisions of such state’s limited partnership or limited liability company statute, as applicable, (3) in the case of an interest in an entity formed under the laws of a foreign jurisdiction, as such nonassessability may be affected by similar provisions of such jurisdiction’s partnership, limited or unlimited liability company statute, if any, as applicable, or (4) with respect to the general partner interest of any Material Subsidiary) and ii) are owned, directly or indirectly, by PAA, free and clear of all Liens. The Subsidiaries other than the Material Subsidiaries did not, individually or in the aggregate, account for (1) more than 10% of the total consolidated assets of the Partnership Entities, taken as a whole, as of the most recent fiscal year end or (2) more than 10% of the consolidated net income of the Partnership Entities, taken as a whole, for the most recent fiscal year.</w:t>
      </w:r>
    </w:p>
    <w:p>
      <w:pPr>
        <w:spacing w:after="0" w:line="187" w:lineRule="exact"/>
        <w:rPr>
          <w:rFonts w:ascii="Arial" w:cs="Arial" w:eastAsia="Arial" w:hAnsi="Arial"/>
          <w:sz w:val="17"/>
          <w:szCs w:val="17"/>
          <w:color w:val="auto"/>
        </w:rPr>
      </w:pPr>
    </w:p>
    <w:p>
      <w:pPr>
        <w:ind w:left="-540" w:right="100" w:firstLine="1293"/>
        <w:spacing w:after="0" w:line="290" w:lineRule="auto"/>
        <w:tabs>
          <w:tab w:leader="none" w:pos="142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Capitalization of Plains AAP</w:t>
      </w:r>
      <w:r>
        <w:rPr>
          <w:rFonts w:ascii="Arial" w:cs="Arial" w:eastAsia="Arial" w:hAnsi="Arial"/>
          <w:sz w:val="16"/>
          <w:szCs w:val="16"/>
          <w:color w:val="auto"/>
        </w:rPr>
        <w:t>. As of the date hereof, the issued and outstanding limited partner interests of Plains AAP</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265,594,874 Class A Units representing limited partner interests in Plains AAP (“</w:t>
      </w:r>
      <w:r>
        <w:rPr>
          <w:rFonts w:ascii="Arial" w:cs="Arial" w:eastAsia="Arial" w:hAnsi="Arial"/>
          <w:sz w:val="16"/>
          <w:szCs w:val="16"/>
          <w:b w:val="1"/>
          <w:bCs w:val="1"/>
          <w:color w:val="auto"/>
        </w:rPr>
        <w:t>AAP Class A Units</w:t>
      </w:r>
      <w:r>
        <w:rPr>
          <w:rFonts w:ascii="Arial" w:cs="Arial" w:eastAsia="Arial" w:hAnsi="Arial"/>
          <w:sz w:val="16"/>
          <w:szCs w:val="16"/>
          <w:color w:val="auto"/>
        </w:rPr>
        <w:t>”) and 1,656,611 Class B Units representing limited partner interests in Plains AAP (“</w:t>
      </w:r>
      <w:r>
        <w:rPr>
          <w:rFonts w:ascii="Arial" w:cs="Arial" w:eastAsia="Arial" w:hAnsi="Arial"/>
          <w:sz w:val="16"/>
          <w:szCs w:val="16"/>
          <w:b w:val="1"/>
          <w:bCs w:val="1"/>
          <w:color w:val="auto"/>
        </w:rPr>
        <w:t>AAP Class B Units</w:t>
      </w:r>
      <w:r>
        <w:rPr>
          <w:rFonts w:ascii="Arial" w:cs="Arial" w:eastAsia="Arial" w:hAnsi="Arial"/>
          <w:sz w:val="16"/>
          <w:szCs w:val="16"/>
          <w:color w:val="auto"/>
        </w:rPr>
        <w:t>”). The Partnership owns directly and indirectly 62.9% of the AAP Class A Units, which AAP Class A Units are owned by the Partnership free and clear of all Liens, except as disclosed in the Registration Statement, Pricing Disclosure Package and the Prospectus, and certain current and former members of PAA’s management own all of the AAP Class B Units. All outstanding AAP Class A Units and AAP Class B Units and the limited partner interests represented thereby have been duly authorized and validly issued in accordance with the AAP Partnership Agreement, and are fully paid (to the extent required under the AAP Partnership Agreement) and nonassessable (except as such nonassessability may be affected by Sections 17-607 and 17-804 of the Delaware LP Act).</w:t>
      </w:r>
    </w:p>
    <w:p>
      <w:pPr>
        <w:spacing w:after="0" w:line="166" w:lineRule="exact"/>
        <w:rPr>
          <w:rFonts w:ascii="Arial" w:cs="Arial" w:eastAsia="Arial" w:hAnsi="Arial"/>
          <w:sz w:val="16"/>
          <w:szCs w:val="16"/>
          <w:color w:val="auto"/>
        </w:rPr>
      </w:pPr>
    </w:p>
    <w:p>
      <w:pPr>
        <w:ind w:left="-540" w:firstLine="1293"/>
        <w:spacing w:after="0" w:line="293" w:lineRule="auto"/>
        <w:tabs>
          <w:tab w:leader="none" w:pos="1416"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Capitalization of PAA</w:t>
      </w:r>
      <w:r>
        <w:rPr>
          <w:rFonts w:ascii="Arial" w:cs="Arial" w:eastAsia="Arial" w:hAnsi="Arial"/>
          <w:sz w:val="16"/>
          <w:szCs w:val="16"/>
          <w:color w:val="auto"/>
        </w:rPr>
        <w:t>. As of the date hereof, the issued and outstanding limited partner interests of PAA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728,028,576 common units representing limited partner interests, 71,090,468 Series A Preferred Units and 800,000 Series B Preferred Units. All such outstanding common units and preferred units and the limited partner interests represented thereby have been duly authorized and validly issued in accordance with the Seventh Amended and Restated Agreement of Limited Partnership of Plains All American Pipeline, L.P. dated as of October 10, 2017 (as amended, the “</w:t>
      </w:r>
      <w:r>
        <w:rPr>
          <w:rFonts w:ascii="Arial" w:cs="Arial" w:eastAsia="Arial" w:hAnsi="Arial"/>
          <w:sz w:val="16"/>
          <w:szCs w:val="16"/>
          <w:b w:val="1"/>
          <w:bCs w:val="1"/>
          <w:color w:val="auto"/>
        </w:rPr>
        <w:t>PAA Partnership Agreement</w:t>
      </w:r>
      <w:r>
        <w:rPr>
          <w:rFonts w:ascii="Arial" w:cs="Arial" w:eastAsia="Arial" w:hAnsi="Arial"/>
          <w:sz w:val="16"/>
          <w:szCs w:val="16"/>
          <w:color w:val="auto"/>
        </w:rPr>
        <w:t>”) and are fully paid (to the extent required under the PAA Partnership Agreement) and nonassessable (except as such nonassessability may be affected by Sections 17-607 and 17-804 of the Delaware LP Act).</w:t>
      </w:r>
    </w:p>
    <w:p>
      <w:pPr>
        <w:spacing w:after="0" w:line="164" w:lineRule="exact"/>
        <w:rPr>
          <w:rFonts w:ascii="Arial" w:cs="Arial" w:eastAsia="Arial" w:hAnsi="Arial"/>
          <w:sz w:val="16"/>
          <w:szCs w:val="16"/>
          <w:color w:val="auto"/>
        </w:rPr>
      </w:pPr>
    </w:p>
    <w:p>
      <w:pPr>
        <w:ind w:left="-540" w:right="20" w:firstLine="1293"/>
        <w:spacing w:after="0" w:line="254" w:lineRule="auto"/>
        <w:tabs>
          <w:tab w:leader="none" w:pos="142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Capitalization of the Partnership</w:t>
      </w:r>
      <w:r>
        <w:rPr>
          <w:rFonts w:ascii="Arial" w:cs="Arial" w:eastAsia="Arial" w:hAnsi="Arial"/>
          <w:sz w:val="18"/>
          <w:szCs w:val="18"/>
          <w:color w:val="auto"/>
        </w:rPr>
        <w:t>. At the Delivery Date, after giving effect to the sale of the Shares by the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and the Selling Shareholder Exchange, the issued and outstanding limited partner interests of the Partnership will consist of 182,004,761 Class A Shares and 68,612,223 Class B Shares. All such Class A Shares and Class B Shares and the limited partner interests represented thereby will have been duly authorized and validly issued in accordance with the Second Amended and Restated Agreement of Limited Partnership of the Partnership, dated as of November 15, 2016 (the “</w:t>
      </w:r>
      <w:r>
        <w:rPr>
          <w:rFonts w:ascii="Arial" w:cs="Arial" w:eastAsia="Arial" w:hAnsi="Arial"/>
          <w:sz w:val="18"/>
          <w:szCs w:val="18"/>
          <w:b w:val="1"/>
          <w:bCs w:val="1"/>
          <w:color w:val="auto"/>
        </w:rPr>
        <w:t>Partnership Agreement</w:t>
      </w:r>
      <w:r>
        <w:rPr>
          <w:rFonts w:ascii="Arial" w:cs="Arial" w:eastAsia="Arial" w:hAnsi="Arial"/>
          <w:sz w:val="18"/>
          <w:szCs w:val="18"/>
          <w:color w:val="auto"/>
        </w:rPr>
        <w:t>”) and will be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spacing w:after="0" w:line="200" w:lineRule="exact"/>
        <w:rPr>
          <w:sz w:val="20"/>
          <w:szCs w:val="20"/>
          <w:color w:val="auto"/>
        </w:rPr>
      </w:pPr>
    </w:p>
    <w:p>
      <w:pPr>
        <w:spacing w:after="0" w:line="2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 w:name="page9"/>
    <w:bookmarkEnd w:id="8"/>
    <w:p>
      <w:pPr>
        <w:ind w:left="-540" w:right="20" w:firstLine="1293"/>
        <w:spacing w:after="0" w:line="270" w:lineRule="auto"/>
        <w:tabs>
          <w:tab w:leader="none" w:pos="147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Preemptive or Other Rights</w:t>
      </w:r>
      <w:r>
        <w:rPr>
          <w:rFonts w:ascii="Arial" w:cs="Arial" w:eastAsia="Arial" w:hAnsi="Arial"/>
          <w:sz w:val="17"/>
          <w:szCs w:val="17"/>
          <w:color w:val="auto"/>
        </w:rPr>
        <w:t>. Except as described in the Pricing Disclosure Package and the Prospectus or as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AAP Partnership Agreement, the Partnership Agreement, the General Partner LLC Agreement and the Plains GP LLC Agreement (together, the “</w:t>
      </w:r>
      <w:r>
        <w:rPr>
          <w:rFonts w:ascii="Arial" w:cs="Arial" w:eastAsia="Arial" w:hAnsi="Arial"/>
          <w:sz w:val="17"/>
          <w:szCs w:val="17"/>
          <w:b w:val="1"/>
          <w:bCs w:val="1"/>
          <w:color w:val="auto"/>
        </w:rPr>
        <w:t>Operative Documents</w:t>
      </w:r>
      <w:r>
        <w:rPr>
          <w:rFonts w:ascii="Arial" w:cs="Arial" w:eastAsia="Arial" w:hAnsi="Arial"/>
          <w:sz w:val="17"/>
          <w:szCs w:val="17"/>
          <w:color w:val="auto"/>
        </w:rPr>
        <w:t>”), there are no preemptive rights or other rights to subscribe for or to purchase, nor any restriction upon the voting or transfer of, any equity securities of either of the Partnership or Plains AAP pursuant to any agreement or other instrument to which the Partnership or Plains AAP is a party or by which the Partnership or Plains AAP may be bound. Neither the filing of the Registration Statement nor the offering or sale of the Shares as contemplated by this Agreement gives rise to any rights for or relating to the registration of any Shares or other securities of the Partnership, except such rights as have been waived or satisfied. Except (i) as described in the Pricing Disclosure Package and the Prospectus (ii) for awards issued pursuant to the Partnership’s long-term incentive plan, there are no outstanding options, warrants or other rights to purchase or exchange any securities for any Shares or other equity interests in the Partnership.</w:t>
      </w:r>
    </w:p>
    <w:p>
      <w:pPr>
        <w:spacing w:after="0" w:line="181" w:lineRule="exact"/>
        <w:rPr>
          <w:rFonts w:ascii="Arial" w:cs="Arial" w:eastAsia="Arial" w:hAnsi="Arial"/>
          <w:sz w:val="17"/>
          <w:szCs w:val="17"/>
          <w:color w:val="auto"/>
        </w:rPr>
      </w:pPr>
    </w:p>
    <w:p>
      <w:pPr>
        <w:ind w:left="-540" w:right="220" w:firstLine="1293"/>
        <w:spacing w:after="0" w:line="257" w:lineRule="auto"/>
        <w:tabs>
          <w:tab w:leader="none" w:pos="147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Duly Authorized and Validly Issued Shares</w:t>
      </w:r>
      <w:r>
        <w:rPr>
          <w:rFonts w:ascii="Arial" w:cs="Arial" w:eastAsia="Arial" w:hAnsi="Arial"/>
          <w:sz w:val="18"/>
          <w:szCs w:val="18"/>
          <w:color w:val="auto"/>
        </w:rPr>
        <w:t>. At the Delivery Date, the Shares to be sold by the Selling Shareholder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limited partner interests represented thereby will be duly authorized in accordance with the Partnership Agreement and, when issued and delivered to the Underwriter against payment therefor in accordance with the terms hereof, will be validly issued, fully paid (to the extent required under the Partnership Agreement) and nonassessable (except as such nonassessability may be affected by Sections 17-607 and 17-804 of the Delaware LP Act).</w:t>
      </w:r>
    </w:p>
    <w:p>
      <w:pPr>
        <w:spacing w:after="0" w:line="188" w:lineRule="exact"/>
        <w:rPr>
          <w:rFonts w:ascii="Arial" w:cs="Arial" w:eastAsia="Arial" w:hAnsi="Arial"/>
          <w:sz w:val="18"/>
          <w:szCs w:val="18"/>
          <w:color w:val="auto"/>
        </w:rPr>
      </w:pPr>
    </w:p>
    <w:p>
      <w:pPr>
        <w:ind w:left="-540" w:firstLine="1293"/>
        <w:spacing w:after="0" w:line="257" w:lineRule="auto"/>
        <w:tabs>
          <w:tab w:leader="none" w:pos="146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limited partnership power and authority to enter into this Agreement and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transactions contemplated hereby, including the Selling Shareholder Exchange. At the Delivery Date, all action required to be taken by the Partnership Parties or any of their respective unitholders, shareholders, members or partners for (i) the due and proper authorization, execution and delivery of this Agreement and (ii) the consummation of the transactions contemplated hereby, including the Selling Shareholder Exchange, shall have been duly and validly taken.</w:t>
      </w:r>
    </w:p>
    <w:p>
      <w:pPr>
        <w:spacing w:after="0" w:line="188" w:lineRule="exact"/>
        <w:rPr>
          <w:rFonts w:ascii="Arial" w:cs="Arial" w:eastAsia="Arial" w:hAnsi="Arial"/>
          <w:sz w:val="18"/>
          <w:szCs w:val="18"/>
          <w:color w:val="auto"/>
        </w:rPr>
      </w:pPr>
    </w:p>
    <w:p>
      <w:pPr>
        <w:ind w:left="-540" w:firstLine="1293"/>
        <w:spacing w:after="0" w:line="277" w:lineRule="auto"/>
        <w:tabs>
          <w:tab w:leader="none" w:pos="146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by or on behalf of the Partnership Parties.</w:t>
      </w:r>
    </w:p>
    <w:p>
      <w:pPr>
        <w:spacing w:after="0" w:line="170" w:lineRule="exact"/>
        <w:rPr>
          <w:rFonts w:ascii="Arial" w:cs="Arial" w:eastAsia="Arial" w:hAnsi="Arial"/>
          <w:sz w:val="18"/>
          <w:szCs w:val="18"/>
          <w:color w:val="auto"/>
        </w:rPr>
      </w:pPr>
    </w:p>
    <w:p>
      <w:pPr>
        <w:ind w:left="-540" w:right="20" w:firstLine="1293"/>
        <w:spacing w:after="0" w:line="255" w:lineRule="auto"/>
        <w:tabs>
          <w:tab w:leader="none" w:pos="146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Execution and Enforceability of the Organizational Documents</w:t>
      </w:r>
      <w:r>
        <w:rPr>
          <w:rFonts w:ascii="Arial" w:cs="Arial" w:eastAsia="Arial" w:hAnsi="Arial"/>
          <w:sz w:val="18"/>
          <w:szCs w:val="18"/>
          <w:color w:val="auto"/>
        </w:rPr>
        <w:t>. The Organizational Documents of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Partnership Group Entities have been duly authorized, executed and delivered by the parties thereto and are valid and legally binding agreements of such parties thereto, enforceable against the parties thereto in accordance with their respective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93" w:lineRule="exact"/>
        <w:rPr>
          <w:rFonts w:ascii="Arial" w:cs="Arial" w:eastAsia="Arial" w:hAnsi="Arial"/>
          <w:sz w:val="18"/>
          <w:szCs w:val="18"/>
          <w:color w:val="auto"/>
        </w:rPr>
      </w:pPr>
    </w:p>
    <w:p>
      <w:pPr>
        <w:ind w:left="-540" w:right="80" w:firstLine="1293"/>
        <w:spacing w:after="0" w:line="269" w:lineRule="auto"/>
        <w:tabs>
          <w:tab w:leader="none" w:pos="147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Conflicts or Violations</w:t>
      </w:r>
      <w:r>
        <w:rPr>
          <w:rFonts w:ascii="Arial" w:cs="Arial" w:eastAsia="Arial" w:hAnsi="Arial"/>
          <w:sz w:val="17"/>
          <w:szCs w:val="17"/>
          <w:color w:val="auto"/>
        </w:rPr>
        <w:t>. None of the (i) offering and sale by the Selling Shareholder of the Shares, (ii) execution,</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and performance of this Agreement by the Partnership Parties party hereto, or (iii) consummation of the Selling Shareholder Exchange: (A) conflicts or will conflict with or constitutes or will constitute a violation of the Organizational Documents of any of the Partnership Entities,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any of the Partnership Entities is a party or by which any of them or any of their respective properties may be bound, (C) violates or will violate any statute, law or regulation or any order, judgment, decree or injunction of any court or governmental agency or body directed to any of the Partnership Entities or any of their properties in a proceeding to which any of them or their property is a party or (D) results or will result in the creation or imposition of any Lien upon any property or assets of any of the Partnership Entities, which conflicts, breaches, violations, defaults or Liens, in the case of clauses (B), (C) or (D), would reasonably be expected to have a Material Adverse Effect or materially impair the ability of any of the Partnership Parties to consummate the transactions contemplated by this Agreement, including the Selling Shareholder Exchange.</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 w:name="page10"/>
    <w:bookmarkEnd w:id="9"/>
    <w:p>
      <w:pPr>
        <w:ind w:left="4" w:right="20" w:firstLine="1293"/>
        <w:spacing w:after="0" w:line="289" w:lineRule="auto"/>
        <w:tabs>
          <w:tab w:leader="none" w:pos="202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consent, approval, authorization, filing with or order of any court, governmental agency or body having</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over any of the Partnership Entities or any of their respective properties is required in connection with (i) the offering and sale by the Selling Shareholder of the Shares, (ii) the execution, delivery and performance of, or the consummation of this Agreement by the Partnership Parties or (iii) the consummation of the transactions contemplated by this Agreement, including the Selling Shareholder Exchange,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purchase and distribution by the Underwriter of the Shares in the manner contemplated herein and in the Pricing Disclosure Package and the Prospectus and (iii) such that the failure to obtain or make would not reasonably be expected to have a Material Adverse Effect or materially impair the ability of any of the Partnership Parties or the PAA GP Entities to consummate the transactions contemplated by this Agreement, including the Selling Shareholder Exchange.</w:t>
      </w:r>
    </w:p>
    <w:p>
      <w:pPr>
        <w:spacing w:after="0" w:line="166" w:lineRule="exact"/>
        <w:rPr>
          <w:rFonts w:ascii="Arial" w:cs="Arial" w:eastAsia="Arial" w:hAnsi="Arial"/>
          <w:sz w:val="16"/>
          <w:szCs w:val="16"/>
          <w:color w:val="auto"/>
        </w:rPr>
      </w:pPr>
    </w:p>
    <w:p>
      <w:pPr>
        <w:ind w:left="2004" w:hanging="707"/>
        <w:spacing w:after="0"/>
        <w:tabs>
          <w:tab w:leader="none" w:pos="2004"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Default</w:t>
      </w:r>
      <w:r>
        <w:rPr>
          <w:rFonts w:ascii="Arial" w:cs="Arial" w:eastAsia="Arial" w:hAnsi="Arial"/>
          <w:sz w:val="16"/>
          <w:szCs w:val="16"/>
          <w:color w:val="auto"/>
        </w:rPr>
        <w:t>. None of the Partnership Entities is in (i) violation of its Organizational Documents in any material respect;</w:t>
      </w:r>
    </w:p>
    <w:p>
      <w:pPr>
        <w:spacing w:after="0" w:line="46" w:lineRule="exact"/>
        <w:rPr>
          <w:rFonts w:ascii="Arial" w:cs="Arial" w:eastAsia="Arial" w:hAnsi="Arial"/>
          <w:sz w:val="16"/>
          <w:szCs w:val="16"/>
          <w:color w:val="auto"/>
        </w:rPr>
      </w:pPr>
    </w:p>
    <w:p>
      <w:pPr>
        <w:ind w:left="4" w:hanging="4"/>
        <w:spacing w:after="0" w:line="252"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violation of any law, statute, ordinance, administrative or governmental rule or regulation applicable to it or of any decree of any court or governmental agency or body having jurisdiction over it; or (iii)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any of the Partnership Parties or the PAA GP Entities to perform its obligations under this Agreement, including the Selling Shareholder Exchange.</w:t>
      </w:r>
    </w:p>
    <w:p>
      <w:pPr>
        <w:spacing w:after="0" w:line="193" w:lineRule="exact"/>
        <w:rPr>
          <w:rFonts w:ascii="Arial" w:cs="Arial" w:eastAsia="Arial" w:hAnsi="Arial"/>
          <w:sz w:val="18"/>
          <w:szCs w:val="18"/>
          <w:color w:val="auto"/>
        </w:rPr>
      </w:pPr>
    </w:p>
    <w:p>
      <w:pPr>
        <w:ind w:left="4" w:right="80" w:firstLine="1293"/>
        <w:spacing w:after="0" w:line="259" w:lineRule="auto"/>
        <w:tabs>
          <w:tab w:leader="none" w:pos="2005"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PricewaterhouseCoopers LLP, which has certified the audited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or incorporated by reference in the Registration Statement, the Pricing Disclosure Package and the Prospectus (and any amendment or supplement thereto), is an independent registered public accounting firm with respect to the Partnership, as required by the Securities Act and the Rules and Regulations and the Public Company Accounting Oversight Board.</w:t>
      </w:r>
    </w:p>
    <w:p>
      <w:pPr>
        <w:spacing w:after="0" w:line="186" w:lineRule="exact"/>
        <w:rPr>
          <w:rFonts w:ascii="Arial" w:cs="Arial" w:eastAsia="Arial" w:hAnsi="Arial"/>
          <w:sz w:val="18"/>
          <w:szCs w:val="18"/>
          <w:color w:val="auto"/>
        </w:rPr>
      </w:pPr>
    </w:p>
    <w:p>
      <w:pPr>
        <w:ind w:left="4" w:right="20" w:firstLine="1293"/>
        <w:spacing w:after="0" w:line="287" w:lineRule="auto"/>
        <w:tabs>
          <w:tab w:leader="none" w:pos="201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At June 30, 2019, the Partnership had, on an as adjusted basis as indicated in the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Pricing Disclosure Package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Partnership are required by the Securities Act or the Exchange Act to be included in the Registration Statement, the Pricing Disclosure Package or the Prospectus.</w:t>
      </w:r>
    </w:p>
    <w:p>
      <w:pPr>
        <w:spacing w:after="0" w:line="389"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0" w:name="page11"/>
    <w:bookmarkEnd w:id="10"/>
    <w:p>
      <w:pPr>
        <w:ind w:left="-540" w:firstLine="1293"/>
        <w:spacing w:after="0" w:line="286" w:lineRule="auto"/>
        <w:tabs>
          <w:tab w:leader="none" w:pos="1471"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None of the Partnership Group Entities has sustained, since the date of the latest audited or</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Partnership Group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direct or indirect majority owned subsidiary of PAA to another direct or indirect majority owned subsidiary of PAA or PAA or from a PAA GP Entity to its members or other equity owners in the ordinary course of business, declared, paid or made on the security interests of any of the Partnership Group Entities.</w:t>
      </w:r>
    </w:p>
    <w:p>
      <w:pPr>
        <w:spacing w:after="0" w:line="171" w:lineRule="exact"/>
        <w:rPr>
          <w:rFonts w:ascii="Arial" w:cs="Arial" w:eastAsia="Arial" w:hAnsi="Arial"/>
          <w:sz w:val="16"/>
          <w:szCs w:val="16"/>
          <w:color w:val="auto"/>
        </w:rPr>
      </w:pPr>
    </w:p>
    <w:p>
      <w:pPr>
        <w:ind w:left="-540" w:right="160" w:firstLine="1293"/>
        <w:spacing w:after="0" w:line="286" w:lineRule="auto"/>
        <w:tabs>
          <w:tab w:leader="none" w:pos="147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Required Disclosures and Descriptions</w:t>
      </w:r>
      <w:r>
        <w:rPr>
          <w:rFonts w:ascii="Arial" w:cs="Arial" w:eastAsia="Arial" w:hAnsi="Arial"/>
          <w:sz w:val="17"/>
          <w:szCs w:val="17"/>
          <w:color w:val="auto"/>
        </w:rPr>
        <w:t>. There are no agreements, contracts, indentures, leases or other instruments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65" w:lineRule="exact"/>
        <w:rPr>
          <w:rFonts w:ascii="Arial" w:cs="Arial" w:eastAsia="Arial" w:hAnsi="Arial"/>
          <w:sz w:val="17"/>
          <w:szCs w:val="17"/>
          <w:color w:val="auto"/>
        </w:rPr>
      </w:pPr>
    </w:p>
    <w:p>
      <w:pPr>
        <w:ind w:left="-540" w:right="20" w:firstLine="1293"/>
        <w:spacing w:after="0" w:line="288" w:lineRule="auto"/>
        <w:tabs>
          <w:tab w:leader="none" w:pos="146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Partnership Group Entities, directly or indirectly, have good and indefeasible title to all real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good title to all personal property described in the Registration Statement, the Pricing Disclosure Package and the Prospectus as being owned by them, free and clear of all Liens except iii) as provided in the Third Amended and Restated Credit Agreement dated as of August 19, 2011, as amended (the “</w:t>
      </w:r>
      <w:r>
        <w:rPr>
          <w:rFonts w:ascii="Arial" w:cs="Arial" w:eastAsia="Arial" w:hAnsi="Arial"/>
          <w:sz w:val="16"/>
          <w:szCs w:val="16"/>
          <w:b w:val="1"/>
          <w:bCs w:val="1"/>
          <w:color w:val="auto"/>
        </w:rPr>
        <w:t>Hedged Inventory Facility</w:t>
      </w:r>
      <w:r>
        <w:rPr>
          <w:rFonts w:ascii="Arial" w:cs="Arial" w:eastAsia="Arial" w:hAnsi="Arial"/>
          <w:sz w:val="16"/>
          <w:szCs w:val="16"/>
          <w:color w:val="auto"/>
        </w:rPr>
        <w:t>”), among Plains Marketing, L.P., a Texas limited partnership (“</w:t>
      </w:r>
      <w:r>
        <w:rPr>
          <w:rFonts w:ascii="Arial" w:cs="Arial" w:eastAsia="Arial" w:hAnsi="Arial"/>
          <w:sz w:val="16"/>
          <w:szCs w:val="16"/>
          <w:b w:val="1"/>
          <w:bCs w:val="1"/>
          <w:color w:val="auto"/>
        </w:rPr>
        <w:t>Plains Marketing</w:t>
      </w:r>
      <w:r>
        <w:rPr>
          <w:rFonts w:ascii="Arial" w:cs="Arial" w:eastAsia="Arial" w:hAnsi="Arial"/>
          <w:sz w:val="16"/>
          <w:szCs w:val="16"/>
          <w:color w:val="auto"/>
        </w:rPr>
        <w:t>”), and Plains Midstream Canada ULC, a British Columbia unlimited liability company (“</w:t>
      </w:r>
      <w:r>
        <w:rPr>
          <w:rFonts w:ascii="Arial" w:cs="Arial" w:eastAsia="Arial" w:hAnsi="Arial"/>
          <w:sz w:val="16"/>
          <w:szCs w:val="16"/>
          <w:b w:val="1"/>
          <w:bCs w:val="1"/>
          <w:color w:val="auto"/>
        </w:rPr>
        <w:t>Plains Midstream Canada</w:t>
      </w:r>
      <w:r>
        <w:rPr>
          <w:rFonts w:ascii="Arial" w:cs="Arial" w:eastAsia="Arial" w:hAnsi="Arial"/>
          <w:sz w:val="16"/>
          <w:szCs w:val="16"/>
          <w:color w:val="auto"/>
        </w:rPr>
        <w:t>”), as borrowers, the Partnership, as guarantor, Bank of America, N.A., as administrative agent thereunder and the lenders from time to time party thereto, described in the Registration Statement, the Pricing Disclosure Package and the Prospectus and iv) such as would not reasonably be expected to have, individually or in the aggregate, a Material Adverse Effect; and all real property and buildings held under lease by the Partnership Group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169" w:lineRule="exact"/>
        <w:rPr>
          <w:rFonts w:ascii="Arial" w:cs="Arial" w:eastAsia="Arial" w:hAnsi="Arial"/>
          <w:sz w:val="16"/>
          <w:szCs w:val="16"/>
          <w:color w:val="auto"/>
        </w:rPr>
      </w:pPr>
    </w:p>
    <w:p>
      <w:pPr>
        <w:ind w:left="-540" w:right="40" w:firstLine="1293"/>
        <w:spacing w:after="0" w:line="290" w:lineRule="auto"/>
        <w:tabs>
          <w:tab w:leader="none" w:pos="150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Permits</w:t>
      </w:r>
      <w:r>
        <w:rPr>
          <w:rFonts w:ascii="Arial" w:cs="Arial" w:eastAsia="Arial" w:hAnsi="Arial"/>
          <w:sz w:val="16"/>
          <w:szCs w:val="16"/>
          <w:color w:val="auto"/>
        </w:rPr>
        <w:t>. Each of the Partnership Group Entities, directly or indirectly, has such permits, consents, licenses, franchises,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and authorizations of 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Partnership Group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3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 w:name="page12"/>
    <w:bookmarkEnd w:id="11"/>
    <w:p>
      <w:pPr>
        <w:ind w:left="-540" w:right="60" w:firstLine="1293"/>
        <w:spacing w:after="0" w:line="270" w:lineRule="auto"/>
        <w:tabs>
          <w:tab w:leader="none" w:pos="151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Rights-of-Way</w:t>
      </w:r>
      <w:r>
        <w:rPr>
          <w:rFonts w:ascii="Arial" w:cs="Arial" w:eastAsia="Arial" w:hAnsi="Arial"/>
          <w:sz w:val="17"/>
          <w:szCs w:val="17"/>
          <w:color w:val="auto"/>
        </w:rPr>
        <w:t>. Each of the Partnership Group Entities, directly or indirectly, has such consents, easements, rights-of-way or licenses from any person (“</w:t>
      </w:r>
      <w:r>
        <w:rPr>
          <w:rFonts w:ascii="Arial" w:cs="Arial" w:eastAsia="Arial" w:hAnsi="Arial"/>
          <w:sz w:val="17"/>
          <w:szCs w:val="17"/>
          <w:b w:val="1"/>
          <w:bCs w:val="1"/>
          <w:color w:val="auto"/>
        </w:rPr>
        <w:t>rights-of-way</w:t>
      </w:r>
      <w:r>
        <w:rPr>
          <w:rFonts w:ascii="Arial" w:cs="Arial" w:eastAsia="Arial" w:hAnsi="Arial"/>
          <w:sz w:val="17"/>
          <w:szCs w:val="17"/>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Partnership Group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177" w:lineRule="exact"/>
        <w:rPr>
          <w:rFonts w:ascii="Arial" w:cs="Arial" w:eastAsia="Arial" w:hAnsi="Arial"/>
          <w:sz w:val="17"/>
          <w:szCs w:val="17"/>
          <w:color w:val="auto"/>
        </w:rPr>
      </w:pPr>
    </w:p>
    <w:p>
      <w:pPr>
        <w:ind w:left="-540" w:firstLine="1293"/>
        <w:spacing w:after="0" w:line="290" w:lineRule="auto"/>
        <w:tabs>
          <w:tab w:leader="none" w:pos="151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Investment Company</w:t>
      </w:r>
      <w:r>
        <w:rPr>
          <w:rFonts w:ascii="Arial" w:cs="Arial" w:eastAsia="Arial" w:hAnsi="Arial"/>
          <w:sz w:val="16"/>
          <w:szCs w:val="16"/>
          <w:color w:val="auto"/>
        </w:rPr>
        <w:t>. None of the Partnership Group Entities is now, and after the Selling Shareholder Exchange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by the Selling Shareholder of the Shares hereunder and application of the net proceeds from such sale as described in the Pricing Disclosure Package and the Prospectus under the caption “Use of Proceeds,” none of the Partnership Group Entities will be, (i) an “investment company” or a company “controlled by” an “investment company,” each within the meaning of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 (ii) a “gas utility,” within the meaning of Tex. Util. Code §§ 101.003 or 121.001 or (iii) a “public utility” or “utility” within the meaning of the Public Utility Regulatory Act of Texas or under the utility laws of any state in which any such Partnership Group Entity does business; in the case of clauses (ii) and (iii), (y) excluding any circumstances where any Partnership Group Entity is a “common carrier” under any such laws and (z) other than in respect of any Partnership Group Entity that is under the jurisdiction of the California Public Utility Commission.</w:t>
      </w:r>
    </w:p>
    <w:p>
      <w:pPr>
        <w:spacing w:after="0" w:line="166" w:lineRule="exact"/>
        <w:rPr>
          <w:rFonts w:ascii="Arial" w:cs="Arial" w:eastAsia="Arial" w:hAnsi="Arial"/>
          <w:sz w:val="16"/>
          <w:szCs w:val="16"/>
          <w:color w:val="auto"/>
        </w:rPr>
      </w:pPr>
    </w:p>
    <w:p>
      <w:pPr>
        <w:ind w:left="-540" w:right="140" w:firstLine="1293"/>
        <w:spacing w:after="0" w:line="272" w:lineRule="auto"/>
        <w:tabs>
          <w:tab w:leader="none" w:pos="152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Environmental Compliance</w:t>
      </w:r>
      <w:r>
        <w:rPr>
          <w:rFonts w:ascii="Arial" w:cs="Arial" w:eastAsia="Arial" w:hAnsi="Arial"/>
          <w:sz w:val="17"/>
          <w:szCs w:val="17"/>
          <w:color w:val="auto"/>
        </w:rPr>
        <w:t>. Except as described in the Registration Statement, the Pricing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none of the Partnership Group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177" w:lineRule="exact"/>
        <w:rPr>
          <w:rFonts w:ascii="Arial" w:cs="Arial" w:eastAsia="Arial" w:hAnsi="Arial"/>
          <w:sz w:val="17"/>
          <w:szCs w:val="17"/>
          <w:color w:val="auto"/>
        </w:rPr>
      </w:pPr>
    </w:p>
    <w:p>
      <w:pPr>
        <w:ind w:left="-540" w:right="520" w:firstLine="1293"/>
        <w:spacing w:after="0" w:line="308" w:lineRule="auto"/>
        <w:tabs>
          <w:tab w:leader="none" w:pos="151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No Labor Disputes</w:t>
      </w:r>
      <w:r>
        <w:rPr>
          <w:rFonts w:ascii="Arial" w:cs="Arial" w:eastAsia="Arial" w:hAnsi="Arial"/>
          <w:sz w:val="17"/>
          <w:szCs w:val="17"/>
          <w:color w:val="auto"/>
        </w:rPr>
        <w:t>. No labor dispute with the employees of any of the Partnership Group Entities exists 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Partnership Parties, is imminent, that would reasonably be expected to have a Material Adverse Effect.</w:t>
      </w:r>
    </w:p>
    <w:p>
      <w:pPr>
        <w:spacing w:after="0" w:line="146" w:lineRule="exact"/>
        <w:rPr>
          <w:rFonts w:ascii="Arial" w:cs="Arial" w:eastAsia="Arial" w:hAnsi="Arial"/>
          <w:sz w:val="17"/>
          <w:szCs w:val="17"/>
          <w:color w:val="auto"/>
        </w:rPr>
      </w:pPr>
    </w:p>
    <w:p>
      <w:pPr>
        <w:ind w:left="-540" w:right="120" w:firstLine="1293"/>
        <w:spacing w:after="0" w:line="257" w:lineRule="auto"/>
        <w:tabs>
          <w:tab w:leader="none" w:pos="150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Partnership maintains or is entitled to the benefits of insurance covering its properties,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88" w:lineRule="exact"/>
        <w:rPr>
          <w:rFonts w:ascii="Arial" w:cs="Arial" w:eastAsia="Arial" w:hAnsi="Arial"/>
          <w:sz w:val="18"/>
          <w:szCs w:val="18"/>
          <w:color w:val="auto"/>
        </w:rPr>
      </w:pPr>
    </w:p>
    <w:p>
      <w:pPr>
        <w:ind w:left="-540" w:firstLine="1293"/>
        <w:spacing w:after="0" w:line="272" w:lineRule="auto"/>
        <w:tabs>
          <w:tab w:leader="none" w:pos="151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No Legal Actions</w:t>
      </w:r>
      <w:r>
        <w:rPr>
          <w:rFonts w:ascii="Arial" w:cs="Arial" w:eastAsia="Arial" w:hAnsi="Arial"/>
          <w:sz w:val="17"/>
          <w:szCs w:val="17"/>
          <w:color w:val="auto"/>
        </w:rPr>
        <w:t>. Except as described in the Registration Statement, the Pricing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(i) no action, suit or proceeding before or by any court, arbitrator or governmental agency, body or official, domestic or foreign, now pending or, to the knowledge of the Partnership Parties, threatened, to which any of the Partnership Group Entities is or may be a party or to which the business or property of any of the Partnership Group Entities is or may be subject, and (ii) no injunction, restraining order or order of any nature issued by a federal or state court or foreign court of competent jurisdiction to which any of the Partnership Group Entities is or may be subject, that, in the case of clauses (i) and (ii) above, would reasonably be expected to have, individually or in the aggregate, a Material Adverse Effect or prevent or result in the suspension of the offering of the Shares.</w:t>
      </w:r>
    </w:p>
    <w:p>
      <w:pPr>
        <w:spacing w:after="0" w:line="39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2" w:name="page13"/>
    <w:bookmarkEnd w:id="12"/>
    <w:p>
      <w:pPr>
        <w:ind w:right="40" w:firstLine="1293"/>
        <w:spacing w:after="0" w:line="272" w:lineRule="auto"/>
        <w:tabs>
          <w:tab w:leader="none" w:pos="2011"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Distribution Restrictions</w:t>
      </w:r>
      <w:r>
        <w:rPr>
          <w:rFonts w:ascii="Arial" w:cs="Arial" w:eastAsia="Arial" w:hAnsi="Arial"/>
          <w:sz w:val="17"/>
          <w:szCs w:val="17"/>
          <w:color w:val="auto"/>
        </w:rPr>
        <w:t>. No Partnership Group Entity is currently prohibited, directly or indirectly, from making any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any other Partnership Group Entity, as applicable, from making any other distribution on such entity’s equity interests, from repaying to any other Partnership Group Entity any loans or advances to such entity from the Partnership Group Entity or from transferring any of such entity’s property or assets to the Partnership Group Entities, except (i) as described in or contemplated by the Registration Statement, the Pricing Disclosure Package and the Prospectus (exclusive of any amendment or supplement thereto), (ii) such prohibitions mandated by the laws of each such entity’s state of formation and the terms of the Organizational Documents of such entity and (iii) where such prohibition would not reasonably be expected to have a Material Adverse Effect.</w:t>
      </w:r>
    </w:p>
    <w:p>
      <w:pPr>
        <w:spacing w:after="0" w:line="177" w:lineRule="exact"/>
        <w:rPr>
          <w:rFonts w:ascii="Arial" w:cs="Arial" w:eastAsia="Arial" w:hAnsi="Arial"/>
          <w:sz w:val="17"/>
          <w:szCs w:val="17"/>
          <w:color w:val="auto"/>
        </w:rPr>
      </w:pPr>
    </w:p>
    <w:p>
      <w:pPr>
        <w:ind w:right="80" w:firstLine="1293"/>
        <w:spacing w:after="0" w:line="257" w:lineRule="auto"/>
        <w:tabs>
          <w:tab w:leader="none" w:pos="201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Partnership Group Entities has distributed and,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later to occur of (i) any Delivery Date and (ii) completion of the distribution of the Shares, as the case may be, will not distribute, any prospectus (as defined under the Securities Act) in connection with the offering and sale of the Shares other than any Preliminary Prospectus, the Prospectus, any Issuer Free Writing Prospectus, subject to the conditions in Section 1(a)(ix) of this Agreement, or other materials, if any, permitted by the Securities Act, including Rule 134 of the Rules and Regulations.</w:t>
      </w:r>
    </w:p>
    <w:p>
      <w:pPr>
        <w:spacing w:after="0" w:line="184" w:lineRule="exact"/>
        <w:rPr>
          <w:rFonts w:ascii="Arial" w:cs="Arial" w:eastAsia="Arial" w:hAnsi="Arial"/>
          <w:sz w:val="18"/>
          <w:szCs w:val="18"/>
          <w:color w:val="auto"/>
        </w:rPr>
      </w:pPr>
    </w:p>
    <w:p>
      <w:pPr>
        <w:ind w:left="2000" w:hanging="707"/>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NYSE Listing of Shares</w:t>
      </w:r>
      <w:r>
        <w:rPr>
          <w:rFonts w:ascii="Arial" w:cs="Arial" w:eastAsia="Arial" w:hAnsi="Arial"/>
          <w:sz w:val="18"/>
          <w:szCs w:val="18"/>
          <w:color w:val="auto"/>
        </w:rPr>
        <w:t>. The Class A Shares are listed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22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color w:val="auto"/>
        </w:rPr>
        <w:t>Books and Records; Accounting Controls</w:t>
      </w:r>
      <w:r>
        <w:rPr>
          <w:rFonts w:ascii="Arial" w:cs="Arial" w:eastAsia="Arial" w:hAnsi="Arial"/>
          <w:sz w:val="18"/>
          <w:szCs w:val="18"/>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Parties, the directors and officers of the General Partner in their capacities as such, are in compliance in all material respects with all applicable and effective provisions of the Sarbanes-Oxley Act of 2002 and the rules and regulations promulgated thereunder.</w:t>
      </w:r>
    </w:p>
    <w:p>
      <w:pPr>
        <w:spacing w:after="0" w:line="18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i w:val="1"/>
          <w:iCs w:val="1"/>
          <w:color w:val="auto"/>
        </w:rPr>
        <w:t>Disclosure Controls</w:t>
      </w:r>
      <w:r>
        <w:rPr>
          <w:rFonts w:ascii="Arial" w:cs="Arial" w:eastAsia="Arial" w:hAnsi="Arial"/>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the General Partner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89"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6"/>
          <w:szCs w:val="16"/>
          <w:color w:val="auto"/>
        </w:rPr>
        <w:t xml:space="preserve">(xliii) </w:t>
      </w:r>
      <w:r>
        <w:rPr>
          <w:rFonts w:ascii="Arial" w:cs="Arial" w:eastAsia="Arial" w:hAnsi="Arial"/>
          <w:sz w:val="16"/>
          <w:szCs w:val="16"/>
          <w:i w:val="1"/>
          <w:iCs w:val="1"/>
          <w:color w:val="auto"/>
        </w:rPr>
        <w:t>No Deficiency in Internal Controls</w:t>
      </w:r>
      <w:r>
        <w:rPr>
          <w:rFonts w:ascii="Arial" w:cs="Arial" w:eastAsia="Arial" w:hAnsi="Arial"/>
          <w:sz w:val="16"/>
          <w:szCs w:val="16"/>
          <w:color w:val="auto"/>
        </w:rPr>
        <w:t>. Based on the evaluation of its disclosure controls and procedures conducted in connection with the preparation and filing of the Partnership’s Annual Report on Form 10-K for the most recent fiscal year end, the Partnership has not become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37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3" w:name="page14"/>
    <w:bookmarkEnd w:id="13"/>
    <w:p>
      <w:pPr>
        <w:jc w:val="both"/>
        <w:ind w:left="660" w:right="280" w:firstLine="1297"/>
        <w:spacing w:after="0" w:line="259"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i w:val="1"/>
          <w:iCs w:val="1"/>
          <w:color w:val="auto"/>
        </w:rPr>
        <w:t>FCPA</w:t>
      </w:r>
      <w:r>
        <w:rPr>
          <w:rFonts w:ascii="Arial" w:cs="Arial" w:eastAsia="Arial" w:hAnsi="Arial"/>
          <w:sz w:val="18"/>
          <w:szCs w:val="18"/>
          <w:color w:val="auto"/>
        </w:rPr>
        <w:t>. None of the Partnership Group Entities, nor to the knowledge of the Partnership Parties, any director, officer, agent or employee of the Partnership Group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87" w:lineRule="exact"/>
        <w:rPr>
          <w:sz w:val="20"/>
          <w:szCs w:val="20"/>
          <w:color w:val="auto"/>
        </w:rPr>
      </w:pPr>
    </w:p>
    <w:p>
      <w:pPr>
        <w:ind w:left="660" w:right="20" w:firstLine="1297"/>
        <w:spacing w:after="0" w:line="264" w:lineRule="auto"/>
        <w:rPr>
          <w:sz w:val="20"/>
          <w:szCs w:val="20"/>
          <w:color w:val="auto"/>
        </w:rPr>
      </w:pPr>
      <w:r>
        <w:rPr>
          <w:rFonts w:ascii="Arial" w:cs="Arial" w:eastAsia="Arial" w:hAnsi="Arial"/>
          <w:sz w:val="18"/>
          <w:szCs w:val="18"/>
          <w:color w:val="auto"/>
        </w:rPr>
        <w:t xml:space="preserve">(xlv) </w:t>
      </w: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 arbitrator involving the Partnership Group Entities that involve allegations of money laundering is pending or, to the knowledge of the Partnership, threatened.</w:t>
      </w:r>
    </w:p>
    <w:p>
      <w:pPr>
        <w:spacing w:after="0" w:line="181" w:lineRule="exact"/>
        <w:rPr>
          <w:sz w:val="20"/>
          <w:szCs w:val="20"/>
          <w:color w:val="auto"/>
        </w:rPr>
      </w:pPr>
    </w:p>
    <w:p>
      <w:pPr>
        <w:ind w:left="660" w:right="200" w:firstLine="1297"/>
        <w:spacing w:after="0" w:line="264" w:lineRule="auto"/>
        <w:rPr>
          <w:sz w:val="20"/>
          <w:szCs w:val="20"/>
          <w:color w:val="auto"/>
        </w:rPr>
      </w:pPr>
      <w:r>
        <w:rPr>
          <w:rFonts w:ascii="Arial" w:cs="Arial" w:eastAsia="Arial" w:hAnsi="Arial"/>
          <w:sz w:val="18"/>
          <w:szCs w:val="18"/>
          <w:color w:val="auto"/>
        </w:rPr>
        <w:t xml:space="preserve">(xlvi) </w:t>
      </w:r>
      <w:r>
        <w:rPr>
          <w:rFonts w:ascii="Arial" w:cs="Arial" w:eastAsia="Arial" w:hAnsi="Arial"/>
          <w:sz w:val="18"/>
          <w:szCs w:val="18"/>
          <w:i w:val="1"/>
          <w:iCs w:val="1"/>
          <w:color w:val="auto"/>
        </w:rPr>
        <w:t>OFAC</w:t>
      </w:r>
      <w:r>
        <w:rPr>
          <w:rFonts w:ascii="Arial" w:cs="Arial" w:eastAsia="Arial" w:hAnsi="Arial"/>
          <w:sz w:val="18"/>
          <w:szCs w:val="18"/>
          <w:color w:val="auto"/>
        </w:rPr>
        <w:t>. None of Partnership Group Entities nor to the knowledge of the Partnership Parties, any director, officer or employee of the Partnership Group Entities (in their capacity as director, officer or employee) has received notice that it is subject to any sanctions administered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181" w:lineRule="exact"/>
        <w:rPr>
          <w:sz w:val="20"/>
          <w:szCs w:val="20"/>
          <w:color w:val="auto"/>
        </w:rPr>
      </w:pPr>
    </w:p>
    <w:p>
      <w:pPr>
        <w:ind w:left="660" w:right="40" w:firstLine="1297"/>
        <w:spacing w:after="0" w:line="264" w:lineRule="auto"/>
        <w:rPr>
          <w:sz w:val="20"/>
          <w:szCs w:val="20"/>
          <w:color w:val="auto"/>
        </w:rPr>
      </w:pPr>
      <w:r>
        <w:rPr>
          <w:rFonts w:ascii="Arial" w:cs="Arial" w:eastAsia="Arial" w:hAnsi="Arial"/>
          <w:sz w:val="18"/>
          <w:szCs w:val="18"/>
          <w:color w:val="auto"/>
        </w:rPr>
        <w:t xml:space="preserve">(xlvii) </w:t>
      </w: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8(j) and 8(m) shall be deemed representations and warranties by the Partnership, as to matters covered thereby, to the Underwriter.</w:t>
      </w:r>
    </w:p>
    <w:p>
      <w:pPr>
        <w:spacing w:after="0" w:line="170" w:lineRule="exact"/>
        <w:rPr>
          <w:sz w:val="20"/>
          <w:szCs w:val="20"/>
          <w:color w:val="auto"/>
        </w:rPr>
      </w:pPr>
    </w:p>
    <w:p>
      <w:pPr>
        <w:ind w:right="60" w:firstLine="656"/>
        <w:spacing w:after="0" w:line="277" w:lineRule="auto"/>
        <w:tabs>
          <w:tab w:leader="none" w:pos="117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Warranties and Agreements of the Selling Shareholder. </w:t>
      </w:r>
      <w:r>
        <w:rPr>
          <w:rFonts w:ascii="Arial" w:cs="Arial" w:eastAsia="Arial" w:hAnsi="Arial"/>
          <w:sz w:val="18"/>
          <w:szCs w:val="18"/>
          <w:color w:val="auto"/>
        </w:rPr>
        <w:t>The Selling Shareholder represents and warrants to, and agrees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 that:</w:t>
      </w:r>
    </w:p>
    <w:p>
      <w:pPr>
        <w:spacing w:after="0" w:line="170" w:lineRule="exact"/>
        <w:rPr>
          <w:rFonts w:ascii="Arial" w:cs="Arial" w:eastAsia="Arial" w:hAnsi="Arial"/>
          <w:sz w:val="18"/>
          <w:szCs w:val="18"/>
          <w:color w:val="auto"/>
        </w:rPr>
      </w:pPr>
    </w:p>
    <w:p>
      <w:pPr>
        <w:ind w:left="660" w:right="160" w:firstLine="1293"/>
        <w:spacing w:after="0" w:line="264" w:lineRule="auto"/>
        <w:tabs>
          <w:tab w:leader="none" w:pos="2666"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Authority, Authorization, Execution and Delivery</w:t>
      </w:r>
      <w:r>
        <w:rPr>
          <w:rFonts w:ascii="Arial" w:cs="Arial" w:eastAsia="Arial" w:hAnsi="Arial"/>
          <w:sz w:val="18"/>
          <w:szCs w:val="18"/>
          <w:color w:val="auto"/>
        </w:rPr>
        <w:t>. The Selling Shareholder has all requisite corporate power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execute and deliver this Agreement and to perform its obligations hereunder; and this Agreement has been duly and validly authorized, executed and delivered by or on behalf of the Selling Shareholder.</w:t>
      </w:r>
    </w:p>
    <w:p>
      <w:pPr>
        <w:spacing w:after="0" w:line="181" w:lineRule="exact"/>
        <w:rPr>
          <w:rFonts w:ascii="Arial" w:cs="Arial" w:eastAsia="Arial" w:hAnsi="Arial"/>
          <w:sz w:val="18"/>
          <w:szCs w:val="18"/>
          <w:color w:val="auto"/>
        </w:rPr>
      </w:pPr>
    </w:p>
    <w:p>
      <w:pPr>
        <w:ind w:left="660" w:right="20" w:firstLine="1293"/>
        <w:spacing w:after="0" w:line="269" w:lineRule="auto"/>
        <w:tabs>
          <w:tab w:leader="none" w:pos="2671"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Ownership and Adverse Claims</w:t>
      </w:r>
      <w:r>
        <w:rPr>
          <w:rFonts w:ascii="Arial" w:cs="Arial" w:eastAsia="Arial" w:hAnsi="Arial"/>
          <w:sz w:val="17"/>
          <w:szCs w:val="17"/>
          <w:color w:val="auto"/>
        </w:rPr>
        <w:t>. At the Delivery Date, after giving effect to the Selling Shareholder Exchange,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assuming the Partnership Parties and the PAA GP Entities take the requisite actions to complete the Selling Shareholder Exchange and record ownership in the Selling Shareholder, the Selling Shareholder will be the record and beneficial owner of the Shares to be sold by it hereunder free and clear of all Liens and will have duly endorsed such Shares, if certificated, in blank, and has the requisite corporate power and authority to sell its interest in the Shares, and, assuming that the Underwriter acquires its interest in the Shares it has purchased from the Selling Shareholder without notice of any adverse claim (within the meaning of Section 8-105 of the New York Uniform Commercial Code (“</w:t>
      </w:r>
      <w:r>
        <w:rPr>
          <w:rFonts w:ascii="Arial" w:cs="Arial" w:eastAsia="Arial" w:hAnsi="Arial"/>
          <w:sz w:val="17"/>
          <w:szCs w:val="17"/>
          <w:b w:val="1"/>
          <w:bCs w:val="1"/>
          <w:color w:val="auto"/>
        </w:rPr>
        <w:t>UCC</w:t>
      </w:r>
      <w:r>
        <w:rPr>
          <w:rFonts w:ascii="Arial" w:cs="Arial" w:eastAsia="Arial" w:hAnsi="Arial"/>
          <w:sz w:val="17"/>
          <w:szCs w:val="17"/>
          <w:color w:val="auto"/>
        </w:rPr>
        <w:t>”)), the Underwriter that has purchased such Shares delivered on the Delivery Date to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or other securities intermediary by making payment therefor as provided herein, and that has had such Shares credited to the securities account or accounts of the Underwriter maintained with DTC or such other securities intermediary will have acquired a security entitlement (within the meaning of Section 8-102(a)(17) of the UCC) to such Shares purchased by the Underwriter, and no action based on an adverse claim (within the meaning of Section 8-105 of the UCC) may be asserted against the Underwriter with respect to such Shares.</w:t>
      </w:r>
    </w:p>
    <w:p>
      <w:pPr>
        <w:spacing w:after="0" w:line="182" w:lineRule="exact"/>
        <w:rPr>
          <w:rFonts w:ascii="Arial" w:cs="Arial" w:eastAsia="Arial" w:hAnsi="Arial"/>
          <w:sz w:val="17"/>
          <w:szCs w:val="17"/>
          <w:color w:val="auto"/>
        </w:rPr>
      </w:pPr>
    </w:p>
    <w:p>
      <w:pPr>
        <w:ind w:left="660" w:firstLine="1293"/>
        <w:spacing w:after="0" w:line="269" w:lineRule="auto"/>
        <w:tabs>
          <w:tab w:leader="none" w:pos="2676"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No Conflicts or Violations</w:t>
      </w:r>
      <w:r>
        <w:rPr>
          <w:rFonts w:ascii="Arial" w:cs="Arial" w:eastAsia="Arial" w:hAnsi="Arial"/>
          <w:sz w:val="17"/>
          <w:szCs w:val="17"/>
          <w:color w:val="auto"/>
        </w:rPr>
        <w:t>. None of the offering and sale of the Shares by the Selling Shareholder, the execution,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and performance of this Agreement by the Selling Shareholder or the consummation by the Selling Shareholder of the transactions contemplated hereby, including the Selling Shareholder Exchange, (A) conflicts or will conflict with or constitutes or will constitute a violation of the Organizational Documents of the Selling Shareholder,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Selling Shareholder is a party or by which any of its properties may be bound, (C) violates or will violate any statute, law or regulation or any order, judgment, decree or injunction of any court or governmental agency or body directed to the Selling Shareholder or any of its properties in a proceeding to which any of the Selling Shareholder or its property is a party or (D) results or will result in the creation or imposition of any Lien upon any property or assets of the Selling Shareholder, which conflicts, breaches, violations, defaults or Liens, in the case of clauses (B), (C) or (D), would, individually or in the aggregate, reasonably be expected to have a material adverse effect on the Selling Shareholder’s ability to perform its obligations hereunder.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540" w:right="80" w:firstLine="1293"/>
        <w:spacing w:after="0" w:line="270" w:lineRule="auto"/>
        <w:tabs>
          <w:tab w:leader="none" w:pos="1421"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No Consents</w:t>
      </w:r>
      <w:r>
        <w:rPr>
          <w:rFonts w:ascii="Arial" w:cs="Arial" w:eastAsia="Arial" w:hAnsi="Arial"/>
          <w:sz w:val="17"/>
          <w:szCs w:val="17"/>
          <w:color w:val="auto"/>
        </w:rPr>
        <w:t>. No consent, approval, authorization, filing with or order of any court, governmental agency or body having</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over the Selling Shareholder or the property or assets of the Selling Shareholder is required in connection with the offering and sale of the Shares by the Selling Shareholder, the execution, delivery and performance of this Agreement by the Selling Shareholder and the consummation by the Selling Shareholder of the transactions contemplated hereby, except (i) such as have been, or prior to the Delivery Date, will be obtained or made, (ii) for the registration of Shares under the Securities Act and such as may be required under the Exchange Act, blue sky laws of any jurisdiction or the by-laws and rules of FINRA in connection with the purchase and distribution by the Underwriter of the Shares in the manner contemplated herein and in the Pricing Disclosure Package and the Prospectus and (iii) where the failure to obtain such consent, approval, authorization, filing or order, individually or in the aggregate, would not reasonably be expected to have a material adverse effect on the Selling Shareholder’s ability to perform its obligations hereunder.</w:t>
      </w:r>
    </w:p>
    <w:p>
      <w:pPr>
        <w:spacing w:after="0" w:line="181" w:lineRule="exact"/>
        <w:rPr>
          <w:rFonts w:ascii="Arial" w:cs="Arial" w:eastAsia="Arial" w:hAnsi="Arial"/>
          <w:sz w:val="17"/>
          <w:szCs w:val="17"/>
          <w:color w:val="auto"/>
        </w:rPr>
      </w:pPr>
    </w:p>
    <w:p>
      <w:pPr>
        <w:ind w:left="-540" w:right="100" w:firstLine="1293"/>
        <w:spacing w:after="0" w:line="264" w:lineRule="auto"/>
        <w:tabs>
          <w:tab w:leader="none" w:pos="141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Basis of Sale</w:t>
      </w:r>
      <w:r>
        <w:rPr>
          <w:rFonts w:ascii="Arial" w:cs="Arial" w:eastAsia="Arial" w:hAnsi="Arial"/>
          <w:sz w:val="18"/>
          <w:szCs w:val="18"/>
          <w:color w:val="auto"/>
        </w:rPr>
        <w:t>. The sale of Shares by the Selling Shareholder pursuant hereto is not prompted by any material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the Partnership or any of its subsidiaries which is not set forth in the Registration Statement, Pricing Disclosure Package and the Prospectus or any amendment or supplement thereto.</w:t>
      </w:r>
    </w:p>
    <w:p>
      <w:pPr>
        <w:spacing w:after="0" w:line="181" w:lineRule="exact"/>
        <w:rPr>
          <w:rFonts w:ascii="Arial" w:cs="Arial" w:eastAsia="Arial" w:hAnsi="Arial"/>
          <w:sz w:val="18"/>
          <w:szCs w:val="18"/>
          <w:color w:val="auto"/>
        </w:rPr>
      </w:pPr>
    </w:p>
    <w:p>
      <w:pPr>
        <w:ind w:left="-540" w:firstLine="1293"/>
        <w:spacing w:after="0" w:line="270" w:lineRule="auto"/>
        <w:tabs>
          <w:tab w:leader="none" w:pos="1421"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Selling Shareholder Information</w:t>
      </w:r>
      <w:r>
        <w:rPr>
          <w:rFonts w:ascii="Arial" w:cs="Arial" w:eastAsia="Arial" w:hAnsi="Arial"/>
          <w:sz w:val="17"/>
          <w:szCs w:val="17"/>
          <w:color w:val="auto"/>
        </w:rPr>
        <w:t>. In respect of any statements in or omissions from the Registration Statement, the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the Prospectus or any Issuer Free Writing Prospectus or any amendment or supplement thereto used by the Partnership or the Underwriter, as the case may be, made in reliance upon and in conformity with information furnished in writing to the Partnership or to the Underwriter by the Selling Shareholder specifically for use in connection with the preparation thereof, none of such statements include an untrue statement of a material fact or omit to state a material fact necessary in order to make the statements therein (in the case of any Pricing Disclosure Package or the Prospectus, in the light of the circumstances under which any such statements were made) not misleading; it being understood and agreed that the foregoing applies only to such information furnished in writing by the Selling Shareholder to the Partnership, which consists of (A) the legal name, address and the number of Shares owned by the Selling Shareholder, and (B) the other information with respect to the Selling Shareholder (excluding percentages) which appear in the table (and corresponding footnotes) under the caption “Selling Shareholder” (collectively, the “</w:t>
      </w:r>
      <w:r>
        <w:rPr>
          <w:rFonts w:ascii="Arial" w:cs="Arial" w:eastAsia="Arial" w:hAnsi="Arial"/>
          <w:sz w:val="17"/>
          <w:szCs w:val="17"/>
          <w:b w:val="1"/>
          <w:bCs w:val="1"/>
          <w:color w:val="auto"/>
        </w:rPr>
        <w:t>Selling Shareholder Information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540" w:right="120" w:firstLine="1293"/>
        <w:spacing w:after="0" w:line="264" w:lineRule="auto"/>
        <w:tabs>
          <w:tab w:leader="none" w:pos="142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Use of Free Writing Prospectus</w:t>
      </w:r>
      <w:r>
        <w:rPr>
          <w:rFonts w:ascii="Arial" w:cs="Arial" w:eastAsia="Arial" w:hAnsi="Arial"/>
          <w:sz w:val="18"/>
          <w:szCs w:val="18"/>
          <w:color w:val="auto"/>
        </w:rPr>
        <w:t>. Neither the Selling Shareholder nor any person acting on behalf of the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(other than, if applicable, the Partnership and the Underwriter) has used or referred to any “free writing prospectus” (as defined in Rule 405 of the Rules and Regulations) relating to the Shares.</w:t>
      </w:r>
    </w:p>
    <w:p>
      <w:pPr>
        <w:spacing w:after="0" w:line="181" w:lineRule="exact"/>
        <w:rPr>
          <w:rFonts w:ascii="Arial" w:cs="Arial" w:eastAsia="Arial" w:hAnsi="Arial"/>
          <w:sz w:val="18"/>
          <w:szCs w:val="18"/>
          <w:color w:val="auto"/>
        </w:rPr>
      </w:pPr>
    </w:p>
    <w:p>
      <w:pPr>
        <w:ind w:left="-540" w:right="20" w:firstLine="1293"/>
        <w:spacing w:after="0" w:line="253" w:lineRule="auto"/>
        <w:tabs>
          <w:tab w:leader="none" w:pos="143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OFAC; Foreign Corrupt Practices Act</w:t>
      </w:r>
      <w:r>
        <w:rPr>
          <w:rFonts w:ascii="Arial" w:cs="Arial" w:eastAsia="Arial" w:hAnsi="Arial"/>
          <w:sz w:val="18"/>
          <w:szCs w:val="18"/>
          <w:color w:val="auto"/>
        </w:rPr>
        <w:t>. The Selling Shareholder will not, directly or indirectly, use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or lend, contribute or otherwise make available such proceeds to any subsidiary, joint venture partner or other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(i) to fund any activities or business of or with any Person or in any country or territory that, at the time of such funding is the subject of any sanctions administered or enforced by OFAC,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 in any other manner that will result in a violation of Sanctions by, or could result in the imposition of Sanctions against any Person (including any participant in the offering whether as an underwriter, advisor, investor or otherwise) or (ii) or in any matter that will result in a violation of any applicable anti-corruption laws; provided that the foregoing shall not apply with respect to the distribution of proceeds of the offering to any of such Selling Shareholder’s direct or indirect partners once such proceeds are no longer under the control of such Selling Shareholder if prior to such distribution such Selling Shareholder has no knowledge that such proceeds will be used for any of the foregoing purposes.</w:t>
      </w:r>
    </w:p>
    <w:p>
      <w:pPr>
        <w:spacing w:after="0" w:line="200" w:lineRule="exact"/>
        <w:rPr>
          <w:sz w:val="20"/>
          <w:szCs w:val="20"/>
          <w:color w:val="auto"/>
        </w:rPr>
      </w:pP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ind w:right="820" w:firstLine="667"/>
        <w:spacing w:after="0" w:line="277" w:lineRule="auto"/>
        <w:rPr>
          <w:sz w:val="20"/>
          <w:szCs w:val="20"/>
          <w:color w:val="auto"/>
        </w:rPr>
      </w:pPr>
      <w:r>
        <w:rPr>
          <w:rFonts w:ascii="Arial" w:cs="Arial" w:eastAsia="Arial" w:hAnsi="Arial"/>
          <w:sz w:val="18"/>
          <w:szCs w:val="18"/>
          <w:color w:val="auto"/>
        </w:rPr>
        <w:t>The applicable statements made in the certificates described in Section 8(o) shall be deemed representations and warranties by the Selling Shareholder, as to matters covered thereby, to the Underwriter.</w:t>
      </w:r>
    </w:p>
    <w:p>
      <w:pPr>
        <w:spacing w:after="0" w:line="170" w:lineRule="exact"/>
        <w:rPr>
          <w:sz w:val="20"/>
          <w:szCs w:val="20"/>
          <w:color w:val="auto"/>
        </w:rPr>
      </w:pPr>
    </w:p>
    <w:p>
      <w:pPr>
        <w:ind w:right="100" w:firstLine="656"/>
        <w:spacing w:after="0" w:line="264" w:lineRule="auto"/>
        <w:tabs>
          <w:tab w:leader="none" w:pos="118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and in reliance upon the representations and warranties herein set forth, the Selling Shareholder agrees to sell to the Underwriter, and the Underwriter agrees to purchase from the Selling Shareholder, at a purchase price of $21.84 per Class A Share, the number of Class A Shares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firstLine="656"/>
        <w:spacing w:after="0" w:line="272" w:lineRule="auto"/>
        <w:tabs>
          <w:tab w:leader="none" w:pos="118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Shares shall be made at the office of Baker Botts L.L.P., 910 Louisiana St, Houston, Texas 77002 at 8:00 a.m., Houston time, on September 23, 2019, or at such time on such later date not more than three business days after the foregoing date as the Underwriter shall designate, which date and time may be postponed by agreement between the Underwriter, the Selling Shareholder and the Partnership or as provided in Section 10 hereof (such date and time of delivery and payment for the Shares being herein called the “</w:t>
      </w:r>
      <w:r>
        <w:rPr>
          <w:rFonts w:ascii="Arial" w:cs="Arial" w:eastAsia="Arial" w:hAnsi="Arial"/>
          <w:sz w:val="17"/>
          <w:szCs w:val="17"/>
          <w:b w:val="1"/>
          <w:bCs w:val="1"/>
          <w:color w:val="auto"/>
        </w:rPr>
        <w:t>Delivery Date</w:t>
      </w:r>
      <w:r>
        <w:rPr>
          <w:rFonts w:ascii="Arial" w:cs="Arial" w:eastAsia="Arial" w:hAnsi="Arial"/>
          <w:sz w:val="17"/>
          <w:szCs w:val="17"/>
          <w:color w:val="auto"/>
        </w:rPr>
        <w:t>”). Delivery of the Shares shall be made to the Underwriter for the account of the Underwriter against payment by the Underwriter of the purchase price thereof to or upon the order of the Selling Shareholder by wire transfer payable in same-day funds to an account specified by the Selling Shareholder. Delivery of the Shares shall be made through the facilities of DTC unless the Underwriter shall otherwise instruct.</w:t>
      </w:r>
    </w:p>
    <w:p>
      <w:pPr>
        <w:spacing w:after="0" w:line="177" w:lineRule="exact"/>
        <w:rPr>
          <w:rFonts w:ascii="Arial" w:cs="Arial" w:eastAsia="Arial" w:hAnsi="Arial"/>
          <w:sz w:val="17"/>
          <w:szCs w:val="17"/>
          <w:color w:val="auto"/>
        </w:rPr>
      </w:pPr>
    </w:p>
    <w:p>
      <w:pPr>
        <w:ind w:left="1200" w:hanging="544"/>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Offering by the Underwriter.</w:t>
      </w:r>
      <w:r>
        <w:rPr>
          <w:rFonts w:ascii="Arial" w:cs="Arial" w:eastAsia="Arial" w:hAnsi="Arial"/>
          <w:sz w:val="17"/>
          <w:szCs w:val="17"/>
          <w:color w:val="auto"/>
        </w:rPr>
        <w:t xml:space="preserve"> It is understood that the Underwriter proposes to offer the Shares for sale to the public as set forth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Prospectus.</w:t>
      </w:r>
    </w:p>
    <w:p>
      <w:pPr>
        <w:spacing w:after="0" w:line="210" w:lineRule="exact"/>
        <w:rPr>
          <w:rFonts w:ascii="Arial" w:cs="Arial" w:eastAsia="Arial" w:hAnsi="Arial"/>
          <w:sz w:val="17"/>
          <w:szCs w:val="17"/>
          <w:color w:val="auto"/>
        </w:rPr>
      </w:pPr>
    </w:p>
    <w:p>
      <w:pPr>
        <w:ind w:left="1200" w:hanging="544"/>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Agreements of the Partnership Parties</w:t>
      </w:r>
      <w:r>
        <w:rPr>
          <w:rFonts w:ascii="Arial" w:cs="Arial" w:eastAsia="Arial" w:hAnsi="Arial"/>
          <w:sz w:val="18"/>
          <w:szCs w:val="18"/>
          <w:color w:val="auto"/>
        </w:rPr>
        <w:t>. The Partnership Parties acknowledge and agree with the Underwriter that:</w:t>
      </w:r>
    </w:p>
    <w:p>
      <w:pPr>
        <w:spacing w:after="0" w:line="225" w:lineRule="exact"/>
        <w:rPr>
          <w:sz w:val="20"/>
          <w:szCs w:val="20"/>
          <w:color w:val="auto"/>
        </w:rPr>
      </w:pPr>
    </w:p>
    <w:p>
      <w:pPr>
        <w:ind w:right="260" w:firstLine="656"/>
        <w:spacing w:after="0" w:line="259" w:lineRule="auto"/>
        <w:tabs>
          <w:tab w:leader="none" w:pos="116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 Statement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effective before the offering of the Shares may commence, the Partnership will endeavor to cause such post-effective amendment to become effective as soon as possible and will advise the Underwriter promptly and, if requested by the Underwriter, will confirm such advice in writing when such post-effective amendment has become effective.</w:t>
      </w:r>
    </w:p>
    <w:p>
      <w:pPr>
        <w:spacing w:after="0" w:line="186" w:lineRule="exact"/>
        <w:rPr>
          <w:rFonts w:ascii="Arial" w:cs="Arial" w:eastAsia="Arial" w:hAnsi="Arial"/>
          <w:sz w:val="18"/>
          <w:szCs w:val="18"/>
          <w:color w:val="auto"/>
        </w:rPr>
      </w:pPr>
    </w:p>
    <w:p>
      <w:pPr>
        <w:ind w:right="20" w:firstLine="656"/>
        <w:spacing w:after="0" w:line="286" w:lineRule="auto"/>
        <w:tabs>
          <w:tab w:leader="none" w:pos="1173"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Preparation of Prospectus and Registration Statement</w:t>
      </w:r>
      <w:r>
        <w:rPr>
          <w:rFonts w:ascii="Arial" w:cs="Arial" w:eastAsia="Arial" w:hAnsi="Arial"/>
          <w:sz w:val="16"/>
          <w:szCs w:val="16"/>
          <w:color w:val="auto"/>
        </w:rPr>
        <w:t>. The Partnership will advise the Underwriter promptly and, if requested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Shares for offering or sale in any jurisdiction or the initiation of any proceeding for such purpose; and (iii) within the period of time referred to in paragraph (d) below, of any change in the condition (financial or other), business, prospects, properties, net worth or results of operations of the Partnership Group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4" w:lineRule="exact"/>
        <w:rPr>
          <w:rFonts w:ascii="Arial" w:cs="Arial" w:eastAsia="Arial" w:hAnsi="Arial"/>
          <w:sz w:val="16"/>
          <w:szCs w:val="16"/>
          <w:color w:val="auto"/>
        </w:rPr>
      </w:pPr>
    </w:p>
    <w:p>
      <w:pPr>
        <w:ind w:right="120" w:firstLine="656"/>
        <w:spacing w:after="0" w:line="257" w:lineRule="auto"/>
        <w:tabs>
          <w:tab w:leader="none" w:pos="116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Copies of Registration Statement</w:t>
      </w:r>
      <w:r>
        <w:rPr>
          <w:rFonts w:ascii="Arial" w:cs="Arial" w:eastAsia="Arial" w:hAnsi="Arial"/>
          <w:sz w:val="18"/>
          <w:szCs w:val="18"/>
          <w:color w:val="auto"/>
        </w:rPr>
        <w:t>. The Partnership will furnish to the Underwriter, without charge, such number of copies of (i) the manually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signed copy of the registration statement corresponding to the Commission’s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 may request.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20" w:right="60" w:firstLine="656"/>
        <w:spacing w:after="0" w:line="271" w:lineRule="auto"/>
        <w:tabs>
          <w:tab w:leader="none" w:pos="1153"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For such period as in the opinion of counsel for the Underwriter a prospectus is required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to be delivered in connection with sales by the Underwriter or any dealer, the Partnership will not file any amendment to the Registration Statement, supplement to the Prospectus (or any other prospectus relating to the Shares filed pursuant to Rule 424(b) of the Rules and Regulations that differs from the Prospectus as filed pursuant to such Rule 424(b)), or any Preliminary Prospectus or Issuer Free Writing Prospectus of which the Underwriter shall not previously have been advised or to which the Underwriter shall have reasonably objected in writing after being so advised unless the Partnership shall have determined based upon the advice of counsel that such amendment, supplement or other filing is required by law; and the Partnership will promptly notify the Underwriter after it shall have received notice thereof of the time when any amendment to the Registration Statement becomes effective or when any supplement to the Prospectus has been filed.</w:t>
      </w:r>
    </w:p>
    <w:p>
      <w:pPr>
        <w:spacing w:after="0" w:line="178" w:lineRule="exact"/>
        <w:rPr>
          <w:rFonts w:ascii="Arial" w:cs="Arial" w:eastAsia="Arial" w:hAnsi="Arial"/>
          <w:sz w:val="17"/>
          <w:szCs w:val="17"/>
          <w:color w:val="auto"/>
        </w:rPr>
      </w:pPr>
    </w:p>
    <w:p>
      <w:pPr>
        <w:ind w:left="-20" w:firstLine="656"/>
        <w:spacing w:after="0" w:line="285" w:lineRule="auto"/>
        <w:tabs>
          <w:tab w:leader="none" w:pos="114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Copies of Documents to the Underwriter</w:t>
      </w:r>
      <w:r>
        <w:rPr>
          <w:rFonts w:ascii="Arial" w:cs="Arial" w:eastAsia="Arial" w:hAnsi="Arial"/>
          <w:sz w:val="16"/>
          <w:szCs w:val="16"/>
          <w:color w:val="auto"/>
        </w:rPr>
        <w:t>. As soon after the Applicable Time as possible and thereafter from time to time for such period as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counsel for the Underwriter a prospectus is required by the Securities Act to be delivered in connection with sales by the Underwriter or any dealer, the Partnership will expeditiously deliver to the Underwriter and each dealer that the Underwriter may specify, without charge, as many copies of the Prospectus (and of any amendment or supplement thereto) as the Underwriter may reasonably request. At any time after nine months after the time of sale by the Selling Shareholder, upon request and without charge, the Partnership will deliver as many copies of an amended or supplemented Prospectus complying with Section 10(a)(3) of the Securities Act as the Underwriter may reasonably request, provided that a prospectus is required by the Securities Act to be delivered in connection with sales of Shares by the Underwriter or any dealer. The Partnership consents to the use of the Prospectus (and of any amendment or supplement thereto) in accordance with the provisions of the Securities Act and with the securities or Blue Sky laws of the jurisdictions in which the Shares are offered by the Underwriter and by all dealers to whom Shares may be sold, both in connection with the offering and sale of the Shares and for such period of time thereafter as the Prospectus is required by the Securities Act to be delivered in connection with sales by the Underwriter or any dealer. If during such period of time any event shall occur that in the judgment of the Partnership or in the opinion of counsel for the Underwriter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(d) above, file with the Commission an appropriate supplement or amendment thereto (or to such document), and will expeditiously furnish to the Underwriter and dealers a reasonable number of copies thereof; provided that, if any such event necessitating a supplement or amendment to the Prospectus occurs at any time after nine months after the time of sale by the Selling Shareholder, such supplement or amendment shall be prepared at the Underwriter’s expense. In the event that the Partnership and the Underwriter agree that the Prospectus should be amended or supplemented, the Partnership, if requested by the Underwriter,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384" w:lineRule="exact"/>
        <w:rPr>
          <w:rFonts w:ascii="Arial" w:cs="Arial" w:eastAsia="Arial" w:hAnsi="Arial"/>
          <w:sz w:val="16"/>
          <w:szCs w:val="16"/>
          <w:color w:val="auto"/>
        </w:rPr>
      </w:pPr>
    </w:p>
    <w:p>
      <w:pPr>
        <w:ind w:left="-20" w:right="80" w:firstLine="656"/>
        <w:spacing w:after="0" w:line="254"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 The Partnership will cooperate with the Underwriter and with counsel for the Underwriter in connection with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qualification of the Shares for offering and sale by the Underwriter and by dealers under the securities or Blue Sky laws of such jurisdictions as the Underwriter may reasonably designate and will file such consents to service of process or other documents reasonably necessary or appropriate in order to effect such registration or qualification; provided that in no event shall any Partnership Group Entity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The Partnership will promptly notify the Underwriter of the receipt by the Partnership of any notification with respect to the suspension of the qualification of the Shares for sale in any jurisdiction or the initiation or threatening of any proceeding for such purpose.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 w:name="page18"/>
    <w:bookmarkEnd w:id="17"/>
    <w:p>
      <w:pPr>
        <w:ind w:left="-8" w:firstLine="656"/>
        <w:spacing w:after="0" w:line="288" w:lineRule="auto"/>
        <w:tabs>
          <w:tab w:leader="none" w:pos="1165"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Reports to Security Holders</w:t>
      </w:r>
      <w:r>
        <w:rPr>
          <w:rFonts w:ascii="Arial" w:cs="Arial" w:eastAsia="Arial" w:hAnsi="Arial"/>
          <w:sz w:val="16"/>
          <w:szCs w:val="16"/>
          <w:color w:val="auto"/>
        </w:rPr>
        <w:t>. In accordance with Section 11(a) of the Securities Act and Rule 158 of the Rules and Regulations,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such Rule</w:t>
      </w:r>
    </w:p>
    <w:p>
      <w:pPr>
        <w:ind w:left="372" w:hanging="372"/>
        <w:spacing w:after="0"/>
        <w:tabs>
          <w:tab w:leader="none" w:pos="3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Registration Statement as soon as practicable after the end of such period.</w:t>
      </w:r>
    </w:p>
    <w:p>
      <w:pPr>
        <w:spacing w:after="0" w:line="210" w:lineRule="exact"/>
        <w:rPr>
          <w:rFonts w:ascii="Arial" w:cs="Arial" w:eastAsia="Arial" w:hAnsi="Arial"/>
          <w:sz w:val="18"/>
          <w:szCs w:val="18"/>
          <w:color w:val="auto"/>
        </w:rPr>
      </w:pPr>
    </w:p>
    <w:p>
      <w:pPr>
        <w:ind w:left="-8" w:right="40" w:firstLine="656"/>
        <w:spacing w:after="0" w:line="276" w:lineRule="auto"/>
        <w:tabs>
          <w:tab w:leader="none" w:pos="1165"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Termination Expenses</w:t>
      </w:r>
      <w:r>
        <w:rPr>
          <w:rFonts w:ascii="Arial" w:cs="Arial" w:eastAsia="Arial" w:hAnsi="Arial"/>
          <w:sz w:val="17"/>
          <w:szCs w:val="17"/>
          <w:color w:val="auto"/>
        </w:rPr>
        <w:t>. If this Agreement shall terminate or shall be terminated after execution pursuant to any provisions hereof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Section 10 hereof or Section 11 hereof (except pursuant to the first clause of Section 10(i))) or if this Agreement shall be terminated by the Underwriter because of any failure or refusal on the part of the Selling Shareholder or the Partnership Parties to comply with the terms or fulfill any of the conditions of this Agreement, the Partnership Parties agree to reimburse the Underwriter for all reasonable out-of-pocket expenses (including reasonable fees and expenses of counsel for the Underwriter) incurred by the Underwriter in connection herewith.</w:t>
      </w:r>
    </w:p>
    <w:p>
      <w:pPr>
        <w:spacing w:after="0" w:line="172" w:lineRule="exact"/>
        <w:rPr>
          <w:rFonts w:ascii="Arial" w:cs="Arial" w:eastAsia="Arial" w:hAnsi="Arial"/>
          <w:sz w:val="17"/>
          <w:szCs w:val="17"/>
          <w:color w:val="auto"/>
        </w:rPr>
      </w:pPr>
    </w:p>
    <w:p>
      <w:pPr>
        <w:ind w:left="-8" w:right="140" w:firstLine="656"/>
        <w:spacing w:after="0" w:line="277" w:lineRule="auto"/>
        <w:tabs>
          <w:tab w:leader="none" w:pos="117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Partnership will timely file the Prospectus, and any amendment or supplement thereto, pursuant to Rule 424(b)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Rules and Regulations and will advise the Underwriter of the time and manner of such filing.</w:t>
      </w:r>
    </w:p>
    <w:p>
      <w:pPr>
        <w:spacing w:after="0" w:line="170" w:lineRule="exact"/>
        <w:rPr>
          <w:rFonts w:ascii="Arial" w:cs="Arial" w:eastAsia="Arial" w:hAnsi="Arial"/>
          <w:sz w:val="18"/>
          <w:szCs w:val="18"/>
          <w:color w:val="auto"/>
        </w:rPr>
      </w:pPr>
    </w:p>
    <w:p>
      <w:pPr>
        <w:ind w:left="-8" w:firstLine="656"/>
        <w:spacing w:after="0" w:line="286" w:lineRule="auto"/>
        <w:tabs>
          <w:tab w:leader="none" w:pos="1170"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Partnership Lock-Up Period</w:t>
      </w:r>
      <w:r>
        <w:rPr>
          <w:rFonts w:ascii="Arial" w:cs="Arial" w:eastAsia="Arial" w:hAnsi="Arial"/>
          <w:sz w:val="16"/>
          <w:szCs w:val="16"/>
          <w:color w:val="auto"/>
        </w:rPr>
        <w:t>. Except as provided in this Agreement, the Partnership will not (i) offer, sell, contract to sell, pledge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Class A Shares or any securities that are convertible into, or exercisable or exchangeable for, or that represent the right to receive, Class A Shares, or any securities that are senior to or pari passu with Class A Shares, or publicly announce an intention to effect any such transaction or (ii) grant any options or warrants to purchase Class A Shares for a period of 30 days after the date of the Prospectus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without the prior written consent of Barclays Capital Inc., except that (A) the Partnership may issue the Shares, (B) the Partnership may issue Class</w:t>
      </w:r>
      <w:r>
        <w:rPr>
          <w:rFonts w:ascii="Arial" w:cs="Arial" w:eastAsia="Arial" w:hAnsi="Arial"/>
          <w:sz w:val="16"/>
          <w:szCs w:val="16"/>
          <w:b w:val="1"/>
          <w:bCs w:val="1"/>
          <w:color w:val="auto"/>
        </w:rPr>
        <w:t xml:space="preserve"> </w:t>
      </w:r>
      <w:r>
        <w:rPr>
          <w:rFonts w:ascii="Arial" w:cs="Arial" w:eastAsia="Arial" w:hAnsi="Arial"/>
          <w:sz w:val="16"/>
          <w:szCs w:val="16"/>
          <w:color w:val="auto"/>
        </w:rPr>
        <w:t>A Shares or any securities convertible or exchangeable into Class A Shares as payment of any part of the purchase price for businesses that are acquired by the Partnership and its affiliates or any third parties, provided that any recipient of such Class A Shares must agree in writing to be bound by the terms of this Section 5(j) for the remaining term of the Lock-Up Period, (C) the Partnership may issue and sell Class A Shares or securities convertible into or exchangeable for Class A Shares pursuant to any existing long-term incentive plan, employee share option plan, share ownership plan or distribution reinvestment plan of the Partnership in effect at the Applicable Time and (D) the Partnership may issue or deliver Class A Shares issuable upon the exchange, conversion, vesting or exercise of securities (including long-term incentive plan awards, options and warrants) outstanding at the Applicable Time.</w:t>
      </w:r>
    </w:p>
    <w:p>
      <w:pPr>
        <w:spacing w:after="0" w:line="168" w:lineRule="exact"/>
        <w:rPr>
          <w:rFonts w:ascii="Arial" w:cs="Arial" w:eastAsia="Arial" w:hAnsi="Arial"/>
          <w:sz w:val="16"/>
          <w:szCs w:val="16"/>
          <w:color w:val="auto"/>
        </w:rPr>
      </w:pPr>
    </w:p>
    <w:p>
      <w:pPr>
        <w:ind w:left="-8" w:right="80" w:firstLine="656"/>
        <w:spacing w:after="0" w:line="264" w:lineRule="auto"/>
        <w:tabs>
          <w:tab w:leader="none" w:pos="1165"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Partnership has not taken, nor will it take, directly or indirectly,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designed to or that might reasonably be expected to cause or result in stabilization or manipulation of the price of the Shares to facilitate the sale or resale of the Shares.</w:t>
      </w:r>
    </w:p>
    <w:p>
      <w:pPr>
        <w:spacing w:after="0" w:line="181" w:lineRule="exact"/>
        <w:rPr>
          <w:rFonts w:ascii="Arial" w:cs="Arial" w:eastAsia="Arial" w:hAnsi="Arial"/>
          <w:sz w:val="18"/>
          <w:szCs w:val="18"/>
          <w:color w:val="auto"/>
        </w:rPr>
      </w:pPr>
    </w:p>
    <w:p>
      <w:pPr>
        <w:ind w:left="-8" w:right="80" w:firstLine="656"/>
        <w:spacing w:after="0" w:line="264" w:lineRule="auto"/>
        <w:tabs>
          <w:tab w:leader="none" w:pos="117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Parties will take such steps as shall be necessary to ensure that none of the Partnership Group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PAA GP Entities shall become an “investment company” within the meaning of such term under the Investment Company Act of 1940, as amended, and the rules and regulations of the Commission thereunder.</w:t>
      </w:r>
    </w:p>
    <w:p>
      <w:pPr>
        <w:spacing w:after="0" w:line="181" w:lineRule="exact"/>
        <w:rPr>
          <w:rFonts w:ascii="Arial" w:cs="Arial" w:eastAsia="Arial" w:hAnsi="Arial"/>
          <w:sz w:val="18"/>
          <w:szCs w:val="18"/>
          <w:color w:val="auto"/>
        </w:rPr>
      </w:pPr>
    </w:p>
    <w:p>
      <w:pPr>
        <w:jc w:val="both"/>
        <w:ind w:left="-8" w:right="240" w:firstLine="656"/>
        <w:spacing w:after="0" w:line="279" w:lineRule="auto"/>
        <w:tabs>
          <w:tab w:leader="none" w:pos="117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Private Placement</w:t>
      </w:r>
      <w:r>
        <w:rPr>
          <w:rFonts w:ascii="Arial" w:cs="Arial" w:eastAsia="Arial" w:hAnsi="Arial"/>
          <w:sz w:val="17"/>
          <w:szCs w:val="17"/>
          <w:color w:val="auto"/>
        </w:rPr>
        <w:t>. The issuance of the Class A Shares to the Selling Shareholder in the Selling Shareholder Exchange is exempt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requirements of the Securities Act, the Rules and Regulations and the securities laws of any state having jurisdiction with respect thereto. The Partnership has not sold or issued any securities that would be integrated with the offering of the Shares contemplated by this Agreement pursuant to the Securities Act, the Rules and Regulations or the interpretations thereof by the Commission.</w:t>
      </w:r>
    </w:p>
    <w:p>
      <w:pPr>
        <w:spacing w:after="0" w:line="38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18" w:name="page19"/>
    <w:bookmarkEnd w:id="18"/>
    <w:p>
      <w:pPr>
        <w:ind w:left="-40" w:right="180" w:firstLine="656"/>
        <w:spacing w:after="0" w:line="308" w:lineRule="auto"/>
        <w:tabs>
          <w:tab w:leader="none" w:pos="1133"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Exchange Act Reports</w:t>
      </w:r>
      <w:r>
        <w:rPr>
          <w:rFonts w:ascii="Arial" w:cs="Arial" w:eastAsia="Arial" w:hAnsi="Arial"/>
          <w:sz w:val="17"/>
          <w:szCs w:val="17"/>
          <w:color w:val="auto"/>
        </w:rPr>
        <w:t>. The Partnership, during the period when the Prospectus is required to be delivered under the Securities Act, will file</w:t>
      </w:r>
      <w:r>
        <w:rPr>
          <w:rFonts w:ascii="Arial" w:cs="Arial" w:eastAsia="Arial" w:hAnsi="Arial"/>
          <w:sz w:val="17"/>
          <w:szCs w:val="17"/>
          <w:i w:val="1"/>
          <w:iCs w:val="1"/>
          <w:color w:val="auto"/>
        </w:rPr>
        <w:t xml:space="preserve"> </w:t>
      </w:r>
      <w:r>
        <w:rPr>
          <w:rFonts w:ascii="Arial" w:cs="Arial" w:eastAsia="Arial" w:hAnsi="Arial"/>
          <w:sz w:val="17"/>
          <w:szCs w:val="17"/>
          <w:color w:val="auto"/>
        </w:rPr>
        <w:t>all documents required to be filed with the Commission pursuant to the Exchange Act within the time periods required by the Exchange Act.</w:t>
      </w:r>
    </w:p>
    <w:p>
      <w:pPr>
        <w:spacing w:after="0" w:line="146" w:lineRule="exact"/>
        <w:rPr>
          <w:rFonts w:ascii="Arial" w:cs="Arial" w:eastAsia="Arial" w:hAnsi="Arial"/>
          <w:sz w:val="17"/>
          <w:szCs w:val="17"/>
          <w:color w:val="auto"/>
        </w:rPr>
      </w:pPr>
    </w:p>
    <w:p>
      <w:pPr>
        <w:ind w:left="-40" w:firstLine="656"/>
        <w:spacing w:after="0" w:line="287" w:lineRule="auto"/>
        <w:tabs>
          <w:tab w:leader="none" w:pos="1133"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Free Writing Prospectuses</w:t>
      </w:r>
      <w:r>
        <w:rPr>
          <w:rFonts w:ascii="Arial" w:cs="Arial" w:eastAsia="Arial" w:hAnsi="Arial"/>
          <w:sz w:val="16"/>
          <w:szCs w:val="16"/>
          <w:color w:val="auto"/>
        </w:rPr>
        <w:t>. The Partnership has complied and will comply with the requirements of Rule 433 of the Rules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Underwriter and, if requested by the Underwriter, will prepare and furnish without charge to the Underwriter an Issuer Free Writing Prospectus or other document that will correct such conflict, statement or omission; provided, however, that this representation and warranty shall not apply to any statements or omissions in an Issuer Free Writing Prospectus made in reliance upon and in conformity with information furnished in writing to the Partnership by the Underwriter expressly for use therein, which information is specified in Section 13.</w:t>
      </w:r>
    </w:p>
    <w:p>
      <w:pPr>
        <w:spacing w:after="0" w:line="173" w:lineRule="exact"/>
        <w:rPr>
          <w:sz w:val="20"/>
          <w:szCs w:val="20"/>
          <w:color w:val="auto"/>
        </w:rPr>
      </w:pPr>
    </w:p>
    <w:p>
      <w:pPr>
        <w:ind w:left="1160" w:hanging="54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Agreements of the Selling Shareholder</w:t>
      </w:r>
      <w:r>
        <w:rPr>
          <w:rFonts w:ascii="Arial" w:cs="Arial" w:eastAsia="Arial" w:hAnsi="Arial"/>
          <w:sz w:val="18"/>
          <w:szCs w:val="18"/>
          <w:color w:val="auto"/>
        </w:rPr>
        <w:t>. The Selling Shareholder agrees as follows:</w:t>
      </w:r>
    </w:p>
    <w:p>
      <w:pPr>
        <w:spacing w:after="0" w:line="225" w:lineRule="exact"/>
        <w:rPr>
          <w:sz w:val="20"/>
          <w:szCs w:val="20"/>
          <w:color w:val="auto"/>
        </w:rPr>
      </w:pPr>
    </w:p>
    <w:p>
      <w:pPr>
        <w:ind w:left="-40" w:right="80" w:firstLine="656"/>
        <w:spacing w:after="0" w:line="259" w:lineRule="auto"/>
        <w:tabs>
          <w:tab w:leader="none" w:pos="112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Notice of Change</w:t>
      </w:r>
      <w:r>
        <w:rPr>
          <w:rFonts w:ascii="Arial" w:cs="Arial" w:eastAsia="Arial" w:hAnsi="Arial"/>
          <w:sz w:val="18"/>
          <w:szCs w:val="18"/>
          <w:color w:val="auto"/>
        </w:rPr>
        <w:t>. The Selling Shareholder will advise the Underwriter promptly, and if requested by the Underwriter, will confirm such</w:t>
      </w:r>
      <w:r>
        <w:rPr>
          <w:rFonts w:ascii="Arial" w:cs="Arial" w:eastAsia="Arial" w:hAnsi="Arial"/>
          <w:sz w:val="18"/>
          <w:szCs w:val="18"/>
          <w:i w:val="1"/>
          <w:iCs w:val="1"/>
          <w:color w:val="auto"/>
        </w:rPr>
        <w:t xml:space="preserve"> </w:t>
      </w:r>
      <w:r>
        <w:rPr>
          <w:rFonts w:ascii="Arial" w:cs="Arial" w:eastAsia="Arial" w:hAnsi="Arial"/>
          <w:sz w:val="18"/>
          <w:szCs w:val="18"/>
          <w:color w:val="auto"/>
        </w:rPr>
        <w:t>advice in writing, so long as delivery of a prospectus relating to the Shares by the Underwriter or any dealer may be required under the Securities Act, of any material change in the Selling Shareholder Information in the Registration Statement, the Pricing Disclosure Package, the Prospectus or any Issuer Free Writing Prospectus or any amendment or supplement thereto.</w:t>
      </w:r>
    </w:p>
    <w:p>
      <w:pPr>
        <w:spacing w:after="0" w:line="186" w:lineRule="exact"/>
        <w:rPr>
          <w:rFonts w:ascii="Arial" w:cs="Arial" w:eastAsia="Arial" w:hAnsi="Arial"/>
          <w:sz w:val="18"/>
          <w:szCs w:val="18"/>
          <w:color w:val="auto"/>
        </w:rPr>
      </w:pPr>
    </w:p>
    <w:p>
      <w:pPr>
        <w:ind w:left="-40" w:right="100" w:firstLine="656"/>
        <w:spacing w:after="0" w:line="264" w:lineRule="auto"/>
        <w:tabs>
          <w:tab w:leader="none" w:pos="113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Selling Shareholder has not taken, nor will it take,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any action designed to or that might reasonably be expected to cause or result in stabilization or manipulation of the price of the Class A Shares to facilitate the sale or resale of the Shares.</w:t>
      </w:r>
    </w:p>
    <w:p>
      <w:pPr>
        <w:spacing w:after="0" w:line="181" w:lineRule="exact"/>
        <w:rPr>
          <w:rFonts w:ascii="Arial" w:cs="Arial" w:eastAsia="Arial" w:hAnsi="Arial"/>
          <w:sz w:val="18"/>
          <w:szCs w:val="18"/>
          <w:color w:val="auto"/>
        </w:rPr>
      </w:pPr>
    </w:p>
    <w:p>
      <w:pPr>
        <w:ind w:left="-40" w:right="60" w:firstLine="656"/>
        <w:spacing w:after="0" w:line="342" w:lineRule="auto"/>
        <w:tabs>
          <w:tab w:leader="none" w:pos="112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No Use of Free Writing Prospectus</w:t>
      </w:r>
      <w:r>
        <w:rPr>
          <w:rFonts w:ascii="Arial" w:cs="Arial" w:eastAsia="Arial" w:hAnsi="Arial"/>
          <w:sz w:val="16"/>
          <w:szCs w:val="16"/>
          <w:color w:val="auto"/>
        </w:rPr>
        <w:t>. Neither the Selling Shareholder nor any person acting on behalf of the Selling Shareholder (other than,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the Partnership and the Underwriter) shall use or refer to any “free writing prospectus” (as defined in Rule 405) relating to the Shares.</w:t>
      </w:r>
    </w:p>
    <w:p>
      <w:pPr>
        <w:spacing w:after="0" w:line="123" w:lineRule="exact"/>
        <w:rPr>
          <w:rFonts w:ascii="Arial" w:cs="Arial" w:eastAsia="Arial" w:hAnsi="Arial"/>
          <w:sz w:val="16"/>
          <w:szCs w:val="16"/>
          <w:color w:val="auto"/>
        </w:rPr>
      </w:pPr>
    </w:p>
    <w:p>
      <w:pPr>
        <w:ind w:left="-40" w:right="260" w:firstLine="656"/>
        <w:spacing w:after="0" w:line="277" w:lineRule="auto"/>
        <w:tabs>
          <w:tab w:leader="none" w:pos="113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Document Delivery</w:t>
      </w:r>
      <w:r>
        <w:rPr>
          <w:rFonts w:ascii="Arial" w:cs="Arial" w:eastAsia="Arial" w:hAnsi="Arial"/>
          <w:sz w:val="18"/>
          <w:szCs w:val="18"/>
          <w:color w:val="auto"/>
        </w:rPr>
        <w:t>. The Selling Shareholder will deliver to the Underwriter prior to the Delivery Date a properly completed and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Treasury Department Form W-9 or other applicable form.</w:t>
      </w:r>
    </w:p>
    <w:p>
      <w:pPr>
        <w:spacing w:after="0" w:line="170" w:lineRule="exact"/>
        <w:rPr>
          <w:sz w:val="20"/>
          <w:szCs w:val="20"/>
          <w:color w:val="auto"/>
        </w:rPr>
      </w:pPr>
    </w:p>
    <w:p>
      <w:pPr>
        <w:ind w:left="1160" w:hanging="544"/>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40" w:right="40" w:firstLine="656"/>
        <w:spacing w:after="0" w:line="284"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Partnership Parties, jointly and severally, agree to indemnify and hold harmless the Underwriter, the directors, officers, employees and agents of the Underwriter, each affiliate of the Underwriter who has participated in the distribution of the Shares as underwriters, each broker-dealer affiliate of the Underwriter, and each person, if any, who controls the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(A) the Registration Statement, any Preliminary Prospectus, the Prospectus, (B) any Issuer Free Writing Prospectus or in any amendment or supplement thereto, or (C) any materials or information provided to investors by, or with the approval of, the Partnership in connection with the marketing of the offering of the Shares, including any “road show” (as defined in Rule 433 of the Rules and Regulations) not constituting an Issuer Free Writing Prospectus (“</w:t>
      </w:r>
      <w:r>
        <w:rPr>
          <w:rFonts w:ascii="Arial" w:cs="Arial" w:eastAsia="Arial" w:hAnsi="Arial"/>
          <w:sz w:val="16"/>
          <w:szCs w:val="16"/>
          <w:b w:val="1"/>
          <w:bCs w:val="1"/>
          <w:color w:val="auto"/>
        </w:rPr>
        <w:t>Marketing Materials</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Marketing Materials, any material fact required to be stated therein or necessary to make the statements therein (in the case of any Preliminary Prospectus or the Prospectus, in the light of the circumstances under which any such statements were made) not misleading, and shall reimburse the Underwriter and each such director, officer, employee or controlling person promptly upon demand for any legal or other expenses reasonably incurred by the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Partnership Parties shall not be liable in any such case to the extent that any such loss, claim, damage or liability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Marketing Materials, in reliance upon and in conformity with written information concerning the Underwriter furnished to the Partnership on behalf of the Underwriter specifically for inclusion therein, which information consists solely of the information specified in Section 13. The foregoing indemnity agreement is in addition to any liability that the Partnership Parties may otherwise have to the Underwriter or to any director, officer, employee or controlling person of the Underwriter.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9" w:name="page20"/>
    <w:bookmarkEnd w:id="19"/>
    <w:p>
      <w:pPr>
        <w:ind w:left="-40" w:firstLine="656"/>
        <w:spacing w:after="0" w:line="284" w:lineRule="auto"/>
        <w:tabs>
          <w:tab w:leader="none" w:pos="11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Selling Shareholder agrees to indemnify and hold harmless the Underwriter, the directors, officers, employees and agents of the Underwriter, each affiliate of the Underwriter who has participated in the distribution of the Shares as underwriters, each broker-dealer affiliate of the Underwriter and each other affiliate of the Underwriter within the meaning of Rule 405 of the Rules and Regulations, and each person, if any, who controls the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in any Marketing Materials or in any “free writing prospectus” (as defined in Rule 405 of the Rules and Regulations), prepared by or on behalf of the Selling Shareholder or used or referred to by the Selling Shareholder in connection with the offering of the Shares in violation of Section 6(d) (“</w:t>
      </w:r>
      <w:r>
        <w:rPr>
          <w:rFonts w:ascii="Arial" w:cs="Arial" w:eastAsia="Arial" w:hAnsi="Arial"/>
          <w:sz w:val="16"/>
          <w:szCs w:val="16"/>
          <w:b w:val="1"/>
          <w:bCs w:val="1"/>
          <w:color w:val="auto"/>
        </w:rPr>
        <w:t>Selling Shareholder Free Writing Prospectus</w:t>
      </w:r>
      <w:r>
        <w:rPr>
          <w:rFonts w:ascii="Arial" w:cs="Arial" w:eastAsia="Arial" w:hAnsi="Arial"/>
          <w:sz w:val="16"/>
          <w:szCs w:val="16"/>
          <w:color w:val="auto"/>
        </w:rPr>
        <w:t>”), or (ii) the omission or alleged omission to state in the Registration Statement, any Preliminary Prospectus, the Prospectus, any Issuer Free Writing Prospectus or in any amendment or supplement thereto, any Marketing Materials or any Selling Shareholder Free Writing Prospectus, any material fact required to be stated therein or necessary to make the statements therein (in the case of any Preliminary Prospectus or the Prospectus, in the light of the circumstances under which any such statements were made) not misleading, and shall reimburse the Underwriter and each such director, officer, employee or controlling person promptly upon demand for any legal or other expenses reasonably incurred by the Underwriter, director, officer, employee or controlling person in connection with investigating or defending or preparing to defend against any such loss, claim, damage, liability or action as such expenses are incurred; provided, however, that the Selling Shareholder shall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Marketing Materials, in reliance upon and in conformity with the Selling Shareholder Information. The liability of the Selling Shareholder under the indemnity agreement contained in this paragraph (b) or paragraph (e) or (f) below shall be limited to an amount equal to the total net proceeds (before deducting expenses) from the offering of the Shares purchased under the Agreement received by the Selling Shareholder. The foregoing indemnity agreement is in addition to any liability that the Selling Shareholder may otherwise have to the Underwriter or to any director, officer, employee or controlling person of the Underwriter.</w:t>
      </w:r>
    </w:p>
    <w:p>
      <w:pPr>
        <w:spacing w:after="0" w:line="178" w:lineRule="exact"/>
        <w:rPr>
          <w:rFonts w:ascii="Arial" w:cs="Arial" w:eastAsia="Arial" w:hAnsi="Arial"/>
          <w:sz w:val="16"/>
          <w:szCs w:val="16"/>
          <w:color w:val="auto"/>
        </w:rPr>
      </w:pPr>
    </w:p>
    <w:p>
      <w:pPr>
        <w:ind w:left="-40" w:right="20" w:firstLine="656"/>
        <w:spacing w:after="0" w:line="285" w:lineRule="auto"/>
        <w:tabs>
          <w:tab w:leader="none" w:pos="11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the Underwriter, any director, officer, employee or agent of the Underwriter or any person controlling the Underwriter in respect of which indemnity may be sought against the Partnership Parties or the Selling Shareholder, the Underwriter or such director, officer, employee, agent or controlling person shall promptly notify the indemnifying party in writing, and the indemnifying party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The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the Underwriter or such director, officer, employee, agent or controlling person unless (i) the indemnifying party has agreed in writing to pay such fees and expenses, (ii) the indemnifying party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indemnifying party (in which case the indemnifying party shall not have the right to direct the defense of such action, suit or proceeding on behalf of the indemnified party or parties), in any of which events the indemnifying party shall pay the reasonable fees and expenses of such counsel as such fees and expenses are incurred (it being understood, however, that the indemnifying party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20" w:name="page21"/>
    <w:bookmarkEnd w:id="20"/>
    <w:p>
      <w:pPr>
        <w:ind w:left="-20" w:right="20" w:firstLine="656"/>
        <w:spacing w:after="0" w:line="286" w:lineRule="auto"/>
        <w:tabs>
          <w:tab w:leader="none" w:pos="115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Underwriter agrees to indemnify and hold harmless the Selling Shareholder, the Partnership, the General Partner’s respective directors and the officers who signed the Registration Statement, and any person who controls the Partnership within the meaning of Section 15 of the Securities Act or Section 20 of the Exchange Act, to the same extent as the foregoing indemnity from the Selling Shareholder and the Partnership Parties to the Underwriter, but only with respect to information furnished in writing by the Underwriter expressly for use in the Registration Statement, any Preliminary Prospectus, the Prospectus, any Issuer Free Writing Prospectus or in any amendment or supplement thereto or in any Marketing Materials, which information is limited to the information set forth in Section 13. If any action, suit or proceeding shall be brought against the Selling Shareholder, the Partnership, any of such directors and officers of the General Partner or any such controlling person based on the Registration Statement, any Preliminary Prospectus, the Prospectus, any Issuer Free Writing Prospectus or in any amendment or supplement thereto or in any Marketing Materials, and in respect of which indemnity may be sought against the Underwriter pursuant to this paragraph (d), the Underwriter shall have the rights and duties given to the Partnership Parties by paragraph (c) above (except that if the Selling Shareholder or the Partnership shall have assumed the defense thereof the Underwriter shall not be required to do so, but may employ separate counsel therein and participate in (but not control) the defense thereof, but the fees and expenses of such counsel shall be at the Underwriter’s expense), and the Selling Shareholder, the Partnership Parties, any of such directors and officers of the General Partner and any such controlling person shall have the rights and duties given to the Underwriter by paragraph (c) above. The foregoing indemnity agreement shall be in addition to any liability that the Underwriter may otherwise have.</w:t>
      </w:r>
    </w:p>
    <w:p>
      <w:pPr>
        <w:spacing w:after="0" w:line="171" w:lineRule="exact"/>
        <w:rPr>
          <w:rFonts w:ascii="Arial" w:cs="Arial" w:eastAsia="Arial" w:hAnsi="Arial"/>
          <w:sz w:val="16"/>
          <w:szCs w:val="16"/>
          <w:color w:val="auto"/>
        </w:rPr>
      </w:pPr>
    </w:p>
    <w:p>
      <w:pPr>
        <w:ind w:left="-20" w:firstLine="656"/>
        <w:spacing w:after="0" w:line="286" w:lineRule="auto"/>
        <w:tabs>
          <w:tab w:leader="none" w:pos="11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7 is unavailable to an indemnified party under paragraph (a), (b) or (d)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Selling Shareholder and the Partnership Parties on the one hand and the Underwriter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Selling Shareholder and the Partnership Parties on the one hand and the Underwriter on the other in connection with the statements or omissions that resulted in such losses, claims, damages, liabilities or expenses, as well as any other relevant equitable considerations. The relative benefits received by the Selling Shareholder and the Partnership Parties on the one hand and the Underwriter on the other shall be deemed to be in the same proportion as the total net proceeds from the offering (before deducting expenses) received by the Selling Shareholder bear to the total underwriting discounts and commissions received by the Underwriter, in each case as set forth in the table on the cover page of the Prospectus. The relative fault of the Selling Shareholder and the Partnership Parties on the one hand and the Underwriter on the other hand shall be determined by reference to, among other things, whether the untrue or alleged untrue statement of a material fact or the omission or alleged omission to state a material fact relates to information supplied by the Selling Shareholder and the Partnership Parties or any affiliate of the Selling Shareholder and the Partnership Parties on the one hand, or by the Underwriter on the other hand, and the parties’ relative intent, knowledge, access to information and opportunity to correct or prevent such statement or omission.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1" w:name="page22"/>
    <w:bookmarkEnd w:id="21"/>
    <w:p>
      <w:pPr>
        <w:ind w:left="-20" w:firstLine="656"/>
        <w:spacing w:after="0" w:line="289" w:lineRule="auto"/>
        <w:tabs>
          <w:tab w:leader="none" w:pos="11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Selling Shareholder, the Partnership Parties and the Underwriter agree that it would not be just and equitable if contribution pursuant to this Section 7 were determined by a pro rata allocation or by any other method of allocation that does not take account of the equitable considerations referred to in paragraph (e) above. The amount paid or payable by an indemnified party as a result of the losses, claims, damages, liabilities and expenses referred to in paragraph (e)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the Underwriter shall not be required to contribute any amount in excess of the amount by which the total price of the Shares underwritten by it and distributed to the public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66" w:lineRule="exact"/>
        <w:rPr>
          <w:rFonts w:ascii="Arial" w:cs="Arial" w:eastAsia="Arial" w:hAnsi="Arial"/>
          <w:sz w:val="16"/>
          <w:szCs w:val="16"/>
          <w:color w:val="auto"/>
        </w:rPr>
      </w:pPr>
    </w:p>
    <w:p>
      <w:pPr>
        <w:ind w:left="-20" w:right="60" w:firstLine="656"/>
        <w:spacing w:after="0" w:line="271" w:lineRule="auto"/>
        <w:tabs>
          <w:tab w:leader="none" w:pos="1153"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78" w:lineRule="exact"/>
        <w:rPr>
          <w:rFonts w:ascii="Arial" w:cs="Arial" w:eastAsia="Arial" w:hAnsi="Arial"/>
          <w:sz w:val="17"/>
          <w:szCs w:val="17"/>
          <w:color w:val="auto"/>
        </w:rPr>
      </w:pPr>
    </w:p>
    <w:p>
      <w:pPr>
        <w:ind w:left="-20" w:right="60" w:firstLine="656"/>
        <w:spacing w:after="0" w:line="270" w:lineRule="auto"/>
        <w:tabs>
          <w:tab w:leader="none" w:pos="1143"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Selling Shareholder and the Partnership Parties set forth in this Agreement shall remain operative and in full force and effect, regardless of (i) any investigation made by or on behalf of the Underwriter or any person controlling the Underwriter, the Selling Shareholder, the Partnership or any of the General Partner’s directors or officers or any person controlling the Partnership Parties, (ii) acceptance of any Shares and payment therefor in accordance with the terms of this Agreement, and (iii) any termination of this Agreement. A successor to the Underwriter or any person controlling the Underwriter, or to the Selling Shareholder, the Partnership Parties or any of the General Partner’s directors or officers or any person controlling the Partnership Parties shall be entitled to the benefits of the indemnity, contribution and reimbursement agreements contained in this Section 7.</w:t>
      </w:r>
    </w:p>
    <w:p>
      <w:pPr>
        <w:spacing w:after="0" w:line="182" w:lineRule="exact"/>
        <w:rPr>
          <w:sz w:val="20"/>
          <w:szCs w:val="20"/>
          <w:color w:val="auto"/>
        </w:rPr>
      </w:pPr>
    </w:p>
    <w:p>
      <w:pPr>
        <w:ind w:left="-20" w:right="500" w:firstLine="656"/>
        <w:spacing w:after="0" w:line="277" w:lineRule="auto"/>
        <w:tabs>
          <w:tab w:leader="none" w:pos="11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w:t>
      </w:r>
      <w:r>
        <w:rPr>
          <w:rFonts w:ascii="Arial" w:cs="Arial" w:eastAsia="Arial" w:hAnsi="Arial"/>
          <w:sz w:val="18"/>
          <w:szCs w:val="18"/>
          <w:color w:val="auto"/>
        </w:rPr>
        <w:t>. The obligation of the Underwriter to purchase the Shares hereunder are subject to the following conditions:</w:t>
      </w:r>
    </w:p>
    <w:p>
      <w:pPr>
        <w:spacing w:after="0" w:line="170" w:lineRule="exact"/>
        <w:rPr>
          <w:sz w:val="20"/>
          <w:szCs w:val="20"/>
          <w:color w:val="auto"/>
        </w:rPr>
      </w:pPr>
    </w:p>
    <w:p>
      <w:pPr>
        <w:ind w:left="-20" w:right="120" w:firstLine="656"/>
        <w:spacing w:after="0" w:line="255" w:lineRule="auto"/>
        <w:tabs>
          <w:tab w:leader="none" w:pos="11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filings required by Rule 424 and Rule 430B of the Rules and Regulations shall have been made. All material required to be filed by the Partnership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the Underwriter, threatened by the Commission, and any request of the Commission for additional information (to be included in the Registration Statement or the Prospectus or otherwise) shall have been complied with to the reasonable satisfaction of the Underwriter.</w:t>
      </w:r>
    </w:p>
    <w:p>
      <w:pPr>
        <w:spacing w:after="0" w:line="189" w:lineRule="exact"/>
        <w:rPr>
          <w:rFonts w:ascii="Arial" w:cs="Arial" w:eastAsia="Arial" w:hAnsi="Arial"/>
          <w:sz w:val="18"/>
          <w:szCs w:val="18"/>
          <w:color w:val="auto"/>
        </w:rPr>
      </w:pPr>
    </w:p>
    <w:p>
      <w:pPr>
        <w:ind w:left="-20" w:right="20" w:firstLine="656"/>
        <w:spacing w:after="0" w:line="254"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the Applicable Time, there shall not have occurred (i) any change, or any development involving a prospective change that would reasonably be expected to have a Material Adverse Effect, not contemplated by the Prospectus, which in the Underwriter’s opinion, would materially adversely affect the market for the Shares or (ii) any event or development relating to or involving any of the Partnership Group Entities or any executive officer or director of any of such entities that makes any statement made in the Prospectus untrue or which, in the opinion of the Partnership and its counsel or the Underwriter and its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Underwriter’s opinion, materially adversely affect the market for the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2" w:name="page23"/>
    <w:bookmarkEnd w:id="22"/>
    <w:p>
      <w:pPr>
        <w:ind w:left="-40" w:right="120" w:firstLine="656"/>
        <w:spacing w:after="0" w:line="264"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Vinson &amp; Elkins L.L.P., counsel for the Partnership, dated as of the Delivery Date and addressed to the Underwriter, in form and substance reasonably satisfactory to the Underwriter,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left="-40" w:right="100" w:firstLine="656"/>
        <w:spacing w:after="0" w:line="264" w:lineRule="auto"/>
        <w:tabs>
          <w:tab w:leader="none" w:pos="11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the general counsel for the General Partner, dated as of the Delivery Date and addressed to the Underwriter, in form and substance reasonably satisfactory to the Underwriter, substantially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jc w:val="both"/>
        <w:ind w:left="-40" w:right="120" w:firstLine="656"/>
        <w:spacing w:after="0" w:line="264"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special internal Canadian counsel of the Partnership with respect to the Provinces of Alberta, Manitoba, Ontario, Saskatchewan and the federal laws of Canada, dated as of the Delivery Date and addressed to the Underwriter, substantially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jc w:val="both"/>
        <w:ind w:left="-40" w:right="60" w:firstLine="656"/>
        <w:spacing w:after="0" w:line="264" w:lineRule="auto"/>
        <w:tabs>
          <w:tab w:leader="none" w:pos="11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Latham &amp; Watkins LLP, counsel for the Selling Shareholder, dated as of the Delivery Date and addressed to the Underwriter, in form and substance reasonably satisfactory to the Underwriter, substantially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left="-40" w:right="440" w:firstLine="656"/>
        <w:spacing w:after="0" w:line="312" w:lineRule="auto"/>
        <w:tabs>
          <w:tab w:leader="none" w:pos="113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Underwriter shall have received on the Delivery Date an opinion of Baker Botts L.L.P., counsel for the Underwriter, dated as of the Delivery Date and addressed to the Underwriter, with respect to the offering and sale of the Shares, the Registration Statement, the Pricing Disclosure Package, the Prospectus (together with any amendment or supplement thereto) and other related matters the Underwriter may reasonably require.</w:t>
      </w:r>
    </w:p>
    <w:p>
      <w:pPr>
        <w:spacing w:after="0" w:line="146" w:lineRule="exact"/>
        <w:rPr>
          <w:rFonts w:ascii="Arial" w:cs="Arial" w:eastAsia="Arial" w:hAnsi="Arial"/>
          <w:sz w:val="16"/>
          <w:szCs w:val="16"/>
          <w:color w:val="auto"/>
        </w:rPr>
      </w:pPr>
    </w:p>
    <w:p>
      <w:pPr>
        <w:ind w:left="-40" w:right="120" w:firstLine="656"/>
        <w:spacing w:after="0" w:line="276" w:lineRule="auto"/>
        <w:tabs>
          <w:tab w:leader="none" w:pos="11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the time of the execution of this Agreement, the Underwriter shall have received from PricewaterhouseCoopers LLP, independent public accountants, a letter dated as of such date, in form and substance satisfactory to the Underwriter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 and described in such letter shall be a date not more than three business days prior to the date of such letter.</w:t>
      </w:r>
    </w:p>
    <w:p>
      <w:pPr>
        <w:spacing w:after="0" w:line="172" w:lineRule="exact"/>
        <w:rPr>
          <w:rFonts w:ascii="Arial" w:cs="Arial" w:eastAsia="Arial" w:hAnsi="Arial"/>
          <w:sz w:val="17"/>
          <w:szCs w:val="17"/>
          <w:color w:val="auto"/>
        </w:rPr>
      </w:pPr>
    </w:p>
    <w:p>
      <w:pPr>
        <w:ind w:left="-40" w:firstLine="656"/>
        <w:spacing w:after="0" w:line="264" w:lineRule="auto"/>
        <w:tabs>
          <w:tab w:leader="none" w:pos="11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the Delivery Date, the Underwriter shall have received from PricewaterhouseCoopers LLP a letter, dated as of the Delivery Date, to the effect that they reaffirm the statements made in the letter furnished pursuant to paragraph (h) of this Section 8, except that the date referred to in the proviso in Section 8(h) hereof shall be a date not more than three business days prior to each such Delivery Date.</w:t>
      </w:r>
    </w:p>
    <w:p>
      <w:pPr>
        <w:spacing w:after="0" w:line="181" w:lineRule="exact"/>
        <w:rPr>
          <w:rFonts w:ascii="Arial" w:cs="Arial" w:eastAsia="Arial" w:hAnsi="Arial"/>
          <w:sz w:val="18"/>
          <w:szCs w:val="18"/>
          <w:color w:val="auto"/>
        </w:rPr>
      </w:pPr>
    </w:p>
    <w:p>
      <w:pPr>
        <w:ind w:left="-40" w:firstLine="656"/>
        <w:spacing w:after="0" w:line="259"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Partnership Parties shall have furnished to the Underwriter as of the Delivery Date a certificate of the Partnership, signed on behalf of the Partnership by the President or any Vice President and the Chief Financial Officer of the General Partner, dated as of the Delivery Date, to the effect that the signers of such certificate have examined the Registration Statement, the Pricing Disclosure Package, the Prospectus and any amendment or supplement thereto, and this Agreement and that:</w:t>
      </w:r>
    </w:p>
    <w:p>
      <w:pPr>
        <w:spacing w:after="0" w:line="186" w:lineRule="exact"/>
        <w:rPr>
          <w:rFonts w:ascii="Arial" w:cs="Arial" w:eastAsia="Arial" w:hAnsi="Arial"/>
          <w:sz w:val="18"/>
          <w:szCs w:val="18"/>
          <w:color w:val="auto"/>
        </w:rPr>
      </w:pPr>
    </w:p>
    <w:p>
      <w:pPr>
        <w:ind w:left="620" w:firstLine="515"/>
        <w:spacing w:after="0" w:line="264" w:lineRule="auto"/>
        <w:tabs>
          <w:tab w:leader="none" w:pos="16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Parties in this Agreement are true and correct on and as of the Delivery Date with the same effect as if made on the Delivery Date and the Partnership Parties have complied in all material respects with all the agreements and satisfied all the conditions on its part to be performed or satisfied at or prior to the Delivery Date;</w:t>
      </w:r>
    </w:p>
    <w:p>
      <w:pPr>
        <w:spacing w:after="0" w:line="181" w:lineRule="exact"/>
        <w:rPr>
          <w:rFonts w:ascii="Arial" w:cs="Arial" w:eastAsia="Arial" w:hAnsi="Arial"/>
          <w:sz w:val="18"/>
          <w:szCs w:val="18"/>
          <w:color w:val="auto"/>
        </w:rPr>
      </w:pPr>
    </w:p>
    <w:p>
      <w:pPr>
        <w:ind w:left="620" w:right="420" w:firstLine="515"/>
        <w:spacing w:after="0" w:line="277" w:lineRule="auto"/>
        <w:tabs>
          <w:tab w:leader="none" w:pos="16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 Parties’ knowledge, threatened;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23" w:name="page24"/>
    <w:bookmarkEnd w:id="23"/>
    <w:p>
      <w:pPr>
        <w:ind w:left="660" w:firstLine="515"/>
        <w:spacing w:after="0" w:line="259" w:lineRule="auto"/>
        <w:tabs>
          <w:tab w:leader="none" w:pos="17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NYSE shall have approved the Shares for listing, subject only to official notice of issuance and evidence of satisfactory distribution.</w:t>
      </w:r>
    </w:p>
    <w:p>
      <w:pPr>
        <w:spacing w:after="0" w:line="236" w:lineRule="exact"/>
        <w:rPr>
          <w:rFonts w:ascii="Arial" w:cs="Arial" w:eastAsia="Arial" w:hAnsi="Arial"/>
          <w:sz w:val="17"/>
          <w:szCs w:val="17"/>
          <w:color w:val="auto"/>
        </w:rPr>
      </w:pPr>
    </w:p>
    <w:p>
      <w:pPr>
        <w:ind w:right="20" w:firstLine="656"/>
        <w:spacing w:after="0" w:line="277"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Underwriter shall have received from the Partnership 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and signed by the chief accounting officer of the General Partner.</w:t>
      </w:r>
    </w:p>
    <w:p>
      <w:pPr>
        <w:spacing w:after="0" w:line="170" w:lineRule="exact"/>
        <w:rPr>
          <w:rFonts w:ascii="Arial" w:cs="Arial" w:eastAsia="Arial" w:hAnsi="Arial"/>
          <w:sz w:val="18"/>
          <w:szCs w:val="18"/>
          <w:color w:val="auto"/>
        </w:rPr>
      </w:pPr>
    </w:p>
    <w:p>
      <w:pPr>
        <w:ind w:right="20" w:firstLine="656"/>
        <w:spacing w:after="0" w:line="257" w:lineRule="auto"/>
        <w:tabs>
          <w:tab w:leader="none" w:pos="11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Selling Shareholder shall have furnished to the Underwriter a certificate, signed by or on behalf of the Selling Shareholder, dated the Delivery Date, to the effect that the signers of such certificate have examined the Selling Shareholder Information contained in the Registration Statement, the Pricing Disclosure Package, the Prospectus, any Issuer Free Writing Prospectus and any supplements or amendments thereto, and that the representations and warranties of the Selling Shareholder in this Agreement are true and correct in all material respects on and as of the Delivery Date to the same effect as if made on the Delivery Date.</w:t>
      </w:r>
    </w:p>
    <w:p>
      <w:pPr>
        <w:spacing w:after="0" w:line="188" w:lineRule="exact"/>
        <w:rPr>
          <w:sz w:val="20"/>
          <w:szCs w:val="20"/>
          <w:color w:val="auto"/>
        </w:rPr>
      </w:pPr>
    </w:p>
    <w:p>
      <w:pPr>
        <w:ind w:right="100" w:firstLine="667"/>
        <w:spacing w:after="0" w:line="286" w:lineRule="auto"/>
        <w:rPr>
          <w:sz w:val="20"/>
          <w:szCs w:val="20"/>
          <w:color w:val="auto"/>
        </w:rPr>
      </w:pPr>
      <w:r>
        <w:rPr>
          <w:rFonts w:ascii="Arial" w:cs="Arial" w:eastAsia="Arial" w:hAnsi="Arial"/>
          <w:sz w:val="17"/>
          <w:szCs w:val="17"/>
          <w:color w:val="auto"/>
        </w:rPr>
        <w:t>All such opinions, certificates, letters and other documents referred to in this Section 8 will be in compliance with the provisions hereof only if they are reasonably satisfactory in form and substance to the Underwriter and counsel for the Underwriter. The Partnership shall furnish to the Underwriter conformed copies of such opinions, certificates, letters and other documents in such number as they shall reasonably request.</w:t>
      </w:r>
    </w:p>
    <w:p>
      <w:pPr>
        <w:spacing w:after="0" w:line="166" w:lineRule="exact"/>
        <w:rPr>
          <w:sz w:val="20"/>
          <w:szCs w:val="20"/>
          <w:color w:val="auto"/>
        </w:rPr>
      </w:pPr>
    </w:p>
    <w:p>
      <w:pPr>
        <w:ind w:right="80" w:firstLine="667"/>
        <w:spacing w:after="0" w:line="257" w:lineRule="auto"/>
        <w:rPr>
          <w:sz w:val="20"/>
          <w:szCs w:val="20"/>
          <w:color w:val="auto"/>
        </w:rPr>
      </w:pPr>
      <w:r>
        <w:rPr>
          <w:rFonts w:ascii="Arial" w:cs="Arial" w:eastAsia="Arial" w:hAnsi="Arial"/>
          <w:sz w:val="18"/>
          <w:szCs w:val="18"/>
          <w:color w:val="auto"/>
        </w:rPr>
        <w:t>If any of the conditions specified in this Section 8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 and counsel for the Underwriter, this Agreement and all obligations of the Underwriter hereunder may be cancelled at, or at any time prior to, the Delivery Date by the Underwriter. Notice of such cancellation shall be given to the Partnership in writing or by telephone or facsimile confirmed in writing.</w:t>
      </w:r>
    </w:p>
    <w:p>
      <w:pPr>
        <w:spacing w:after="0" w:line="188" w:lineRule="exact"/>
        <w:rPr>
          <w:sz w:val="20"/>
          <w:szCs w:val="20"/>
          <w:color w:val="auto"/>
        </w:rPr>
      </w:pPr>
    </w:p>
    <w:p>
      <w:pPr>
        <w:ind w:left="1200" w:hanging="544"/>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85" w:lineRule="auto"/>
        <w:tabs>
          <w:tab w:leader="none" w:pos="1163"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Partnership’s Expenses. </w:t>
      </w:r>
      <w:r>
        <w:rPr>
          <w:rFonts w:ascii="Arial" w:cs="Arial" w:eastAsia="Arial" w:hAnsi="Arial"/>
          <w:sz w:val="16"/>
          <w:szCs w:val="16"/>
          <w:color w:val="auto"/>
        </w:rPr>
        <w:t>The Partnership agrees to pay the following costs and expenses and all other costs and expenses incident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Shares; (iii) the preparation, printing, authentication, issuance and delivery of certificates for the Shares, including any stamp taxes in connection with the original issuance and sale of the Shares; (iv) the printing (or reproduction) and delivery of this Agreement, the preliminary and supplemental Blue Sky Memoranda, and all other agreements or documents printed (or reproduced) and delivered in connection with the offering of the Shares; (v) the registration of the Shares under the Securities Act and the listing of the Shares on the NYSE and any applicable listing or other similar fees; (vi) the registration or qualification of the Shares for offer and sale under the securities or Blue Sky laws of the several states as provided in Section 5(f) hereof (including the reasonable fees, expenses and disbursements of counsel for the Underwriter relating to the preparation, printing or reproduction, and delivery of the preliminary and supplemental Blue Sky Memoranda and such registration and qualification); (vii) the costs and expenses related to investor presentations on any road show undertaken in connection with the marketing of the Shares, including, without limitation, expenses associated with any electronic road show, travel and lodging expenses of the Underwriter and transportation and other expenses incurred by or on behalf of the officers and employees of the Partnership Parties; provided, however, that the Partnership is obligated to pay only 50% of the costs and expenses of any aircraft that is chartered in connection with the presentations to prospective purchasers of the Shares; (viii) the fees and expenses of the Partnership’s accountants and the fees and expenses of counsel (including local and special counsel) for the Partnership Group Entities; (ix) the costs and expenses of qualifying the Shares for inclusion in the book-entry settlement system of the DTC; and (x) services provided by the transfer agent and registrar.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20" w:right="240" w:firstLine="656"/>
        <w:spacing w:after="0" w:line="308" w:lineRule="auto"/>
        <w:tabs>
          <w:tab w:leader="none" w:pos="1153"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Selling Shareholder Expenses</w:t>
      </w:r>
      <w:r>
        <w:rPr>
          <w:rFonts w:ascii="Arial" w:cs="Arial" w:eastAsia="Arial" w:hAnsi="Arial"/>
          <w:sz w:val="17"/>
          <w:szCs w:val="17"/>
          <w:color w:val="auto"/>
        </w:rPr>
        <w:t>. It is understood, however, that except as otherwise provided in this Agreement, the Selling Shareholder will</w:t>
      </w:r>
      <w:r>
        <w:rPr>
          <w:rFonts w:ascii="Arial" w:cs="Arial" w:eastAsia="Arial" w:hAnsi="Arial"/>
          <w:sz w:val="17"/>
          <w:szCs w:val="17"/>
          <w:i w:val="1"/>
          <w:iCs w:val="1"/>
          <w:color w:val="auto"/>
        </w:rPr>
        <w:t xml:space="preserve"> </w:t>
      </w:r>
      <w:r>
        <w:rPr>
          <w:rFonts w:ascii="Arial" w:cs="Arial" w:eastAsia="Arial" w:hAnsi="Arial"/>
          <w:sz w:val="17"/>
          <w:szCs w:val="17"/>
          <w:color w:val="auto"/>
        </w:rPr>
        <w:t>only be responsible for paying all underwriting discounts and selling commissions applicable to the sale of the Shares hereunder.</w:t>
      </w:r>
    </w:p>
    <w:p>
      <w:pPr>
        <w:spacing w:after="0" w:line="146" w:lineRule="exact"/>
        <w:rPr>
          <w:rFonts w:ascii="Arial" w:cs="Arial" w:eastAsia="Arial" w:hAnsi="Arial"/>
          <w:sz w:val="17"/>
          <w:szCs w:val="17"/>
          <w:color w:val="auto"/>
        </w:rPr>
      </w:pPr>
    </w:p>
    <w:p>
      <w:pPr>
        <w:ind w:left="-20" w:right="180" w:firstLine="656"/>
        <w:spacing w:after="0" w:line="259" w:lineRule="auto"/>
        <w:tabs>
          <w:tab w:leader="none" w:pos="114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Underwriter Expenses. </w:t>
      </w:r>
      <w:r>
        <w:rPr>
          <w:rFonts w:ascii="Arial" w:cs="Arial" w:eastAsia="Arial" w:hAnsi="Arial"/>
          <w:sz w:val="18"/>
          <w:szCs w:val="18"/>
          <w:color w:val="auto"/>
        </w:rPr>
        <w:t>It is understood, however, that except as otherwise provided in this Section 9 or Section 5(i) hereof, the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will pay all of its own costs and expenses, including the fees of its counsel, transfer taxes on any resale of the Shares by the Underwriter, any advertising expenses connected with any offers they may make and the transportation and other expenses incurred by the Underwriter on its own behalf in connection with presentations to prospective purchasers of the Shares.</w:t>
      </w:r>
    </w:p>
    <w:p>
      <w:pPr>
        <w:spacing w:after="0" w:line="187" w:lineRule="exact"/>
        <w:rPr>
          <w:sz w:val="20"/>
          <w:szCs w:val="20"/>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656"/>
        <w:spacing w:after="0" w:line="269" w:lineRule="auto"/>
        <w:tabs>
          <w:tab w:leader="none" w:pos="116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shall be subject to termination in the Underwriter’s absolute discretion, without liability on the part of the Underwriter to the Selling Shareholder or the Partnership, by notice to the Selling Shareholder and the Partnership, if prior to the Delivery Date (i) trading in the Shares or the common units representing limited partner interests in the Partnership or PAA shall have been suspended by the Commission or the NYSE or trading in securities generally on the New York Stock Exchange, the NYSE MKT or the NASDAQ Global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judgment of the Underwriter, impractical or inadvisable to proceed with the offering or delivery of the Shares as contemplated by the Prospectus (exclusive of any amendment or supplement thereto). Notice of such termination may be given to the Partnership by telegram, telecopy or telephone and shall be subsequently confirmed by letter.</w:t>
      </w:r>
    </w:p>
    <w:p>
      <w:pPr>
        <w:spacing w:after="0" w:line="182" w:lineRule="exact"/>
        <w:rPr>
          <w:rFonts w:ascii="Arial" w:cs="Arial" w:eastAsia="Arial" w:hAnsi="Arial"/>
          <w:sz w:val="17"/>
          <w:szCs w:val="17"/>
          <w:color w:val="auto"/>
        </w:rPr>
      </w:pPr>
    </w:p>
    <w:p>
      <w:pPr>
        <w:ind w:left="-20" w:right="100" w:firstLine="656"/>
        <w:spacing w:after="0" w:line="277"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 Successors</w:t>
      </w:r>
      <w:r>
        <w:rPr>
          <w:rFonts w:ascii="Arial" w:cs="Arial" w:eastAsia="Arial" w:hAnsi="Arial"/>
          <w:sz w:val="18"/>
          <w:szCs w:val="18"/>
          <w:color w:val="auto"/>
        </w:rPr>
        <w:t>. Except as otherwise provided in Sections 5 and 11 hereof, all communications hereunder will be in writing and effective only on receipt, and will be mailed, delivered or telefaxed as follows:</w:t>
      </w:r>
    </w:p>
    <w:p>
      <w:pPr>
        <w:spacing w:after="0" w:line="170" w:lineRule="exact"/>
        <w:rPr>
          <w:sz w:val="20"/>
          <w:szCs w:val="20"/>
          <w:color w:val="auto"/>
        </w:rPr>
      </w:pPr>
    </w:p>
    <w:p>
      <w:pPr>
        <w:ind w:left="1160" w:hanging="524"/>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to the Underwriter:</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Barclays Capital Inc.</w:t>
      </w:r>
    </w:p>
    <w:p>
      <w:pPr>
        <w:spacing w:after="0" w:line="23" w:lineRule="exact"/>
        <w:rPr>
          <w:rFonts w:ascii="Arial" w:cs="Arial" w:eastAsia="Arial" w:hAnsi="Arial"/>
          <w:sz w:val="18"/>
          <w:szCs w:val="18"/>
          <w:color w:val="auto"/>
        </w:rPr>
      </w:pPr>
    </w:p>
    <w:p>
      <w:pPr>
        <w:ind w:left="1160" w:right="8200"/>
        <w:spacing w:after="0" w:line="273" w:lineRule="auto"/>
        <w:rPr>
          <w:rFonts w:ascii="Arial" w:cs="Arial" w:eastAsia="Arial" w:hAnsi="Arial"/>
          <w:sz w:val="18"/>
          <w:szCs w:val="18"/>
          <w:color w:val="auto"/>
        </w:rPr>
      </w:pPr>
      <w:r>
        <w:rPr>
          <w:rFonts w:ascii="Arial" w:cs="Arial" w:eastAsia="Arial" w:hAnsi="Arial"/>
          <w:sz w:val="17"/>
          <w:szCs w:val="17"/>
          <w:color w:val="auto"/>
        </w:rPr>
        <w:t>745 Seventh Avenue New York, NY 10019 Attn: Syndicate Registration Fax: 646-834-8133</w:t>
      </w:r>
    </w:p>
    <w:p>
      <w:pPr>
        <w:spacing w:after="0" w:line="176" w:lineRule="exact"/>
        <w:rPr>
          <w:rFonts w:ascii="Arial" w:cs="Arial" w:eastAsia="Arial" w:hAnsi="Arial"/>
          <w:sz w:val="18"/>
          <w:szCs w:val="18"/>
          <w:color w:val="auto"/>
        </w:rPr>
      </w:pPr>
    </w:p>
    <w:p>
      <w:pPr>
        <w:ind w:left="1160" w:hanging="524"/>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to the Partnership:</w:t>
      </w:r>
    </w:p>
    <w:p>
      <w:pPr>
        <w:spacing w:after="0" w:line="225" w:lineRule="exact"/>
        <w:rPr>
          <w:rFonts w:ascii="Arial" w:cs="Arial" w:eastAsia="Arial" w:hAnsi="Arial"/>
          <w:sz w:val="18"/>
          <w:szCs w:val="18"/>
          <w:color w:val="auto"/>
        </w:rPr>
      </w:pPr>
    </w:p>
    <w:p>
      <w:pPr>
        <w:ind w:left="1160" w:right="8260"/>
        <w:spacing w:after="0" w:line="297" w:lineRule="auto"/>
        <w:rPr>
          <w:rFonts w:ascii="Arial" w:cs="Arial" w:eastAsia="Arial" w:hAnsi="Arial"/>
          <w:sz w:val="18"/>
          <w:szCs w:val="18"/>
          <w:color w:val="auto"/>
        </w:rPr>
      </w:pPr>
      <w:r>
        <w:rPr>
          <w:rFonts w:ascii="Arial" w:cs="Arial" w:eastAsia="Arial" w:hAnsi="Arial"/>
          <w:sz w:val="16"/>
          <w:szCs w:val="16"/>
          <w:color w:val="auto"/>
        </w:rPr>
        <w:t>Plains GP Holdings, L.P. 333 Clay St., Suite 1600 Houston, Texas 77002 Attention: General Counsel Fax: (713) 646-4313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 w:name="page26"/>
    <w:bookmarkEnd w:id="25"/>
    <w:p>
      <w:pPr>
        <w:ind w:left="1180" w:hanging="52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to the Selling Shareholder:</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Oxy Holding Company (Pipeline), Inc.</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 Greenway Plaza, Suite 110</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Houston, Texas 77046</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180" w:firstLine="667"/>
        <w:spacing w:after="0" w:line="297" w:lineRule="auto"/>
        <w:rPr>
          <w:sz w:val="20"/>
          <w:szCs w:val="20"/>
          <w:color w:val="auto"/>
        </w:rPr>
      </w:pPr>
      <w:r>
        <w:rPr>
          <w:rFonts w:ascii="Arial" w:cs="Arial" w:eastAsia="Arial" w:hAnsi="Arial"/>
          <w:sz w:val="16"/>
          <w:szCs w:val="16"/>
          <w:color w:val="auto"/>
        </w:rPr>
        <w:t>This Agreement has been and is made solely for the benefit of the Underwriter and its directors, officers, employees, agents and other controlling persons referred to in Section 7 hereof, the Selling Shareholder, the Partnership, the General Partner’s directors and the officers who signed the Registration Statement, and other controlling persons referred to in Section 7 hereof, and their respective successors and assigns, to the extent provided herein, and no other person shall acquire or have any right under or by virtue of this Agreement. Neither the term “</w:t>
      </w:r>
      <w:r>
        <w:rPr>
          <w:rFonts w:ascii="Arial" w:cs="Arial" w:eastAsia="Arial" w:hAnsi="Arial"/>
          <w:sz w:val="16"/>
          <w:szCs w:val="16"/>
          <w:b w:val="1"/>
          <w:bCs w:val="1"/>
          <w:color w:val="auto"/>
        </w:rPr>
        <w:t>successor</w:t>
      </w:r>
      <w:r>
        <w:rPr>
          <w:rFonts w:ascii="Arial" w:cs="Arial" w:eastAsia="Arial" w:hAnsi="Arial"/>
          <w:sz w:val="16"/>
          <w:szCs w:val="16"/>
          <w:color w:val="auto"/>
        </w:rPr>
        <w:t>” nor the term “</w:t>
      </w:r>
      <w:r>
        <w:rPr>
          <w:rFonts w:ascii="Arial" w:cs="Arial" w:eastAsia="Arial" w:hAnsi="Arial"/>
          <w:sz w:val="16"/>
          <w:szCs w:val="16"/>
          <w:b w:val="1"/>
          <w:bCs w:val="1"/>
          <w:color w:val="auto"/>
        </w:rPr>
        <w:t>successors and assigns</w:t>
      </w:r>
      <w:r>
        <w:rPr>
          <w:rFonts w:ascii="Arial" w:cs="Arial" w:eastAsia="Arial" w:hAnsi="Arial"/>
          <w:sz w:val="16"/>
          <w:szCs w:val="16"/>
          <w:color w:val="auto"/>
        </w:rPr>
        <w:t>” as used in this Agreement shall include a purchaser from the Underwriter of any of the Shares in its status as such purchaser.</w:t>
      </w:r>
    </w:p>
    <w:p>
      <w:pPr>
        <w:spacing w:after="0" w:line="158" w:lineRule="exact"/>
        <w:rPr>
          <w:sz w:val="20"/>
          <w:szCs w:val="20"/>
          <w:color w:val="auto"/>
        </w:rPr>
      </w:pPr>
    </w:p>
    <w:p>
      <w:pPr>
        <w:ind w:firstLine="656"/>
        <w:spacing w:after="0" w:line="286" w:lineRule="auto"/>
        <w:tabs>
          <w:tab w:leader="none" w:pos="118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w:t>
      </w:r>
      <w:r>
        <w:rPr>
          <w:rFonts w:ascii="Arial" w:cs="Arial" w:eastAsia="Arial" w:hAnsi="Arial"/>
          <w:sz w:val="16"/>
          <w:szCs w:val="16"/>
          <w:color w:val="auto"/>
        </w:rPr>
        <w:t>. The Partnership Parties acknowledge that the following statements set forth in the most recent Preliminary Prospectus and the Prospectus constitute the only information furnished by the Underwriter as such information is referred to in Sections 1(a)(iv), 1(a)(v), 1(a)(vii), 1(a)(viii), 5(o), 7(a) and 7(d) hereof: (A) the names of the Underwriter, (B) the table under the first paragraph under the heading “Underwriting,” (C) the sentence in the second paragraph under the heading “Underwriting—Commissions and Discounts” related to selling concessions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paragraphs under the heading “Underwriting—Price Stabilization, Short Positions and Penalty Bids.”</w:t>
      </w:r>
    </w:p>
    <w:p>
      <w:pPr>
        <w:spacing w:after="0" w:line="210" w:lineRule="exact"/>
        <w:rPr>
          <w:rFonts w:ascii="Arial" w:cs="Arial" w:eastAsia="Arial" w:hAnsi="Arial"/>
          <w:sz w:val="18"/>
          <w:szCs w:val="18"/>
          <w:color w:val="auto"/>
        </w:rPr>
      </w:pPr>
    </w:p>
    <w:p>
      <w:pPr>
        <w:ind w:right="20" w:firstLine="656"/>
        <w:spacing w:after="0" w:line="288" w:lineRule="auto"/>
        <w:tabs>
          <w:tab w:leader="none" w:pos="1188"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Selling Shareholder and the Partnership Parties acknowledge that the Underwriter’s research analysts and research department are required to be independent from its investment banking division and are subject to certain regulations and internal policies, and that the Underwriter’s research analysts may hold views and make statements or investment recommendations and/or publish research reports with respect to the Partnership and/or the offering that differ from the views of its investment banking division. The Selling Shareholder and the Partnership Parties hereby waive and release, to the fullest extent permitted by law, any claims that the Selling Shareholder or the Partnership Parties may have against the Underwriter with respect to any conflict of interest that may arise from the fact that the views expressed by its independent research analysts and research department may be different from or inconsistent with the views or advice communicated to the Selling Shareholder or the Partnership Parties by such Underwriter’s investment banking division. The Selling Shareholder and the Partnership Parties acknowledge that the Underwriter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9" w:lineRule="exact"/>
        <w:rPr>
          <w:rFonts w:ascii="Arial" w:cs="Arial" w:eastAsia="Arial" w:hAnsi="Arial"/>
          <w:sz w:val="16"/>
          <w:szCs w:val="16"/>
          <w:color w:val="auto"/>
        </w:rPr>
      </w:pPr>
    </w:p>
    <w:p>
      <w:pPr>
        <w:ind w:left="1200" w:hanging="544"/>
        <w:spacing w:after="0"/>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firstLine="528"/>
        <w:spacing w:after="0" w:line="259" w:lineRule="auto"/>
        <w:tabs>
          <w:tab w:leader="none" w:pos="1676"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the event that the Underwriter is a Covered Entity and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660" w:right="340" w:firstLine="528"/>
        <w:spacing w:after="0" w:line="259" w:lineRule="auto"/>
        <w:tabs>
          <w:tab w:leader="none" w:pos="1726"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the event that the Underwriter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purposes of this Section 0, a “</w:t>
      </w:r>
      <w:r>
        <w:rPr>
          <w:rFonts w:ascii="Arial" w:cs="Arial" w:eastAsia="Arial" w:hAnsi="Arial"/>
          <w:sz w:val="18"/>
          <w:szCs w:val="18"/>
          <w:b w:val="1"/>
          <w:bCs w:val="1"/>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w:t>
      </w:r>
      <w:r>
        <w:rPr>
          <w:rFonts w:ascii="Arial" w:cs="Arial" w:eastAsia="Arial" w:hAnsi="Arial"/>
          <w:sz w:val="18"/>
          <w:szCs w:val="18"/>
          <w:b w:val="1"/>
          <w:bCs w:val="1"/>
          <w:color w:val="auto"/>
        </w:rPr>
        <w:t>covered entity</w:t>
      </w:r>
      <w:r>
        <w:rPr>
          <w:rFonts w:ascii="Arial" w:cs="Arial" w:eastAsia="Arial" w:hAnsi="Arial"/>
          <w:sz w:val="18"/>
          <w:szCs w:val="18"/>
          <w:color w:val="auto"/>
        </w:rPr>
        <w:t>” as that term is defined in, and interpreted in accordance with, 12 C.F.R. § 252.82(b); (ii) a “</w:t>
      </w:r>
      <w:r>
        <w:rPr>
          <w:rFonts w:ascii="Arial" w:cs="Arial" w:eastAsia="Arial" w:hAnsi="Arial"/>
          <w:sz w:val="18"/>
          <w:szCs w:val="18"/>
          <w:b w:val="1"/>
          <w:bCs w:val="1"/>
          <w:color w:val="auto"/>
        </w:rPr>
        <w:t>covered bank</w:t>
      </w:r>
      <w:r>
        <w:rPr>
          <w:rFonts w:ascii="Arial" w:cs="Arial" w:eastAsia="Arial" w:hAnsi="Arial"/>
          <w:sz w:val="18"/>
          <w:szCs w:val="18"/>
          <w:color w:val="auto"/>
        </w:rPr>
        <w:t>” as that term is defined in, and interpreted in accordance with, 12 C.F.R. § 47.3(b); or (iii) a “</w:t>
      </w:r>
      <w:r>
        <w:rPr>
          <w:rFonts w:ascii="Arial" w:cs="Arial" w:eastAsia="Arial" w:hAnsi="Arial"/>
          <w:sz w:val="18"/>
          <w:szCs w:val="18"/>
          <w:b w:val="1"/>
          <w:bCs w:val="1"/>
          <w:color w:val="auto"/>
        </w:rPr>
        <w:t>covered FSI</w:t>
      </w:r>
      <w:r>
        <w:rPr>
          <w:rFonts w:ascii="Arial" w:cs="Arial" w:eastAsia="Arial" w:hAnsi="Arial"/>
          <w:sz w:val="18"/>
          <w:szCs w:val="18"/>
          <w:color w:val="auto"/>
        </w:rPr>
        <w:t>” as that term is defined in, and interpreted in accordance with, 12 C.F.R. § 382.2(b). “</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w:t>
      </w:r>
      <w:r>
        <w:rPr>
          <w:rFonts w:ascii="Arial" w:cs="Arial" w:eastAsia="Arial" w:hAnsi="Arial"/>
          <w:sz w:val="18"/>
          <w:szCs w:val="18"/>
          <w:b w:val="1"/>
          <w:b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ind w:left="-20" w:right="200" w:firstLine="656"/>
        <w:spacing w:after="0" w:line="277"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Selling Shareholder, the Partnership Parties and the Underwriter with respect to the subject matter hereof.</w:t>
      </w:r>
    </w:p>
    <w:p>
      <w:pPr>
        <w:spacing w:after="0" w:line="17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Effective Date of Agreement</w:t>
      </w:r>
      <w:r>
        <w:rPr>
          <w:rFonts w:ascii="Arial" w:cs="Arial" w:eastAsia="Arial" w:hAnsi="Arial"/>
          <w:sz w:val="17"/>
          <w:szCs w:val="17"/>
          <w:color w:val="auto"/>
        </w:rPr>
        <w:t>. This Agreement shall become effective upon the execution and delivery hereof by the parties hereto.</w:t>
      </w:r>
    </w:p>
    <w:p>
      <w:pPr>
        <w:spacing w:after="0" w:line="236" w:lineRule="exact"/>
        <w:rPr>
          <w:rFonts w:ascii="Arial" w:cs="Arial" w:eastAsia="Arial" w:hAnsi="Arial"/>
          <w:sz w:val="17"/>
          <w:szCs w:val="17"/>
          <w:color w:val="auto"/>
        </w:rPr>
      </w:pPr>
    </w:p>
    <w:p>
      <w:pPr>
        <w:ind w:left="-20" w:firstLine="656"/>
        <w:spacing w:after="0" w:line="269"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Selling Shareholder and the Partnership Parties acknowledge and agree that in connection with this offering and sale of the Shares or any other services the Underwriter may be deemed to be providing hereunder, notwithstanding any preexisting relationship, advisory or otherwise, between the parties or any oral representations or assurances previously or subsequently made by the Underwriter: (i) no fiduciary or agency relationship between the Selling Shareholder, the Partnership Parties and any other person, on the one hand, and the Underwriter, on the other hand, exists; (ii) the Underwriter is not acting as advisor, expert or otherwise, to the Selling Shareholder, the Partnership Parties, including, without limitation, with respect to the determination of the public offering price of the Shares, and such relationship between the Selling Shareholder and the Partnership Parties , on the one hand, and the Underwriter, on the other, is entirely and solely commercial, based on arms-length negotiations; (iii) any duties and obligations that the Underwriter may have to the Selling Shareholder and Partnership Parties shall be limited to those duties and obligations specifically stated herein; and (iv) the Underwriter and its affiliates may have interests that differ from those of the Selling Shareholder and the Partnership Parties. The Selling Shareholder and the Partnership Parties hereby waive any claims that they may have against the Underwriter with respect to any breach of fiduciary duty in connection with this offering.</w:t>
      </w:r>
    </w:p>
    <w:p>
      <w:pPr>
        <w:spacing w:after="0" w:line="182" w:lineRule="exact"/>
        <w:rPr>
          <w:rFonts w:ascii="Arial" w:cs="Arial" w:eastAsia="Arial" w:hAnsi="Arial"/>
          <w:sz w:val="17"/>
          <w:szCs w:val="17"/>
          <w:color w:val="auto"/>
        </w:rPr>
      </w:pPr>
    </w:p>
    <w:p>
      <w:pPr>
        <w:ind w:left="-20" w:right="140" w:firstLine="656"/>
        <w:spacing w:after="0" w:line="259"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6" w:lineRule="exact"/>
        <w:rPr>
          <w:rFonts w:ascii="Arial" w:cs="Arial" w:eastAsia="Arial" w:hAnsi="Arial"/>
          <w:sz w:val="18"/>
          <w:szCs w:val="18"/>
          <w:color w:val="auto"/>
        </w:rPr>
      </w:pPr>
    </w:p>
    <w:p>
      <w:pPr>
        <w:ind w:left="-20" w:right="20" w:firstLine="656"/>
        <w:spacing w:after="0" w:line="264"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 is not required to obtain, verify and record information that identifies its clients, which may include the name and address of its clients, as well as other information that will allow the Underwriter to properly identify its clients.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Please confirm that the foregoing correctly sets forth the agreement among the Partnership and the Underwriter.</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PAA GP HOLDINGS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Chris Herbold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and Chief Accounting Officer</w:t>
      </w: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PAA GP HOLDINGS LLC</w:t>
      </w:r>
    </w:p>
    <w:p>
      <w:pPr>
        <w:spacing w:after="0" w:line="229"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 Chris Herbold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 and Chief Accounting Officer</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900" w:top="908" w:right="719" w:bottom="1440" w:gutter="0" w:footer="0" w:header="0"/>
        </w:sectPr>
      </w:pPr>
    </w:p>
    <w:bookmarkStart w:id="28" w:name="page29"/>
    <w:bookmarkEnd w:id="28"/>
    <w:p>
      <w:pPr>
        <w:ind w:left="4620"/>
        <w:spacing w:after="0"/>
        <w:rPr>
          <w:sz w:val="20"/>
          <w:szCs w:val="20"/>
          <w:color w:val="auto"/>
        </w:rPr>
      </w:pPr>
      <w:r>
        <w:rPr>
          <w:rFonts w:ascii="Arial" w:cs="Arial" w:eastAsia="Arial" w:hAnsi="Arial"/>
          <w:sz w:val="18"/>
          <w:szCs w:val="18"/>
          <w:b w:val="1"/>
          <w:bCs w:val="1"/>
          <w:color w:val="auto"/>
        </w:rPr>
        <w:t>OXY HOLDING COMPANY (PIPELINE), INC.</w:t>
      </w:r>
    </w:p>
    <w:p>
      <w:pPr>
        <w:spacing w:after="0" w:line="229"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Oscar K. Brown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Oscar 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BARCLAYS CAPITAL INC.</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Amit Chandra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Amit 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Title: Managing Director</w:t>
      </w:r>
    </w:p>
    <w:p>
      <w:pPr>
        <w:spacing w:after="0" w:line="222"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844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rPr>
              <w:t>SCHEDULE I</w:t>
            </w:r>
          </w:p>
        </w:tc>
      </w:tr>
      <w:tr>
        <w:trPr>
          <w:trHeight w:val="432"/>
        </w:trPr>
        <w:tc>
          <w:tcPr>
            <w:tcW w:w="2980" w:type="dxa"/>
            <w:vAlign w:val="bottom"/>
          </w:tcPr>
          <w:p>
            <w:pPr>
              <w:spacing w:after="0"/>
              <w:rPr>
                <w:sz w:val="24"/>
                <w:szCs w:val="24"/>
                <w:color w:val="auto"/>
              </w:rPr>
            </w:pPr>
          </w:p>
        </w:tc>
        <w:tc>
          <w:tcPr>
            <w:tcW w:w="844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w w:val="90"/>
              </w:rPr>
              <w:t>Plains GP Holdings, L.P.</w:t>
            </w:r>
          </w:p>
        </w:tc>
      </w:tr>
      <w:tr>
        <w:trPr>
          <w:trHeight w:val="414"/>
        </w:trPr>
        <w:tc>
          <w:tcPr>
            <w:tcW w:w="29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9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r>
      <w:tr>
        <w:trPr>
          <w:trHeight w:val="216"/>
        </w:trPr>
        <w:tc>
          <w:tcPr>
            <w:tcW w:w="29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9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be</w:t>
            </w: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6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Barclays Capital Inc.</w:t>
            </w:r>
          </w:p>
        </w:tc>
        <w:tc>
          <w:tcPr>
            <w:tcW w:w="6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8440" w:type="dxa"/>
            <w:vAlign w:val="bottom"/>
            <w:gridSpan w:val="4"/>
          </w:tcPr>
          <w:p>
            <w:pPr>
              <w:jc w:val="right"/>
              <w:ind w:right="100"/>
              <w:spacing w:after="0"/>
              <w:rPr>
                <w:sz w:val="20"/>
                <w:szCs w:val="20"/>
                <w:color w:val="auto"/>
              </w:rPr>
            </w:pPr>
            <w:r>
              <w:rPr>
                <w:rFonts w:ascii="Arial" w:cs="Arial" w:eastAsia="Arial" w:hAnsi="Arial"/>
                <w:sz w:val="18"/>
                <w:szCs w:val="18"/>
                <w:color w:val="auto"/>
              </w:rPr>
              <w:t>15,000,000</w:t>
            </w:r>
          </w:p>
        </w:tc>
      </w:tr>
      <w:tr>
        <w:trPr>
          <w:trHeight w:val="414"/>
        </w:trPr>
        <w:tc>
          <w:tcPr>
            <w:tcW w:w="2980" w:type="dxa"/>
            <w:vAlign w:val="bottom"/>
          </w:tcPr>
          <w:p>
            <w:pPr>
              <w:spacing w:after="0"/>
              <w:rPr>
                <w:sz w:val="24"/>
                <w:szCs w:val="24"/>
                <w:color w:val="auto"/>
              </w:rPr>
            </w:pPr>
          </w:p>
        </w:tc>
        <w:tc>
          <w:tcPr>
            <w:tcW w:w="8440" w:type="dxa"/>
            <w:vAlign w:val="bottom"/>
            <w:gridSpan w:val="4"/>
          </w:tcPr>
          <w:p>
            <w:pPr>
              <w:jc w:val="center"/>
              <w:ind w:right="2980"/>
              <w:spacing w:after="0"/>
              <w:rPr>
                <w:sz w:val="20"/>
                <w:szCs w:val="20"/>
                <w:color w:val="auto"/>
              </w:rPr>
            </w:pPr>
            <w:r>
              <w:rPr>
                <w:rFonts w:ascii="Arial" w:cs="Arial" w:eastAsia="Arial" w:hAnsi="Arial"/>
                <w:sz w:val="18"/>
                <w:szCs w:val="18"/>
                <w:i w:val="1"/>
                <w:iCs w:val="1"/>
                <w:color w:val="auto"/>
                <w:w w:val="91"/>
              </w:rPr>
              <w:t>Schedule I to Underwriting Agreement</w:t>
            </w:r>
          </w:p>
        </w:tc>
      </w:tr>
      <w:tr>
        <w:trPr>
          <w:trHeight w:val="675"/>
        </w:trPr>
        <w:tc>
          <w:tcPr>
            <w:tcW w:w="29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Disclosure Package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SECONDARY OFFERING OF 15,000,000 CLASS A SHARES OF PLAINS GP HOLDINGS, L.P.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information in this final term sheet supplements the preliminary prospectus supplement of Plains GP Holdings, L.P., dated September 18, 2019 (the “Preliminary Prospectus Supplement”), and supersedes the information in the Preliminary Prospectus Supplement to the extent it is inconsistent with the information in the Preliminary Prospectus Supplement. Terms used but not defined herein have the meanings assigned to such terms in the Preliminary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Summary—The Offering</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Class A Shares Offered by the Selling Shareholder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15,000,000 Class A shares.</w:t>
      </w:r>
    </w:p>
    <w:p>
      <w:pPr>
        <w:spacing w:after="0" w:line="211" w:lineRule="exact"/>
        <w:rPr>
          <w:sz w:val="20"/>
          <w:szCs w:val="20"/>
          <w:color w:val="auto"/>
        </w:rPr>
      </w:pPr>
    </w:p>
    <w:p>
      <w:pPr>
        <w:sectPr>
          <w:pgSz w:w="11900" w:h="16838" w:orient="portrait"/>
          <w:cols w:equalWidth="0" w:num="2">
            <w:col w:w="4320" w:space="720"/>
            <w:col w:w="638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Class A Shares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182,004,761 Class A shares. As a result of this offering, and the concurrent offering, PAGP’s ownership interest in AAP will increase from approximately 63% to approximately 73%.</w:t>
      </w:r>
    </w:p>
    <w:p>
      <w:pPr>
        <w:spacing w:after="0" w:line="181" w:lineRule="exact"/>
        <w:rPr>
          <w:sz w:val="20"/>
          <w:szCs w:val="20"/>
          <w:color w:val="auto"/>
        </w:rPr>
      </w:pPr>
    </w:p>
    <w:p>
      <w:pPr>
        <w:sectPr>
          <w:pgSz w:w="11900" w:h="16838" w:orient="portrait"/>
          <w:cols w:equalWidth="0" w:num="2">
            <w:col w:w="4320" w:space="720"/>
            <w:col w:w="6380"/>
          </w:cols>
          <w:pgMar w:left="240" w:top="90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$22.05.</w:t>
      </w:r>
    </w:p>
    <w:p>
      <w:pPr>
        <w:spacing w:after="0" w:line="200" w:lineRule="exact"/>
        <w:rPr>
          <w:sz w:val="20"/>
          <w:szCs w:val="20"/>
          <w:color w:val="auto"/>
        </w:rPr>
      </w:pPr>
    </w:p>
    <w:p>
      <w:pPr>
        <w:sectPr>
          <w:pgSz w:w="11900" w:h="16838" w:orient="portrait"/>
          <w:cols w:equalWidth="0" w:num="2">
            <w:col w:w="4320" w:space="720"/>
            <w:col w:w="638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Shareholder</w:t>
      </w:r>
    </w:p>
    <w:p>
      <w:pPr>
        <w:sectPr>
          <w:pgSz w:w="11900" w:h="16838" w:orient="portrait"/>
          <w:cols w:equalWidth="0" w:num="1">
            <w:col w:w="11420"/>
          </w:cols>
          <w:pgMar w:left="240" w:top="904" w:right="239" w:bottom="1440" w:gutter="0" w:footer="0" w:header="0"/>
          <w:type w:val="continuous"/>
        </w:sectPr>
      </w:pP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sets forth the number of Class A shares beneficially owned by the selling shareholder prior to this offering, the number of Class A shares to be offered for sale by the selling shareholder in this offering, the number of Class A shares to be beneficially owned by the selling shareholder after completion of this offering and the percentage of our issued and outstanding Class A shares beneficially owned by the selling shareholder prior to this offering and to be beneficially owned after the completion of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Class A Shares</w:t>
            </w: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Percentage of</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Class A 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Class A Shares</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Class A Shares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 be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be</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Owned Prior</w:t>
            </w: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Class A Shares</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to the</w:t>
            </w: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Owned Prior</w:t>
            </w: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Offered</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Owned After</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 After</w:t>
            </w: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Shareholder</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Offering(2)</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 the Offering</w:t>
            </w: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Hereby(3)</w:t>
            </w:r>
          </w:p>
        </w:tc>
        <w:tc>
          <w:tcPr>
            <w:tcW w:w="3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Offering(4)</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Borders>
              <w:bottom w:val="single" w:sz="8" w:color="CCEEFF"/>
            </w:tcBorders>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Oxy Holding Company (Pipeline), Inc.(1)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right="60" w:hanging="332"/>
        <w:spacing w:after="0" w:line="290"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Class A shares held by Oxy Holding Company (Pipeline), Inc. is controlled by the board of directors of Occidental Petroleum Company. Pursuant to the Third Amended and Restated Limited Liability Company Agreement of PAGP GP, as amended (the “PAGP GP LLC Agreement”), Oxy Holding Company (Pipeline), Inc. will have the right to designate a director to PAGP GP’s board of directors for as long as it owns at least a 10% Qualifying Interest (as that term is defined in the PAGP GP LLC Agreement). Oscar K. Brown currently serves as Oxy Holding Company (Pipeline), Inc.’s designee to the PAGP GP board.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PAGP GP’s board of directors effective upon closing of the concurrent offerings.</w:t>
      </w:r>
    </w:p>
    <w:p>
      <w:pPr>
        <w:spacing w:after="0" w:line="166" w:lineRule="exact"/>
        <w:rPr>
          <w:rFonts w:ascii="Arial" w:cs="Arial" w:eastAsia="Arial" w:hAnsi="Arial"/>
          <w:sz w:val="16"/>
          <w:szCs w:val="16"/>
          <w:color w:val="auto"/>
        </w:rPr>
      </w:pPr>
    </w:p>
    <w:p>
      <w:pPr>
        <w:ind w:left="340" w:right="60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Assumes the exchange of an equivalent number of AAP units, PAGP Class B shares and general partner units for Class A shares to be sold in this offering.</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addition to the 15,000,000 Class A shares offered in this offering, the selling shareholder is offering 14,977,890 common units of Plains All American Pipeline, L.P. in the concurrent offering.</w:t>
      </w:r>
    </w:p>
    <w:p>
      <w:pPr>
        <w:spacing w:after="0" w:line="170" w:lineRule="exact"/>
        <w:rPr>
          <w:rFonts w:ascii="Arial" w:cs="Arial" w:eastAsia="Arial" w:hAnsi="Arial"/>
          <w:sz w:val="18"/>
          <w:szCs w:val="18"/>
          <w:color w:val="auto"/>
        </w:rPr>
      </w:pPr>
    </w:p>
    <w:p>
      <w:pPr>
        <w:ind w:left="340" w:right="38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Following the completion of this offering and the concurrent offering by the selling shareholder of 14,977,890 common units of Plains All American Pipeline, L.P., the selling shareholder will no longer beneficially own any AAP units, PAGP Class B shares and general partner units that may be exchanged for Class A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the issuer. This communication does not constitute an offer to sell the Class A shares and is not soliciting an offer to buy the Class A shares in any jurisdiction where the offer or sale is not permitted.</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It is expected that delivery of the Class A shares will be made to investors on or about September 23, 2019, which will be the third business day following the date hereof (such settlement being referred to as “T+3”). Under Rule 15c6-1 under the Exchange Act, trades in the secondary market generally are required to settle in two business days, unless the parties to any such trade expressly agree otherwise. Accordingly, purchasers who wish to trade the Class A shares on any date prior to two business days before delivery will be required to specify an alternate settlement cycle at the time of any such trade to prevent a failed settlement. Purchasers of the Class A shares who wish to trade the shares on any date prior to two business days before delivery should consult their own advisors.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issuer has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i w:val="1"/>
          <w:iCs w:val="1"/>
          <w:color w:val="auto"/>
        </w:rPr>
        <w:t>www.sec.gov</w:t>
      </w:r>
      <w:r>
        <w:rPr>
          <w:rFonts w:ascii="Arial" w:cs="Arial" w:eastAsia="Arial" w:hAnsi="Arial"/>
          <w:sz w:val="16"/>
          <w:szCs w:val="16"/>
          <w:color w:val="auto"/>
        </w:rPr>
        <w:t>. Alternatively, the underwriter participating in the offering will arrange to send you the prospectus supplement and prospectus, when available, if you request it by calling Barclays Capital Inc., c/o Broadridge Financial Solutions, 1155 Long Island Avenue, Edgewood, NY 11717, Telephone: (888) 603-5847, E-mail: Barclaysprospectus@broadridge.com.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center"/>
        <w:ind w:right="-120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4" w:name="page35"/>
    <w:bookmarkEnd w:id="34"/>
    <w:p>
      <w:pPr>
        <w:jc w:val="center"/>
        <w:ind w:right="-120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IV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0" w:type="dxa"/>
            <w:vAlign w:val="bottom"/>
            <w:gridSpan w:val="3"/>
          </w:tcPr>
          <w:p>
            <w:pPr>
              <w:jc w:val="center"/>
              <w:ind w:right="3330"/>
              <w:spacing w:after="0"/>
              <w:rPr>
                <w:sz w:val="20"/>
                <w:szCs w:val="20"/>
                <w:color w:val="auto"/>
              </w:rPr>
            </w:pPr>
            <w:r>
              <w:rPr>
                <w:rFonts w:ascii="Arial" w:cs="Arial" w:eastAsia="Arial" w:hAnsi="Arial"/>
                <w:sz w:val="18"/>
                <w:szCs w:val="18"/>
                <w:b w:val="1"/>
                <w:bCs w:val="1"/>
                <w:color w:val="auto"/>
              </w:rPr>
              <w:t>EXHIBIT A</w:t>
            </w:r>
          </w:p>
        </w:tc>
      </w:tr>
      <w:tr>
        <w:trPr>
          <w:trHeight w:val="432"/>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Entity</w:t>
            </w:r>
          </w:p>
        </w:tc>
        <w:tc>
          <w:tcPr>
            <w:tcW w:w="2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Jurisdiction in which registered or qualified</w:t>
            </w:r>
          </w:p>
        </w:tc>
      </w:tr>
      <w:tr>
        <w:trPr>
          <w:trHeight w:val="291"/>
        </w:trPr>
        <w:tc>
          <w:tcPr>
            <w:tcW w:w="342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PAA Finance Corp.</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PAA GP LLC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AAP, L.P.</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Louisiana, Oklahoma, Texas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GP Holdings, L.P.</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PAA GP Holdings LLC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Marketing, L.P.</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Pipeline, L.P.</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Midstream Canada ULC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Alberta, Manitoba, Ontario, Saskatchewan</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West Coast Terminals LLC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SG Resources Mississippi, L.L.C.</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Alabama, Mississippi</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Plains LPG Services, L.P.</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Oklahoma</w:t>
            </w:r>
          </w:p>
        </w:tc>
      </w:tr>
      <w:tr>
        <w:trPr>
          <w:trHeight w:val="432"/>
        </w:trPr>
        <w:tc>
          <w:tcPr>
            <w:tcW w:w="3420" w:type="dxa"/>
            <w:vAlign w:val="bottom"/>
          </w:tcPr>
          <w:p>
            <w:pPr>
              <w:spacing w:after="0"/>
              <w:rPr>
                <w:sz w:val="24"/>
                <w:szCs w:val="24"/>
                <w:color w:val="auto"/>
              </w:rPr>
            </w:pPr>
          </w:p>
        </w:tc>
        <w:tc>
          <w:tcPr>
            <w:tcW w:w="8000" w:type="dxa"/>
            <w:vAlign w:val="bottom"/>
            <w:gridSpan w:val="3"/>
          </w:tcPr>
          <w:p>
            <w:pPr>
              <w:jc w:val="center"/>
              <w:ind w:right="3330"/>
              <w:spacing w:after="0"/>
              <w:rPr>
                <w:sz w:val="20"/>
                <w:szCs w:val="20"/>
                <w:color w:val="auto"/>
              </w:rPr>
            </w:pPr>
            <w:r>
              <w:rPr>
                <w:rFonts w:ascii="Arial" w:cs="Arial" w:eastAsia="Arial" w:hAnsi="Arial"/>
                <w:sz w:val="18"/>
                <w:szCs w:val="18"/>
                <w:i w:val="1"/>
                <w:iCs w:val="1"/>
                <w:color w:val="auto"/>
                <w:w w:val="93"/>
              </w:rPr>
              <w:t>Exhibit A to Underwriting Agreement</w:t>
            </w:r>
          </w:p>
        </w:tc>
      </w:tr>
      <w:tr>
        <w:trPr>
          <w:trHeight w:val="675"/>
        </w:trPr>
        <w:tc>
          <w:tcPr>
            <w:tcW w:w="3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211" w:lineRule="exact"/>
        <w:rPr>
          <w:sz w:val="20"/>
          <w:szCs w:val="20"/>
          <w:color w:val="auto"/>
        </w:rPr>
      </w:pPr>
    </w:p>
    <w:p>
      <w:pPr>
        <w:ind w:left="-20" w:right="40" w:firstLine="656"/>
        <w:spacing w:after="0" w:line="259" w:lineRule="auto"/>
        <w:tabs>
          <w:tab w:leader="none" w:pos="12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 Partnership Parties, the PAA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left="-20" w:right="360" w:firstLine="656"/>
        <w:spacing w:after="0" w:line="342" w:lineRule="auto"/>
        <w:tabs>
          <w:tab w:leader="none" w:pos="12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Partnership Group Entity that serves as a general partner of another Partnership Group Entity has full corporate or limited liability company power and authority, as the case may be, to serve as general partner of such Partnership Group Entity, in each case in all material respects.</w:t>
      </w:r>
    </w:p>
    <w:p>
      <w:pPr>
        <w:spacing w:after="0" w:line="123" w:lineRule="exact"/>
        <w:rPr>
          <w:rFonts w:ascii="Arial" w:cs="Arial" w:eastAsia="Arial" w:hAnsi="Arial"/>
          <w:sz w:val="16"/>
          <w:szCs w:val="16"/>
          <w:color w:val="auto"/>
        </w:rPr>
      </w:pPr>
    </w:p>
    <w:p>
      <w:pPr>
        <w:ind w:left="-20" w:firstLine="656"/>
        <w:spacing w:after="0" w:line="270" w:lineRule="auto"/>
        <w:tabs>
          <w:tab w:leader="none" w:pos="1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respective general partner interests, limited partner interests or membership interests in the Partnership, the General Partner, PAA, PAA GP, Plains AAP and GP LLC,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PAA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181" w:lineRule="exact"/>
        <w:rPr>
          <w:rFonts w:ascii="Arial" w:cs="Arial" w:eastAsia="Arial" w:hAnsi="Arial"/>
          <w:sz w:val="17"/>
          <w:szCs w:val="17"/>
          <w:color w:val="auto"/>
        </w:rPr>
      </w:pPr>
    </w:p>
    <w:p>
      <w:pPr>
        <w:ind w:left="-20" w:right="40" w:firstLine="656"/>
        <w:spacing w:after="0" w:line="268" w:lineRule="auto"/>
        <w:tabs>
          <w:tab w:leader="none" w:pos="1238"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limited liability company or partnership laws of the jurisdiction of formation of the respective Domestic Subsidiary, as the case may be.</w:t>
      </w:r>
    </w:p>
    <w:p>
      <w:pPr>
        <w:spacing w:after="0" w:line="187" w:lineRule="exact"/>
        <w:rPr>
          <w:rFonts w:ascii="Arial" w:cs="Arial" w:eastAsia="Arial" w:hAnsi="Arial"/>
          <w:sz w:val="17"/>
          <w:szCs w:val="17"/>
          <w:color w:val="auto"/>
        </w:rPr>
      </w:pPr>
    </w:p>
    <w:p>
      <w:pPr>
        <w:ind w:left="-20" w:right="320" w:firstLine="697"/>
        <w:spacing w:after="0" w:line="312" w:lineRule="auto"/>
        <w:tabs>
          <w:tab w:leader="none" w:pos="123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Class A Shares to be sold to the Underwriter by the Selling Shareholder pursuant to this Agreement and the limited partner interests represented thereby have been duly authorized by the Partnership Agreement are validly issued, fully paid (to the extent required under the Partnership Agreement) and nonassessable (except as such nonassessability may be affected by Sections 17-607 and 17-804 of the Delaware LP Act).</w:t>
      </w:r>
    </w:p>
    <w:p>
      <w:pPr>
        <w:spacing w:after="0" w:line="146" w:lineRule="exact"/>
        <w:rPr>
          <w:rFonts w:ascii="Arial" w:cs="Arial" w:eastAsia="Arial" w:hAnsi="Arial"/>
          <w:sz w:val="16"/>
          <w:szCs w:val="16"/>
          <w:color w:val="auto"/>
        </w:rPr>
      </w:pPr>
    </w:p>
    <w:p>
      <w:pPr>
        <w:ind w:left="-20" w:right="160" w:firstLine="656"/>
        <w:spacing w:after="0" w:line="276" w:lineRule="auto"/>
        <w:tabs>
          <w:tab w:leader="none" w:pos="1248" w:val="left"/>
        </w:tabs>
        <w:numPr>
          <w:ilvl w:val="1"/>
          <w:numId w:val="45"/>
        </w:numPr>
        <w:rPr>
          <w:rFonts w:ascii="Arial" w:cs="Arial" w:eastAsia="Arial" w:hAnsi="Arial"/>
          <w:sz w:val="17"/>
          <w:szCs w:val="17"/>
          <w:color w:val="auto"/>
        </w:rPr>
      </w:pPr>
      <w:r>
        <w:rPr>
          <w:rFonts w:ascii="Arial" w:cs="Arial" w:eastAsia="Arial" w:hAnsi="Arial"/>
          <w:sz w:val="17"/>
          <w:szCs w:val="17"/>
          <w:color w:val="auto"/>
        </w:rPr>
        <w:t>Except as described in the Pricing Disclosure Package and the Prospectus or as provided in the Operative Documents of the Partnership, there are no preemptive rights or other rights to subscribe for or to purchase, nor any restriction upon the voting or transfer of, any equity securities of the Partnership. Neither the filing of the Registration Statement nor the offering or sale of the Shares as contemplated by this Agreement gives rise to any rights for or relating to the registration of any Shares or other securities of the Partnership pursuant to any of the documents or agreements included as exhibits to any of the Incorporated Documents, except such rights as have been waived or satisfied.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B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4" w:right="259" w:bottom="1440" w:gutter="0" w:footer="0" w:header="0"/>
        </w:sectPr>
      </w:pPr>
    </w:p>
    <w:bookmarkStart w:id="37" w:name="page38"/>
    <w:bookmarkEnd w:id="37"/>
    <w:p>
      <w:pPr>
        <w:jc w:val="both"/>
        <w:ind w:left="-20" w:right="240" w:firstLine="656"/>
        <w:spacing w:after="0" w:line="264" w:lineRule="auto"/>
        <w:tabs>
          <w:tab w:leader="none" w:pos="12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Partnership has all requisite power and authority to issue and deliver the Shares to the Selling Shareholder in the Selling Shareholder Exchange. Each of the Partnership Parties has all requisite limited partnership or limited liability company power and authority to execute and deliver this Agreement and to perform its obligations hereunder.</w:t>
      </w:r>
    </w:p>
    <w:p>
      <w:pPr>
        <w:spacing w:after="0" w:line="181" w:lineRule="exact"/>
        <w:rPr>
          <w:rFonts w:ascii="Arial" w:cs="Arial" w:eastAsia="Arial" w:hAnsi="Arial"/>
          <w:sz w:val="18"/>
          <w:szCs w:val="18"/>
          <w:color w:val="auto"/>
        </w:rPr>
      </w:pPr>
    </w:p>
    <w:p>
      <w:pPr>
        <w:ind w:left="1260" w:hanging="624"/>
        <w:spacing w:after="0"/>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Agreement has been duly authorized and validly executed and delivered by or on behalf of each of the Partnership Parties.</w:t>
      </w:r>
    </w:p>
    <w:p>
      <w:pPr>
        <w:spacing w:after="0" w:line="236" w:lineRule="exact"/>
        <w:rPr>
          <w:rFonts w:ascii="Arial" w:cs="Arial" w:eastAsia="Arial" w:hAnsi="Arial"/>
          <w:sz w:val="17"/>
          <w:szCs w:val="17"/>
          <w:color w:val="auto"/>
        </w:rPr>
      </w:pPr>
    </w:p>
    <w:p>
      <w:pPr>
        <w:ind w:left="-20" w:firstLine="656"/>
        <w:spacing w:after="0" w:line="255" w:lineRule="auto"/>
        <w:tabs>
          <w:tab w:leader="none" w:pos="12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or before the Delivery Date, the partnership agreement or limited liability company agreement, as applicable, of each of the Partnership Parties, the PAA GP Entities, PAA and the Domestic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ind w:left="-20" w:firstLine="656"/>
        <w:spacing w:after="0" w:line="286" w:lineRule="auto"/>
        <w:tabs>
          <w:tab w:leader="none" w:pos="1243"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None of the (i) offering and sale by the Selling Shareholder of the Shares, (ii) execution, delivery and performance of this Agreement by the Partnership Parties, or (iii) consummation of the transactions contemplated by this Agreement, including the Selling Shareholder Exchange: (A) conflicts or will conflict with or constitutes or will constitute a violation of the Organizational Documents of the Partnership Entities, the Domestic Subsidiaries or the PAA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and any incorporated document (excluding, for this purpose, the Hedged Inventory Facility and the Credit Agreement dated as of August 19, 2011, as amended, among the Partnership, certain subsidiaries of the Partnership from time to time party thereto and Bank of America, N.A., as administrative agent, and the other lenders party thereto), (C) results or will result in any violation of the Delaware LP Act, the Delaware LLC Act,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the laws of the State of Texas or federal law, or (D) results or will result in the creation or imposition of any Lien upon any property or assets of any of the Partnership Parties, the PAA GP Entities or the Domestic Subsidiaries, which conflicts, breaches, violations or defaults in the case of clauses (B), (C) or (D) would reasonably be expected to have a Material Adverse Effect or materially impair the ability of the Partnership to consummate the transactions contemplated by this Agreement, including the Selling Shareholder Exchange, it being understood that such counsel need not express an opinion in clause (C) of this paragraph (x) with respect to any securities or other anti-fraud law.</w:t>
      </w:r>
    </w:p>
    <w:p>
      <w:pPr>
        <w:spacing w:after="0" w:line="174" w:lineRule="exact"/>
        <w:rPr>
          <w:rFonts w:ascii="Arial" w:cs="Arial" w:eastAsia="Arial" w:hAnsi="Arial"/>
          <w:sz w:val="16"/>
          <w:szCs w:val="16"/>
          <w:color w:val="auto"/>
        </w:rPr>
      </w:pPr>
    </w:p>
    <w:p>
      <w:pPr>
        <w:ind w:left="-20" w:firstLine="656"/>
        <w:spacing w:after="0" w:line="269" w:lineRule="auto"/>
        <w:tabs>
          <w:tab w:leader="none" w:pos="1248"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federal, Delaware, New York or Texas court, governmental agency or body having jurisdiction over the Partnership Parties, PAA, the PAA GP Entities or the Domestic Subsidiaries or any of their respective properties is required in connection with (i) the offering and sale by the Selling Shareholder of the Shares, (ii) the execution, delivery and performance of, or the consummation of this Agreement by the Partnership Parties or (iii) the consummation by the Partnership Parties or the PAA GP Entities of the transactions contemplated by this Agreement, including the Selling Shareholder Exchange, except (A) such as may be required under the blue sky laws of any jurisdiction or the by-laws and rules of FINRA in connection with the purchase and distribution by the Underwriter of the Shares in the manner contemplated herein and in the Pricing Disclosure Package and the Prospectus (as to which such counsel need not express any opinion), (B) such that the failure to obtain or make would not reasonably be expected to have a Material Adverse Effect or materially impair the ability of any of the Partnership Parties or the PAA GP Entities to consummate the transactions contemplated by this Agreement, including the Selling Shareholder Exchange, (C) such other that have been obtained or taken and are in full force and effect and (D) filings with the Commission that may be required in the performance of the Partnership Parties’ obligations under Section 5 of this Agreement.</w:t>
      </w:r>
    </w:p>
    <w:p>
      <w:pPr>
        <w:spacing w:after="0" w:line="182" w:lineRule="exact"/>
        <w:rPr>
          <w:rFonts w:ascii="Arial" w:cs="Arial" w:eastAsia="Arial" w:hAnsi="Arial"/>
          <w:sz w:val="17"/>
          <w:szCs w:val="17"/>
          <w:color w:val="auto"/>
        </w:rPr>
      </w:pPr>
    </w:p>
    <w:p>
      <w:pPr>
        <w:ind w:left="-20" w:firstLine="656"/>
        <w:spacing w:after="0" w:line="257" w:lineRule="auto"/>
        <w:tabs>
          <w:tab w:leader="none" w:pos="12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captions “Our Cash Distribution Policy,” “The Partnership Agreement,” “Description of Our Shares,” and “Investments in Plains GP Holdings, L.P. by Employee Benefit Plans,” insofar as such statement purport to summarize certain provisions of documents and legal matters referred to therein, accurately summarize such provisions and legal matters in all material respects, and the Class A Shares conform in all material respects to the descriptions thereof contained in the Registration Statement, the Pricing Disclosure Package and the 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B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38" w:name="page39"/>
    <w:bookmarkEnd w:id="38"/>
    <w:p>
      <w:pPr>
        <w:ind w:right="140" w:firstLine="656"/>
        <w:spacing w:after="0" w:line="277" w:lineRule="auto"/>
        <w:tabs>
          <w:tab w:leader="none" w:pos="12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Underwriter may rely upon such opinion as if it were addressed to them.</w:t>
      </w:r>
    </w:p>
    <w:p>
      <w:pPr>
        <w:spacing w:after="0" w:line="170" w:lineRule="exact"/>
        <w:rPr>
          <w:rFonts w:ascii="Arial" w:cs="Arial" w:eastAsia="Arial" w:hAnsi="Arial"/>
          <w:sz w:val="18"/>
          <w:szCs w:val="18"/>
          <w:color w:val="auto"/>
        </w:rPr>
      </w:pPr>
    </w:p>
    <w:p>
      <w:pPr>
        <w:ind w:right="120" w:firstLine="656"/>
        <w:spacing w:after="0" w:line="259" w:lineRule="auto"/>
        <w:tabs>
          <w:tab w:leader="none" w:pos="1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was declared effective under the Securities Act on December 10, 2014;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w:t>
      </w:r>
    </w:p>
    <w:p>
      <w:pPr>
        <w:spacing w:after="0" w:line="186" w:lineRule="exact"/>
        <w:rPr>
          <w:rFonts w:ascii="Arial" w:cs="Arial" w:eastAsia="Arial" w:hAnsi="Arial"/>
          <w:sz w:val="18"/>
          <w:szCs w:val="18"/>
          <w:color w:val="auto"/>
        </w:rPr>
      </w:pPr>
    </w:p>
    <w:p>
      <w:pPr>
        <w:ind w:right="140" w:firstLine="656"/>
        <w:spacing w:after="0" w:line="302" w:lineRule="auto"/>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154" w:lineRule="exact"/>
        <w:rPr>
          <w:rFonts w:ascii="Arial" w:cs="Arial" w:eastAsia="Arial" w:hAnsi="Arial"/>
          <w:sz w:val="16"/>
          <w:szCs w:val="16"/>
          <w:color w:val="auto"/>
        </w:rPr>
      </w:pPr>
    </w:p>
    <w:p>
      <w:pPr>
        <w:ind w:firstLine="656"/>
        <w:spacing w:after="0" w:line="277" w:lineRule="auto"/>
        <w:tabs>
          <w:tab w:leader="none" w:pos="1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Partnership is not now, and after the Selling Shareholder Exchange and the sale by the Selling Shareholder of the Shares the Partnership will not be, required to register as an “investment company” as such term is defined in the Investment Company Act.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Shares are duly listed and admitted and authorized for trading, subject to official notice of issuance, on the NYSE.</w:t>
      </w:r>
    </w:p>
    <w:p>
      <w:pPr>
        <w:spacing w:after="0" w:line="225" w:lineRule="exact"/>
        <w:rPr>
          <w:sz w:val="20"/>
          <w:szCs w:val="20"/>
          <w:color w:val="auto"/>
        </w:rPr>
      </w:pPr>
    </w:p>
    <w:p>
      <w:pPr>
        <w:ind w:right="80" w:firstLine="667"/>
        <w:spacing w:after="0" w:line="293"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Selling Shareholder, the Partnership Parties, representatives of the independent public accountants of the Partnership Parties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(xii above)), on the basis of the foregoing, no facts have come to the attention of such counsel that lead them to believe that:</w:t>
      </w:r>
    </w:p>
    <w:p>
      <w:pPr>
        <w:spacing w:after="0" w:line="165" w:lineRule="exact"/>
        <w:rPr>
          <w:sz w:val="20"/>
          <w:szCs w:val="20"/>
          <w:color w:val="auto"/>
        </w:rPr>
      </w:pPr>
    </w:p>
    <w:p>
      <w:pPr>
        <w:ind w:right="80" w:firstLine="1305"/>
        <w:spacing w:after="0" w:line="277" w:lineRule="auto"/>
        <w:tabs>
          <w:tab w:leader="none" w:pos="18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right="420" w:firstLine="1305"/>
        <w:spacing w:after="0" w:line="342" w:lineRule="auto"/>
        <w:tabs>
          <w:tab w:leader="none" w:pos="185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ind w:right="40" w:firstLine="1305"/>
        <w:spacing w:after="0" w:line="342" w:lineRule="auto"/>
        <w:tabs>
          <w:tab w:leader="none" w:pos="185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Exhibit B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9" w:name="page40"/>
    <w:bookmarkEnd w:id="39"/>
    <w:p>
      <w:pPr>
        <w:ind w:firstLine="648"/>
        <w:spacing w:after="0" w:line="268"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the Partnership Parties,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Services Company, purporting to describe all financing statements on file as of the dates thereof in the office of the Secretary of State of the State of Delaware or the Secretary of State of the State of Texas, as applicable,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and the laws of the State of Texas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B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PARTNERSHIP</w:t>
      </w:r>
    </w:p>
    <w:p>
      <w:pPr>
        <w:spacing w:after="0" w:line="211" w:lineRule="exact"/>
        <w:rPr>
          <w:sz w:val="20"/>
          <w:szCs w:val="20"/>
          <w:color w:val="auto"/>
        </w:rPr>
      </w:pPr>
    </w:p>
    <w:p>
      <w:pPr>
        <w:ind w:firstLine="656"/>
        <w:spacing w:after="0" w:line="284" w:lineRule="auto"/>
        <w:tabs>
          <w:tab w:leader="none" w:pos="1268"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None of (1) the offering and sale by the Selling Shareholder of the Shares, (2) the execution, delivery and performance by the Partnership Parties of this Agreement or (3) the consummation of the transactions contemplated by this Agreement, including the Selling Shareholder Exchange: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Partnership Parties, PAA GP Entities or Domestic Subsidiaries is a party or by which any one of them may be bound (excluding, for this purpose, any document or agreement filed as an exhibit to the Registration Statement or an Incorporated Document, other than the Hedged Inventory Facility and the Credit Agreement dated as of August 19, 2011, as amended, among the Partnership, certain subsidiaries of the Partnership from time to time party thereto, Bank of America, N.A., as administrative agent, and the other lenders party thereto, both of which are expressly included for this purpose) or</w:t>
      </w:r>
    </w:p>
    <w:p>
      <w:pPr>
        <w:spacing w:after="0" w:line="1" w:lineRule="exact"/>
        <w:rPr>
          <w:rFonts w:ascii="Arial" w:cs="Arial" w:eastAsia="Arial" w:hAnsi="Arial"/>
          <w:sz w:val="16"/>
          <w:szCs w:val="16"/>
          <w:color w:val="auto"/>
        </w:rPr>
      </w:pPr>
    </w:p>
    <w:p>
      <w:pPr>
        <w:jc w:val="both"/>
        <w:ind w:firstLine="8"/>
        <w:spacing w:after="0" w:line="273" w:lineRule="auto"/>
        <w:tabs>
          <w:tab w:leader="none" w:pos="2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violates or will violate any order, judgment, decree or injunction known to such counsel of any court or governmental agency or body directed to either of the Partnership Parties, the PAA GP Entities or the Domestic Subsidiaries or any of their respective properties in a proceeding to which any of them is a party, which would, in the case of either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reasonably be expected to have a Material Adverse Effect or materially impair the ability of the Partnership Parties to consummate the transactions contemplated by this Agreement, including the Selling Shareholder Exchange.</w:t>
      </w:r>
    </w:p>
    <w:p>
      <w:pPr>
        <w:spacing w:after="0" w:line="176" w:lineRule="exact"/>
        <w:rPr>
          <w:rFonts w:ascii="Arial" w:cs="Arial" w:eastAsia="Arial" w:hAnsi="Arial"/>
          <w:sz w:val="17"/>
          <w:szCs w:val="17"/>
          <w:color w:val="auto"/>
        </w:rPr>
      </w:pPr>
    </w:p>
    <w:p>
      <w:pPr>
        <w:ind w:right="100" w:firstLine="656"/>
        <w:spacing w:after="0" w:line="342" w:lineRule="auto"/>
        <w:tabs>
          <w:tab w:leader="none" w:pos="127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the knowledge of such counsel, there is no legal or governmental proceeding pending or threatened to which either of the Partnership or any of its properties is subject that is required to be disclosed in the Pricing Disclosure Package or the Prospectus and is not so disclosed.</w:t>
      </w:r>
    </w:p>
    <w:p>
      <w:pPr>
        <w:spacing w:after="0" w:line="123" w:lineRule="exact"/>
        <w:rPr>
          <w:rFonts w:ascii="Arial" w:cs="Arial" w:eastAsia="Arial" w:hAnsi="Arial"/>
          <w:sz w:val="16"/>
          <w:szCs w:val="16"/>
          <w:color w:val="auto"/>
        </w:rPr>
      </w:pPr>
    </w:p>
    <w:p>
      <w:pPr>
        <w:ind w:firstLine="656"/>
        <w:spacing w:after="0" w:line="264" w:lineRule="auto"/>
        <w:tabs>
          <w:tab w:leader="none" w:pos="12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either of the Partnership Parties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the Partnership Parties and the PAA GP Entities.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w:t>
      </w:r>
      <w:r>
        <w:rPr>
          <w:rFonts w:ascii="Arial" w:cs="Arial" w:eastAsia="Arial" w:hAnsi="Arial"/>
          <w:sz w:val="17"/>
          <w:szCs w:val="17"/>
          <w:u w:val="single" w:color="auto"/>
          <w:color w:val="auto"/>
        </w:rPr>
        <w:t>Section 7(d)(i)(4)(B)</w:t>
      </w:r>
      <w:r>
        <w:rPr>
          <w:rFonts w:ascii="Arial" w:cs="Arial" w:eastAsia="Arial" w:hAnsi="Arial"/>
          <w:sz w:val="17"/>
          <w:szCs w:val="17"/>
          <w:color w:val="auto"/>
        </w:rPr>
        <w:t xml:space="preserve"> above or (y) taxes.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C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OPINION OF SPECIAL INTERNAL CANADIAN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PARTNERSHIP</w:t>
      </w:r>
    </w:p>
    <w:p>
      <w:pPr>
        <w:spacing w:after="0" w:line="207" w:lineRule="exact"/>
        <w:rPr>
          <w:sz w:val="20"/>
          <w:szCs w:val="20"/>
          <w:color w:val="auto"/>
        </w:rPr>
      </w:pPr>
    </w:p>
    <w:p>
      <w:pPr>
        <w:ind w:right="20" w:firstLine="656"/>
        <w:spacing w:after="0" w:line="256" w:lineRule="auto"/>
        <w:tabs>
          <w:tab w:leader="none" w:pos="12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Plains Midstream Canada ULC, a British Columbia unlimited liability company (“</w:t>
      </w:r>
      <w:r>
        <w:rPr>
          <w:rFonts w:ascii="Arial" w:cs="Arial" w:eastAsia="Arial" w:hAnsi="Arial"/>
          <w:sz w:val="18"/>
          <w:szCs w:val="18"/>
          <w:b w:val="1"/>
          <w:bCs w:val="1"/>
          <w:color w:val="auto"/>
        </w:rPr>
        <w:t>Plains Midstream Canada</w:t>
      </w:r>
      <w:r>
        <w:rPr>
          <w:rFonts w:ascii="Arial" w:cs="Arial" w:eastAsia="Arial" w:hAnsi="Arial"/>
          <w:sz w:val="18"/>
          <w:szCs w:val="18"/>
          <w:color w:val="auto"/>
        </w:rPr>
        <w:t>”)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and Saskatchewan.</w:t>
      </w:r>
    </w:p>
    <w:p>
      <w:pPr>
        <w:spacing w:after="0" w:line="191" w:lineRule="exact"/>
        <w:rPr>
          <w:rFonts w:ascii="Arial" w:cs="Arial" w:eastAsia="Arial" w:hAnsi="Arial"/>
          <w:sz w:val="18"/>
          <w:szCs w:val="18"/>
          <w:color w:val="auto"/>
        </w:rPr>
      </w:pPr>
    </w:p>
    <w:p>
      <w:pPr>
        <w:ind w:right="120" w:firstLine="656"/>
        <w:spacing w:after="0" w:line="257" w:lineRule="auto"/>
        <w:tabs>
          <w:tab w:leader="none" w:pos="12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Plains Marketing is the registered holder of 100% of the issued and outstanding preferred shares of Plains Midstream Canada, and Plains Midstream Luxembourg, S.a.r.l. is the registered holder of 100% of the issued and outstanding common shares of Plains Midstream Canada and 100% of the issued and outstanding second preferred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88" w:lineRule="exact"/>
        <w:rPr>
          <w:rFonts w:ascii="Arial" w:cs="Arial" w:eastAsia="Arial" w:hAnsi="Arial"/>
          <w:sz w:val="18"/>
          <w:szCs w:val="18"/>
          <w:color w:val="auto"/>
        </w:rPr>
      </w:pPr>
    </w:p>
    <w:p>
      <w:pPr>
        <w:ind w:right="100" w:firstLine="656"/>
        <w:spacing w:after="0" w:line="342" w:lineRule="auto"/>
        <w:tabs>
          <w:tab w:leader="none" w:pos="12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permit, consent, approval, authorization, order, registration, filing or qualification of or with any court, governmental agency or body of the federal government of Canada or the Province of British Columbia is required for the offering and sale by the Selling Shareholder of the Shares.</w:t>
      </w:r>
    </w:p>
    <w:p>
      <w:pPr>
        <w:spacing w:after="0" w:line="123" w:lineRule="exact"/>
        <w:rPr>
          <w:rFonts w:ascii="Arial" w:cs="Arial" w:eastAsia="Arial" w:hAnsi="Arial"/>
          <w:sz w:val="16"/>
          <w:szCs w:val="16"/>
          <w:color w:val="auto"/>
        </w:rPr>
      </w:pPr>
    </w:p>
    <w:p>
      <w:pPr>
        <w:ind w:firstLine="656"/>
        <w:spacing w:after="0" w:line="255" w:lineRule="auto"/>
        <w:tabs>
          <w:tab w:leader="none" w:pos="12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None of the offering or sale by the Selling Shareholder of the Shares, the execution, delivery and performance of this Agreement by the Partnership Parties or the consummation of the transactions contemplated hereby,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193" w:lineRule="exact"/>
        <w:rPr>
          <w:rFonts w:ascii="Arial" w:cs="Arial" w:eastAsia="Arial" w:hAnsi="Arial"/>
          <w:sz w:val="18"/>
          <w:szCs w:val="18"/>
          <w:color w:val="auto"/>
        </w:rPr>
      </w:pPr>
    </w:p>
    <w:p>
      <w:pPr>
        <w:ind w:right="20" w:firstLine="656"/>
        <w:spacing w:after="0" w:line="276"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173" w:lineRule="exact"/>
        <w:rPr>
          <w:sz w:val="20"/>
          <w:szCs w:val="20"/>
          <w:color w:val="auto"/>
        </w:rPr>
      </w:pPr>
    </w:p>
    <w:p>
      <w:pPr>
        <w:ind w:right="120" w:firstLine="667"/>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the PAA GP Entities, the Partnership Parties and the Domestic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193" w:lineRule="exact"/>
        <w:rPr>
          <w:sz w:val="20"/>
          <w:szCs w:val="20"/>
          <w:color w:val="auto"/>
        </w:rPr>
      </w:pPr>
    </w:p>
    <w:p>
      <w:pPr>
        <w:ind w:right="200" w:firstLine="667"/>
        <w:spacing w:after="0" w:line="279" w:lineRule="auto"/>
        <w:rPr>
          <w:sz w:val="20"/>
          <w:szCs w:val="20"/>
          <w:color w:val="auto"/>
        </w:rPr>
      </w:pPr>
      <w:r>
        <w:rPr>
          <w:rFonts w:ascii="Arial" w:cs="Arial" w:eastAsia="Arial" w:hAnsi="Arial"/>
          <w:sz w:val="17"/>
          <w:szCs w:val="17"/>
          <w:color w:val="auto"/>
        </w:rPr>
        <w:t>In rendering such opinion, such counsel shall state that Vinson &amp; Elkins L.L.P. is thereby authorized to rely upon such opinion letter in connection with the transactions contemplated by this Agreement as if such opinion letter were addressed and delivered to them on the date thereof and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D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ind w:right="-111"/>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FORM OF OPINION OF LATHAM &amp; WATKINS LLP</w:t>
      </w:r>
    </w:p>
    <w:p>
      <w:pPr>
        <w:spacing w:after="0" w:line="211" w:lineRule="exact"/>
        <w:rPr>
          <w:sz w:val="20"/>
          <w:szCs w:val="20"/>
          <w:color w:val="auto"/>
        </w:rPr>
      </w:pPr>
    </w:p>
    <w:p>
      <w:pPr>
        <w:ind w:left="772" w:hanging="448"/>
        <w:spacing w:after="0"/>
        <w:tabs>
          <w:tab w:leader="none" w:pos="7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by all necessary organizational action by the Selling Shareholder.</w:t>
      </w:r>
    </w:p>
    <w:p>
      <w:pPr>
        <w:spacing w:after="0" w:line="225" w:lineRule="exact"/>
        <w:rPr>
          <w:rFonts w:ascii="Arial" w:cs="Arial" w:eastAsia="Arial" w:hAnsi="Arial"/>
          <w:sz w:val="18"/>
          <w:szCs w:val="18"/>
          <w:color w:val="auto"/>
        </w:rPr>
      </w:pPr>
    </w:p>
    <w:p>
      <w:pPr>
        <w:ind w:left="772" w:hanging="448"/>
        <w:spacing w:after="0"/>
        <w:tabs>
          <w:tab w:leader="none" w:pos="7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Underwriting Agreement has been duly executed and delivered by or on behalf of the Selling Shareholder.</w:t>
      </w:r>
    </w:p>
    <w:p>
      <w:pPr>
        <w:spacing w:after="0" w:line="225" w:lineRule="exact"/>
        <w:rPr>
          <w:rFonts w:ascii="Arial" w:cs="Arial" w:eastAsia="Arial" w:hAnsi="Arial"/>
          <w:sz w:val="18"/>
          <w:szCs w:val="18"/>
          <w:color w:val="auto"/>
        </w:rPr>
      </w:pPr>
    </w:p>
    <w:p>
      <w:pPr>
        <w:ind w:left="-8" w:right="420" w:firstLine="332"/>
        <w:spacing w:after="0" w:line="277" w:lineRule="auto"/>
        <w:tabs>
          <w:tab w:leader="none" w:pos="7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by the Selling Shareholder, the Selling Shareholder Exchange and the sale of the Shares by the Selling Shareholder to the Underwriter pursuant to the Underwriting Agreement do not on the date hereof:</w:t>
      </w:r>
    </w:p>
    <w:p>
      <w:pPr>
        <w:spacing w:after="0" w:line="170" w:lineRule="exact"/>
        <w:rPr>
          <w:rFonts w:ascii="Arial" w:cs="Arial" w:eastAsia="Arial" w:hAnsi="Arial"/>
          <w:sz w:val="18"/>
          <w:szCs w:val="18"/>
          <w:color w:val="auto"/>
        </w:rPr>
      </w:pPr>
    </w:p>
    <w:p>
      <w:pPr>
        <w:ind w:left="1292" w:hanging="514"/>
        <w:spacing w:after="0"/>
        <w:tabs>
          <w:tab w:leader="none" w:pos="12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violate the provisions of the certificate of incorporation or bylaws of the Selling Shareholder; or</w:t>
      </w:r>
    </w:p>
    <w:p>
      <w:pPr>
        <w:spacing w:after="0" w:line="228" w:lineRule="exact"/>
        <w:rPr>
          <w:rFonts w:ascii="Arial" w:cs="Arial" w:eastAsia="Arial" w:hAnsi="Arial"/>
          <w:sz w:val="18"/>
          <w:szCs w:val="18"/>
          <w:color w:val="auto"/>
        </w:rPr>
      </w:pPr>
    </w:p>
    <w:p>
      <w:pPr>
        <w:ind w:left="1312" w:hanging="534"/>
        <w:spacing w:after="0"/>
        <w:tabs>
          <w:tab w:leader="none" w:pos="1312"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result in the breach of or a default under any of the Specified Agreements;</w:t>
      </w:r>
      <w:r>
        <w:rPr>
          <w:rFonts w:ascii="Arial" w:cs="Arial" w:eastAsia="Arial" w:hAnsi="Arial"/>
          <w:sz w:val="30"/>
          <w:szCs w:val="30"/>
          <w:color w:val="auto"/>
          <w:vertAlign w:val="superscript"/>
        </w:rPr>
        <w:t>1</w:t>
      </w:r>
    </w:p>
    <w:p>
      <w:pPr>
        <w:spacing w:after="0" w:line="124" w:lineRule="exact"/>
        <w:rPr>
          <w:rFonts w:ascii="Arial" w:cs="Arial" w:eastAsia="Arial" w:hAnsi="Arial"/>
          <w:sz w:val="18"/>
          <w:szCs w:val="18"/>
          <w:color w:val="auto"/>
        </w:rPr>
      </w:pPr>
    </w:p>
    <w:p>
      <w:pPr>
        <w:ind w:left="-8" w:right="800" w:firstLine="786"/>
        <w:spacing w:after="0" w:line="277" w:lineRule="auto"/>
        <w:tabs>
          <w:tab w:leader="none" w:pos="1285" w:val="left"/>
        </w:tabs>
        <w:numPr>
          <w:ilvl w:val="1"/>
          <w:numId w:val="52"/>
        </w:numPr>
        <w:rPr>
          <w:rFonts w:ascii="Arial" w:cs="Arial" w:eastAsia="Arial" w:hAnsi="Arial"/>
          <w:sz w:val="18"/>
          <w:szCs w:val="18"/>
          <w:color w:val="auto"/>
        </w:rPr>
      </w:pPr>
      <w:r>
        <w:rPr>
          <w:rFonts w:ascii="Arial" w:cs="Arial" w:eastAsia="Arial" w:hAnsi="Arial"/>
          <w:sz w:val="18"/>
          <w:szCs w:val="18"/>
          <w:color w:val="auto"/>
        </w:rPr>
        <w:t>violate any federal or New York statute, rule or regulation applicable to the Selling Shareholder or violate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8" w:right="240" w:firstLine="786"/>
        <w:spacing w:after="0" w:line="264" w:lineRule="auto"/>
        <w:tabs>
          <w:tab w:leader="none" w:pos="12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require any consents, approvals, or authorizations to be obtained by the Selling Shareholder from, or any registrations, declarations or filings to be made by the Selling Shareholder with, any governmental authority under any federal or New York statute, rule or regulation applicable to the Selling Shareholder or the DGCL on or prior to the date hereof that have not been obtained or made.</w:t>
      </w:r>
    </w:p>
    <w:p>
      <w:pPr>
        <w:spacing w:after="0" w:line="181" w:lineRule="exact"/>
        <w:rPr>
          <w:rFonts w:ascii="Arial" w:cs="Arial" w:eastAsia="Arial" w:hAnsi="Arial"/>
          <w:sz w:val="18"/>
          <w:szCs w:val="18"/>
          <w:color w:val="auto"/>
        </w:rPr>
      </w:pPr>
    </w:p>
    <w:p>
      <w:pPr>
        <w:jc w:val="both"/>
        <w:ind w:left="-8" w:right="120" w:firstLine="332"/>
        <w:spacing w:after="0" w:line="276" w:lineRule="auto"/>
        <w:tabs>
          <w:tab w:leader="none" w:pos="7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indication by book entry that the Shares listed on Schedule I to the Underwriting Agreement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have been credited to a securities account maintained by the Underwriter at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and payment therefor in accordance with the Underwriting Agreement, the Underwriter will acquire a security entitlement with respect to such Securities and, under the Uniform Commercial Code as in effect in the State of New York (the “</w:t>
      </w:r>
      <w:r>
        <w:rPr>
          <w:rFonts w:ascii="Arial" w:cs="Arial" w:eastAsia="Arial" w:hAnsi="Arial"/>
          <w:sz w:val="17"/>
          <w:szCs w:val="17"/>
          <w:b w:val="1"/>
          <w:bCs w:val="1"/>
          <w:i w:val="1"/>
          <w:iCs w:val="1"/>
          <w:color w:val="auto"/>
        </w:rPr>
        <w:t>UCC</w:t>
      </w:r>
      <w:r>
        <w:rPr>
          <w:rFonts w:ascii="Arial" w:cs="Arial" w:eastAsia="Arial" w:hAnsi="Arial"/>
          <w:sz w:val="17"/>
          <w:szCs w:val="17"/>
          <w:color w:val="auto"/>
        </w:rPr>
        <w:t>”), an action based on an adverse claim to the Securities, whether framed in conversion, replevin, constructive trust, equitable lien or other theory, may not be asserted against the Underwriter with respect to such security entitlement.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0" w:lineRule="exact"/>
        <w:rPr>
          <w:sz w:val="20"/>
          <w:szCs w:val="20"/>
          <w:color w:val="auto"/>
        </w:rPr>
      </w:pPr>
    </w:p>
    <w:p>
      <w:pPr>
        <w:ind w:left="-8" w:firstLine="8"/>
        <w:spacing w:after="0" w:line="249" w:lineRule="auto"/>
        <w:tabs>
          <w:tab w:leader="none" w:pos="112"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NTD: “</w:t>
      </w:r>
      <w:r>
        <w:rPr>
          <w:rFonts w:ascii="Arial" w:cs="Arial" w:eastAsia="Arial" w:hAnsi="Arial"/>
          <w:sz w:val="16"/>
          <w:szCs w:val="16"/>
          <w:i w:val="1"/>
          <w:iCs w:val="1"/>
          <w:color w:val="auto"/>
        </w:rPr>
        <w:t>Specified Agreements</w:t>
      </w:r>
      <w:r>
        <w:rPr>
          <w:rFonts w:ascii="Arial" w:cs="Arial" w:eastAsia="Arial" w:hAnsi="Arial"/>
          <w:sz w:val="16"/>
          <w:szCs w:val="16"/>
          <w:color w:val="auto"/>
        </w:rPr>
        <w:t>” will cover (i) all of the credit agreements, indentures and debt related instruments to which the Selling Shareholder is a party that are listed as exhibits to, or incorporated by reference into, the Registration Statement pursuant to Item 601(b) of Regulation S-K, and (ii) any material contribution agreement, merger agreement or purchase agreement to which the Selling Shareholder is a party that relates to a pending transaction and that is listed as an exhibit to, or is incorporated by reference into, the Registration Statement pursuant to Item 601(b)(2) or Item 601(b)(10) of Regulation S-K.</w:t>
      </w:r>
    </w:p>
    <w:p>
      <w:pPr>
        <w:spacing w:after="0" w:line="198" w:lineRule="exact"/>
        <w:rPr>
          <w:sz w:val="20"/>
          <w:szCs w:val="20"/>
          <w:color w:val="auto"/>
        </w:rPr>
      </w:pPr>
    </w:p>
    <w:p>
      <w:pPr>
        <w:jc w:val="center"/>
        <w:ind w:right="-111"/>
        <w:spacing w:after="0"/>
        <w:rPr>
          <w:sz w:val="20"/>
          <w:szCs w:val="20"/>
          <w:color w:val="auto"/>
        </w:rPr>
      </w:pPr>
      <w:r>
        <w:rPr>
          <w:rFonts w:ascii="Arial" w:cs="Arial" w:eastAsia="Arial" w:hAnsi="Arial"/>
          <w:sz w:val="18"/>
          <w:szCs w:val="18"/>
          <w:i w:val="1"/>
          <w:iCs w:val="1"/>
          <w:color w:val="auto"/>
        </w:rPr>
        <w:t>Exhibit 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452120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ACCOUNTING OFFICER’S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18, 2019</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in his capacity as the Chief Accounting Officer of PAA GP Holdings LLC, a Delaware limited liability company and the general partner (the “</w:t>
      </w:r>
      <w:r>
        <w:rPr>
          <w:rFonts w:ascii="Arial" w:cs="Arial" w:eastAsia="Arial" w:hAnsi="Arial"/>
          <w:sz w:val="18"/>
          <w:szCs w:val="18"/>
          <w:b w:val="1"/>
          <w:bCs w:val="1"/>
          <w:color w:val="auto"/>
        </w:rPr>
        <w:t>General Partner</w:t>
      </w:r>
      <w:r>
        <w:rPr>
          <w:rFonts w:ascii="Arial" w:cs="Arial" w:eastAsia="Arial" w:hAnsi="Arial"/>
          <w:sz w:val="18"/>
          <w:szCs w:val="18"/>
          <w:color w:val="auto"/>
        </w:rPr>
        <w:t>”) of Plains GP Holdings,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2019. In addition, as of the date of this certificate, the total debt of the Partnership is approximately $10.3 billion.</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the General Partner and Barclays Capital Inc.</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certificate is to assist the Underwriter in conducting and documenting its investigation of the affairs of the Partnership in connection with the offering of the Shares covered by the Registration Statement, the Pricing Disclosure Package and the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F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IN WITNESS WHEREOF, the undersigned has hereunto affixed his signature as of the date first written above.</w:t>
      </w:r>
    </w:p>
    <w:p>
      <w:pPr>
        <w:spacing w:after="0" w:line="200" w:lineRule="exact"/>
        <w:rPr>
          <w:sz w:val="20"/>
          <w:szCs w:val="20"/>
          <w:color w:val="auto"/>
        </w:rPr>
      </w:pPr>
    </w:p>
    <w:p>
      <w:pPr>
        <w:spacing w:after="0" w:line="2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Accounting Officer</w:t>
      </w:r>
    </w:p>
    <w:p>
      <w:pPr>
        <w:spacing w:after="0" w:line="211"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Exhibit F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83360"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8336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acted as counsel for Plains GP Holdings, L.P., a Delaware limited partnership (the “</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with respect to certain legal matters in connection with the registration by the Partnership with the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of the offer and sale by of 15,000,000 Class A shares representing limited partner interests in the Partnership (the “</w:t>
      </w:r>
      <w:r>
        <w:rPr>
          <w:rFonts w:ascii="Arial" w:cs="Arial" w:eastAsia="Arial" w:hAnsi="Arial"/>
          <w:sz w:val="18"/>
          <w:szCs w:val="18"/>
          <w:b w:val="1"/>
          <w:bCs w:val="1"/>
          <w:u w:val="single" w:color="auto"/>
          <w:color w:val="auto"/>
        </w:rPr>
        <w:t>Class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by Oxy Holding Company (Pipeline), Inc. We have participated in the preparation of a Prospectus Supplement dated as of September 18,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Prospectus Supplement</w:t>
      </w:r>
      <w:r>
        <w:rPr>
          <w:rFonts w:ascii="Arial" w:cs="Arial" w:eastAsia="Arial" w:hAnsi="Arial"/>
          <w:sz w:val="18"/>
          <w:szCs w:val="18"/>
          <w:color w:val="auto"/>
        </w:rPr>
        <w:t>”) and the Prospectus dated as of December 10, 2014 (the “</w:t>
      </w: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forming part of the Registration Statement on Form S-3 (No. 333-200596)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to which this opinion is an exhibit. The Prospectus Supplement has been filed pursuant to Rule 424(b) promulgated under the Securities Act.</w:t>
      </w:r>
    </w:p>
    <w:p>
      <w:pPr>
        <w:spacing w:after="0" w:line="18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In rendering the opinion set forth below, we have examined and relied upon (a) the Delaware Revised Uniform Partnership Act (the “</w:t>
      </w:r>
      <w:r>
        <w:rPr>
          <w:rFonts w:ascii="Arial" w:cs="Arial" w:eastAsia="Arial" w:hAnsi="Arial"/>
          <w:sz w:val="17"/>
          <w:szCs w:val="17"/>
          <w:b w:val="1"/>
          <w:bCs w:val="1"/>
          <w:u w:val="single" w:color="auto"/>
          <w:color w:val="auto"/>
        </w:rPr>
        <w:t>Delaware LP</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(b) the Registration Statement, the Prospectus Supplement and the Prospectus, (c) the Second Amended and Restated Agreement of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of the Partnership, dated as of November 15, 2016 (the “</w:t>
      </w:r>
      <w:r>
        <w:rPr>
          <w:rFonts w:ascii="Arial" w:cs="Arial" w:eastAsia="Arial" w:hAnsi="Arial"/>
          <w:sz w:val="17"/>
          <w:szCs w:val="17"/>
          <w:b w:val="1"/>
          <w:bCs w:val="1"/>
          <w:u w:val="single" w:color="auto"/>
          <w:color w:val="auto"/>
        </w:rPr>
        <w:t>Partnership Agreement</w:t>
      </w:r>
      <w:r>
        <w:rPr>
          <w:rFonts w:ascii="Arial" w:cs="Arial" w:eastAsia="Arial" w:hAnsi="Arial"/>
          <w:sz w:val="17"/>
          <w:szCs w:val="17"/>
          <w:color w:val="auto"/>
        </w:rPr>
        <w:t>”), (d) the Certificate of Limited Partnership of the Partnership filed with the Secretary of State of the State of Delaware pursuant to the Delaware LP Act in connection with the formation of the Partnership, (e) an Underwriting Agreement, dated September 18, 2019 relating to the offering and sale of the Class A Shares (the “</w:t>
      </w:r>
      <w:r>
        <w:rPr>
          <w:rFonts w:ascii="Arial" w:cs="Arial" w:eastAsia="Arial" w:hAnsi="Arial"/>
          <w:sz w:val="17"/>
          <w:szCs w:val="17"/>
          <w:b w:val="1"/>
          <w:bCs w:val="1"/>
          <w:u w:val="single" w:color="auto"/>
          <w:color w:val="auto"/>
        </w:rPr>
        <w:t>Underwriting Agreement</w:t>
      </w:r>
      <w:r>
        <w:rPr>
          <w:rFonts w:ascii="Arial" w:cs="Arial" w:eastAsia="Arial" w:hAnsi="Arial"/>
          <w:sz w:val="17"/>
          <w:szCs w:val="17"/>
          <w:color w:val="auto"/>
        </w:rPr>
        <w:t>”), a copy of which is being filed with the Commission as an exhibit to the Partnership’s Current Report on Form 8-K on or about the date hereof, (f) copies of certain resolutions duly adopted by the board of directors PAA GP Holdings LLC, A Delaware limited liability company and the general partner of the Partnership, approving and authorizing matters relating to the offering of the Class A Shares, (g) the Partnership’s records and documents, (h) certificates of the Partnership and public officials and (i) such other certificates, statutes and other instruments and documents as we consider appropriate for purposes of the opinions hereafter expressed.</w:t>
      </w:r>
    </w:p>
    <w:p>
      <w:pPr>
        <w:spacing w:after="0" w:line="18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Based upon and subject to the foregoing and the assumptions, limitations and qualifications set forth herein, we are of the opinion that the Class A Shares are duly and validly authorized for issuance and, upon payment and delivery of the Class A Shares in accordance with the Underwriting Agreement, the Prospectus Supplement and the Prospectus, will be validly issued, fully paid (to the extent required under the Partnership Agreement) and non-assessable (except as such nonassessability may be affected by Sections 17-303, 17-607 and 17-804 of the Delaware LP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600" w:type="dxa"/>
            <w:vAlign w:val="bottom"/>
          </w:tcPr>
          <w:p>
            <w:pPr>
              <w:ind w:left="104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820" w:type="dxa"/>
            <w:vAlign w:val="bottom"/>
          </w:tcPr>
          <w:p>
            <w:pPr>
              <w:spacing w:after="0"/>
              <w:rPr>
                <w:sz w:val="20"/>
                <w:szCs w:val="20"/>
                <w:color w:val="auto"/>
              </w:rPr>
            </w:pPr>
            <w:r>
              <w:rPr>
                <w:rFonts w:ascii="Arial" w:cs="Arial" w:eastAsia="Arial" w:hAnsi="Arial"/>
                <w:sz w:val="18"/>
                <w:szCs w:val="18"/>
                <w:color w:val="auto"/>
              </w:rPr>
              <w:t>Austin Beijing Dallas Dubai Hong Kong Houston London</w:t>
            </w:r>
          </w:p>
        </w:tc>
        <w:tc>
          <w:tcPr>
            <w:tcW w:w="5600" w:type="dxa"/>
            <w:vAlign w:val="bottom"/>
          </w:tcPr>
          <w:p>
            <w:pPr>
              <w:ind w:left="1040"/>
              <w:spacing w:after="0"/>
              <w:rPr>
                <w:sz w:val="20"/>
                <w:szCs w:val="20"/>
                <w:color w:val="auto"/>
              </w:rPr>
            </w:pPr>
            <w:r>
              <w:rPr>
                <w:rFonts w:ascii="Arial" w:cs="Arial" w:eastAsia="Arial" w:hAnsi="Arial"/>
                <w:sz w:val="18"/>
                <w:szCs w:val="18"/>
                <w:color w:val="auto"/>
              </w:rPr>
              <w:t>Houston, TX 77002-6760</w:t>
            </w:r>
          </w:p>
        </w:tc>
      </w:tr>
      <w:tr>
        <w:trPr>
          <w:trHeight w:val="234"/>
        </w:trPr>
        <w:tc>
          <w:tcPr>
            <w:tcW w:w="5820" w:type="dxa"/>
            <w:vAlign w:val="bottom"/>
          </w:tcPr>
          <w:p>
            <w:pPr>
              <w:spacing w:after="0"/>
              <w:rPr>
                <w:sz w:val="20"/>
                <w:szCs w:val="20"/>
                <w:color w:val="auto"/>
              </w:rPr>
            </w:pPr>
            <w:r>
              <w:rPr>
                <w:rFonts w:ascii="Arial" w:cs="Arial" w:eastAsia="Arial" w:hAnsi="Arial"/>
                <w:sz w:val="18"/>
                <w:szCs w:val="18"/>
                <w:color w:val="auto"/>
              </w:rPr>
              <w:t>New York Richmond Riyadh San Francisco Tokyo Washington</w:t>
            </w:r>
          </w:p>
        </w:tc>
        <w:tc>
          <w:tcPr>
            <w:tcW w:w="5600" w:type="dxa"/>
            <w:vAlign w:val="bottom"/>
          </w:tcPr>
          <w:p>
            <w:pPr>
              <w:ind w:left="1040"/>
              <w:spacing w:after="0"/>
              <w:rPr>
                <w:sz w:val="20"/>
                <w:szCs w:val="20"/>
                <w:color w:val="auto"/>
              </w:rPr>
            </w:pPr>
            <w:r>
              <w:rPr>
                <w:rFonts w:ascii="Arial" w:cs="Arial" w:eastAsia="Arial" w:hAnsi="Arial"/>
                <w:sz w:val="18"/>
                <w:szCs w:val="18"/>
                <w:b w:val="1"/>
                <w:bCs w:val="1"/>
                <w:color w:val="auto"/>
              </w:rPr>
              <w:t>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velaw.com</w:t>
            </w:r>
          </w:p>
        </w:tc>
      </w:tr>
      <w:tr>
        <w:trPr>
          <w:trHeight w:val="459"/>
        </w:trPr>
        <w:tc>
          <w:tcPr>
            <w:tcW w:w="5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 xml:space="preserve">Plains GP Holdings, L.P. </w:t>
      </w:r>
      <w:r>
        <w:rPr>
          <w:rFonts w:ascii="Arial" w:cs="Arial" w:eastAsia="Arial" w:hAnsi="Arial"/>
          <w:sz w:val="18"/>
          <w:szCs w:val="18"/>
          <w:color w:val="auto"/>
        </w:rPr>
        <w:t>September 23, 2019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6578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 cy="2914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qualified in the following respects:</w:t>
      </w:r>
    </w:p>
    <w:p>
      <w:pPr>
        <w:spacing w:after="0" w:line="225" w:lineRule="exact"/>
        <w:rPr>
          <w:sz w:val="20"/>
          <w:szCs w:val="20"/>
          <w:color w:val="auto"/>
        </w:rPr>
      </w:pPr>
    </w:p>
    <w:p>
      <w:pPr>
        <w:ind w:right="60" w:firstLine="656"/>
        <w:spacing w:after="0" w:line="272" w:lineRule="auto"/>
        <w:tabs>
          <w:tab w:leader="none" w:pos="1543"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have assumed that (i) all information contain in all documents submitted to us for review is accurate and complete, (ii) each such document submitted to us as an original is authentic, (iii) each such document submitted to us as a copy conforms to an authentic original, (iv) all signatures on each such document examined by us are genuine, (v) each certificate from governmental officials reviewed by us is accurate, complete and authentic, and all official public records are accurate and complete, (vi) each natural person signing any document reviewed by us had the legal capacity to do so and each person signing in a representative capacity any document reviewed by us had authority to sign in such capacity and (vii) all Class A Shares will be issued and sold in compliance with applicable federal and state securities laws and in the manner described in the Prospectus and the Prospectus Supplement, and in accordance with the terms of the Underwriting Agreement.</w:t>
      </w:r>
    </w:p>
    <w:p>
      <w:pPr>
        <w:spacing w:after="0" w:line="177" w:lineRule="exact"/>
        <w:rPr>
          <w:rFonts w:ascii="Arial" w:cs="Arial" w:eastAsia="Arial" w:hAnsi="Arial"/>
          <w:sz w:val="17"/>
          <w:szCs w:val="17"/>
          <w:color w:val="auto"/>
        </w:rPr>
      </w:pPr>
    </w:p>
    <w:p>
      <w:pPr>
        <w:ind w:right="100" w:firstLine="656"/>
        <w:spacing w:after="0" w:line="277" w:lineRule="auto"/>
        <w:tabs>
          <w:tab w:leader="none" w:pos="15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hereof, to the incorporation by reference of this opinion of counsel into the Registration Statement and to the reference to our Firm under the heading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Legal Matters</w:t>
      </w:r>
      <w:r>
        <w:rPr>
          <w:rFonts w:ascii="Arial" w:cs="Arial" w:eastAsia="Arial" w:hAnsi="Arial"/>
          <w:sz w:val="16"/>
          <w:szCs w:val="16"/>
          <w:color w:val="auto"/>
        </w:rPr>
        <w:t>” in the Prospectus Supplement and the Prospectus. In giving such consent, we do not admit that we are within the category of persons whose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consent is required under Section 7 of the Securities Act or the rules and regulations of the Commission issued thereunder.</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8336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8336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September 23, 2019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have acted as counsel for Plains GP Holdings, L.P.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a Delaware limited partnership that has elected to be treated as a corporation for U.S. federal income tax purposes, with respect to certain legal matters in connection with the preparation of a Prospectus Supplement dated September 18, 2019 (the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xml:space="preserve">”) and the Prospectus dated December 10, 2014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each forming part of the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The Registration Statement relates to the registration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of Class A shares representing limited partner interests in PAGP.</w:t>
      </w:r>
    </w:p>
    <w:p>
      <w:pPr>
        <w:spacing w:after="0" w:line="17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This opinion is based on various facts and assumptions, and is conditioned upon certain representations made by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a Delaware limited partnership, as to factual matters through a certificate of an officer of the Partnership (the “</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this opinion is based upon the factual representations of PAGP concerning its business, properties and governing documents as set forth in the Registration Statement.</w:t>
      </w:r>
    </w:p>
    <w:p>
      <w:pPr>
        <w:spacing w:after="0" w:line="18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Prospectus under the caption “Material U.S. Federal Income Tax Consequences,” as updated under the caption “Material U.S. Federal Tax Consequences” in the Prospectus Supplement, constitute the opinion of Vinson</w:t>
      </w:r>
    </w:p>
    <w:p>
      <w:pPr>
        <w:ind w:right="160" w:firstLine="8"/>
        <w:spacing w:after="0" w:line="253" w:lineRule="auto"/>
        <w:tabs>
          <w:tab w:leader="none" w:pos="1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4980" w:type="dxa"/>
            <w:vAlign w:val="bottom"/>
          </w:tcPr>
          <w:p>
            <w:pPr>
              <w:ind w:left="42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6440" w:type="dxa"/>
            <w:vAlign w:val="bottom"/>
          </w:tcPr>
          <w:p>
            <w:pPr>
              <w:spacing w:after="0"/>
              <w:rPr>
                <w:sz w:val="20"/>
                <w:szCs w:val="20"/>
                <w:color w:val="auto"/>
              </w:rPr>
            </w:pPr>
            <w:r>
              <w:rPr>
                <w:rFonts w:ascii="Arial" w:cs="Arial" w:eastAsia="Arial" w:hAnsi="Arial"/>
                <w:sz w:val="18"/>
                <w:szCs w:val="18"/>
                <w:color w:val="auto"/>
              </w:rPr>
              <w:t>Austin Beijing Dallas Dubai Hong Kong Houston London Moscow New York</w:t>
            </w:r>
          </w:p>
        </w:tc>
        <w:tc>
          <w:tcPr>
            <w:tcW w:w="4980" w:type="dxa"/>
            <w:vAlign w:val="bottom"/>
          </w:tcPr>
          <w:p>
            <w:pPr>
              <w:ind w:left="420"/>
              <w:spacing w:after="0"/>
              <w:rPr>
                <w:sz w:val="20"/>
                <w:szCs w:val="20"/>
                <w:color w:val="auto"/>
              </w:rPr>
            </w:pPr>
            <w:r>
              <w:rPr>
                <w:rFonts w:ascii="Arial" w:cs="Arial" w:eastAsia="Arial" w:hAnsi="Arial"/>
                <w:sz w:val="18"/>
                <w:szCs w:val="18"/>
                <w:color w:val="auto"/>
              </w:rPr>
              <w:t>Houston, TX 77002-6760</w:t>
            </w:r>
          </w:p>
        </w:tc>
      </w:tr>
      <w:tr>
        <w:trPr>
          <w:trHeight w:val="234"/>
        </w:trPr>
        <w:tc>
          <w:tcPr>
            <w:tcW w:w="6440" w:type="dxa"/>
            <w:vAlign w:val="bottom"/>
          </w:tcPr>
          <w:p>
            <w:pPr>
              <w:spacing w:after="0"/>
              <w:rPr>
                <w:sz w:val="20"/>
                <w:szCs w:val="20"/>
                <w:color w:val="auto"/>
              </w:rPr>
            </w:pPr>
            <w:r>
              <w:rPr>
                <w:rFonts w:ascii="Arial" w:cs="Arial" w:eastAsia="Arial" w:hAnsi="Arial"/>
                <w:sz w:val="18"/>
                <w:szCs w:val="18"/>
                <w:color w:val="auto"/>
              </w:rPr>
              <w:t>Palo Alto Richmond Riyadh San Francisco Taipei Tokyo Washington</w:t>
            </w:r>
          </w:p>
        </w:tc>
        <w:tc>
          <w:tcPr>
            <w:tcW w:w="4980" w:type="dxa"/>
            <w:vAlign w:val="bottom"/>
          </w:tcPr>
          <w:p>
            <w:pPr>
              <w:ind w:left="42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velaw.com</w:t>
            </w:r>
          </w:p>
        </w:tc>
      </w:tr>
      <w:tr>
        <w:trPr>
          <w:trHeight w:val="432"/>
        </w:trPr>
        <w:tc>
          <w:tcPr>
            <w:tcW w:w="64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65785"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 cy="2914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80" w:firstLine="324"/>
        <w:spacing w:after="0" w:line="302" w:lineRule="auto"/>
        <w:rPr>
          <w:sz w:val="20"/>
          <w:szCs w:val="20"/>
          <w:color w:val="auto"/>
        </w:rPr>
      </w:pPr>
      <w:r>
        <w:rPr>
          <w:rFonts w:ascii="Arial" w:cs="Arial" w:eastAsia="Arial" w:hAnsi="Arial"/>
          <w:sz w:val="16"/>
          <w:szCs w:val="16"/>
          <w:color w:val="auto"/>
        </w:rPr>
        <w:t>No opinion is expressed as to any matter not discussed in the Prospectus under the caption “Material U.S. Federal Income Tax Consequences” or in the Prospectus Supplement under the caption “Material U.S. Federal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8"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hereby consent to the filing of this opinion of counsel as Exhibit 8.1 to the Current Report on Form 8-K of PAGP dated on or about the date hereof, to the incorporation by reference of this opinion of counsel into the Registration Statement and to the reference to our firm in the Prospectus Supplement. In giving such consent, we do not admit that we are within the category of persons whose consent is required under Section 7 of the Securities Act.</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Letter"/>
      <w:start w:val="4"/>
    </w:lvl>
  </w:abstractNum>
  <w:abstractNum w:abstractNumId="2">
    <w:nsid w:val="2901D82"/>
    <w:multiLevelType w:val="hybridMultilevel"/>
    <w:lvl w:ilvl="0">
      <w:lvlJc w:val="left"/>
      <w:lvlText w:val="%1"/>
      <w:numFmt w:val="decimal"/>
      <w:start w:val="104"/>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
    <w:nsid w:val="1E7FF521"/>
    <w:multiLevelType w:val="hybridMultilevel"/>
    <w:lvl w:ilvl="0">
      <w:lvlJc w:val="left"/>
      <w:lvlText w:val="(%1)"/>
      <w:numFmt w:val="lowerRoman"/>
      <w:start w:val="2"/>
    </w:lvl>
  </w:abstractNum>
  <w:abstractNum w:abstractNumId="6">
    <w:nsid w:val="7C3DBD3D"/>
    <w:multiLevelType w:val="hybridMultilevel"/>
    <w:lvl w:ilvl="0">
      <w:lvlJc w:val="left"/>
      <w:lvlText w:val="(%1)"/>
      <w:numFmt w:val="lowerRoman"/>
      <w:start w:val="9"/>
    </w:lvl>
  </w:abstractNum>
  <w:abstractNum w:abstractNumId="7">
    <w:nsid w:val="737B8DDC"/>
    <w:multiLevelType w:val="hybridMultilevel"/>
    <w:lvl w:ilvl="0">
      <w:lvlJc w:val="left"/>
      <w:lvlText w:val="(%1)"/>
      <w:numFmt w:val="lowerRoman"/>
      <w:start w:val="13"/>
    </w:lvl>
  </w:abstractNum>
  <w:abstractNum w:abstractNumId="8">
    <w:nsid w:val="6CEAF087"/>
    <w:multiLevelType w:val="hybridMultilevel"/>
    <w:lvl w:ilvl="0">
      <w:lvlJc w:val="left"/>
      <w:lvlText w:val="(%1)"/>
      <w:numFmt w:val="lowerRoman"/>
      <w:start w:val="17"/>
    </w:lvl>
  </w:abstractNum>
  <w:abstractNum w:abstractNumId="9">
    <w:nsid w:val="22221A70"/>
    <w:multiLevelType w:val="hybridMultilevel"/>
    <w:lvl w:ilvl="0">
      <w:lvlJc w:val="left"/>
      <w:lvlText w:val="%1"/>
      <w:numFmt w:val="lowerRoman"/>
      <w:start w:val="1"/>
    </w:lvl>
    <w:lvl w:ilvl="1">
      <w:lvlJc w:val="left"/>
      <w:lvlText w:val="(%2)"/>
      <w:numFmt w:val="lowerRoman"/>
      <w:start w:val="23"/>
    </w:lvl>
  </w:abstractNum>
  <w:abstractNum w:abstractNumId="10">
    <w:nsid w:val="4516DDE9"/>
    <w:multiLevelType w:val="hybridMultilevel"/>
    <w:lvl w:ilvl="0">
      <w:lvlJc w:val="left"/>
      <w:lvlText w:val="(%1)"/>
      <w:numFmt w:val="lowerRoman"/>
      <w:start w:val="2"/>
    </w:lvl>
    <w:lvl w:ilvl="1">
      <w:lvlJc w:val="left"/>
      <w:lvlText w:val="(%2)"/>
      <w:numFmt w:val="lowerRoman"/>
      <w:start w:val="25"/>
    </w:lvl>
  </w:abstractNum>
  <w:abstractNum w:abstractNumId="11">
    <w:nsid w:val="3006C83E"/>
    <w:multiLevelType w:val="hybridMultilevel"/>
    <w:lvl w:ilvl="0">
      <w:lvlJc w:val="left"/>
      <w:lvlText w:val="(%1)"/>
      <w:numFmt w:val="lowerRoman"/>
      <w:start w:val="27"/>
    </w:lvl>
  </w:abstractNum>
  <w:abstractNum w:abstractNumId="12">
    <w:nsid w:val="614FD4A1"/>
    <w:multiLevelType w:val="hybridMultilevel"/>
    <w:lvl w:ilvl="0">
      <w:lvlJc w:val="left"/>
      <w:lvlText w:val="(%1)"/>
      <w:numFmt w:val="lowerRoman"/>
      <w:start w:val="31"/>
    </w:lvl>
  </w:abstractNum>
  <w:abstractNum w:abstractNumId="13">
    <w:nsid w:val="419AC241"/>
    <w:multiLevelType w:val="hybridMultilevel"/>
    <w:lvl w:ilvl="0">
      <w:lvlJc w:val="left"/>
      <w:lvlText w:val="(%1)"/>
      <w:numFmt w:val="lowerRoman"/>
      <w:start w:val="37"/>
    </w:lvl>
  </w:abstractNum>
  <w:abstractNum w:abstractNumId="14">
    <w:nsid w:val="5577F8E1"/>
    <w:multiLevelType w:val="hybridMultilevel"/>
    <w:lvl w:ilvl="0">
      <w:lvlJc w:val="left"/>
      <w:lvlText w:val="(%1)"/>
      <w:numFmt w:val="lowerLetter"/>
      <w:start w:val="2"/>
    </w:lvl>
    <w:lvl w:ilvl="1">
      <w:lvlJc w:val="left"/>
      <w:lvlText w:val="(%2)"/>
      <w:numFmt w:val="lowerRoman"/>
      <w:start w:val="1"/>
    </w:lvl>
  </w:abstractNum>
  <w:abstractNum w:abstractNumId="15">
    <w:nsid w:val="440BADFC"/>
    <w:multiLevelType w:val="hybridMultilevel"/>
    <w:lvl w:ilvl="0">
      <w:lvlJc w:val="left"/>
      <w:lvlText w:val="(%1)"/>
      <w:numFmt w:val="lowerRoman"/>
      <w:start w:val="4"/>
    </w:lvl>
  </w:abstractNum>
  <w:abstractNum w:abstractNumId="16">
    <w:nsid w:val="5072367"/>
    <w:multiLevelType w:val="hybridMultilevel"/>
    <w:lvl w:ilvl="0">
      <w:lvlJc w:val="left"/>
      <w:lvlText w:val="%1."/>
      <w:numFmt w:val="decimal"/>
      <w:start w:val="2"/>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lowerLetter"/>
      <w:start w:val="4"/>
    </w:lvl>
  </w:abstractNum>
  <w:abstractNum w:abstractNumId="19">
    <w:nsid w:val="7724C67E"/>
    <w:multiLevelType w:val="hybridMultilevel"/>
    <w:lvl w:ilvl="0">
      <w:lvlJc w:val="left"/>
      <w:lvlText w:val="%1"/>
      <w:numFmt w:val="decimal"/>
      <w:start w:val="1"/>
    </w:lvl>
    <w:lvl w:ilvl="1">
      <w:lvlJc w:val="left"/>
      <w:lvlText w:val="(%2)"/>
      <w:numFmt w:val="lowerLetter"/>
      <w:start w:val="7"/>
    </w:lvl>
  </w:abstractNum>
  <w:abstractNum w:abstractNumId="20">
    <w:nsid w:val="5C482A97"/>
    <w:multiLevelType w:val="hybridMultilevel"/>
    <w:lvl w:ilvl="0">
      <w:lvlJc w:val="left"/>
      <w:lvlText w:val="%1)"/>
      <w:numFmt w:val="decimal"/>
      <w:start w:val="158"/>
    </w:lvl>
    <w:lvl w:ilvl="1">
      <w:lvlJc w:val="left"/>
      <w:lvlText w:val="(%2)"/>
      <w:numFmt w:val="lowerLetter"/>
      <w:start w:val="8"/>
    </w:lvl>
  </w:abstractNum>
  <w:abstractNum w:abstractNumId="21">
    <w:nsid w:val="2463B9EA"/>
    <w:multiLevelType w:val="hybridMultilevel"/>
    <w:lvl w:ilvl="0">
      <w:lvlJc w:val="left"/>
      <w:lvlText w:val="(%1)"/>
      <w:numFmt w:val="lowerLetter"/>
      <w:start w:val="14"/>
    </w:lvl>
  </w:abstractNum>
  <w:abstractNum w:abstractNumId="22">
    <w:nsid w:val="5E884ADC"/>
    <w:multiLevelType w:val="hybridMultilevel"/>
    <w:lvl w:ilvl="0">
      <w:lvlJc w:val="left"/>
      <w:lvlText w:val="%1."/>
      <w:numFmt w:val="decimal"/>
      <w:start w:val="6"/>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decimal"/>
      <w:start w:val="7"/>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2"/>
    </w:lvl>
  </w:abstractNum>
  <w:abstractNum w:abstractNumId="27">
    <w:nsid w:val="3855585C"/>
    <w:multiLevelType w:val="hybridMultilevel"/>
    <w:lvl w:ilvl="0">
      <w:lvlJc w:val="left"/>
      <w:lvlText w:val="(%1)"/>
      <w:numFmt w:val="lowerLetter"/>
      <w:start w:val="4"/>
    </w:lvl>
  </w:abstractNum>
  <w:abstractNum w:abstractNumId="28">
    <w:nsid w:val="70A64E2A"/>
    <w:multiLevelType w:val="hybridMultilevel"/>
    <w:lvl w:ilvl="0">
      <w:lvlJc w:val="left"/>
      <w:lvlText w:val="(%1)"/>
      <w:numFmt w:val="lowerLetter"/>
      <w:start w:val="6"/>
    </w:lvl>
  </w:abstractNum>
  <w:abstractNum w:abstractNumId="29">
    <w:nsid w:val="6A2342EC"/>
    <w:multiLevelType w:val="hybridMultilevel"/>
    <w:lvl w:ilvl="0">
      <w:lvlJc w:val="left"/>
      <w:lvlText w:val="%1."/>
      <w:numFmt w:val="decimal"/>
      <w:start w:val="8"/>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Letter"/>
      <w:start w:val="3"/>
    </w:lvl>
    <w:lvl w:ilvl="1">
      <w:lvlJc w:val="left"/>
      <w:lvlText w:val="(%2)"/>
      <w:numFmt w:val="lowerRoman"/>
      <w:start w:val="1"/>
    </w:lvl>
  </w:abstractNum>
  <w:abstractNum w:abstractNumId="32">
    <w:nsid w:val="725A06FB"/>
    <w:multiLevelType w:val="hybridMultilevel"/>
    <w:lvl w:ilvl="0">
      <w:lvlJc w:val="left"/>
      <w:lvlText w:val="%1"/>
      <w:numFmt w:val="lowerLetter"/>
      <w:start w:val="1"/>
    </w:lvl>
    <w:lvl w:ilvl="1">
      <w:lvlJc w:val="left"/>
      <w:lvlText w:val="(%2)"/>
      <w:numFmt w:val="lowerLetter"/>
      <w:start w:val="61"/>
    </w:lvl>
  </w:abstractNum>
  <w:abstractNum w:abstractNumId="33">
    <w:nsid w:val="2CD89A32"/>
    <w:multiLevelType w:val="hybridMultilevel"/>
    <w:lvl w:ilvl="0">
      <w:lvlJc w:val="left"/>
      <w:lvlText w:val="(%1)"/>
      <w:numFmt w:val="lowerLetter"/>
      <w:start w:val="11"/>
    </w:lvl>
    <w:lvl w:ilvl="1">
      <w:lvlJc w:val="left"/>
      <w:lvlText w:val="%2"/>
      <w:numFmt w:val="lowerLetter"/>
      <w:start w:val="1"/>
    </w:lvl>
  </w:abstractNum>
  <w:abstractNum w:abstractNumId="34">
    <w:nsid w:val="57E4CCAF"/>
    <w:multiLevelType w:val="hybridMultilevel"/>
    <w:lvl w:ilvl="0">
      <w:lvlJc w:val="left"/>
      <w:lvlText w:val="%1."/>
      <w:numFmt w:val="decimal"/>
      <w:start w:val="9"/>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2"/>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3"/>
    </w:lvl>
  </w:abstractNum>
  <w:abstractNum w:abstractNumId="40">
    <w:nsid w:val="7644A45C"/>
    <w:multiLevelType w:val="hybridMultilevel"/>
    <w:lvl w:ilvl="0">
      <w:lvlJc w:val="left"/>
      <w:lvlText w:val="%1"/>
      <w:numFmt w:val="upperLetter"/>
      <w:start w:val="1"/>
    </w:lvl>
    <w:lvl w:ilvl="1">
      <w:lvlJc w:val="left"/>
      <w:lvlText w:val="%2."/>
      <w:numFmt w:val="decimal"/>
      <w:start w:val="13"/>
    </w:lvl>
    <w:lvl w:ilvl="2">
      <w:lvlJc w:val="left"/>
      <w:lvlText w:val="%3"/>
      <w:numFmt w:val="lowerRoman"/>
      <w:start w:val="1"/>
    </w:lvl>
  </w:abstractNum>
  <w:abstractNum w:abstractNumId="41">
    <w:nsid w:val="32FFF902"/>
    <w:multiLevelType w:val="hybridMultilevel"/>
    <w:lvl w:ilvl="0">
      <w:lvlJc w:val="left"/>
      <w:lvlText w:val="(%1)"/>
      <w:numFmt w:val="upperLetter"/>
      <w:start w:val="4"/>
    </w:lvl>
    <w:lvl w:ilvl="1">
      <w:lvlJc w:val="left"/>
      <w:lvlText w:val="%2."/>
      <w:numFmt w:val="decimal"/>
      <w:start w:val="14"/>
    </w:lvl>
    <w:lvl w:ilvl="2">
      <w:lvlJc w:val="left"/>
      <w:lvlText w:val="(%3)"/>
      <w:numFmt w:val="lowerRoman"/>
      <w:start w:val="1"/>
    </w:lvl>
  </w:abstractNum>
  <w:abstractNum w:abstractNumId="42">
    <w:nsid w:val="684A481A"/>
    <w:multiLevelType w:val="hybridMultilevel"/>
    <w:lvl w:ilvl="0">
      <w:lvlJc w:val="left"/>
      <w:lvlText w:val="%1."/>
      <w:numFmt w:val="decimal"/>
      <w:start w:val="16"/>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lowerRoman"/>
      <w:start w:val="1"/>
    </w:lvl>
    <w:lvl w:ilvl="1">
      <w:lvlJc w:val="left"/>
      <w:lvlText w:val="(%2)"/>
      <w:numFmt w:val="lowerRoman"/>
      <w:start w:val="5"/>
    </w:lvl>
  </w:abstractNum>
  <w:abstractNum w:abstractNumId="45">
    <w:nsid w:val="3DC240FB"/>
    <w:multiLevelType w:val="hybridMultilevel"/>
    <w:lvl w:ilvl="0">
      <w:lvlJc w:val="left"/>
      <w:lvlText w:val="(%1)"/>
      <w:numFmt w:val="lowerRoman"/>
      <w:start w:val="7"/>
    </w:lvl>
  </w:abstractNum>
  <w:abstractNum w:abstractNumId="46">
    <w:nsid w:val="1BA026FA"/>
    <w:multiLevelType w:val="hybridMultilevel"/>
    <w:lvl w:ilvl="0">
      <w:lvlJc w:val="left"/>
      <w:lvlText w:val="(%1)"/>
      <w:numFmt w:val="lowerRoman"/>
      <w:start w:val="13"/>
    </w:lvl>
  </w:abstractNum>
  <w:abstractNum w:abstractNumId="47">
    <w:nsid w:val="79A1DEAA"/>
    <w:multiLevelType w:val="hybridMultilevel"/>
    <w:lvl w:ilvl="0">
      <w:lvlJc w:val="left"/>
      <w:lvlText w:val="(%1)"/>
      <w:numFmt w:val="upperLetter"/>
      <w:start w:val="1"/>
    </w:lvl>
  </w:abstractNum>
  <w:abstractNum w:abstractNumId="48">
    <w:nsid w:val="75C6C33A"/>
    <w:multiLevelType w:val="hybridMultilevel"/>
    <w:lvl w:ilvl="0">
      <w:lvlJc w:val="left"/>
      <w:lvlText w:val="%1"/>
      <w:numFmt w:val="upperLetter"/>
      <w:start w:val="1"/>
    </w:lvl>
    <w:lvl w:ilvl="1">
      <w:lvlJc w:val="left"/>
      <w:lvlText w:val="(%2)"/>
      <w:numFmt w:val="lowerRoman"/>
      <w:start w:val="1"/>
    </w:lvl>
  </w:abstractNum>
  <w:abstractNum w:abstractNumId="49">
    <w:nsid w:val="12E685FB"/>
    <w:multiLevelType w:val="hybridMultilevel"/>
    <w:lvl w:ilvl="0">
      <w:lvlJc w:val="left"/>
      <w:lvlText w:val="(%1)"/>
      <w:numFmt w:val="upperLetter"/>
      <w:start w:val="2"/>
    </w:lvl>
    <w:lvl w:ilvl="1">
      <w:lvlJc w:val="left"/>
      <w:lvlText w:val="(%2)"/>
      <w:numFmt w:val="lowerRoman"/>
      <w:start w:val="2"/>
    </w:lvl>
  </w:abstractNum>
  <w:abstractNum w:abstractNumId="50">
    <w:nsid w:val="70C6A529"/>
    <w:multiLevelType w:val="hybridMultilevel"/>
    <w:lvl w:ilvl="0">
      <w:lvlJc w:val="left"/>
      <w:lvlText w:val="(%1)"/>
      <w:numFmt w:val="lowerRoman"/>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bullet"/>
      <w:start w:val="1"/>
    </w:lvl>
  </w:abstractNum>
  <w:abstractNum w:abstractNumId="53">
    <w:nsid w:val="4F4EF005"/>
    <w:multiLevelType w:val="hybridMultilevel"/>
    <w:lvl w:ilvl="0">
      <w:lvlJc w:val="left"/>
      <w:lvlText w:val="%1."/>
      <w:numFmt w:val="upperLetter"/>
      <w:start w:val="1"/>
    </w:lvl>
  </w:abstractNum>
  <w:abstractNum w:abstractNumId="54">
    <w:nsid w:val="23F9C13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2020-01-08T23:27:45Z</dcterms:created>
  <dcterms:modified xsi:type="dcterms:W3CDTF">2020-01-08T23:27:45Z</dcterms:modified>
</cp:coreProperties>
</file>