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9223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223375"/>
                    </a:xfrm>
                    <a:prstGeom prst="rect">
                      <a:avLst/>
                    </a:prstGeom>
                    <a:noFill/>
                  </pic:spPr>
                </pic:pic>
              </a:graphicData>
            </a:graphic>
          </wp:anchor>
        </w:drawing>
      </w:r>
    </w:p>
    <w:p>
      <w:pPr>
        <w:spacing w:after="0" w:line="41" w:lineRule="exact"/>
        <w:rPr>
          <w:sz w:val="24"/>
          <w:szCs w:val="24"/>
          <w:color w:val="auto"/>
        </w:rPr>
      </w:pPr>
    </w:p>
    <w:p>
      <w:pPr>
        <w:sectPr>
          <w:pgSz w:w="11900" w:h="16862"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10"/>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1"/>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gridSpan w:val="4"/>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00" w:type="dxa"/>
            <w:vAlign w:val="bottom"/>
          </w:tcPr>
          <w:p>
            <w:pPr>
              <w:spacing w:after="0"/>
              <w:rPr>
                <w:sz w:val="7"/>
                <w:szCs w:val="7"/>
                <w:color w:val="auto"/>
              </w:rPr>
            </w:pPr>
          </w:p>
        </w:tc>
        <w:tc>
          <w:tcPr>
            <w:tcW w:w="48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340" w:type="dxa"/>
            <w:vAlign w:val="bottom"/>
            <w:gridSpan w:val="4"/>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34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56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3020" w:type="dxa"/>
            <w:vAlign w:val="bottom"/>
            <w:gridSpan w:val="10"/>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48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10"/>
            <w:vMerge w:val="continue"/>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0" w:type="dxa"/>
            <w:vAlign w:val="bottom"/>
            <w:gridSpan w:val="5"/>
            <w:vMerge w:val="restart"/>
          </w:tcPr>
          <w:p>
            <w:pPr>
              <w:spacing w:after="0"/>
              <w:rPr>
                <w:sz w:val="20"/>
                <w:szCs w:val="20"/>
                <w:color w:val="auto"/>
              </w:rPr>
            </w:pPr>
            <w:r>
              <w:rPr>
                <w:rFonts w:ascii="Arial" w:cs="Arial" w:eastAsia="Arial" w:hAnsi="Arial"/>
                <w:sz w:val="17"/>
                <w:szCs w:val="17"/>
                <w:color w:val="0000FF"/>
              </w:rPr>
              <w:t>1800 AVENUE OF THE STARS, 3RD FLOOR</w:t>
            </w:r>
          </w:p>
        </w:tc>
        <w:tc>
          <w:tcPr>
            <w:tcW w:w="1460" w:type="dxa"/>
            <w:vAlign w:val="bottom"/>
            <w:gridSpan w:val="7"/>
          </w:tcPr>
          <w:p>
            <w:pPr>
              <w:ind w:left="160"/>
              <w:spacing w:after="0"/>
              <w:rPr>
                <w:sz w:val="20"/>
                <w:szCs w:val="20"/>
                <w:color w:val="auto"/>
              </w:rPr>
            </w:pPr>
            <w:r>
              <w:rPr>
                <w:rFonts w:ascii="Arial" w:cs="Arial" w:eastAsia="Arial" w:hAnsi="Arial"/>
                <w:sz w:val="17"/>
                <w:szCs w:val="17"/>
                <w:color w:val="0000FF"/>
              </w:rPr>
              <w:t>12/31/2019</w:t>
            </w: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40" w:type="dxa"/>
            <w:vAlign w:val="bottom"/>
            <w:gridSpan w:val="3"/>
          </w:tcPr>
          <w:p>
            <w:pPr>
              <w:ind w:left="320"/>
              <w:spacing w:after="0"/>
              <w:rPr>
                <w:sz w:val="20"/>
                <w:szCs w:val="20"/>
                <w:color w:val="auto"/>
              </w:rPr>
            </w:pPr>
            <w:r>
              <w:rPr>
                <w:rFonts w:ascii="Arial" w:cs="Arial" w:eastAsia="Arial" w:hAnsi="Arial"/>
                <w:sz w:val="17"/>
                <w:szCs w:val="17"/>
                <w:color w:val="0000FF"/>
                <w:w w:val="93"/>
              </w:rPr>
              <w:t>See remarks</w:t>
            </w: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gridSpan w:val="2"/>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2"/>
          </w:tcPr>
          <w:p>
            <w:pPr>
              <w:spacing w:after="0"/>
              <w:rPr>
                <w:sz w:val="17"/>
                <w:szCs w:val="17"/>
                <w:color w:val="auto"/>
              </w:rPr>
            </w:pPr>
          </w:p>
        </w:tc>
        <w:tc>
          <w:tcPr>
            <w:tcW w:w="1220" w:type="dxa"/>
            <w:vAlign w:val="bottom"/>
            <w:tcBorders>
              <w:bottom w:val="single" w:sz="8" w:color="2C2C2C"/>
            </w:tcBorders>
            <w:gridSpan w:val="3"/>
          </w:tcPr>
          <w:p>
            <w:pPr>
              <w:spacing w:after="0"/>
              <w:rPr>
                <w:sz w:val="17"/>
                <w:szCs w:val="17"/>
                <w:color w:val="auto"/>
              </w:rPr>
            </w:pPr>
          </w:p>
        </w:tc>
        <w:tc>
          <w:tcPr>
            <w:tcW w:w="920" w:type="dxa"/>
            <w:vAlign w:val="bottom"/>
            <w:tcBorders>
              <w:bottom w:val="single" w:sz="8" w:color="2C2C2C"/>
            </w:tcBorders>
            <w:gridSpan w:val="2"/>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240" w:type="dxa"/>
            <w:vAlign w:val="bottom"/>
            <w:tcBorders>
              <w:bottom w:val="single" w:sz="8" w:color="2C2C2C"/>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2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continue"/>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LOS ANGELES CA</w:t>
            </w:r>
          </w:p>
        </w:tc>
        <w:tc>
          <w:tcPr>
            <w:tcW w:w="1260" w:type="dxa"/>
            <w:vAlign w:val="bottom"/>
            <w:vMerge w:val="restart"/>
          </w:tcPr>
          <w:p>
            <w:pPr>
              <w:ind w:left="2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restart"/>
          </w:tcPr>
          <w:p>
            <w:pPr>
              <w:ind w:left="100"/>
              <w:spacing w:after="0"/>
              <w:rPr>
                <w:sz w:val="20"/>
                <w:szCs w:val="20"/>
                <w:color w:val="auto"/>
              </w:rPr>
            </w:pPr>
            <w:r>
              <w:rPr>
                <w:rFonts w:ascii="Arial" w:cs="Arial" w:eastAsia="Arial" w:hAnsi="Arial"/>
                <w:sz w:val="17"/>
                <w:szCs w:val="17"/>
                <w:color w:val="0000FF"/>
              </w:rPr>
              <w:t>X</w:t>
            </w:r>
          </w:p>
        </w:tc>
        <w:tc>
          <w:tcPr>
            <w:tcW w:w="3100" w:type="dxa"/>
            <w:vAlign w:val="bottom"/>
            <w:gridSpan w:val="8"/>
          </w:tcPr>
          <w:p>
            <w:pPr>
              <w:ind w:left="18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560"/>
              <w:spacing w:after="0"/>
              <w:rPr>
                <w:sz w:val="20"/>
                <w:szCs w:val="20"/>
                <w:color w:val="auto"/>
              </w:rPr>
            </w:pPr>
            <w:r>
              <w:rPr>
                <w:rFonts w:ascii="Arial" w:cs="Arial" w:eastAsia="Arial" w:hAnsi="Arial"/>
                <w:sz w:val="13"/>
                <w:szCs w:val="13"/>
                <w:color w:val="auto"/>
              </w:rPr>
              <w:t>(State)</w:t>
            </w:r>
          </w:p>
        </w:tc>
        <w:tc>
          <w:tcPr>
            <w:tcW w:w="12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020" w:type="dxa"/>
            <w:vAlign w:val="bottom"/>
            <w:tcBorders>
              <w:top w:val="single" w:sz="8" w:color="2C2C2C"/>
            </w:tcBorders>
            <w:gridSpan w:val="22"/>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4"/>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240" w:type="dxa"/>
            <w:vAlign w:val="bottom"/>
            <w:gridSpan w:val="3"/>
          </w:tcPr>
          <w:p>
            <w:pPr>
              <w:ind w:left="400"/>
              <w:spacing w:after="0"/>
              <w:rPr>
                <w:sz w:val="20"/>
                <w:szCs w:val="20"/>
                <w:color w:val="auto"/>
              </w:rPr>
            </w:pPr>
            <w:r>
              <w:rPr>
                <w:rFonts w:ascii="Arial" w:cs="Arial" w:eastAsia="Arial" w:hAnsi="Arial"/>
                <w:sz w:val="12"/>
                <w:szCs w:val="12"/>
                <w:b w:val="1"/>
                <w:bCs w:val="1"/>
                <w:color w:val="auto"/>
              </w:rPr>
              <w:t>6. Ownership</w:t>
            </w:r>
          </w:p>
        </w:tc>
        <w:tc>
          <w:tcPr>
            <w:tcW w:w="134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ind w:left="520"/>
              <w:spacing w:after="0" w:line="132"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240" w:type="dxa"/>
            <w:vAlign w:val="bottom"/>
            <w:gridSpan w:val="3"/>
          </w:tcPr>
          <w:p>
            <w:pPr>
              <w:ind w:left="400"/>
              <w:spacing w:after="0" w:line="132" w:lineRule="exact"/>
              <w:rPr>
                <w:sz w:val="20"/>
                <w:szCs w:val="20"/>
                <w:color w:val="auto"/>
              </w:rPr>
            </w:pPr>
            <w:r>
              <w:rPr>
                <w:rFonts w:ascii="Arial" w:cs="Arial" w:eastAsia="Arial" w:hAnsi="Arial"/>
                <w:sz w:val="12"/>
                <w:szCs w:val="12"/>
                <w:b w:val="1"/>
                <w:bCs w:val="1"/>
                <w:color w:val="auto"/>
              </w:rPr>
              <w:t>Form: Direct</w:t>
            </w:r>
          </w:p>
        </w:tc>
        <w:tc>
          <w:tcPr>
            <w:tcW w:w="13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4"/>
          </w:tcPr>
          <w:p>
            <w:pPr>
              <w:ind w:left="5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1240" w:type="dxa"/>
            <w:vAlign w:val="bottom"/>
            <w:gridSpan w:val="3"/>
          </w:tcPr>
          <w:p>
            <w:pPr>
              <w:ind w:left="400"/>
              <w:spacing w:after="0" w:line="134" w:lineRule="exact"/>
              <w:rPr>
                <w:sz w:val="20"/>
                <w:szCs w:val="20"/>
                <w:color w:val="auto"/>
              </w:rPr>
            </w:pPr>
            <w:r>
              <w:rPr>
                <w:rFonts w:ascii="Arial" w:cs="Arial" w:eastAsia="Arial" w:hAnsi="Arial"/>
                <w:sz w:val="12"/>
                <w:szCs w:val="12"/>
                <w:b w:val="1"/>
                <w:bCs w:val="1"/>
                <w:color w:val="auto"/>
              </w:rPr>
              <w:t>(D) or Indirect</w:t>
            </w:r>
          </w:p>
        </w:tc>
        <w:tc>
          <w:tcPr>
            <w:tcW w:w="1340" w:type="dxa"/>
            <w:vAlign w:val="bottom"/>
            <w:gridSpan w:val="4"/>
          </w:tcPr>
          <w:p>
            <w:pPr>
              <w:ind w:left="120"/>
              <w:spacing w:after="0" w:line="134"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4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8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4"/>
            <w:vMerge w:val="restart"/>
          </w:tcPr>
          <w:p>
            <w:pPr>
              <w:jc w:val="right"/>
              <w:ind w:right="153"/>
              <w:spacing w:after="0"/>
              <w:rPr>
                <w:sz w:val="20"/>
                <w:szCs w:val="20"/>
                <w:color w:val="auto"/>
              </w:rPr>
            </w:pPr>
            <w:r>
              <w:rPr>
                <w:rFonts w:ascii="Arial" w:cs="Arial" w:eastAsia="Arial" w:hAnsi="Arial"/>
                <w:sz w:val="17"/>
                <w:szCs w:val="17"/>
                <w:color w:val="0000FF"/>
              </w:rPr>
              <w:t>12/31/2019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J</w:t>
            </w:r>
          </w:p>
        </w:tc>
        <w:tc>
          <w:tcPr>
            <w:tcW w:w="780" w:type="dxa"/>
            <w:vAlign w:val="bottom"/>
            <w:gridSpan w:val="2"/>
            <w:vMerge w:val="restart"/>
          </w:tcPr>
          <w:p>
            <w:pPr>
              <w:ind w:left="140"/>
              <w:spacing w:after="0"/>
              <w:rPr>
                <w:sz w:val="20"/>
                <w:szCs w:val="20"/>
                <w:color w:val="auto"/>
              </w:rPr>
            </w:pPr>
            <w:r>
              <w:rPr>
                <w:rFonts w:ascii="Arial" w:cs="Arial" w:eastAsia="Arial" w:hAnsi="Arial"/>
                <w:sz w:val="17"/>
                <w:szCs w:val="17"/>
                <w:color w:val="0000FF"/>
              </w:rPr>
              <w:t>7,583</w:t>
            </w:r>
          </w:p>
        </w:tc>
        <w:tc>
          <w:tcPr>
            <w:tcW w:w="50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46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rPr>
              <w:t>7,583</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480" w:type="dxa"/>
            <w:vAlign w:val="bottom"/>
          </w:tcPr>
          <w:p>
            <w:pPr>
              <w:ind w:left="120"/>
              <w:spacing w:after="0"/>
              <w:rPr>
                <w:sz w:val="20"/>
                <w:szCs w:val="20"/>
                <w:color w:val="auto"/>
              </w:rPr>
            </w:pPr>
            <w:r>
              <w:rPr>
                <w:rFonts w:ascii="Arial" w:cs="Arial" w:eastAsia="Arial" w:hAnsi="Arial"/>
                <w:sz w:val="17"/>
                <w:szCs w:val="17"/>
                <w:color w:val="0000FF"/>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340" w:type="dxa"/>
            <w:vAlign w:val="bottom"/>
            <w:gridSpan w:val="4"/>
            <w:vMerge w:val="restart"/>
          </w:tcPr>
          <w:p>
            <w:pPr>
              <w:ind w:left="120"/>
              <w:spacing w:after="0"/>
              <w:rPr>
                <w:sz w:val="20"/>
                <w:szCs w:val="20"/>
                <w:color w:val="auto"/>
              </w:rPr>
            </w:pPr>
            <w:r>
              <w:rPr>
                <w:rFonts w:ascii="Arial" w:cs="Arial" w:eastAsia="Arial" w:hAnsi="Arial"/>
                <w:sz w:val="17"/>
                <w:szCs w:val="17"/>
                <w:color w:val="0000FF"/>
                <w:w w:val="96"/>
              </w:rPr>
              <w:t>footnotes</w:t>
            </w:r>
            <w:r>
              <w:rPr>
                <w:rFonts w:ascii="Arial" w:cs="Arial" w:eastAsia="Arial" w:hAnsi="Arial"/>
                <w:sz w:val="22"/>
                <w:szCs w:val="22"/>
                <w:color w:val="008000"/>
                <w:w w:val="96"/>
                <w:vertAlign w:val="superscript"/>
              </w:rPr>
              <w:t>(1)(2)(3)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40" w:type="dxa"/>
            <w:vAlign w:val="bottom"/>
            <w:tcBorders>
              <w:top w:val="single" w:sz="8" w:color="2C2C2C"/>
            </w:tcBorders>
            <w:gridSpan w:val="4"/>
            <w:vMerge w:val="restart"/>
          </w:tcPr>
          <w:p>
            <w:pPr>
              <w:jc w:val="right"/>
              <w:ind w:right="153"/>
              <w:spacing w:after="0"/>
              <w:rPr>
                <w:sz w:val="20"/>
                <w:szCs w:val="20"/>
                <w:color w:val="auto"/>
              </w:rPr>
            </w:pPr>
            <w:r>
              <w:rPr>
                <w:rFonts w:ascii="Arial" w:cs="Arial" w:eastAsia="Arial" w:hAnsi="Arial"/>
                <w:sz w:val="17"/>
                <w:szCs w:val="17"/>
                <w:color w:val="0000FF"/>
              </w:rPr>
              <w:t>12/31/2019</w:t>
            </w:r>
          </w:p>
        </w:tc>
        <w:tc>
          <w:tcPr>
            <w:tcW w:w="1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J</w:t>
            </w:r>
          </w:p>
        </w:tc>
        <w:tc>
          <w:tcPr>
            <w:tcW w:w="78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7,583</w:t>
            </w:r>
          </w:p>
        </w:tc>
        <w:tc>
          <w:tcPr>
            <w:tcW w:w="50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4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jc w:val="right"/>
              <w:ind w:right="129"/>
              <w:spacing w:after="0"/>
              <w:rPr>
                <w:sz w:val="20"/>
                <w:szCs w:val="20"/>
                <w:color w:val="auto"/>
              </w:rPr>
            </w:pPr>
            <w:r>
              <w:rPr>
                <w:rFonts w:ascii="Arial" w:cs="Arial" w:eastAsia="Arial" w:hAnsi="Arial"/>
                <w:sz w:val="17"/>
                <w:szCs w:val="17"/>
                <w:color w:val="0000FF"/>
              </w:rPr>
              <w:t>0</w:t>
            </w:r>
          </w:p>
        </w:tc>
        <w:tc>
          <w:tcPr>
            <w:tcW w:w="6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0000FF"/>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340" w:type="dxa"/>
            <w:vAlign w:val="bottom"/>
            <w:gridSpan w:val="4"/>
            <w:vMerge w:val="restart"/>
          </w:tcPr>
          <w:p>
            <w:pPr>
              <w:ind w:left="120"/>
              <w:spacing w:after="0"/>
              <w:rPr>
                <w:sz w:val="20"/>
                <w:szCs w:val="20"/>
                <w:color w:val="auto"/>
              </w:rPr>
            </w:pPr>
            <w:r>
              <w:rPr>
                <w:rFonts w:ascii="Arial" w:cs="Arial" w:eastAsia="Arial" w:hAnsi="Arial"/>
                <w:sz w:val="17"/>
                <w:szCs w:val="17"/>
                <w:color w:val="0000FF"/>
                <w:w w:val="96"/>
              </w:rPr>
              <w:t>footnotes</w:t>
            </w:r>
            <w:r>
              <w:rPr>
                <w:rFonts w:ascii="Arial" w:cs="Arial" w:eastAsia="Arial" w:hAnsi="Arial"/>
                <w:sz w:val="22"/>
                <w:szCs w:val="22"/>
                <w:color w:val="008000"/>
                <w:w w:val="96"/>
                <w:vertAlign w:val="superscript"/>
              </w:rPr>
              <w:t>(1)(2)(3)</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80" w:type="dxa"/>
            <w:vAlign w:val="bottom"/>
            <w:gridSpan w:val="20"/>
          </w:tcPr>
          <w:p>
            <w:pPr>
              <w:ind w:left="1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60" w:type="dxa"/>
            <w:vAlign w:val="bottom"/>
            <w:gridSpan w:val="1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3"/>
          </w:tcPr>
          <w:p>
            <w:pPr>
              <w:jc w:val="right"/>
              <w:ind w:right="153"/>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8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  Date</w:t>
            </w:r>
          </w:p>
        </w:tc>
        <w:tc>
          <w:tcPr>
            <w:tcW w:w="126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6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or Exercise</w:t>
            </w:r>
          </w:p>
        </w:tc>
        <w:tc>
          <w:tcPr>
            <w:tcW w:w="23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96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3"/>
          </w:tcPr>
          <w:p>
            <w:pPr>
              <w:jc w:val="right"/>
              <w:ind w:right="153"/>
              <w:spacing w:after="0" w:line="134"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96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gridSpan w:val="6"/>
          </w:tcPr>
          <w:p>
            <w:pPr>
              <w:ind w:left="100"/>
              <w:spacing w:after="0" w:line="134"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96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4"/>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5"/>
          </w:tcPr>
          <w:p>
            <w:pPr>
              <w:ind w:left="10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5"/>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gridSpan w:val="3"/>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3"/>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rPr>
              <w:t>Class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gridSpan w:val="2"/>
            <w:vMerge w:val="restart"/>
          </w:tcPr>
          <w:p>
            <w:pPr>
              <w:ind w:left="60"/>
              <w:spacing w:after="0" w:line="132" w:lineRule="exact"/>
              <w:rPr>
                <w:sz w:val="20"/>
                <w:szCs w:val="20"/>
                <w:color w:val="auto"/>
              </w:rPr>
            </w:pPr>
            <w:r>
              <w:rPr>
                <w:rFonts w:ascii="Arial" w:cs="Arial" w:eastAsia="Arial" w:hAnsi="Arial"/>
                <w:sz w:val="13"/>
                <w:szCs w:val="13"/>
                <w:color w:val="0000FF"/>
                <w:w w:val="95"/>
              </w:rPr>
              <w:t>Shares/Class</w:t>
            </w: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(1)(2)</w:t>
            </w:r>
          </w:p>
        </w:tc>
        <w:tc>
          <w:tcPr>
            <w:tcW w:w="780" w:type="dxa"/>
            <w:vAlign w:val="bottom"/>
            <w:gridSpan w:val="2"/>
            <w:vMerge w:val="restart"/>
          </w:tcPr>
          <w:p>
            <w:pPr>
              <w:ind w:left="320"/>
              <w:spacing w:after="0"/>
              <w:rPr>
                <w:sz w:val="20"/>
                <w:szCs w:val="20"/>
                <w:color w:val="auto"/>
              </w:rPr>
            </w:pPr>
            <w:r>
              <w:rPr>
                <w:rFonts w:ascii="Arial" w:cs="Arial" w:eastAsia="Arial" w:hAnsi="Arial"/>
                <w:sz w:val="11"/>
                <w:szCs w:val="11"/>
                <w:color w:val="008000"/>
              </w:rPr>
              <w:t>(1)(2)</w:t>
            </w:r>
          </w:p>
        </w:tc>
        <w:tc>
          <w:tcPr>
            <w:tcW w:w="500" w:type="dxa"/>
            <w:vAlign w:val="bottom"/>
            <w:vMerge w:val="continue"/>
          </w:tcPr>
          <w:p>
            <w:pPr>
              <w:spacing w:after="0"/>
              <w:rPr>
                <w:sz w:val="5"/>
                <w:szCs w:val="5"/>
                <w:color w:val="auto"/>
              </w:rPr>
            </w:pPr>
          </w:p>
        </w:tc>
        <w:tc>
          <w:tcPr>
            <w:tcW w:w="54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7,583</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gridSpan w:val="2"/>
            <w:vMerge w:val="restart"/>
          </w:tcPr>
          <w:p>
            <w:pPr>
              <w:jc w:val="right"/>
              <w:ind w:right="371"/>
              <w:spacing w:after="0"/>
              <w:rPr>
                <w:sz w:val="20"/>
                <w:szCs w:val="20"/>
                <w:color w:val="auto"/>
              </w:rPr>
            </w:pPr>
            <w:r>
              <w:rPr>
                <w:rFonts w:ascii="Arial" w:cs="Arial" w:eastAsia="Arial" w:hAnsi="Arial"/>
                <w:sz w:val="11"/>
                <w:szCs w:val="11"/>
                <w:color w:val="008000"/>
                <w:w w:val="88"/>
              </w:rPr>
              <w:t>(4)</w:t>
            </w:r>
          </w:p>
        </w:tc>
        <w:tc>
          <w:tcPr>
            <w:tcW w:w="48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gridSpan w:val="2"/>
            <w:vMerge w:val="restart"/>
          </w:tcPr>
          <w:p>
            <w:pPr>
              <w:ind w:left="340"/>
              <w:spacing w:after="0" w:line="148" w:lineRule="exact"/>
              <w:rPr>
                <w:sz w:val="20"/>
                <w:szCs w:val="20"/>
                <w:color w:val="auto"/>
              </w:rPr>
            </w:pPr>
            <w:r>
              <w:rPr>
                <w:rFonts w:ascii="Arial" w:cs="Arial" w:eastAsia="Arial" w:hAnsi="Arial"/>
                <w:sz w:val="13"/>
                <w:szCs w:val="13"/>
                <w:color w:val="0000FF"/>
              </w:rPr>
              <w:t>12/31/2019</w:t>
            </w: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line="148"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restart"/>
          </w:tcPr>
          <w:p>
            <w:pPr>
              <w:ind w:left="400"/>
              <w:spacing w:after="0" w:line="148" w:lineRule="exact"/>
              <w:rPr>
                <w:sz w:val="20"/>
                <w:szCs w:val="20"/>
                <w:color w:val="auto"/>
              </w:rPr>
            </w:pPr>
            <w:r>
              <w:rPr>
                <w:rFonts w:ascii="Arial" w:cs="Arial" w:eastAsia="Arial" w:hAnsi="Arial"/>
                <w:sz w:val="13"/>
                <w:szCs w:val="13"/>
                <w:color w:val="0000FF"/>
                <w:w w:val="85"/>
              </w:rPr>
              <w:t>7,583</w:t>
            </w:r>
          </w:p>
        </w:tc>
        <w:tc>
          <w:tcPr>
            <w:tcW w:w="80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0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rPr>
              <w:t>A</w:t>
            </w: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vMerge w:val="restart"/>
          </w:tcPr>
          <w:p>
            <w:pPr>
              <w:ind w:left="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w w:val="89"/>
              </w:rPr>
              <w:t>16,026,307</w:t>
            </w:r>
          </w:p>
        </w:tc>
        <w:tc>
          <w:tcPr>
            <w:tcW w:w="580" w:type="dxa"/>
            <w:vAlign w:val="bottom"/>
            <w:gridSpan w:val="2"/>
            <w:vMerge w:val="continue"/>
          </w:tcPr>
          <w:p>
            <w:pPr>
              <w:spacing w:after="0"/>
              <w:rPr>
                <w:sz w:val="5"/>
                <w:szCs w:val="5"/>
                <w:color w:val="auto"/>
              </w:rPr>
            </w:pPr>
          </w:p>
        </w:tc>
        <w:tc>
          <w:tcPr>
            <w:tcW w:w="480" w:type="dxa"/>
            <w:vAlign w:val="bottom"/>
            <w:vMerge w:val="restart"/>
          </w:tcPr>
          <w:p>
            <w:pPr>
              <w:ind w:left="40"/>
              <w:spacing w:after="0" w:line="148" w:lineRule="exact"/>
              <w:rPr>
                <w:sz w:val="20"/>
                <w:szCs w:val="20"/>
                <w:color w:val="auto"/>
              </w:rPr>
            </w:pPr>
            <w:r>
              <w:rPr>
                <w:rFonts w:ascii="Arial" w:cs="Arial" w:eastAsia="Arial" w:hAnsi="Arial"/>
                <w:sz w:val="13"/>
                <w:szCs w:val="13"/>
                <w:color w:val="0000FF"/>
              </w:rPr>
              <w:t>I</w:t>
            </w: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A Units/GP</w:t>
            </w:r>
          </w:p>
        </w:tc>
        <w:tc>
          <w:tcPr>
            <w:tcW w:w="74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860" w:type="dxa"/>
            <w:vAlign w:val="bottom"/>
            <w:gridSpan w:val="3"/>
            <w:vMerge w:val="restart"/>
          </w:tcPr>
          <w:p>
            <w:pPr>
              <w:ind w:left="20"/>
              <w:spacing w:after="0" w:line="163"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vMerge w:val="restart"/>
          </w:tcPr>
          <w:p>
            <w:pPr>
              <w:ind w:left="120"/>
              <w:spacing w:after="0"/>
              <w:rPr>
                <w:sz w:val="20"/>
                <w:szCs w:val="20"/>
                <w:color w:val="auto"/>
              </w:rPr>
            </w:pPr>
            <w:r>
              <w:rPr>
                <w:rFonts w:ascii="Arial" w:cs="Arial" w:eastAsia="Arial" w:hAnsi="Arial"/>
                <w:sz w:val="13"/>
                <w:szCs w:val="13"/>
                <w:color w:val="0000FF"/>
                <w:w w:val="87"/>
              </w:rPr>
              <w:t>Shares</w:t>
            </w: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2640" w:type="dxa"/>
            <w:vAlign w:val="bottom"/>
            <w:tcBorders>
              <w:top w:val="single" w:sz="8" w:color="2C2C2C"/>
            </w:tcBorders>
            <w:gridSpan w:val="5"/>
          </w:tcPr>
          <w:p>
            <w:pPr>
              <w:ind w:left="60"/>
              <w:spacing w:after="0" w:line="24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3" w:lineRule="exact"/>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26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5"/>
          </w:tcPr>
          <w:p>
            <w:pPr>
              <w:spacing w:after="0"/>
              <w:rPr>
                <w:sz w:val="20"/>
                <w:szCs w:val="20"/>
                <w:color w:val="auto"/>
              </w:rPr>
            </w:pPr>
            <w:r>
              <w:rPr>
                <w:rFonts w:ascii="Arial" w:cs="Arial" w:eastAsia="Arial" w:hAnsi="Arial"/>
                <w:sz w:val="17"/>
                <w:szCs w:val="17"/>
                <w:color w:val="0000FF"/>
              </w:rPr>
              <w:t>1800 AVENUE OF THE STARS, 3RD FLOOR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080" w:type="dxa"/>
            <w:vAlign w:val="bottom"/>
            <w:gridSpan w:val="2"/>
          </w:tcPr>
          <w:p>
            <w:pPr>
              <w:spacing w:after="0"/>
              <w:rPr>
                <w:sz w:val="20"/>
                <w:szCs w:val="20"/>
                <w:color w:val="auto"/>
              </w:rPr>
            </w:pPr>
            <w:r>
              <w:rPr>
                <w:rFonts w:ascii="Arial" w:cs="Arial" w:eastAsia="Arial" w:hAnsi="Arial"/>
                <w:sz w:val="17"/>
                <w:szCs w:val="17"/>
                <w:color w:val="0000FF"/>
              </w:rPr>
              <w:t>CA</w:t>
            </w:r>
          </w:p>
        </w:tc>
        <w:tc>
          <w:tcPr>
            <w:tcW w:w="1260" w:type="dxa"/>
            <w:vAlign w:val="bottom"/>
          </w:tcPr>
          <w:p>
            <w:pPr>
              <w:ind w:left="38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60" w:type="dxa"/>
            <w:vAlign w:val="bottom"/>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-3886835</wp:posOffset>
            </wp:positionV>
            <wp:extent cx="24765" cy="2291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291080"/>
                    </a:xfrm>
                    <a:prstGeom prst="rect">
                      <a:avLst/>
                    </a:prstGeom>
                    <a:noFill/>
                  </pic:spPr>
                </pic:pic>
              </a:graphicData>
            </a:graphic>
          </wp:anchor>
        </w:drawing>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KAYNE ANDERSON CAPITAL ADVISORS</w:t>
        </w:r>
      </w:hyperlink>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LP</w:t>
        </w:r>
      </w:hyperlink>
    </w:p>
    <w:p>
      <w:pPr>
        <w:spacing w:after="0" w:line="32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80"/>
        </w:trPr>
        <w:tc>
          <w:tcPr>
            <w:tcW w:w="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7"/>
                <w:szCs w:val="17"/>
                <w:color w:val="0000FF"/>
              </w:rPr>
              <w:t>1800 AVENUE OF THE STARS</w:t>
            </w:r>
          </w:p>
        </w:tc>
        <w:tc>
          <w:tcPr>
            <w:tcW w:w="1720" w:type="dxa"/>
            <w:vAlign w:val="bottom"/>
          </w:tcPr>
          <w:p>
            <w:pPr>
              <w:spacing w:after="0"/>
              <w:rPr>
                <w:sz w:val="24"/>
                <w:szCs w:val="24"/>
                <w:color w:val="auto"/>
              </w:rPr>
            </w:pPr>
          </w:p>
        </w:tc>
      </w:tr>
      <w:tr>
        <w:trPr>
          <w:trHeight w:val="268"/>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3RD FLOOR</w:t>
            </w:r>
          </w:p>
        </w:tc>
        <w:tc>
          <w:tcPr>
            <w:tcW w:w="13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tcPr>
          <w:p>
            <w:pPr>
              <w:ind w:left="140"/>
              <w:spacing w:after="0"/>
              <w:rPr>
                <w:sz w:val="20"/>
                <w:szCs w:val="20"/>
                <w:color w:val="auto"/>
              </w:rPr>
            </w:pPr>
            <w:r>
              <w:rPr>
                <w:rFonts w:ascii="Arial" w:cs="Arial" w:eastAsia="Arial" w:hAnsi="Arial"/>
                <w:sz w:val="17"/>
                <w:szCs w:val="17"/>
                <w:color w:val="0000FF"/>
              </w:rPr>
              <w:t>CA</w:t>
            </w:r>
          </w:p>
        </w:tc>
        <w:tc>
          <w:tcPr>
            <w:tcW w:w="1720" w:type="dxa"/>
            <w:vAlign w:val="bottom"/>
          </w:tcPr>
          <w:p>
            <w:pPr>
              <w:ind w:left="300"/>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40"/>
              <w:spacing w:after="0"/>
              <w:rPr>
                <w:sz w:val="20"/>
                <w:szCs w:val="20"/>
                <w:color w:val="auto"/>
              </w:rPr>
            </w:pPr>
            <w:r>
              <w:rPr>
                <w:rFonts w:ascii="Arial" w:cs="Arial" w:eastAsia="Arial" w:hAnsi="Arial"/>
                <w:sz w:val="13"/>
                <w:szCs w:val="13"/>
                <w:color w:val="auto"/>
              </w:rPr>
              <w:t>(State)</w:t>
            </w:r>
          </w:p>
        </w:tc>
        <w:tc>
          <w:tcPr>
            <w:tcW w:w="172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62" w:orient="portrait"/>
          <w:cols w:equalWidth="0" w:num="1">
            <w:col w:w="11520"/>
          </w:cols>
          <w:pgMar w:left="240" w:top="225" w:right="139" w:bottom="0" w:gutter="0" w:footer="0" w:header="0"/>
          <w:type w:val="continuous"/>
        </w:sectPr>
      </w:pPr>
    </w:p>
    <w:bookmarkStart w:id="1" w:name="page2"/>
    <w:bookmarkEnd w:id="1"/>
    <w:p>
      <w:pPr>
        <w:ind w:firstLine="8"/>
        <w:spacing w:after="0" w:line="245"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holds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Eighth Amended and Restated Limited Partnership Agreement of AAP provides that each limited partner of AAP, including KAFU, has the right at any time (without expiration) to immediately exchange (the "Exchange Right") its Class A units in AAP together with a like number of Class B shares and GP Units, for a like number of Class A shares of the Issuer. On December 31, 2019, KAFU Holdings (QP), L.P. exercised the Exchange Right with respect to 7,583 Class A Units.</w:t>
      </w:r>
    </w:p>
    <w:p>
      <w:pPr>
        <w:spacing w:after="0" w:line="28" w:lineRule="exact"/>
        <w:rPr>
          <w:rFonts w:ascii="Arial" w:cs="Arial" w:eastAsia="Arial" w:hAnsi="Arial"/>
          <w:sz w:val="13"/>
          <w:szCs w:val="13"/>
          <w:color w:val="008000"/>
        </w:rPr>
      </w:pPr>
    </w:p>
    <w:p>
      <w:pPr>
        <w:ind w:right="80" w:firstLine="8"/>
        <w:spacing w:after="0" w:line="303" w:lineRule="auto"/>
        <w:tabs>
          <w:tab w:leader="none" w:pos="13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Kayne Anderson Capital Advisors, L.P. ("KACALP") is the manager of the general partner of KAFU and may be deemed to beneficially own the Class B Shares, Class A Units, and GP Units held by KAFU. The filing of this statement shall not be construed as an admission that either KAFU or KACALP are, for purposes of Section 13(d) of the Exchange Act, as amended, the beneficial owner of any security.</w:t>
      </w:r>
    </w:p>
    <w:p>
      <w:pPr>
        <w:ind w:left="140" w:hanging="13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 involves an in-kind distribution to redeeming limited partners of KAFU Holdings (QP), L.P.</w:t>
      </w:r>
    </w:p>
    <w:p>
      <w:pPr>
        <w:spacing w:after="0" w:line="51" w:lineRule="exact"/>
        <w:rPr>
          <w:rFonts w:ascii="Arial" w:cs="Arial" w:eastAsia="Arial" w:hAnsi="Arial"/>
          <w:sz w:val="13"/>
          <w:szCs w:val="13"/>
          <w:color w:val="008000"/>
        </w:rPr>
      </w:pPr>
    </w:p>
    <w:p>
      <w:pPr>
        <w:ind w:right="40" w:firstLine="8"/>
        <w:spacing w:after="0" w:line="254"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191,177 Class A units. As a result, such Class A units were cancelled and 191,177 Common Units of Plains All American Pipeline, L.P. were distributed by AAP to KAFU. The number of derivative securities owned reflects both the exchange transaction reported herein and the simultaneous redemption transaction.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spacing w:after="0" w:line="254"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and KACALP, which is the manager of the general partner of KAFU,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3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Michael O'Neil</w:t>
            </w:r>
          </w:p>
        </w:tc>
        <w:tc>
          <w:tcPr>
            <w:tcW w:w="780" w:type="dxa"/>
            <w:vAlign w:val="bottom"/>
          </w:tcPr>
          <w:p>
            <w:pPr>
              <w:spacing w:after="0"/>
              <w:rPr>
                <w:sz w:val="20"/>
                <w:szCs w:val="20"/>
                <w:color w:val="auto"/>
              </w:rPr>
            </w:pPr>
            <w:r>
              <w:rPr>
                <w:rFonts w:ascii="Arial" w:cs="Arial" w:eastAsia="Arial" w:hAnsi="Arial"/>
                <w:sz w:val="17"/>
                <w:szCs w:val="17"/>
                <w:color w:val="0000FF"/>
                <w:w w:val="89"/>
              </w:rPr>
              <w:t>01/02/2020</w:t>
            </w: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8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4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581990" TargetMode="External"/><Relationship Id="rId15"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2020-01-02T17:14:27Z</dcterms:created>
  <dcterms:modified xsi:type="dcterms:W3CDTF">2020-01-02T17:14:27Z</dcterms:modified>
</cp:coreProperties>
</file>