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420" w:type="dxa"/>
            <w:vAlign w:val="bottom"/>
          </w:tcPr>
          <w:p>
            <w:pPr>
              <w:jc w:val="center"/>
              <w:ind w:right="29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29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296"/>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vMerge w:val="restart"/>
          </w:tcPr>
          <w:p>
            <w:pPr>
              <w:jc w:val="center"/>
              <w:ind w:right="31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5411470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4069080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-1775460</wp:posOffset>
            </wp:positionH>
            <wp:positionV relativeFrom="paragraph">
              <wp:posOffset>15875</wp:posOffset>
            </wp:positionV>
            <wp:extent cx="7278370" cy="9390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8370" cy="9390380"/>
                    </a:xfrm>
                    <a:prstGeom prst="rect">
                      <a:avLst/>
                    </a:prstGeom>
                    <a:noFill/>
                  </pic:spPr>
                </pic:pic>
              </a:graphicData>
            </a:graphic>
          </wp:anchor>
        </w:drawing>
      </w:r>
    </w:p>
    <w:p>
      <w:pPr>
        <w:spacing w:after="0" w:line="93" w:lineRule="exact"/>
        <w:rPr>
          <w:sz w:val="24"/>
          <w:szCs w:val="24"/>
          <w:color w:val="auto"/>
        </w:rPr>
      </w:pPr>
    </w:p>
    <w:p>
      <w:pPr>
        <w:sectPr>
          <w:pgSz w:w="11900" w:h="16860" w:orient="portrait"/>
          <w:cols w:equalWidth="0" w:num="2">
            <w:col w:w="2260" w:space="520"/>
            <w:col w:w="8740"/>
          </w:cols>
          <w:pgMar w:left="240" w:top="221" w:right="13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KAFU HOLDINGS, L.P.</w:t>
        </w:r>
      </w:hyperlink>
    </w:p>
    <w:p>
      <w:pPr>
        <w:spacing w:after="0" w:line="303"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240" w:type="dxa"/>
            <w:vAlign w:val="bottom"/>
          </w:tcPr>
          <w:p>
            <w:pPr>
              <w:ind w:left="40"/>
              <w:spacing w:after="0"/>
              <w:rPr>
                <w:sz w:val="20"/>
                <w:szCs w:val="20"/>
                <w:color w:val="auto"/>
              </w:rPr>
            </w:pPr>
            <w:r>
              <w:rPr>
                <w:rFonts w:ascii="Arial" w:cs="Arial" w:eastAsia="Arial" w:hAnsi="Arial"/>
                <w:sz w:val="13"/>
                <w:szCs w:val="13"/>
                <w:color w:val="auto"/>
              </w:rPr>
              <w:t>(Last)</w:t>
            </w:r>
          </w:p>
        </w:tc>
        <w:tc>
          <w:tcPr>
            <w:tcW w:w="1180" w:type="dxa"/>
            <w:vAlign w:val="bottom"/>
          </w:tcPr>
          <w:p>
            <w:pPr>
              <w:ind w:left="80"/>
              <w:spacing w:after="0"/>
              <w:rPr>
                <w:sz w:val="20"/>
                <w:szCs w:val="20"/>
                <w:color w:val="auto"/>
              </w:rPr>
            </w:pPr>
            <w:r>
              <w:rPr>
                <w:rFonts w:ascii="Arial" w:cs="Arial" w:eastAsia="Arial" w:hAnsi="Arial"/>
                <w:sz w:val="13"/>
                <w:szCs w:val="13"/>
                <w:color w:val="auto"/>
              </w:rPr>
              <w:t>(First)</w:t>
            </w:r>
          </w:p>
        </w:tc>
        <w:tc>
          <w:tcPr>
            <w:tcW w:w="640" w:type="dxa"/>
            <w:vAlign w:val="bottom"/>
          </w:tcPr>
          <w:p>
            <w:pPr>
              <w:ind w:left="180"/>
              <w:spacing w:after="0"/>
              <w:rPr>
                <w:sz w:val="20"/>
                <w:szCs w:val="20"/>
                <w:color w:val="auto"/>
              </w:rPr>
            </w:pPr>
            <w:r>
              <w:rPr>
                <w:rFonts w:ascii="Arial" w:cs="Arial" w:eastAsia="Arial" w:hAnsi="Arial"/>
                <w:sz w:val="13"/>
                <w:szCs w:val="13"/>
                <w:color w:val="auto"/>
                <w:w w:val="93"/>
              </w:rPr>
              <w:t>(Middle)</w:t>
            </w: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7"/>
                <w:szCs w:val="17"/>
                <w:color w:val="0000FF"/>
                <w:w w:val="97"/>
              </w:rPr>
              <w:t>1800 AVENUE OF THE STARS</w:t>
            </w:r>
          </w:p>
        </w:tc>
        <w:tc>
          <w:tcPr>
            <w:tcW w:w="640" w:type="dxa"/>
            <w:vAlign w:val="bottom"/>
          </w:tcPr>
          <w:p>
            <w:pPr>
              <w:spacing w:after="0"/>
              <w:rPr>
                <w:sz w:val="23"/>
                <w:szCs w:val="23"/>
                <w:color w:val="auto"/>
              </w:rPr>
            </w:pPr>
          </w:p>
        </w:tc>
      </w:tr>
      <w:tr>
        <w:trPr>
          <w:trHeight w:val="258"/>
        </w:trPr>
        <w:tc>
          <w:tcPr>
            <w:tcW w:w="1240" w:type="dxa"/>
            <w:vAlign w:val="bottom"/>
          </w:tcPr>
          <w:p>
            <w:pPr>
              <w:ind w:left="40"/>
              <w:spacing w:after="0"/>
              <w:rPr>
                <w:sz w:val="20"/>
                <w:szCs w:val="20"/>
                <w:color w:val="auto"/>
              </w:rPr>
            </w:pPr>
            <w:r>
              <w:rPr>
                <w:rFonts w:ascii="Arial" w:cs="Arial" w:eastAsia="Arial" w:hAnsi="Arial"/>
                <w:sz w:val="17"/>
                <w:szCs w:val="17"/>
                <w:color w:val="0000FF"/>
              </w:rPr>
              <w:t>3RD FLOOR</w:t>
            </w: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426"/>
        </w:trPr>
        <w:tc>
          <w:tcPr>
            <w:tcW w:w="1240" w:type="dxa"/>
            <w:vAlign w:val="bottom"/>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1"/>
        </w:trPr>
        <w:tc>
          <w:tcPr>
            <w:tcW w:w="1240" w:type="dxa"/>
            <w:vAlign w:val="bottom"/>
          </w:tcPr>
          <w:p>
            <w:pPr>
              <w:ind w:left="40"/>
              <w:spacing w:after="0"/>
              <w:rPr>
                <w:sz w:val="20"/>
                <w:szCs w:val="20"/>
                <w:color w:val="auto"/>
              </w:rPr>
            </w:pPr>
            <w:r>
              <w:rPr>
                <w:rFonts w:ascii="Arial" w:cs="Arial" w:eastAsia="Arial" w:hAnsi="Arial"/>
                <w:sz w:val="17"/>
                <w:szCs w:val="17"/>
                <w:color w:val="0000FF"/>
                <w:w w:val="99"/>
              </w:rPr>
              <w:t>LOS ANGELES</w:t>
            </w:r>
          </w:p>
        </w:tc>
        <w:tc>
          <w:tcPr>
            <w:tcW w:w="1180" w:type="dxa"/>
            <w:vAlign w:val="bottom"/>
          </w:tcPr>
          <w:p>
            <w:pPr>
              <w:ind w:left="80"/>
              <w:spacing w:after="0"/>
              <w:rPr>
                <w:sz w:val="20"/>
                <w:szCs w:val="20"/>
                <w:color w:val="auto"/>
              </w:rPr>
            </w:pPr>
            <w:r>
              <w:rPr>
                <w:rFonts w:ascii="Arial" w:cs="Arial" w:eastAsia="Arial" w:hAnsi="Arial"/>
                <w:sz w:val="17"/>
                <w:szCs w:val="17"/>
                <w:color w:val="0000FF"/>
              </w:rPr>
              <w:t>CA</w:t>
            </w:r>
          </w:p>
        </w:tc>
        <w:tc>
          <w:tcPr>
            <w:tcW w:w="640" w:type="dxa"/>
            <w:vAlign w:val="bottom"/>
          </w:tcPr>
          <w:p>
            <w:pPr>
              <w:ind w:left="180"/>
              <w:spacing w:after="0"/>
              <w:rPr>
                <w:sz w:val="20"/>
                <w:szCs w:val="20"/>
                <w:color w:val="auto"/>
              </w:rPr>
            </w:pPr>
            <w:r>
              <w:rPr>
                <w:rFonts w:ascii="Arial" w:cs="Arial" w:eastAsia="Arial" w:hAnsi="Arial"/>
                <w:sz w:val="17"/>
                <w:szCs w:val="17"/>
                <w:color w:val="0000FF"/>
                <w:w w:val="92"/>
              </w:rPr>
              <w:t>77002</w:t>
            </w:r>
          </w:p>
        </w:tc>
      </w:tr>
      <w:tr>
        <w:trPr>
          <w:trHeight w:val="465"/>
        </w:trPr>
        <w:tc>
          <w:tcPr>
            <w:tcW w:w="1240" w:type="dxa"/>
            <w:vAlign w:val="bottom"/>
          </w:tcPr>
          <w:p>
            <w:pPr>
              <w:ind w:left="40"/>
              <w:spacing w:after="0"/>
              <w:rPr>
                <w:sz w:val="20"/>
                <w:szCs w:val="20"/>
                <w:color w:val="auto"/>
              </w:rPr>
            </w:pPr>
            <w:r>
              <w:rPr>
                <w:rFonts w:ascii="Arial" w:cs="Arial" w:eastAsia="Arial" w:hAnsi="Arial"/>
                <w:sz w:val="13"/>
                <w:szCs w:val="13"/>
                <w:color w:val="auto"/>
              </w:rPr>
              <w:t>(City)</w:t>
            </w:r>
          </w:p>
        </w:tc>
        <w:tc>
          <w:tcPr>
            <w:tcW w:w="1180" w:type="dxa"/>
            <w:vAlign w:val="bottom"/>
          </w:tcPr>
          <w:p>
            <w:pPr>
              <w:ind w:left="80"/>
              <w:spacing w:after="0"/>
              <w:rPr>
                <w:sz w:val="20"/>
                <w:szCs w:val="20"/>
                <w:color w:val="auto"/>
              </w:rPr>
            </w:pPr>
            <w:r>
              <w:rPr>
                <w:rFonts w:ascii="Arial" w:cs="Arial" w:eastAsia="Arial" w:hAnsi="Arial"/>
                <w:sz w:val="13"/>
                <w:szCs w:val="13"/>
                <w:color w:val="auto"/>
              </w:rPr>
              <w:t>(State)</w:t>
            </w:r>
          </w:p>
        </w:tc>
        <w:tc>
          <w:tcPr>
            <w:tcW w:w="640" w:type="dxa"/>
            <w:vAlign w:val="bottom"/>
          </w:tcPr>
          <w:p>
            <w:pPr>
              <w:ind w:left="1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392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PLAINS ALL AMERICAN PIPELINE LP </w:t>
              </w:r>
            </w:hyperlink>
            <w:r>
              <w:rPr>
                <w:rFonts w:ascii="Arial" w:cs="Arial" w:eastAsia="Arial" w:hAnsi="Arial"/>
                <w:sz w:val="15"/>
                <w:szCs w:val="15"/>
                <w:color w:val="000000"/>
              </w:rPr>
              <w:t>[</w:t>
            </w:r>
          </w:p>
        </w:tc>
        <w:tc>
          <w:tcPr>
            <w:tcW w:w="17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4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7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440" w:type="dxa"/>
            <w:vAlign w:val="bottom"/>
            <w:tcBorders>
              <w:bottom w:val="single" w:sz="8" w:color="0000EE"/>
            </w:tcBorders>
          </w:tcPr>
          <w:p>
            <w:pPr>
              <w:spacing w:after="0"/>
              <w:rPr>
                <w:sz w:val="3"/>
                <w:szCs w:val="3"/>
                <w:color w:val="auto"/>
              </w:rPr>
            </w:pPr>
          </w:p>
        </w:tc>
        <w:tc>
          <w:tcPr>
            <w:tcW w:w="360" w:type="dxa"/>
            <w:vAlign w:val="bottom"/>
          </w:tcPr>
          <w:p>
            <w:pPr>
              <w:spacing w:after="0"/>
              <w:rPr>
                <w:sz w:val="3"/>
                <w:szCs w:val="3"/>
                <w:color w:val="auto"/>
              </w:rPr>
            </w:pPr>
          </w:p>
        </w:tc>
        <w:tc>
          <w:tcPr>
            <w:tcW w:w="172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480" w:type="dxa"/>
            <w:vAlign w:val="bottom"/>
          </w:tcPr>
          <w:p>
            <w:pPr>
              <w:spacing w:after="0"/>
              <w:rPr>
                <w:sz w:val="3"/>
                <w:szCs w:val="3"/>
                <w:color w:val="auto"/>
              </w:rPr>
            </w:pP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392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PAA </w:t>
            </w:r>
            <w:r>
              <w:rPr>
                <w:rFonts w:ascii="Arial" w:cs="Arial" w:eastAsia="Arial" w:hAnsi="Arial"/>
                <w:sz w:val="20"/>
                <w:szCs w:val="20"/>
                <w:color w:val="000000"/>
              </w:rPr>
              <w:t>]</w:t>
            </w:r>
          </w:p>
        </w:tc>
        <w:tc>
          <w:tcPr>
            <w:tcW w:w="17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920" w:type="dxa"/>
            <w:vAlign w:val="bottom"/>
            <w:gridSpan w:val="3"/>
            <w:vMerge w:val="continue"/>
          </w:tcPr>
          <w:p>
            <w:pPr>
              <w:spacing w:after="0"/>
              <w:rPr>
                <w:sz w:val="12"/>
                <w:szCs w:val="12"/>
                <w:color w:val="auto"/>
              </w:rPr>
            </w:pPr>
          </w:p>
        </w:tc>
        <w:tc>
          <w:tcPr>
            <w:tcW w:w="172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480" w:type="dxa"/>
            <w:vAlign w:val="bottom"/>
            <w:vMerge w:val="restart"/>
          </w:tcPr>
          <w:p>
            <w:pPr>
              <w:ind w:left="200"/>
              <w:spacing w:after="0"/>
              <w:rPr>
                <w:sz w:val="20"/>
                <w:szCs w:val="20"/>
                <w:color w:val="auto"/>
              </w:rPr>
            </w:pPr>
            <w:r>
              <w:rPr>
                <w:rFonts w:ascii="Arial" w:cs="Arial" w:eastAsia="Arial" w:hAnsi="Arial"/>
                <w:sz w:val="17"/>
                <w:szCs w:val="17"/>
                <w:color w:val="0000FF"/>
              </w:rPr>
              <w:t>X</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720" w:type="dxa"/>
            <w:vAlign w:val="bottom"/>
            <w:vMerge w:val="continue"/>
          </w:tcPr>
          <w:p>
            <w:pPr>
              <w:spacing w:after="0"/>
              <w:rPr>
                <w:sz w:val="3"/>
                <w:szCs w:val="3"/>
                <w:color w:val="auto"/>
              </w:rPr>
            </w:pPr>
          </w:p>
        </w:tc>
        <w:tc>
          <w:tcPr>
            <w:tcW w:w="480" w:type="dxa"/>
            <w:vAlign w:val="bottom"/>
            <w:vMerge w:val="continue"/>
          </w:tcPr>
          <w:p>
            <w:pPr>
              <w:spacing w:after="0"/>
              <w:rPr>
                <w:sz w:val="3"/>
                <w:szCs w:val="3"/>
                <w:color w:val="auto"/>
              </w:rPr>
            </w:pPr>
          </w:p>
        </w:tc>
        <w:tc>
          <w:tcPr>
            <w:tcW w:w="1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72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480" w:type="dxa"/>
            <w:vAlign w:val="bottom"/>
            <w:vMerge w:val="continue"/>
          </w:tcPr>
          <w:p>
            <w:pPr>
              <w:spacing w:after="0"/>
              <w:rPr>
                <w:sz w:val="8"/>
                <w:szCs w:val="8"/>
                <w:color w:val="auto"/>
              </w:rPr>
            </w:pP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4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200" w:type="dxa"/>
            <w:vAlign w:val="bottom"/>
            <w:gridSpan w:val="2"/>
            <w:vMerge w:val="restart"/>
          </w:tcPr>
          <w:p>
            <w:pPr>
              <w:ind w:left="1280"/>
              <w:spacing w:after="0"/>
              <w:rPr>
                <w:sz w:val="20"/>
                <w:szCs w:val="20"/>
                <w:color w:val="auto"/>
              </w:rPr>
            </w:pPr>
            <w:r>
              <w:rPr>
                <w:rFonts w:ascii="Arial" w:cs="Arial" w:eastAsia="Arial" w:hAnsi="Arial"/>
                <w:sz w:val="17"/>
                <w:szCs w:val="17"/>
                <w:color w:val="0000FF"/>
                <w:w w:val="87"/>
              </w:rPr>
              <w:t>See Remarks</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80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200" w:type="dxa"/>
            <w:vAlign w:val="bottom"/>
            <w:gridSpan w:val="2"/>
            <w:vMerge w:val="continue"/>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80" w:type="dxa"/>
            <w:vAlign w:val="bottom"/>
            <w:gridSpan w:val="2"/>
            <w:vMerge w:val="continue"/>
          </w:tcPr>
          <w:p>
            <w:pPr>
              <w:spacing w:after="0"/>
              <w:rPr>
                <w:sz w:val="7"/>
                <w:szCs w:val="7"/>
                <w:color w:val="auto"/>
              </w:rPr>
            </w:pPr>
          </w:p>
        </w:tc>
        <w:tc>
          <w:tcPr>
            <w:tcW w:w="3800" w:type="dxa"/>
            <w:vAlign w:val="bottom"/>
            <w:gridSpan w:val="2"/>
            <w:vMerge w:val="continue"/>
          </w:tcPr>
          <w:p>
            <w:pPr>
              <w:spacing w:after="0"/>
              <w:rPr>
                <w:sz w:val="7"/>
                <w:szCs w:val="7"/>
                <w:color w:val="auto"/>
              </w:rPr>
            </w:pPr>
          </w:p>
        </w:tc>
        <w:tc>
          <w:tcPr>
            <w:tcW w:w="1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3620" w:type="dxa"/>
            <w:vAlign w:val="bottom"/>
            <w:gridSpan w:val="3"/>
          </w:tcPr>
          <w:p>
            <w:pPr>
              <w:ind w:left="60"/>
              <w:spacing w:after="0"/>
              <w:rPr>
                <w:sz w:val="20"/>
                <w:szCs w:val="20"/>
                <w:color w:val="auto"/>
              </w:rPr>
            </w:pPr>
            <w:r>
              <w:rPr>
                <w:rFonts w:ascii="Arial" w:cs="Arial" w:eastAsia="Arial" w:hAnsi="Arial"/>
                <w:sz w:val="17"/>
                <w:szCs w:val="17"/>
                <w:color w:val="0000FF"/>
              </w:rPr>
              <w:t>03/31/2017</w:t>
            </w: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344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440" w:type="dxa"/>
            <w:vAlign w:val="bottom"/>
            <w:tcBorders>
              <w:bottom w:val="single" w:sz="8" w:color="2C2C2C"/>
            </w:tcBorders>
            <w:gridSpan w:val="3"/>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40" w:type="dxa"/>
            <w:vAlign w:val="bottom"/>
            <w:gridSpan w:val="3"/>
          </w:tcPr>
          <w:p>
            <w:pPr>
              <w:ind w:left="6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40" w:type="dxa"/>
            <w:vAlign w:val="bottom"/>
            <w:gridSpan w:val="3"/>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bl>
    <w:p>
      <w:pPr>
        <w:spacing w:after="0" w:line="461" w:lineRule="exact"/>
        <w:rPr>
          <w:sz w:val="24"/>
          <w:szCs w:val="24"/>
          <w:color w:val="auto"/>
        </w:rPr>
      </w:pPr>
    </w:p>
    <w:p>
      <w:pPr>
        <w:sectPr>
          <w:pgSz w:w="11900" w:h="16860" w:orient="portrait"/>
          <w:cols w:equalWidth="0" w:num="2">
            <w:col w:w="3280" w:space="720"/>
            <w:col w:w="7520"/>
          </w:cols>
          <w:pgMar w:left="240" w:top="221"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5"/>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6. Ownership</w:t>
            </w:r>
          </w:p>
        </w:tc>
        <w:tc>
          <w:tcPr>
            <w:tcW w:w="1400" w:type="dxa"/>
            <w:vAlign w:val="bottom"/>
            <w:gridSpan w:val="3"/>
          </w:tcPr>
          <w:p>
            <w:pPr>
              <w:ind w:left="1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80" w:type="dxa"/>
            <w:vAlign w:val="bottom"/>
            <w:gridSpan w:val="5"/>
          </w:tcPr>
          <w:p>
            <w:pPr>
              <w:ind w:left="100"/>
              <w:spacing w:after="0" w:line="126"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02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80"/>
              <w:spacing w:after="0" w:line="126" w:lineRule="exact"/>
              <w:rPr>
                <w:sz w:val="20"/>
                <w:szCs w:val="20"/>
                <w:color w:val="auto"/>
              </w:rPr>
            </w:pPr>
            <w:r>
              <w:rPr>
                <w:rFonts w:ascii="Arial" w:cs="Arial" w:eastAsia="Arial" w:hAnsi="Arial"/>
                <w:sz w:val="12"/>
                <w:szCs w:val="12"/>
                <w:b w:val="1"/>
                <w:bCs w:val="1"/>
                <w:color w:val="auto"/>
              </w:rPr>
              <w:t>Form: Direct</w:t>
            </w:r>
          </w:p>
        </w:tc>
        <w:tc>
          <w:tcPr>
            <w:tcW w:w="1400" w:type="dxa"/>
            <w:vAlign w:val="bottom"/>
            <w:gridSpan w:val="3"/>
          </w:tcPr>
          <w:p>
            <w:pPr>
              <w:ind w:left="180"/>
              <w:spacing w:after="0" w:line="126"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gridSpan w:val="2"/>
          </w:tcPr>
          <w:p>
            <w:pPr>
              <w:ind w:left="5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6"/>
              </w:rPr>
              <w:t>(D) or Indirect</w:t>
            </w:r>
          </w:p>
        </w:tc>
        <w:tc>
          <w:tcPr>
            <w:tcW w:w="1400" w:type="dxa"/>
            <w:vAlign w:val="bottom"/>
            <w:gridSpan w:val="3"/>
          </w:tcPr>
          <w:p>
            <w:pPr>
              <w:ind w:left="180"/>
              <w:spacing w:after="0" w:line="129"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gridSpan w:val="5"/>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6"/>
              </w:rPr>
              <w:t>Owned Following</w:t>
            </w: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4)</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gridSpan w:val="3"/>
            <w:vMerge w:val="restart"/>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9"/>
              </w:rPr>
              <w:t>Code</w:t>
            </w:r>
          </w:p>
        </w:tc>
        <w:tc>
          <w:tcPr>
            <w:tcW w:w="400" w:type="dxa"/>
            <w:vAlign w:val="bottom"/>
            <w:vMerge w:val="restart"/>
          </w:tcPr>
          <w:p>
            <w:pPr>
              <w:jc w:val="center"/>
              <w:ind w:right="24"/>
              <w:spacing w:after="0"/>
              <w:rPr>
                <w:sz w:val="20"/>
                <w:szCs w:val="20"/>
                <w:color w:val="auto"/>
              </w:rPr>
            </w:pPr>
            <w:r>
              <w:rPr>
                <w:rFonts w:ascii="Arial" w:cs="Arial" w:eastAsia="Arial" w:hAnsi="Arial"/>
                <w:sz w:val="12"/>
                <w:szCs w:val="12"/>
                <w:b w:val="1"/>
                <w:bCs w:val="1"/>
                <w:color w:val="auto"/>
                <w:w w:val="99"/>
              </w:rPr>
              <w:t>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0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9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5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Units</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2"/>
            <w:vMerge w:val="restart"/>
          </w:tcPr>
          <w:p>
            <w:pPr>
              <w:ind w:left="660"/>
              <w:spacing w:after="0"/>
              <w:rPr>
                <w:sz w:val="20"/>
                <w:szCs w:val="20"/>
                <w:color w:val="auto"/>
              </w:rPr>
            </w:pPr>
            <w:r>
              <w:rPr>
                <w:rFonts w:ascii="Arial" w:cs="Arial" w:eastAsia="Arial" w:hAnsi="Arial"/>
                <w:sz w:val="17"/>
                <w:szCs w:val="17"/>
                <w:color w:val="0000FF"/>
              </w:rPr>
              <w:t>03/31/2017</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Arial" w:cs="Arial" w:eastAsia="Arial" w:hAnsi="Arial"/>
                <w:sz w:val="13"/>
                <w:szCs w:val="13"/>
                <w:color w:val="0000FF"/>
              </w:rPr>
              <w:t>A</w:t>
            </w:r>
          </w:p>
        </w:tc>
        <w:tc>
          <w:tcPr>
            <w:tcW w:w="400" w:type="dxa"/>
            <w:vAlign w:val="bottom"/>
          </w:tcPr>
          <w:p>
            <w:pPr>
              <w:spacing w:after="0"/>
              <w:rPr>
                <w:sz w:val="21"/>
                <w:szCs w:val="21"/>
                <w:color w:val="auto"/>
              </w:rPr>
            </w:pPr>
          </w:p>
        </w:tc>
        <w:tc>
          <w:tcPr>
            <w:tcW w:w="880" w:type="dxa"/>
            <w:vAlign w:val="bottom"/>
            <w:vMerge w:val="restart"/>
          </w:tcPr>
          <w:p>
            <w:pPr>
              <w:jc w:val="right"/>
              <w:ind w:right="55"/>
              <w:spacing w:after="0"/>
              <w:rPr>
                <w:sz w:val="20"/>
                <w:szCs w:val="20"/>
                <w:color w:val="auto"/>
              </w:rPr>
            </w:pPr>
            <w:r>
              <w:rPr>
                <w:rFonts w:ascii="Arial" w:cs="Arial" w:eastAsia="Arial" w:hAnsi="Arial"/>
                <w:sz w:val="17"/>
                <w:szCs w:val="17"/>
                <w:color w:val="0000FF"/>
                <w:w w:val="97"/>
              </w:rPr>
              <w:t>1,853,421</w:t>
            </w:r>
          </w:p>
        </w:tc>
        <w:tc>
          <w:tcPr>
            <w:tcW w:w="560" w:type="dxa"/>
            <w:vAlign w:val="bottom"/>
            <w:vMerge w:val="restart"/>
          </w:tcPr>
          <w:p>
            <w:pPr>
              <w:ind w:left="180"/>
              <w:spacing w:after="0"/>
              <w:rPr>
                <w:sz w:val="20"/>
                <w:szCs w:val="20"/>
                <w:color w:val="auto"/>
              </w:rPr>
            </w:pPr>
            <w:r>
              <w:rPr>
                <w:rFonts w:ascii="Arial" w:cs="Arial" w:eastAsia="Arial" w:hAnsi="Arial"/>
                <w:sz w:val="17"/>
                <w:szCs w:val="17"/>
                <w:color w:val="0000FF"/>
              </w:rPr>
              <w:t>A</w:t>
            </w:r>
          </w:p>
        </w:tc>
        <w:tc>
          <w:tcPr>
            <w:tcW w:w="560" w:type="dxa"/>
            <w:vAlign w:val="bottom"/>
            <w:vMerge w:val="restart"/>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vMerge w:val="restart"/>
          </w:tcPr>
          <w:p>
            <w:pPr>
              <w:jc w:val="right"/>
              <w:ind w:right="62"/>
              <w:spacing w:after="0"/>
              <w:rPr>
                <w:sz w:val="20"/>
                <w:szCs w:val="20"/>
                <w:color w:val="auto"/>
              </w:rPr>
            </w:pPr>
            <w:r>
              <w:rPr>
                <w:rFonts w:ascii="Arial" w:cs="Arial" w:eastAsia="Arial" w:hAnsi="Arial"/>
                <w:sz w:val="17"/>
                <w:szCs w:val="17"/>
                <w:color w:val="0000FF"/>
                <w:w w:val="87"/>
              </w:rPr>
              <w:t>1,835,421</w:t>
            </w:r>
          </w:p>
        </w:tc>
        <w:tc>
          <w:tcPr>
            <w:tcW w:w="960" w:type="dxa"/>
            <w:vAlign w:val="bottom"/>
            <w:vMerge w:val="restart"/>
          </w:tcPr>
          <w:p>
            <w:pPr>
              <w:ind w:left="580"/>
              <w:spacing w:after="0"/>
              <w:rPr>
                <w:sz w:val="20"/>
                <w:szCs w:val="20"/>
                <w:color w:val="auto"/>
              </w:rPr>
            </w:pPr>
            <w:r>
              <w:rPr>
                <w:rFonts w:ascii="Arial" w:cs="Arial" w:eastAsia="Arial" w:hAnsi="Arial"/>
                <w:sz w:val="17"/>
                <w:szCs w:val="17"/>
                <w:color w:val="0000FF"/>
              </w:rPr>
              <w:t>I</w:t>
            </w:r>
          </w:p>
        </w:tc>
        <w:tc>
          <w:tcPr>
            <w:tcW w:w="660" w:type="dxa"/>
            <w:vAlign w:val="bottom"/>
          </w:tcPr>
          <w:p>
            <w:pPr>
              <w:ind w:left="180"/>
              <w:spacing w:after="0"/>
              <w:rPr>
                <w:sz w:val="20"/>
                <w:szCs w:val="20"/>
                <w:color w:val="auto"/>
              </w:rPr>
            </w:pPr>
            <w:r>
              <w:rPr>
                <w:rFonts w:ascii="Arial" w:cs="Arial" w:eastAsia="Arial" w:hAnsi="Arial"/>
                <w:sz w:val="17"/>
                <w:szCs w:val="17"/>
                <w:color w:val="0000FF"/>
              </w:rPr>
              <w:t>See</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400" w:type="dxa"/>
            <w:vAlign w:val="bottom"/>
            <w:gridSpan w:val="3"/>
            <w:vMerge w:val="restart"/>
          </w:tcPr>
          <w:p>
            <w:pPr>
              <w:ind w:left="180"/>
              <w:spacing w:after="0"/>
              <w:rPr>
                <w:sz w:val="20"/>
                <w:szCs w:val="20"/>
                <w:color w:val="auto"/>
              </w:rPr>
            </w:pPr>
            <w:r>
              <w:rPr>
                <w:rFonts w:ascii="Arial" w:cs="Arial" w:eastAsia="Arial" w:hAnsi="Arial"/>
                <w:sz w:val="17"/>
                <w:szCs w:val="17"/>
                <w:color w:val="0000FF"/>
                <w:w w:val="94"/>
              </w:rPr>
              <w:t>Footnotes</w:t>
            </w:r>
            <w:r>
              <w:rPr>
                <w:rFonts w:ascii="Arial" w:cs="Arial" w:eastAsia="Arial" w:hAnsi="Arial"/>
                <w:sz w:val="21"/>
                <w:szCs w:val="21"/>
                <w:color w:val="008000"/>
                <w:w w:val="94"/>
                <w:vertAlign w:val="superscript"/>
              </w:rPr>
              <w:t>(1)(2)(3)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52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7"/>
                <w:szCs w:val="17"/>
                <w:color w:val="0000FF"/>
              </w:rPr>
              <w:t>Common Units</w:t>
            </w:r>
          </w:p>
        </w:tc>
        <w:tc>
          <w:tcPr>
            <w:tcW w:w="5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540" w:type="dxa"/>
            <w:vAlign w:val="bottom"/>
            <w:tcBorders>
              <w:top w:val="single" w:sz="8" w:color="2C2C2C"/>
            </w:tcBorders>
            <w:gridSpan w:val="2"/>
            <w:vMerge w:val="restart"/>
          </w:tcPr>
          <w:p>
            <w:pPr>
              <w:ind w:left="660"/>
              <w:spacing w:after="0"/>
              <w:rPr>
                <w:sz w:val="20"/>
                <w:szCs w:val="20"/>
                <w:color w:val="auto"/>
              </w:rPr>
            </w:pPr>
            <w:r>
              <w:rPr>
                <w:rFonts w:ascii="Arial" w:cs="Arial" w:eastAsia="Arial" w:hAnsi="Arial"/>
                <w:sz w:val="17"/>
                <w:szCs w:val="17"/>
                <w:color w:val="0000FF"/>
              </w:rPr>
              <w:t>03/31/2017</w:t>
            </w:r>
          </w:p>
        </w:tc>
        <w:tc>
          <w:tcPr>
            <w:tcW w:w="2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40"/>
              <w:spacing w:after="0"/>
              <w:rPr>
                <w:sz w:val="20"/>
                <w:szCs w:val="20"/>
                <w:color w:val="auto"/>
              </w:rPr>
            </w:pPr>
            <w:r>
              <w:rPr>
                <w:rFonts w:ascii="Arial" w:cs="Arial" w:eastAsia="Arial" w:hAnsi="Arial"/>
                <w:sz w:val="13"/>
                <w:szCs w:val="13"/>
                <w:color w:val="0000FF"/>
              </w:rPr>
              <w:t>J</w:t>
            </w:r>
          </w:p>
        </w:tc>
        <w:tc>
          <w:tcPr>
            <w:tcW w:w="40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vMerge w:val="restart"/>
          </w:tcPr>
          <w:p>
            <w:pPr>
              <w:jc w:val="right"/>
              <w:ind w:right="55"/>
              <w:spacing w:after="0"/>
              <w:rPr>
                <w:sz w:val="20"/>
                <w:szCs w:val="20"/>
                <w:color w:val="auto"/>
              </w:rPr>
            </w:pPr>
            <w:r>
              <w:rPr>
                <w:rFonts w:ascii="Arial" w:cs="Arial" w:eastAsia="Arial" w:hAnsi="Arial"/>
                <w:sz w:val="17"/>
                <w:szCs w:val="17"/>
                <w:color w:val="0000FF"/>
                <w:w w:val="97"/>
              </w:rPr>
              <w:t>1,853,421</w:t>
            </w:r>
          </w:p>
        </w:tc>
        <w:tc>
          <w:tcPr>
            <w:tcW w:w="5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7"/>
                <w:szCs w:val="17"/>
                <w:color w:val="0000FF"/>
              </w:rPr>
              <w:t>D</w:t>
            </w:r>
          </w:p>
        </w:tc>
        <w:tc>
          <w:tcPr>
            <w:tcW w:w="560" w:type="dxa"/>
            <w:vAlign w:val="bottom"/>
            <w:tcBorders>
              <w:top w:val="single" w:sz="8" w:color="2C2C2C"/>
            </w:tcBorders>
            <w:vMerge w:val="restart"/>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gridSpan w:val="2"/>
            <w:vMerge w:val="restart"/>
          </w:tcPr>
          <w:p>
            <w:pPr>
              <w:jc w:val="right"/>
              <w:ind w:right="362"/>
              <w:spacing w:after="0"/>
              <w:rPr>
                <w:sz w:val="20"/>
                <w:szCs w:val="20"/>
                <w:color w:val="auto"/>
              </w:rPr>
            </w:pPr>
            <w:r>
              <w:rPr>
                <w:rFonts w:ascii="Arial" w:cs="Arial" w:eastAsia="Arial" w:hAnsi="Arial"/>
                <w:sz w:val="17"/>
                <w:szCs w:val="17"/>
                <w:color w:val="0000FF"/>
              </w:rPr>
              <w:t>0</w:t>
            </w:r>
          </w:p>
        </w:tc>
        <w:tc>
          <w:tcPr>
            <w:tcW w:w="960" w:type="dxa"/>
            <w:vAlign w:val="bottom"/>
            <w:tcBorders>
              <w:top w:val="single" w:sz="8" w:color="2C2C2C"/>
            </w:tcBorders>
            <w:vMerge w:val="restart"/>
          </w:tcPr>
          <w:p>
            <w:pPr>
              <w:ind w:left="580"/>
              <w:spacing w:after="0"/>
              <w:rPr>
                <w:sz w:val="20"/>
                <w:szCs w:val="20"/>
                <w:color w:val="auto"/>
              </w:rPr>
            </w:pPr>
            <w:r>
              <w:rPr>
                <w:rFonts w:ascii="Arial" w:cs="Arial" w:eastAsia="Arial" w:hAnsi="Arial"/>
                <w:sz w:val="17"/>
                <w:szCs w:val="17"/>
                <w:color w:val="0000FF"/>
              </w:rPr>
              <w:t>I</w:t>
            </w:r>
          </w:p>
        </w:tc>
        <w:tc>
          <w:tcPr>
            <w:tcW w:w="660" w:type="dxa"/>
            <w:vAlign w:val="bottom"/>
            <w:tcBorders>
              <w:top w:val="single" w:sz="8" w:color="2C2C2C"/>
            </w:tcBorders>
          </w:tcPr>
          <w:p>
            <w:pPr>
              <w:ind w:left="180"/>
              <w:spacing w:after="0"/>
              <w:rPr>
                <w:sz w:val="20"/>
                <w:szCs w:val="20"/>
                <w:color w:val="auto"/>
              </w:rPr>
            </w:pPr>
            <w:r>
              <w:rPr>
                <w:rFonts w:ascii="Arial" w:cs="Arial" w:eastAsia="Arial" w:hAnsi="Arial"/>
                <w:sz w:val="17"/>
                <w:szCs w:val="17"/>
                <w:color w:val="0000FF"/>
              </w:rPr>
              <w:t>See</w:t>
            </w:r>
          </w:p>
        </w:tc>
        <w:tc>
          <w:tcPr>
            <w:tcW w:w="640" w:type="dxa"/>
            <w:vAlign w:val="bottom"/>
            <w:tcBorders>
              <w:top w:val="single" w:sz="8" w:color="2C2C2C"/>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400" w:type="dxa"/>
            <w:vAlign w:val="bottom"/>
            <w:gridSpan w:val="3"/>
            <w:vMerge w:val="restart"/>
          </w:tcPr>
          <w:p>
            <w:pPr>
              <w:ind w:left="180"/>
              <w:spacing w:after="0" w:line="266" w:lineRule="exact"/>
              <w:rPr>
                <w:sz w:val="20"/>
                <w:szCs w:val="20"/>
                <w:color w:val="auto"/>
              </w:rPr>
            </w:pPr>
            <w:r>
              <w:rPr>
                <w:rFonts w:ascii="Arial" w:cs="Arial" w:eastAsia="Arial" w:hAnsi="Arial"/>
                <w:sz w:val="30"/>
                <w:szCs w:val="30"/>
                <w:color w:val="0000FF"/>
                <w:w w:val="95"/>
                <w:vertAlign w:val="subscript"/>
              </w:rPr>
              <w:t>Footnotes</w:t>
            </w:r>
            <w:r>
              <w:rPr>
                <w:rFonts w:ascii="Arial" w:cs="Arial" w:eastAsia="Arial" w:hAnsi="Arial"/>
                <w:sz w:val="10"/>
                <w:szCs w:val="10"/>
                <w:color w:val="008000"/>
                <w:w w:val="95"/>
              </w:rPr>
              <w:t>(1)(2)(3)</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140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500" w:type="dxa"/>
            <w:vAlign w:val="bottom"/>
            <w:gridSpan w:val="16"/>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80" w:type="dxa"/>
            <w:vAlign w:val="bottom"/>
            <w:gridSpan w:val="13"/>
          </w:tcPr>
          <w:p>
            <w:pPr>
              <w:ind w:left="80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5. Number of</w:t>
            </w:r>
          </w:p>
        </w:tc>
        <w:tc>
          <w:tcPr>
            <w:tcW w:w="1620" w:type="dxa"/>
            <w:vAlign w:val="bottom"/>
            <w:gridSpan w:val="3"/>
          </w:tcPr>
          <w:p>
            <w:pPr>
              <w:ind w:left="20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6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spacing w:after="0"/>
              <w:rPr>
                <w:sz w:val="20"/>
                <w:szCs w:val="20"/>
                <w:color w:val="auto"/>
              </w:rPr>
            </w:pPr>
            <w:r>
              <w:rPr>
                <w:rFonts w:ascii="Arial" w:cs="Arial" w:eastAsia="Arial" w:hAnsi="Arial"/>
                <w:sz w:val="12"/>
                <w:szCs w:val="12"/>
                <w:b w:val="1"/>
                <w:bCs w:val="1"/>
                <w:color w:val="auto"/>
              </w:rPr>
              <w:t>10.</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Conversion</w:t>
            </w:r>
          </w:p>
        </w:tc>
        <w:tc>
          <w:tcPr>
            <w:tcW w:w="112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200"/>
              <w:spacing w:after="0" w:line="129"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8"/>
              </w:rPr>
              <w:t>or Exercise</w:t>
            </w:r>
          </w:p>
        </w:tc>
        <w:tc>
          <w:tcPr>
            <w:tcW w:w="112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620" w:type="dxa"/>
            <w:vAlign w:val="bottom"/>
            <w:gridSpan w:val="3"/>
          </w:tcPr>
          <w:p>
            <w:pPr>
              <w:ind w:left="200"/>
              <w:spacing w:after="0" w:line="129"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8"/>
              </w:rPr>
              <w:t>Derivative Security</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Acquired (A)</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or Disposed of</w:t>
            </w: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3"/>
              </w:rPr>
              <w:t>(D) (Instr. 3, 4</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960" w:type="dxa"/>
            <w:vAlign w:val="bottom"/>
            <w:vMerge w:val="restart"/>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Amount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jc w:val="center"/>
              <w:ind w:left="95"/>
              <w:spacing w:after="0" w:line="129" w:lineRule="exact"/>
              <w:rPr>
                <w:sz w:val="20"/>
                <w:szCs w:val="20"/>
                <w:color w:val="auto"/>
              </w:rPr>
            </w:pPr>
            <w:r>
              <w:rPr>
                <w:rFonts w:ascii="Arial" w:cs="Arial" w:eastAsia="Arial" w:hAnsi="Arial"/>
                <w:sz w:val="12"/>
                <w:szCs w:val="12"/>
                <w:b w:val="1"/>
                <w:bCs w:val="1"/>
                <w:color w:val="auto"/>
                <w:w w:val="95"/>
              </w:rPr>
              <w:t>Expiration</w:t>
            </w:r>
          </w:p>
        </w:tc>
        <w:tc>
          <w:tcPr>
            <w:tcW w:w="560" w:type="dxa"/>
            <w:vAlign w:val="bottom"/>
          </w:tcPr>
          <w:p>
            <w:pPr>
              <w:spacing w:after="0"/>
              <w:rPr>
                <w:sz w:val="11"/>
                <w:szCs w:val="11"/>
                <w:color w:val="auto"/>
              </w:rPr>
            </w:pP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Number of</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3"/>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3"/>
          </w:tcPr>
          <w:p>
            <w:pPr>
              <w:ind w:left="200"/>
              <w:spacing w:after="0"/>
              <w:rPr>
                <w:sz w:val="20"/>
                <w:szCs w:val="20"/>
                <w:color w:val="auto"/>
              </w:rPr>
            </w:pPr>
            <w:r>
              <w:rPr>
                <w:rFonts w:ascii="Arial" w:cs="Arial" w:eastAsia="Arial" w:hAnsi="Arial"/>
                <w:sz w:val="12"/>
                <w:szCs w:val="12"/>
                <w:b w:val="1"/>
                <w:bCs w:val="1"/>
                <w:color w:val="auto"/>
              </w:rPr>
              <w:t>Exercisable  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gridSpan w:val="3"/>
          </w:tcPr>
          <w:p>
            <w:pPr>
              <w:ind w:left="60"/>
              <w:spacing w:after="0" w:line="125" w:lineRule="exact"/>
              <w:rPr>
                <w:sz w:val="20"/>
                <w:szCs w:val="20"/>
                <w:color w:val="auto"/>
              </w:rPr>
            </w:pPr>
            <w:r>
              <w:rPr>
                <w:rFonts w:ascii="Arial" w:cs="Arial" w:eastAsia="Arial" w:hAnsi="Arial"/>
                <w:sz w:val="13"/>
                <w:szCs w:val="13"/>
                <w:color w:val="0000FF"/>
                <w:w w:val="90"/>
              </w:rPr>
              <w:t>Shares/Class</w:t>
            </w:r>
          </w:p>
        </w:tc>
        <w:tc>
          <w:tcPr>
            <w:tcW w:w="74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120" w:type="dxa"/>
            <w:vAlign w:val="bottom"/>
            <w:gridSpan w:val="4"/>
            <w:vMerge w:val="restart"/>
          </w:tcPr>
          <w:p>
            <w:pPr>
              <w:ind w:left="300"/>
              <w:spacing w:after="0"/>
              <w:rPr>
                <w:sz w:val="20"/>
                <w:szCs w:val="20"/>
                <w:color w:val="auto"/>
              </w:rPr>
            </w:pPr>
            <w:r>
              <w:rPr>
                <w:rFonts w:ascii="Arial" w:cs="Arial" w:eastAsia="Arial" w:hAnsi="Arial"/>
                <w:sz w:val="13"/>
                <w:szCs w:val="13"/>
                <w:color w:val="0000FF"/>
              </w:rPr>
              <w:t>03/31/2017</w:t>
            </w:r>
          </w:p>
        </w:tc>
        <w:tc>
          <w:tcPr>
            <w:tcW w:w="1100" w:type="dxa"/>
            <w:vAlign w:val="bottom"/>
          </w:tcPr>
          <w:p>
            <w:pPr>
              <w:spacing w:after="0"/>
              <w:rPr>
                <w:sz w:val="10"/>
                <w:szCs w:val="10"/>
                <w:color w:val="auto"/>
              </w:rPr>
            </w:pPr>
          </w:p>
        </w:tc>
        <w:tc>
          <w:tcPr>
            <w:tcW w:w="440" w:type="dxa"/>
            <w:vAlign w:val="bottom"/>
            <w:vMerge w:val="restart"/>
          </w:tcPr>
          <w:p>
            <w:pPr>
              <w:ind w:left="140"/>
              <w:spacing w:after="0"/>
              <w:rPr>
                <w:sz w:val="20"/>
                <w:szCs w:val="20"/>
                <w:color w:val="auto"/>
              </w:rPr>
            </w:pPr>
            <w:r>
              <w:rPr>
                <w:rFonts w:ascii="Arial" w:cs="Arial" w:eastAsia="Arial" w:hAnsi="Arial"/>
                <w:sz w:val="13"/>
                <w:szCs w:val="13"/>
                <w:color w:val="0000FF"/>
              </w:rPr>
              <w:t>M</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3"/>
            <w:vMerge w:val="restart"/>
          </w:tcPr>
          <w:p>
            <w:pPr>
              <w:ind w:left="300"/>
              <w:spacing w:after="0"/>
              <w:rPr>
                <w:sz w:val="20"/>
                <w:szCs w:val="20"/>
                <w:color w:val="auto"/>
              </w:rPr>
            </w:pPr>
            <w:r>
              <w:rPr>
                <w:rFonts w:ascii="Arial" w:cs="Arial" w:eastAsia="Arial" w:hAnsi="Arial"/>
                <w:sz w:val="13"/>
                <w:szCs w:val="13"/>
                <w:color w:val="0000FF"/>
              </w:rPr>
              <w:t>1,835,421</w:t>
            </w:r>
          </w:p>
        </w:tc>
        <w:tc>
          <w:tcPr>
            <w:tcW w:w="400" w:type="dxa"/>
            <w:vAlign w:val="bottom"/>
            <w:vMerge w:val="restart"/>
          </w:tcPr>
          <w:p>
            <w:pPr>
              <w:jc w:val="right"/>
              <w:ind w:right="44"/>
              <w:spacing w:after="0"/>
              <w:rPr>
                <w:sz w:val="20"/>
                <w:szCs w:val="20"/>
                <w:color w:val="auto"/>
              </w:rPr>
            </w:pPr>
            <w:r>
              <w:rPr>
                <w:rFonts w:ascii="Arial" w:cs="Arial" w:eastAsia="Arial" w:hAnsi="Arial"/>
                <w:sz w:val="11"/>
                <w:szCs w:val="11"/>
                <w:color w:val="008000"/>
              </w:rPr>
              <w:t>(1)(2)</w:t>
            </w:r>
          </w:p>
        </w:tc>
        <w:tc>
          <w:tcPr>
            <w:tcW w:w="880" w:type="dxa"/>
            <w:vAlign w:val="bottom"/>
            <w:vMerge w:val="restart"/>
          </w:tcPr>
          <w:p>
            <w:pPr>
              <w:jc w:val="right"/>
              <w:ind w:right="155"/>
              <w:spacing w:after="0"/>
              <w:rPr>
                <w:sz w:val="20"/>
                <w:szCs w:val="20"/>
                <w:color w:val="auto"/>
              </w:rPr>
            </w:pPr>
            <w:r>
              <w:rPr>
                <w:rFonts w:ascii="Arial" w:cs="Arial" w:eastAsia="Arial" w:hAnsi="Arial"/>
                <w:sz w:val="11"/>
                <w:szCs w:val="11"/>
                <w:color w:val="008000"/>
              </w:rPr>
              <w:t>(1)(2)</w:t>
            </w:r>
          </w:p>
        </w:tc>
        <w:tc>
          <w:tcPr>
            <w:tcW w:w="560" w:type="dxa"/>
            <w:vAlign w:val="bottom"/>
          </w:tcPr>
          <w:p>
            <w:pPr>
              <w:ind w:left="80"/>
              <w:spacing w:after="0" w:line="125" w:lineRule="exact"/>
              <w:rPr>
                <w:sz w:val="20"/>
                <w:szCs w:val="20"/>
                <w:color w:val="auto"/>
              </w:rPr>
            </w:pPr>
            <w:r>
              <w:rPr>
                <w:rFonts w:ascii="Arial" w:cs="Arial" w:eastAsia="Arial" w:hAnsi="Arial"/>
                <w:sz w:val="13"/>
                <w:szCs w:val="13"/>
                <w:color w:val="0000FF"/>
                <w:w w:val="87"/>
              </w:rPr>
              <w:t>Common</w:t>
            </w:r>
          </w:p>
        </w:tc>
        <w:tc>
          <w:tcPr>
            <w:tcW w:w="800" w:type="dxa"/>
            <w:vAlign w:val="bottom"/>
            <w:gridSpan w:val="3"/>
            <w:vMerge w:val="restart"/>
          </w:tcPr>
          <w:p>
            <w:pPr>
              <w:ind w:left="120"/>
              <w:spacing w:after="0"/>
              <w:rPr>
                <w:sz w:val="20"/>
                <w:szCs w:val="20"/>
                <w:color w:val="auto"/>
              </w:rPr>
            </w:pPr>
            <w:r>
              <w:rPr>
                <w:rFonts w:ascii="Arial" w:cs="Arial" w:eastAsia="Arial" w:hAnsi="Arial"/>
                <w:sz w:val="17"/>
                <w:szCs w:val="17"/>
                <w:color w:val="0000FF"/>
                <w:w w:val="87"/>
              </w:rPr>
              <w:t>1,835,421</w:t>
            </w:r>
          </w:p>
        </w:tc>
        <w:tc>
          <w:tcPr>
            <w:tcW w:w="800" w:type="dxa"/>
            <w:vAlign w:val="bottom"/>
            <w:gridSpan w:val="2"/>
            <w:vMerge w:val="restart"/>
          </w:tcPr>
          <w:p>
            <w:pPr>
              <w:jc w:val="right"/>
              <w:ind w:right="2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60" w:type="dxa"/>
            <w:vAlign w:val="bottom"/>
            <w:vMerge w:val="restart"/>
          </w:tcPr>
          <w:p>
            <w:pPr>
              <w:ind w:left="60"/>
              <w:spacing w:after="0"/>
              <w:rPr>
                <w:sz w:val="20"/>
                <w:szCs w:val="20"/>
                <w:color w:val="auto"/>
              </w:rPr>
            </w:pPr>
            <w:r>
              <w:rPr>
                <w:rFonts w:ascii="Arial" w:cs="Arial" w:eastAsia="Arial" w:hAnsi="Arial"/>
                <w:sz w:val="13"/>
                <w:szCs w:val="13"/>
                <w:color w:val="0000FF"/>
              </w:rPr>
              <w:t>22,637,206</w:t>
            </w:r>
            <w:r>
              <w:rPr>
                <w:rFonts w:ascii="Arial" w:cs="Arial" w:eastAsia="Arial" w:hAnsi="Arial"/>
                <w:sz w:val="21"/>
                <w:szCs w:val="21"/>
                <w:color w:val="008000"/>
                <w:vertAlign w:val="superscript"/>
              </w:rPr>
              <w:t>(4)</w:t>
            </w:r>
          </w:p>
        </w:tc>
        <w:tc>
          <w:tcPr>
            <w:tcW w:w="660" w:type="dxa"/>
            <w:vAlign w:val="bottom"/>
            <w:vMerge w:val="restart"/>
          </w:tcPr>
          <w:p>
            <w:pPr>
              <w:ind w:left="280"/>
              <w:spacing w:after="0"/>
              <w:rPr>
                <w:sz w:val="20"/>
                <w:szCs w:val="20"/>
                <w:color w:val="auto"/>
              </w:rPr>
            </w:pPr>
            <w:r>
              <w:rPr>
                <w:rFonts w:ascii="Arial" w:cs="Arial" w:eastAsia="Arial" w:hAnsi="Arial"/>
                <w:sz w:val="13"/>
                <w:szCs w:val="13"/>
                <w:color w:val="0000FF"/>
              </w:rPr>
              <w:t>I</w:t>
            </w:r>
          </w:p>
        </w:tc>
        <w:tc>
          <w:tcPr>
            <w:tcW w:w="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0000FF"/>
              </w:rPr>
              <w:t>A Units/GP</w:t>
            </w:r>
          </w:p>
        </w:tc>
        <w:tc>
          <w:tcPr>
            <w:tcW w:w="740" w:type="dxa"/>
            <w:vAlign w:val="bottom"/>
            <w:vMerge w:val="continue"/>
          </w:tcPr>
          <w:p>
            <w:pPr>
              <w:spacing w:after="0"/>
              <w:rPr>
                <w:sz w:val="13"/>
                <w:szCs w:val="13"/>
                <w:color w:val="auto"/>
              </w:rPr>
            </w:pPr>
          </w:p>
        </w:tc>
        <w:tc>
          <w:tcPr>
            <w:tcW w:w="1120" w:type="dxa"/>
            <w:vAlign w:val="bottom"/>
            <w:gridSpan w:val="4"/>
            <w:vMerge w:val="continue"/>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3"/>
                <w:szCs w:val="13"/>
                <w:color w:val="0000FF"/>
              </w:rPr>
              <w:t>Units</w:t>
            </w:r>
          </w:p>
        </w:tc>
        <w:tc>
          <w:tcPr>
            <w:tcW w:w="800" w:type="dxa"/>
            <w:vAlign w:val="bottom"/>
            <w:gridSpan w:val="3"/>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740" w:type="dxa"/>
            <w:vAlign w:val="bottom"/>
            <w:gridSpan w:val="2"/>
          </w:tcPr>
          <w:p>
            <w:pPr>
              <w:ind w:left="60"/>
              <w:spacing w:after="0" w:line="159" w:lineRule="exact"/>
              <w:rPr>
                <w:sz w:val="20"/>
                <w:szCs w:val="20"/>
                <w:color w:val="auto"/>
              </w:rPr>
            </w:pPr>
            <w:r>
              <w:rPr>
                <w:rFonts w:ascii="Arial" w:cs="Arial" w:eastAsia="Arial" w:hAnsi="Arial"/>
                <w:sz w:val="11"/>
                <w:szCs w:val="11"/>
                <w:color w:val="0000FF"/>
              </w:rPr>
              <w:t>Footnote</w:t>
            </w:r>
            <w:r>
              <w:rPr>
                <w:rFonts w:ascii="Arial" w:cs="Arial" w:eastAsia="Arial" w:hAnsi="Arial"/>
                <w:sz w:val="18"/>
                <w:szCs w:val="18"/>
                <w:color w:val="008000"/>
                <w:vertAlign w:val="superscript"/>
              </w:rPr>
              <w:t>(2)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3"/>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 w:type="dxa"/>
            <w:vAlign w:val="bottom"/>
            <w:tcBorders>
              <w:top w:val="single" w:sz="8" w:color="808080"/>
            </w:tcBorders>
          </w:tcPr>
          <w:p>
            <w:pPr>
              <w:spacing w:after="0"/>
              <w:rPr>
                <w:sz w:val="20"/>
                <w:szCs w:val="20"/>
                <w:color w:val="auto"/>
              </w:rPr>
            </w:pPr>
          </w:p>
        </w:tc>
        <w:tc>
          <w:tcPr>
            <w:tcW w:w="2640" w:type="dxa"/>
            <w:vAlign w:val="bottom"/>
            <w:tcBorders>
              <w:top w:val="single" w:sz="8" w:color="2C2C2C"/>
            </w:tcBorders>
            <w:gridSpan w:val="8"/>
          </w:tcPr>
          <w:p>
            <w:pPr>
              <w:ind w:left="60"/>
              <w:spacing w:after="0" w:line="23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40" w:type="dxa"/>
            <w:vAlign w:val="bottom"/>
            <w:gridSpan w:val="6"/>
          </w:tcPr>
          <w:p>
            <w:pPr>
              <w:spacing w:after="0" w:line="215" w:lineRule="exact"/>
              <w:rPr>
                <w:rFonts w:ascii="Arial" w:cs="Arial" w:eastAsia="Arial" w:hAnsi="Arial"/>
                <w:sz w:val="21"/>
                <w:szCs w:val="21"/>
                <w:color w:val="0000EE"/>
              </w:rPr>
            </w:pPr>
            <w:hyperlink r:id="rId12">
              <w:r>
                <w:rPr>
                  <w:rFonts w:ascii="Arial" w:cs="Arial" w:eastAsia="Arial" w:hAnsi="Arial"/>
                  <w:sz w:val="21"/>
                  <w:szCs w:val="21"/>
                  <w:color w:val="0000EE"/>
                </w:rPr>
                <w:t>KAFU HOLDINGS, L.P.</w:t>
              </w:r>
            </w:hyperlink>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2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100" w:type="dxa"/>
            <w:vAlign w:val="bottom"/>
          </w:tcPr>
          <w:p>
            <w:pPr>
              <w:ind w:left="38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40" w:type="dxa"/>
            <w:vAlign w:val="bottom"/>
            <w:gridSpan w:val="6"/>
          </w:tcPr>
          <w:p>
            <w:pPr>
              <w:spacing w:after="0"/>
              <w:rPr>
                <w:sz w:val="20"/>
                <w:szCs w:val="20"/>
                <w:color w:val="auto"/>
              </w:rPr>
            </w:pPr>
            <w:r>
              <w:rPr>
                <w:rFonts w:ascii="Arial" w:cs="Arial" w:eastAsia="Arial" w:hAnsi="Arial"/>
                <w:sz w:val="17"/>
                <w:szCs w:val="17"/>
                <w:color w:val="0000FF"/>
              </w:rPr>
              <w:t>1800 AVENUE OF THE STARS</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20" w:type="dxa"/>
            <w:vAlign w:val="bottom"/>
            <w:gridSpan w:val="2"/>
          </w:tcPr>
          <w:p>
            <w:pPr>
              <w:spacing w:after="0"/>
              <w:rPr>
                <w:sz w:val="20"/>
                <w:szCs w:val="20"/>
                <w:color w:val="auto"/>
              </w:rPr>
            </w:pPr>
            <w:r>
              <w:rPr>
                <w:rFonts w:ascii="Arial" w:cs="Arial" w:eastAsia="Arial" w:hAnsi="Arial"/>
                <w:sz w:val="17"/>
                <w:szCs w:val="17"/>
                <w:color w:val="0000FF"/>
              </w:rPr>
              <w:t>3RD FLOOR</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120" w:type="dxa"/>
            <w:vAlign w:val="bottom"/>
            <w:gridSpan w:val="4"/>
          </w:tcPr>
          <w:p>
            <w:pPr>
              <w:ind w:left="40"/>
              <w:spacing w:after="0"/>
              <w:rPr>
                <w:sz w:val="20"/>
                <w:szCs w:val="20"/>
                <w:color w:val="auto"/>
              </w:rPr>
            </w:pPr>
            <w:r>
              <w:rPr>
                <w:rFonts w:ascii="Arial" w:cs="Arial" w:eastAsia="Arial" w:hAnsi="Arial"/>
                <w:sz w:val="17"/>
                <w:szCs w:val="17"/>
                <w:color w:val="0000FF"/>
              </w:rPr>
              <w:t>CA</w:t>
            </w:r>
          </w:p>
        </w:tc>
        <w:tc>
          <w:tcPr>
            <w:tcW w:w="1100" w:type="dxa"/>
            <w:vAlign w:val="bottom"/>
          </w:tcPr>
          <w:p>
            <w:pPr>
              <w:ind w:left="380"/>
              <w:spacing w:after="0"/>
              <w:rPr>
                <w:sz w:val="20"/>
                <w:szCs w:val="20"/>
                <w:color w:val="auto"/>
              </w:rPr>
            </w:pPr>
            <w:r>
              <w:rPr>
                <w:rFonts w:ascii="Arial" w:cs="Arial" w:eastAsia="Arial" w:hAnsi="Arial"/>
                <w:sz w:val="17"/>
                <w:szCs w:val="17"/>
                <w:color w:val="0000FF"/>
              </w:rPr>
              <w:t>77002</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12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100" w:type="dxa"/>
            <w:vAlign w:val="bottom"/>
          </w:tcPr>
          <w:p>
            <w:pPr>
              <w:ind w:left="38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3"/>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6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40" w:type="dxa"/>
            <w:vAlign w:val="bottom"/>
            <w:gridSpan w:val="6"/>
          </w:tcPr>
          <w:p>
            <w:pPr>
              <w:spacing w:after="0" w:line="215" w:lineRule="exact"/>
              <w:rPr>
                <w:rFonts w:ascii="Arial" w:cs="Arial" w:eastAsia="Arial" w:hAnsi="Arial"/>
                <w:sz w:val="21"/>
                <w:szCs w:val="21"/>
                <w:color w:val="0000EE"/>
              </w:rPr>
            </w:pPr>
            <w:hyperlink r:id="rId14">
              <w:r>
                <w:rPr>
                  <w:rFonts w:ascii="Arial" w:cs="Arial" w:eastAsia="Arial" w:hAnsi="Arial"/>
                  <w:sz w:val="21"/>
                  <w:szCs w:val="21"/>
                  <w:color w:val="0000EE"/>
                </w:rPr>
                <w:t>KAFU Holdings (QP), L.P.</w:t>
              </w:r>
            </w:hyperlink>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2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100" w:type="dxa"/>
            <w:vAlign w:val="bottom"/>
          </w:tcPr>
          <w:p>
            <w:pPr>
              <w:ind w:left="38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40" w:type="dxa"/>
            <w:vAlign w:val="bottom"/>
            <w:gridSpan w:val="7"/>
          </w:tcPr>
          <w:p>
            <w:pPr>
              <w:spacing w:after="0"/>
              <w:rPr>
                <w:sz w:val="20"/>
                <w:szCs w:val="20"/>
                <w:color w:val="auto"/>
              </w:rPr>
            </w:pPr>
            <w:r>
              <w:rPr>
                <w:rFonts w:ascii="Arial" w:cs="Arial" w:eastAsia="Arial" w:hAnsi="Arial"/>
                <w:sz w:val="17"/>
                <w:szCs w:val="17"/>
                <w:color w:val="0000FF"/>
              </w:rPr>
              <w:t>1800 AVENUE OF THE STARS, 3RD FLOOR</w:t>
            </w: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120" w:type="dxa"/>
            <w:vAlign w:val="bottom"/>
            <w:gridSpan w:val="4"/>
          </w:tcPr>
          <w:p>
            <w:pPr>
              <w:ind w:left="40"/>
              <w:spacing w:after="0"/>
              <w:rPr>
                <w:sz w:val="20"/>
                <w:szCs w:val="20"/>
                <w:color w:val="auto"/>
              </w:rPr>
            </w:pPr>
            <w:r>
              <w:rPr>
                <w:rFonts w:ascii="Arial" w:cs="Arial" w:eastAsia="Arial" w:hAnsi="Arial"/>
                <w:sz w:val="17"/>
                <w:szCs w:val="17"/>
                <w:color w:val="0000FF"/>
              </w:rPr>
              <w:t>CA</w:t>
            </w:r>
          </w:p>
        </w:tc>
        <w:tc>
          <w:tcPr>
            <w:tcW w:w="1100" w:type="dxa"/>
            <w:vAlign w:val="bottom"/>
          </w:tcPr>
          <w:p>
            <w:pPr>
              <w:ind w:left="380"/>
              <w:spacing w:after="0"/>
              <w:rPr>
                <w:sz w:val="20"/>
                <w:szCs w:val="20"/>
                <w:color w:val="auto"/>
              </w:rPr>
            </w:pPr>
            <w:r>
              <w:rPr>
                <w:rFonts w:ascii="Arial" w:cs="Arial" w:eastAsia="Arial" w:hAnsi="Arial"/>
                <w:sz w:val="17"/>
                <w:szCs w:val="17"/>
                <w:color w:val="0000FF"/>
              </w:rPr>
              <w:t>90067</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12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100" w:type="dxa"/>
            <w:vAlign w:val="bottom"/>
          </w:tcPr>
          <w:p>
            <w:pPr>
              <w:ind w:left="38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980" w:type="dxa"/>
            <w:vAlign w:val="bottom"/>
            <w:tcBorders>
              <w:bottom w:val="single" w:sz="8" w:color="2C2C2C"/>
            </w:tcBorders>
            <w:gridSpan w:val="3"/>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6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40" w:type="dxa"/>
            <w:vAlign w:val="bottom"/>
            <w:gridSpan w:val="6"/>
          </w:tcPr>
          <w:p>
            <w:pPr>
              <w:spacing w:after="0" w:line="215" w:lineRule="exact"/>
              <w:rPr>
                <w:rFonts w:ascii="Arial" w:cs="Arial" w:eastAsia="Arial" w:hAnsi="Arial"/>
                <w:sz w:val="21"/>
                <w:szCs w:val="21"/>
                <w:color w:val="0000EE"/>
              </w:rPr>
            </w:pPr>
            <w:hyperlink r:id="rId15">
              <w:r>
                <w:rPr>
                  <w:rFonts w:ascii="Arial" w:cs="Arial" w:eastAsia="Arial" w:hAnsi="Arial"/>
                  <w:sz w:val="21"/>
                  <w:szCs w:val="21"/>
                  <w:color w:val="0000EE"/>
                </w:rPr>
                <w:t>KAFU Holdings II, L.P.</w:t>
              </w:r>
            </w:hyperlink>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2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100" w:type="dxa"/>
            <w:vAlign w:val="bottom"/>
          </w:tcPr>
          <w:p>
            <w:pPr>
              <w:ind w:left="38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-5733415</wp:posOffset>
            </wp:positionV>
            <wp:extent cx="24130" cy="1793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4130" cy="1793875"/>
                    </a:xfrm>
                    <a:prstGeom prst="rect">
                      <a:avLst/>
                    </a:prstGeom>
                    <a:noFill/>
                  </pic:spPr>
                </pic:pic>
              </a:graphicData>
            </a:graphic>
          </wp:anchor>
        </w:drawing>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1800 AVENUE OF THE STARS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3RD FLOOR</w:t>
      </w:r>
    </w:p>
    <w:p>
      <w:pPr>
        <w:sectPr>
          <w:pgSz w:w="11900" w:h="16860" w:orient="portrait"/>
          <w:cols w:equalWidth="0" w:num="1">
            <w:col w:w="11520"/>
          </w:cols>
          <w:pgMar w:left="240" w:top="221" w:right="1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55"/>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3"/>
                <w:szCs w:val="13"/>
                <w:color w:val="auto"/>
              </w:rPr>
            </w:pPr>
          </w:p>
        </w:tc>
        <w:tc>
          <w:tcPr>
            <w:tcW w:w="196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300" w:type="dxa"/>
            <w:vAlign w:val="bottom"/>
          </w:tcPr>
          <w:p>
            <w:pPr>
              <w:ind w:left="20"/>
              <w:spacing w:after="0"/>
              <w:rPr>
                <w:sz w:val="20"/>
                <w:szCs w:val="20"/>
                <w:color w:val="auto"/>
              </w:rPr>
            </w:pPr>
            <w:r>
              <w:rPr>
                <w:rFonts w:ascii="Arial" w:cs="Arial" w:eastAsia="Arial" w:hAnsi="Arial"/>
                <w:sz w:val="17"/>
                <w:szCs w:val="17"/>
                <w:color w:val="0000FF"/>
              </w:rPr>
              <w:t>LOS ANGELES</w:t>
            </w:r>
          </w:p>
        </w:tc>
        <w:tc>
          <w:tcPr>
            <w:tcW w:w="1100" w:type="dxa"/>
            <w:vAlign w:val="bottom"/>
          </w:tcPr>
          <w:p>
            <w:pPr>
              <w:ind w:left="180"/>
              <w:spacing w:after="0"/>
              <w:rPr>
                <w:sz w:val="20"/>
                <w:szCs w:val="20"/>
                <w:color w:val="auto"/>
              </w:rPr>
            </w:pPr>
            <w:r>
              <w:rPr>
                <w:rFonts w:ascii="Arial" w:cs="Arial" w:eastAsia="Arial" w:hAnsi="Arial"/>
                <w:sz w:val="17"/>
                <w:szCs w:val="17"/>
                <w:color w:val="0000FF"/>
              </w:rPr>
              <w:t>CA</w:t>
            </w:r>
          </w:p>
        </w:tc>
        <w:tc>
          <w:tcPr>
            <w:tcW w:w="1960" w:type="dxa"/>
            <w:vAlign w:val="bottom"/>
          </w:tcPr>
          <w:p>
            <w:pPr>
              <w:ind w:left="540"/>
              <w:spacing w:after="0"/>
              <w:rPr>
                <w:sz w:val="20"/>
                <w:szCs w:val="20"/>
                <w:color w:val="auto"/>
              </w:rPr>
            </w:pPr>
            <w:r>
              <w:rPr>
                <w:rFonts w:ascii="Arial" w:cs="Arial" w:eastAsia="Arial" w:hAnsi="Arial"/>
                <w:sz w:val="17"/>
                <w:szCs w:val="17"/>
                <w:color w:val="0000FF"/>
              </w:rPr>
              <w:t>90067</w:t>
            </w:r>
          </w:p>
        </w:tc>
      </w:tr>
      <w:tr>
        <w:trPr>
          <w:trHeight w:val="149"/>
        </w:trPr>
        <w:tc>
          <w:tcPr>
            <w:tcW w:w="20" w:type="dxa"/>
            <w:vAlign w:val="bottom"/>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96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18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2923540" cy="774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3540" cy="77406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right="140" w:firstLine="2"/>
        <w:spacing w:after="0" w:line="234" w:lineRule="auto"/>
        <w:tabs>
          <w:tab w:leader="none" w:pos="12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Eighth Amended and Restated limited partnership agreement of Plains AAP, L.P. ("AAP") provides that each limited partner holding Class A Units will have the right, subject to certain limitations, to redeem its Class A Units for common units ("Common Units") of Plains All American Pipeline, L.P. (the "Issuer") held by AAP on a one-for-one basis, by delivering Class A Units to AAP with the associated Class B Shares in Plains GP Holdings, L.P. ("PAGP") and GP Units in PAA GP Holdings LLC (if applicable), to PAGP (the "Redemption Right"). Prior to November 15, 2017, the Reporting Persons may not exercise their Redemption Right if such exercise would result in the redemption (together with any redemptions by the Reporting Persons) of more than 78% of the Class A Units held by the Reporting Persons on November 15, 2016. The Redemption Right does not expire.</w:t>
      </w:r>
    </w:p>
    <w:p>
      <w:pPr>
        <w:spacing w:after="0" w:line="31" w:lineRule="exact"/>
        <w:rPr>
          <w:rFonts w:ascii="Arial" w:cs="Arial" w:eastAsia="Arial" w:hAnsi="Arial"/>
          <w:sz w:val="13"/>
          <w:szCs w:val="13"/>
          <w:color w:val="008000"/>
        </w:rPr>
      </w:pPr>
    </w:p>
    <w:p>
      <w:pPr>
        <w:ind w:right="340" w:firstLine="2"/>
        <w:spacing w:after="0" w:line="249" w:lineRule="auto"/>
        <w:tabs>
          <w:tab w:leader="none" w:pos="12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KAFU Holdings (QP), L.P., KAFU Holdings, L.P. and KAFU Holdings II, L.P. (collectively, "KAFU") own an equivalent number of Class A Units, Class B Shares and GP Units. KACALP is the manager of the general partner of KAFU and may be deemed to beneficially own the Class A Units, Class B Shares and GP Units held by KAFU.</w:t>
      </w:r>
    </w:p>
    <w:p>
      <w:pPr>
        <w:spacing w:after="0" w:line="24" w:lineRule="exact"/>
        <w:rPr>
          <w:rFonts w:ascii="Arial" w:cs="Arial" w:eastAsia="Arial" w:hAnsi="Arial"/>
          <w:sz w:val="13"/>
          <w:szCs w:val="13"/>
          <w:color w:val="008000"/>
        </w:rPr>
      </w:pPr>
    </w:p>
    <w:p>
      <w:pPr>
        <w:ind w:left="140" w:hanging="138"/>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transactions involve an in-kind distribution to redeeming limited partners of KAFU Holdings II, L.P., KAFU Holdings (QP), L.P. and KAFU Holdings, L.P.</w:t>
      </w:r>
    </w:p>
    <w:p>
      <w:pPr>
        <w:spacing w:after="0" w:line="43" w:lineRule="exact"/>
        <w:rPr>
          <w:rFonts w:ascii="Arial" w:cs="Arial" w:eastAsia="Arial" w:hAnsi="Arial"/>
          <w:sz w:val="13"/>
          <w:szCs w:val="13"/>
          <w:color w:val="008000"/>
        </w:rPr>
      </w:pPr>
    </w:p>
    <w:p>
      <w:pPr>
        <w:ind w:firstLine="2"/>
        <w:spacing w:after="0" w:line="284" w:lineRule="auto"/>
        <w:tabs>
          <w:tab w:leader="none" w:pos="12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 a simultaneous transaction, KAFU exercised the exchange right provided for in the limited partnership agreement of AAP pursuant to which 185,207 Class A Units, Class B Shares and GP Units were exchanged for a like number of PAGP Class A Shares. The number of derivative securities owned reflects both the redemption transaction reported herein and the simultaneous exchange transaction.</w:t>
      </w:r>
    </w:p>
    <w:p>
      <w:pPr>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0"/>
          <w:szCs w:val="20"/>
          <w:color w:val="auto"/>
        </w:rPr>
      </w:pPr>
    </w:p>
    <w:p>
      <w:pPr>
        <w:jc w:val="both"/>
        <w:ind w:right="160"/>
        <w:spacing w:after="0" w:line="238" w:lineRule="auto"/>
        <w:rPr>
          <w:sz w:val="20"/>
          <w:szCs w:val="20"/>
          <w:color w:val="auto"/>
        </w:rPr>
      </w:pPr>
      <w:r>
        <w:rPr>
          <w:rFonts w:ascii="Arial" w:cs="Arial" w:eastAsia="Arial" w:hAnsi="Arial"/>
          <w:sz w:val="13"/>
          <w:szCs w:val="13"/>
          <w:color w:val="008000"/>
        </w:rPr>
        <w:t>Bob Sinnott is a director of the managing general partner of the Issuer. Based on the relationship of Mr. Sinnott and the Reporting Persons, the Reporting Persons may be deemed directors by deputization of the Issuer. KAFU Holdings (QP), L.P., KAFU Holdings, L.P., and KAFU Holdings II, L.P. are referred to herein as the "Reporting Persons". The filing of this Statement shall not be construed as an admission that any Reporting Person is, for purposes of Section 13(d) of the Exchange Act, as amended, the beneficial owner of any security.</w:t>
      </w:r>
    </w:p>
    <w:p>
      <w:pPr>
        <w:spacing w:after="0" w:line="39"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0"/>
              </w:rPr>
              <w:t>David Shladovsky</w:t>
            </w:r>
          </w:p>
        </w:tc>
        <w:tc>
          <w:tcPr>
            <w:tcW w:w="106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04/04/2017</w:t>
            </w:r>
          </w:p>
        </w:tc>
      </w:tr>
      <w:tr>
        <w:trPr>
          <w:trHeight w:val="224"/>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900" w:firstLine="2"/>
        <w:spacing w:after="0" w:line="334"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38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1590015"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638385" TargetMode="External"/><Relationship Id="rId15" Type="http://schemas.openxmlformats.org/officeDocument/2006/relationships/hyperlink" Target="http://www.sec.gov/cgi-bin/browse-edgar?action=getcompany&amp;CIK=0001590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2020-01-16T02:08:09Z</dcterms:created>
  <dcterms:modified xsi:type="dcterms:W3CDTF">2020-01-16T02:08:09Z</dcterms:modified>
</cp:coreProperties>
</file>