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44"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220"/>
        <w:spacing w:after="0"/>
        <w:rPr>
          <w:sz w:val="20"/>
          <w:szCs w:val="20"/>
          <w:color w:val="auto"/>
        </w:rPr>
      </w:pPr>
      <w:r>
        <w:rPr>
          <w:rFonts w:ascii="Arial" w:cs="Arial" w:eastAsia="Arial" w:hAnsi="Arial"/>
          <w:sz w:val="18"/>
          <w:szCs w:val="18"/>
          <w:color w:val="auto"/>
        </w:rPr>
        <w:t>of 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235585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44" w:right="2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right="20" w:firstLine="324"/>
        <w:spacing w:after="0" w:line="293" w:lineRule="auto"/>
        <w:rPr>
          <w:sz w:val="20"/>
          <w:szCs w:val="20"/>
          <w:color w:val="auto"/>
        </w:rPr>
      </w:pPr>
      <w:r>
        <w:rPr>
          <w:rFonts w:ascii="Arial" w:cs="Arial" w:eastAsia="Arial" w:hAnsi="Arial"/>
          <w:sz w:val="16"/>
          <w:szCs w:val="16"/>
          <w:color w:val="auto"/>
        </w:rPr>
        <w:t>On August 9, 2016, Plains All American Pipeline, L.P. (the “Partnership”) filed a prospectus supplement (the “Prospectus Supplement”) to the prospectus dated October 7, 2015 relating to the issuance and sale from time to time of common units representing limited partner interests in the Partnership (the “Units”) through one or more of the Partnership’s sales agents pursuant to the terms of an equity distribution agreement dated August 22, 2014 (the “EDA”) between the Partnership and such sales agents. The EDA was previously filed as an exhibit to a Current Report on Form 8-K that the Partnership filed with the Securities and Exchange Commission on August 22, 2014, and is incorporated into this report by reference. The Prospectus Supplement replaces a previous prospectus supplement filed on August 22, 2014 under the Partnership’s Registration Statement on Form S-3 (No. 333-184135).</w:t>
      </w:r>
    </w:p>
    <w:p>
      <w:pPr>
        <w:spacing w:after="0" w:line="16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Legal opinions relating to the Units are filed herewith as Exhibits 5.1 and 8.1.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(d) Exhibits</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Exhibits</w:t>
            </w:r>
          </w:p>
        </w:tc>
        <w:tc>
          <w:tcPr>
            <w:tcW w:w="300" w:type="dxa"/>
            <w:vAlign w:val="bottom"/>
          </w:tcPr>
          <w:p>
            <w:pPr>
              <w:spacing w:after="0"/>
              <w:rPr>
                <w:sz w:val="14"/>
                <w:szCs w:val="14"/>
                <w:color w:val="auto"/>
              </w:rPr>
            </w:pPr>
          </w:p>
        </w:tc>
        <w:tc>
          <w:tcPr>
            <w:tcW w:w="10020" w:type="dxa"/>
            <w:vAlign w:val="bottom"/>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Exhibit 1.1</w:t>
            </w:r>
          </w:p>
        </w:tc>
        <w:tc>
          <w:tcPr>
            <w:tcW w:w="300" w:type="dxa"/>
            <w:vAlign w:val="bottom"/>
          </w:tcPr>
          <w:p>
            <w:pPr>
              <w:spacing w:after="0"/>
              <w:rPr>
                <w:sz w:val="16"/>
                <w:szCs w:val="16"/>
                <w:color w:val="auto"/>
              </w:rPr>
            </w:pPr>
          </w:p>
        </w:tc>
        <w:tc>
          <w:tcPr>
            <w:tcW w:w="10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Equity Distribution Agreement, dated August 22, 2014, between Plains All American Pipeline, L.P. and Citigroup Global Market Inc.,</w:t>
            </w: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320" w:type="dxa"/>
            <w:vAlign w:val="bottom"/>
            <w:gridSpan w:val="2"/>
          </w:tcPr>
          <w:p>
            <w:pPr>
              <w:ind w:left="300"/>
              <w:spacing w:after="0"/>
              <w:rPr>
                <w:sz w:val="20"/>
                <w:szCs w:val="20"/>
                <w:color w:val="auto"/>
              </w:rPr>
            </w:pPr>
            <w:r>
              <w:rPr>
                <w:rFonts w:ascii="Arial" w:cs="Arial" w:eastAsia="Arial" w:hAnsi="Arial"/>
                <w:sz w:val="18"/>
                <w:szCs w:val="18"/>
                <w:color w:val="auto"/>
              </w:rPr>
              <w:t>Barclays Capital Inc., BB&amp;T Capital Markets, a division of BB&amp;T Securities, LLC, BMO Capital Markets Corp., Deutsche Bank</w:t>
            </w:r>
          </w:p>
        </w:tc>
      </w:tr>
    </w:tbl>
    <w:p>
      <w:pPr>
        <w:sectPr>
          <w:pgSz w:w="11900" w:h="16838" w:orient="portrait"/>
          <w:cols w:equalWidth="0" w:num="1">
            <w:col w:w="11420"/>
          </w:cols>
          <w:pgMar w:left="240" w:top="544"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0320" w:type="dxa"/>
            <w:vAlign w:val="bottom"/>
          </w:tcPr>
          <w:p>
            <w:pPr>
              <w:ind w:left="260"/>
              <w:spacing w:after="0"/>
              <w:rPr>
                <w:sz w:val="20"/>
                <w:szCs w:val="20"/>
                <w:color w:val="auto"/>
              </w:rPr>
            </w:pPr>
            <w:r>
              <w:rPr>
                <w:rFonts w:ascii="Arial" w:cs="Arial" w:eastAsia="Arial" w:hAnsi="Arial"/>
                <w:sz w:val="18"/>
                <w:szCs w:val="18"/>
                <w:color w:val="auto"/>
                <w:w w:val="92"/>
              </w:rPr>
              <w:t>Securities Inc., J.P. Morgan Securities LLC, Jefferies LLC, Merrill Lynch, Pierce, Fenner &amp; Smith Incorporated, Mitsubishi UFJ Securities</w:t>
            </w:r>
          </w:p>
        </w:tc>
      </w:tr>
      <w:tr>
        <w:trPr>
          <w:trHeight w:val="216"/>
        </w:trPr>
        <w:tc>
          <w:tcPr>
            <w:tcW w:w="1140" w:type="dxa"/>
            <w:vAlign w:val="bottom"/>
          </w:tcPr>
          <w:p>
            <w:pPr>
              <w:spacing w:after="0"/>
              <w:rPr>
                <w:sz w:val="18"/>
                <w:szCs w:val="18"/>
                <w:color w:val="auto"/>
              </w:rPr>
            </w:pPr>
          </w:p>
        </w:tc>
        <w:tc>
          <w:tcPr>
            <w:tcW w:w="10320" w:type="dxa"/>
            <w:vAlign w:val="bottom"/>
          </w:tcPr>
          <w:p>
            <w:pPr>
              <w:ind w:left="260"/>
              <w:spacing w:after="0"/>
              <w:rPr>
                <w:sz w:val="20"/>
                <w:szCs w:val="20"/>
                <w:color w:val="auto"/>
              </w:rPr>
            </w:pPr>
            <w:r>
              <w:rPr>
                <w:rFonts w:ascii="Arial" w:cs="Arial" w:eastAsia="Arial" w:hAnsi="Arial"/>
                <w:sz w:val="18"/>
                <w:szCs w:val="18"/>
                <w:color w:val="auto"/>
                <w:w w:val="94"/>
              </w:rPr>
              <w:t>(USA), Inc., Mizuho Securities USA Inc., Morgan Stanley &amp; Co. LLC, Raymond James &amp; Associates, Inc., RBC Capital Markets, LLC,</w:t>
            </w:r>
          </w:p>
        </w:tc>
      </w:tr>
      <w:tr>
        <w:trPr>
          <w:trHeight w:val="216"/>
        </w:trPr>
        <w:tc>
          <w:tcPr>
            <w:tcW w:w="1140" w:type="dxa"/>
            <w:vAlign w:val="bottom"/>
          </w:tcPr>
          <w:p>
            <w:pPr>
              <w:spacing w:after="0"/>
              <w:rPr>
                <w:sz w:val="18"/>
                <w:szCs w:val="18"/>
                <w:color w:val="auto"/>
              </w:rPr>
            </w:pPr>
          </w:p>
        </w:tc>
        <w:tc>
          <w:tcPr>
            <w:tcW w:w="10320" w:type="dxa"/>
            <w:vAlign w:val="bottom"/>
          </w:tcPr>
          <w:p>
            <w:pPr>
              <w:ind w:left="260"/>
              <w:spacing w:after="0"/>
              <w:rPr>
                <w:sz w:val="20"/>
                <w:szCs w:val="20"/>
                <w:color w:val="auto"/>
              </w:rPr>
            </w:pPr>
            <w:r>
              <w:rPr>
                <w:rFonts w:ascii="Arial" w:cs="Arial" w:eastAsia="Arial" w:hAnsi="Arial"/>
                <w:sz w:val="18"/>
                <w:szCs w:val="18"/>
                <w:color w:val="auto"/>
                <w:w w:val="97"/>
              </w:rPr>
              <w:t>Robert W. Baird &amp; Co. Incorporated, Scotia Capital (USA) Inc., SG Americas Securities, LLC, SunTrust Robinson Humphrey, Inc.,</w:t>
            </w:r>
          </w:p>
        </w:tc>
      </w:tr>
      <w:tr>
        <w:trPr>
          <w:trHeight w:val="216"/>
        </w:trPr>
        <w:tc>
          <w:tcPr>
            <w:tcW w:w="1140" w:type="dxa"/>
            <w:vAlign w:val="bottom"/>
          </w:tcPr>
          <w:p>
            <w:pPr>
              <w:spacing w:after="0"/>
              <w:rPr>
                <w:sz w:val="18"/>
                <w:szCs w:val="18"/>
                <w:color w:val="auto"/>
              </w:rPr>
            </w:pPr>
          </w:p>
        </w:tc>
        <w:tc>
          <w:tcPr>
            <w:tcW w:w="10320" w:type="dxa"/>
            <w:vAlign w:val="bottom"/>
          </w:tcPr>
          <w:p>
            <w:pPr>
              <w:ind w:left="260"/>
              <w:spacing w:after="0"/>
              <w:rPr>
                <w:sz w:val="20"/>
                <w:szCs w:val="20"/>
                <w:color w:val="auto"/>
              </w:rPr>
            </w:pPr>
            <w:r>
              <w:rPr>
                <w:rFonts w:ascii="Arial" w:cs="Arial" w:eastAsia="Arial" w:hAnsi="Arial"/>
                <w:sz w:val="18"/>
                <w:szCs w:val="18"/>
                <w:color w:val="auto"/>
                <w:w w:val="93"/>
              </w:rPr>
              <w:t>Tudor, Pickering, Holt &amp; Co. Securities, Inc., UBS Securities LLC, USCA Securities LLC and Wells Fargo Securities, LLC (incorporated</w:t>
            </w:r>
          </w:p>
        </w:tc>
      </w:tr>
      <w:tr>
        <w:trPr>
          <w:trHeight w:val="230"/>
        </w:trPr>
        <w:tc>
          <w:tcPr>
            <w:tcW w:w="1140" w:type="dxa"/>
            <w:vAlign w:val="bottom"/>
          </w:tcPr>
          <w:p>
            <w:pPr>
              <w:spacing w:after="0"/>
              <w:rPr>
                <w:sz w:val="20"/>
                <w:szCs w:val="20"/>
                <w:color w:val="auto"/>
              </w:rPr>
            </w:pPr>
          </w:p>
        </w:tc>
        <w:tc>
          <w:tcPr>
            <w:tcW w:w="10320" w:type="dxa"/>
            <w:vAlign w:val="bottom"/>
          </w:tcPr>
          <w:p>
            <w:pPr>
              <w:ind w:left="260"/>
              <w:spacing w:after="0"/>
              <w:rPr>
                <w:sz w:val="20"/>
                <w:szCs w:val="20"/>
                <w:color w:val="auto"/>
              </w:rPr>
            </w:pPr>
            <w:r>
              <w:rPr>
                <w:rFonts w:ascii="Arial" w:cs="Arial" w:eastAsia="Arial" w:hAnsi="Arial"/>
                <w:sz w:val="18"/>
                <w:szCs w:val="18"/>
                <w:color w:val="auto"/>
              </w:rPr>
              <w:t>by reference to Exhibit 1.1 to our Current Report on Form 8-K filed on August 22, 2014).</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Exhibit 5.1</w:t>
            </w:r>
          </w:p>
        </w:tc>
        <w:tc>
          <w:tcPr>
            <w:tcW w:w="10320" w:type="dxa"/>
            <w:vAlign w:val="bottom"/>
          </w:tcPr>
          <w:p>
            <w:pPr>
              <w:ind w:left="260"/>
              <w:spacing w:after="0"/>
              <w:rPr>
                <w:sz w:val="20"/>
                <w:szCs w:val="20"/>
                <w:color w:val="auto"/>
              </w:rPr>
            </w:pPr>
            <w:r>
              <w:rPr>
                <w:rFonts w:ascii="Arial" w:cs="Arial" w:eastAsia="Arial" w:hAnsi="Arial"/>
                <w:sz w:val="18"/>
                <w:szCs w:val="18"/>
                <w:color w:val="auto"/>
              </w:rPr>
              <w:t>Opinion of Vinson &amp; Elkins L.L.P. regarding legality of the Units.</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Exhibit 8.1</w:t>
            </w:r>
          </w:p>
        </w:tc>
        <w:tc>
          <w:tcPr>
            <w:tcW w:w="10320" w:type="dxa"/>
            <w:vAlign w:val="bottom"/>
          </w:tcPr>
          <w:p>
            <w:pPr>
              <w:ind w:left="260"/>
              <w:spacing w:after="0"/>
              <w:rPr>
                <w:sz w:val="20"/>
                <w:szCs w:val="20"/>
                <w:color w:val="auto"/>
              </w:rPr>
            </w:pPr>
            <w:r>
              <w:rPr>
                <w:rFonts w:ascii="Arial" w:cs="Arial" w:eastAsia="Arial" w:hAnsi="Arial"/>
                <w:sz w:val="18"/>
                <w:szCs w:val="18"/>
                <w:color w:val="auto"/>
              </w:rPr>
              <w:t>Opinion of Vinson &amp; Elkins L.L.P. regarding tax matters.</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Exhibit 23.1</w:t>
            </w:r>
          </w:p>
        </w:tc>
        <w:tc>
          <w:tcPr>
            <w:tcW w:w="10320" w:type="dxa"/>
            <w:vAlign w:val="bottom"/>
          </w:tcPr>
          <w:p>
            <w:pPr>
              <w:ind w:left="260"/>
              <w:spacing w:after="0"/>
              <w:rPr>
                <w:sz w:val="20"/>
                <w:szCs w:val="20"/>
                <w:color w:val="auto"/>
              </w:rPr>
            </w:pPr>
            <w:r>
              <w:rPr>
                <w:rFonts w:ascii="Arial" w:cs="Arial" w:eastAsia="Arial" w:hAnsi="Arial"/>
                <w:sz w:val="18"/>
                <w:szCs w:val="18"/>
                <w:color w:val="auto"/>
              </w:rPr>
              <w:t>Consent of Vinson &amp; Elkins L.L.P. (included in Exhibits 5.1 and 8.1).</w:t>
            </w:r>
          </w:p>
        </w:tc>
      </w:tr>
      <w:tr>
        <w:trPr>
          <w:trHeight w:val="432"/>
        </w:trPr>
        <w:tc>
          <w:tcPr>
            <w:tcW w:w="1140" w:type="dxa"/>
            <w:vAlign w:val="bottom"/>
          </w:tcPr>
          <w:p>
            <w:pPr>
              <w:spacing w:after="0"/>
              <w:rPr>
                <w:sz w:val="24"/>
                <w:szCs w:val="24"/>
                <w:color w:val="auto"/>
              </w:rPr>
            </w:pPr>
          </w:p>
        </w:tc>
        <w:tc>
          <w:tcPr>
            <w:tcW w:w="10320" w:type="dxa"/>
            <w:vAlign w:val="bottom"/>
          </w:tcPr>
          <w:p>
            <w:pPr>
              <w:ind w:left="4520"/>
              <w:spacing w:after="0"/>
              <w:rPr>
                <w:sz w:val="20"/>
                <w:szCs w:val="20"/>
                <w:color w:val="auto"/>
              </w:rPr>
            </w:pPr>
            <w:r>
              <w:rPr>
                <w:rFonts w:ascii="Arial" w:cs="Arial" w:eastAsia="Arial" w:hAnsi="Arial"/>
                <w:sz w:val="18"/>
                <w:szCs w:val="18"/>
                <w:color w:val="auto"/>
              </w:rPr>
              <w:t>2</w:t>
            </w:r>
          </w:p>
        </w:tc>
      </w:tr>
      <w:tr>
        <w:trPr>
          <w:trHeight w:val="132"/>
        </w:trPr>
        <w:tc>
          <w:tcPr>
            <w:tcW w:w="1140" w:type="dxa"/>
            <w:vAlign w:val="bottom"/>
            <w:tcBorders>
              <w:bottom w:val="single" w:sz="8" w:color="808080"/>
            </w:tcBorders>
          </w:tcPr>
          <w:p>
            <w:pPr>
              <w:spacing w:after="0"/>
              <w:rPr>
                <w:sz w:val="11"/>
                <w:szCs w:val="11"/>
                <w:color w:val="auto"/>
              </w:rPr>
            </w:pPr>
          </w:p>
        </w:tc>
        <w:tc>
          <w:tcPr>
            <w:tcW w:w="103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240" w:type="dxa"/>
            <w:vAlign w:val="bottom"/>
            <w:gridSpan w:val="4"/>
          </w:tcPr>
          <w:p>
            <w:pPr>
              <w:ind w:left="256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180" w:type="dxa"/>
            <w:vAlign w:val="bottom"/>
            <w:gridSpan w:val="4"/>
          </w:tcPr>
          <w:p>
            <w:pPr>
              <w:spacing w:after="0"/>
              <w:rPr>
                <w:sz w:val="20"/>
                <w:szCs w:val="20"/>
                <w:color w:val="auto"/>
              </w:rPr>
            </w:pPr>
            <w:r>
              <w:rPr>
                <w:rFonts w:ascii="Arial" w:cs="Arial" w:eastAsia="Arial" w:hAnsi="Arial"/>
                <w:sz w:val="18"/>
                <w:szCs w:val="18"/>
                <w:color w:val="auto"/>
              </w:rPr>
              <w:t>Date: August 9, 2016</w:t>
            </w:r>
          </w:p>
        </w:tc>
        <w:tc>
          <w:tcPr>
            <w:tcW w:w="2880" w:type="dxa"/>
            <w:vAlign w:val="bottom"/>
          </w:tcPr>
          <w:p>
            <w:pPr>
              <w:ind w:left="256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80" w:type="dxa"/>
            <w:vAlign w:val="bottom"/>
          </w:tcPr>
          <w:p>
            <w:pPr>
              <w:ind w:left="256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80" w:type="dxa"/>
            <w:vAlign w:val="bottom"/>
          </w:tcPr>
          <w:p>
            <w:pPr>
              <w:ind w:left="256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80" w:type="dxa"/>
            <w:vAlign w:val="bottom"/>
          </w:tcPr>
          <w:p>
            <w:pPr>
              <w:ind w:left="256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 Herbold</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ind w:left="120"/>
              <w:spacing w:after="0" w:line="195" w:lineRule="exact"/>
              <w:rPr>
                <w:sz w:val="20"/>
                <w:szCs w:val="20"/>
                <w:color w:val="auto"/>
              </w:rPr>
            </w:pPr>
            <w:r>
              <w:rPr>
                <w:rFonts w:ascii="Arial" w:cs="Arial" w:eastAsia="Arial" w:hAnsi="Arial"/>
                <w:sz w:val="18"/>
                <w:szCs w:val="18"/>
                <w:color w:val="auto"/>
              </w:rPr>
              <w:t>Chris Herbold</w:t>
            </w: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120"/>
              <w:spacing w:after="0"/>
              <w:rPr>
                <w:sz w:val="20"/>
                <w:szCs w:val="20"/>
                <w:color w:val="auto"/>
              </w:rPr>
            </w:pPr>
            <w:r>
              <w:rPr>
                <w:rFonts w:ascii="Arial" w:cs="Arial" w:eastAsia="Arial" w:hAnsi="Arial"/>
                <w:sz w:val="18"/>
                <w:szCs w:val="18"/>
                <w:color w:val="auto"/>
                <w:w w:val="95"/>
              </w:rPr>
              <w:t>Vice President - Accounting and Chief Accounting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80" w:type="dxa"/>
            <w:vAlign w:val="bottom"/>
          </w:tcPr>
          <w:p>
            <w:pPr>
              <w:ind w:left="248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c>
          <w:tcPr>
            <w:tcW w:w="3760" w:type="dxa"/>
            <w:vAlign w:val="bottom"/>
            <w:tcBorders>
              <w:bottom w:val="single" w:sz="8" w:color="808080"/>
            </w:tcBorders>
            <w:gridSpan w:val="3"/>
          </w:tcPr>
          <w:p>
            <w:pPr>
              <w:spacing w:after="0"/>
              <w:rPr>
                <w:sz w:val="11"/>
                <w:szCs w:val="11"/>
                <w:color w:val="auto"/>
              </w:rPr>
            </w:pPr>
          </w:p>
        </w:tc>
        <w:tc>
          <w:tcPr>
            <w:tcW w:w="4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760" w:type="dxa"/>
            <w:vAlign w:val="bottom"/>
            <w:gridSpan w:val="3"/>
          </w:tcPr>
          <w:p>
            <w:pPr>
              <w:ind w:left="1640"/>
              <w:spacing w:after="0"/>
              <w:rPr>
                <w:sz w:val="20"/>
                <w:szCs w:val="20"/>
                <w:color w:val="auto"/>
              </w:rPr>
            </w:pPr>
            <w:r>
              <w:rPr>
                <w:rFonts w:ascii="Arial" w:cs="Arial" w:eastAsia="Arial" w:hAnsi="Arial"/>
                <w:sz w:val="18"/>
                <w:szCs w:val="18"/>
                <w:b w:val="1"/>
                <w:bCs w:val="1"/>
                <w:color w:val="auto"/>
              </w:rPr>
              <w:t>INDEX TO EXHIBITS</w:t>
            </w:r>
          </w:p>
        </w:tc>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Description</w:t>
            </w:r>
          </w:p>
        </w:tc>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Exhibit 1.1</w:t>
            </w:r>
          </w:p>
        </w:tc>
        <w:tc>
          <w:tcPr>
            <w:tcW w:w="280" w:type="dxa"/>
            <w:vAlign w:val="bottom"/>
          </w:tcPr>
          <w:p>
            <w:pPr>
              <w:spacing w:after="0"/>
              <w:rPr>
                <w:sz w:val="16"/>
                <w:szCs w:val="16"/>
                <w:color w:val="auto"/>
              </w:rPr>
            </w:pPr>
          </w:p>
        </w:tc>
        <w:tc>
          <w:tcPr>
            <w:tcW w:w="9920" w:type="dxa"/>
            <w:vAlign w:val="bottom"/>
            <w:tcBorders>
              <w:top w:val="single" w:sz="8" w:color="auto"/>
            </w:tcBorders>
            <w:gridSpan w:val="5"/>
          </w:tcPr>
          <w:p>
            <w:pPr>
              <w:spacing w:after="0" w:line="195" w:lineRule="exact"/>
              <w:rPr>
                <w:sz w:val="20"/>
                <w:szCs w:val="20"/>
                <w:color w:val="auto"/>
              </w:rPr>
            </w:pPr>
            <w:r>
              <w:rPr>
                <w:rFonts w:ascii="Arial" w:cs="Arial" w:eastAsia="Arial" w:hAnsi="Arial"/>
                <w:sz w:val="18"/>
                <w:szCs w:val="18"/>
                <w:color w:val="auto"/>
                <w:w w:val="94"/>
              </w:rPr>
              <w:t>Equity Distribution Agreement, dated August 22, 2014, between Plains All American Pipeline, L.P. and Citigroup Global Market Inc.,</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0" w:type="dxa"/>
            <w:vAlign w:val="bottom"/>
            <w:gridSpan w:val="6"/>
          </w:tcPr>
          <w:p>
            <w:pPr>
              <w:ind w:left="280"/>
              <w:spacing w:after="0"/>
              <w:rPr>
                <w:sz w:val="20"/>
                <w:szCs w:val="20"/>
                <w:color w:val="auto"/>
              </w:rPr>
            </w:pPr>
            <w:r>
              <w:rPr>
                <w:rFonts w:ascii="Arial" w:cs="Arial" w:eastAsia="Arial" w:hAnsi="Arial"/>
                <w:sz w:val="18"/>
                <w:szCs w:val="18"/>
                <w:color w:val="auto"/>
                <w:w w:val="99"/>
              </w:rPr>
              <w:t>Barclays Capital Inc., BB&amp;T Capital Markets, a division of BB&amp;T Securities, LLC, BMO Capital Markets Corp., Deutsche Bank</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0" w:type="dxa"/>
            <w:vAlign w:val="bottom"/>
            <w:gridSpan w:val="6"/>
          </w:tcPr>
          <w:p>
            <w:pPr>
              <w:ind w:left="280"/>
              <w:spacing w:after="0"/>
              <w:rPr>
                <w:sz w:val="20"/>
                <w:szCs w:val="20"/>
                <w:color w:val="auto"/>
              </w:rPr>
            </w:pPr>
            <w:r>
              <w:rPr>
                <w:rFonts w:ascii="Arial" w:cs="Arial" w:eastAsia="Arial" w:hAnsi="Arial"/>
                <w:sz w:val="18"/>
                <w:szCs w:val="18"/>
                <w:color w:val="auto"/>
                <w:w w:val="98"/>
              </w:rPr>
              <w:t>Securities Inc., J.P. Morgan Securities LLC, Jefferies LLC, Merrill Lynch, Pierce, Fenner &amp; Smith Incorporated, Mitsubishi UFJ</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0" w:type="dxa"/>
            <w:vAlign w:val="bottom"/>
            <w:gridSpan w:val="6"/>
          </w:tcPr>
          <w:p>
            <w:pPr>
              <w:ind w:left="280"/>
              <w:spacing w:after="0"/>
              <w:rPr>
                <w:sz w:val="20"/>
                <w:szCs w:val="20"/>
                <w:color w:val="auto"/>
              </w:rPr>
            </w:pPr>
            <w:r>
              <w:rPr>
                <w:rFonts w:ascii="Arial" w:cs="Arial" w:eastAsia="Arial" w:hAnsi="Arial"/>
                <w:sz w:val="18"/>
                <w:szCs w:val="18"/>
                <w:color w:val="auto"/>
                <w:w w:val="96"/>
              </w:rPr>
              <w:t>Securities (USA), Inc., Mizuho Securities USA Inc., Morgan Stanley &amp; Co. LLC, Raymond James &amp; Associates, Inc., RBC Capital</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0" w:type="dxa"/>
            <w:vAlign w:val="bottom"/>
            <w:gridSpan w:val="6"/>
          </w:tcPr>
          <w:p>
            <w:pPr>
              <w:ind w:left="280"/>
              <w:spacing w:after="0"/>
              <w:rPr>
                <w:sz w:val="20"/>
                <w:szCs w:val="20"/>
                <w:color w:val="auto"/>
              </w:rPr>
            </w:pPr>
            <w:r>
              <w:rPr>
                <w:rFonts w:ascii="Arial" w:cs="Arial" w:eastAsia="Arial" w:hAnsi="Arial"/>
                <w:sz w:val="18"/>
                <w:szCs w:val="18"/>
                <w:color w:val="auto"/>
                <w:w w:val="97"/>
              </w:rPr>
              <w:t>Markets, LLC, Robert W. Baird &amp; Co. Incorporated, Scotia Capital (USA) Inc., SG Americas Securities, LLC, SunTrust Robinson</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0" w:type="dxa"/>
            <w:vAlign w:val="bottom"/>
            <w:gridSpan w:val="6"/>
          </w:tcPr>
          <w:p>
            <w:pPr>
              <w:ind w:left="280"/>
              <w:spacing w:after="0"/>
              <w:rPr>
                <w:sz w:val="20"/>
                <w:szCs w:val="20"/>
                <w:color w:val="auto"/>
              </w:rPr>
            </w:pPr>
            <w:r>
              <w:rPr>
                <w:rFonts w:ascii="Arial" w:cs="Arial" w:eastAsia="Arial" w:hAnsi="Arial"/>
                <w:sz w:val="18"/>
                <w:szCs w:val="18"/>
                <w:color w:val="auto"/>
                <w:w w:val="93"/>
              </w:rPr>
              <w:t>Humphrey, Inc., Tudor, Pickering, Holt &amp; Co. Securities, Inc., UBS Securities LLC, USCA Securities LLC and Wells Fargo Securities,</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200" w:type="dxa"/>
            <w:vAlign w:val="bottom"/>
            <w:gridSpan w:val="6"/>
          </w:tcPr>
          <w:p>
            <w:pPr>
              <w:ind w:left="280"/>
              <w:spacing w:after="0"/>
              <w:rPr>
                <w:sz w:val="20"/>
                <w:szCs w:val="20"/>
                <w:color w:val="auto"/>
              </w:rPr>
            </w:pPr>
            <w:r>
              <w:rPr>
                <w:rFonts w:ascii="Arial" w:cs="Arial" w:eastAsia="Arial" w:hAnsi="Arial"/>
                <w:sz w:val="18"/>
                <w:szCs w:val="18"/>
                <w:color w:val="auto"/>
              </w:rPr>
              <w:t>LLC (incorporated by reference to Exhibit 1.1 to our Current Report on Form 8-K filed on August 22, 2014).</w:t>
            </w:r>
          </w:p>
        </w:tc>
        <w:tc>
          <w:tcPr>
            <w:tcW w:w="40" w:type="dxa"/>
            <w:vAlign w:val="bottom"/>
          </w:tcPr>
          <w:p>
            <w:pPr>
              <w:spacing w:after="0"/>
              <w:rPr>
                <w:sz w:val="20"/>
                <w:szCs w:val="20"/>
                <w:color w:val="auto"/>
              </w:rPr>
            </w:pP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Exhibit 5.1</w:t>
            </w:r>
          </w:p>
        </w:tc>
        <w:tc>
          <w:tcPr>
            <w:tcW w:w="5720" w:type="dxa"/>
            <w:vAlign w:val="bottom"/>
            <w:gridSpan w:val="5"/>
          </w:tcPr>
          <w:p>
            <w:pPr>
              <w:ind w:left="280"/>
              <w:spacing w:after="0"/>
              <w:rPr>
                <w:sz w:val="20"/>
                <w:szCs w:val="20"/>
                <w:color w:val="auto"/>
              </w:rPr>
            </w:pPr>
            <w:r>
              <w:rPr>
                <w:rFonts w:ascii="Arial" w:cs="Arial" w:eastAsia="Arial" w:hAnsi="Arial"/>
                <w:sz w:val="18"/>
                <w:szCs w:val="18"/>
                <w:color w:val="auto"/>
              </w:rPr>
              <w:t>Opinion of Vinson &amp; Elkins L.L.P. regarding legality of the Units.</w:t>
            </w:r>
          </w:p>
        </w:tc>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Exhibit 8.1</w:t>
            </w:r>
          </w:p>
        </w:tc>
        <w:tc>
          <w:tcPr>
            <w:tcW w:w="4840" w:type="dxa"/>
            <w:vAlign w:val="bottom"/>
            <w:gridSpan w:val="3"/>
          </w:tcPr>
          <w:p>
            <w:pPr>
              <w:ind w:left="280"/>
              <w:spacing w:after="0"/>
              <w:rPr>
                <w:sz w:val="20"/>
                <w:szCs w:val="20"/>
                <w:color w:val="auto"/>
              </w:rPr>
            </w:pPr>
            <w:r>
              <w:rPr>
                <w:rFonts w:ascii="Arial" w:cs="Arial" w:eastAsia="Arial" w:hAnsi="Arial"/>
                <w:sz w:val="18"/>
                <w:szCs w:val="18"/>
                <w:color w:val="auto"/>
              </w:rPr>
              <w:t>Opinion of Vinson &amp; Elkins L.L.P. regarding tax matters.</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Exhibit 23.1</w:t>
            </w:r>
          </w:p>
        </w:tc>
        <w:tc>
          <w:tcPr>
            <w:tcW w:w="5720" w:type="dxa"/>
            <w:vAlign w:val="bottom"/>
            <w:gridSpan w:val="5"/>
          </w:tcPr>
          <w:p>
            <w:pPr>
              <w:ind w:left="280"/>
              <w:spacing w:after="0"/>
              <w:rPr>
                <w:sz w:val="20"/>
                <w:szCs w:val="20"/>
                <w:color w:val="auto"/>
              </w:rPr>
            </w:pPr>
            <w:r>
              <w:rPr>
                <w:rFonts w:ascii="Arial" w:cs="Arial" w:eastAsia="Arial" w:hAnsi="Arial"/>
                <w:sz w:val="18"/>
                <w:szCs w:val="18"/>
                <w:color w:val="auto"/>
              </w:rPr>
              <w:t>Consent of Vinson &amp; Elkins L.L.P. (included in Exhibits 5.1 and 8.1).</w:t>
            </w:r>
          </w:p>
        </w:tc>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80" w:type="dxa"/>
            <w:vAlign w:val="bottom"/>
          </w:tcPr>
          <w:p>
            <w:pPr>
              <w:ind w:left="248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c>
          <w:tcPr>
            <w:tcW w:w="28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-2919095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-2919095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ind w:right="40"/>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5796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579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August 9,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We have acted as counsel for Plains All American Pipeline, L.P., a Delaware limited partnership (the “Partnership”), with respect to certain legal matters in connection with the registration by the Partnership with the Securities and Exchange Commission (the “Commission”) under the Securities Act of 1933, as amended (the “Securities Act”), of the offer and sale by the Partnership of common units representing limited partner interests in the Partnership having an aggregate offering price of up to $541,262,941.52 (the “Units”). We have participated in the preparation of a Prospectus Supplement dated August 9, 2016 (the “Prospectus Supplement”) and the Prospectus dated October 7, 2015 (the “Prospectus”) forming part of the Registration Statement on Form S-3 (No. 333-207140) (the “Registration Statement”) to which this opinion is an exhibit. The Prospectus Supplement has been filed pursuant to Rule 424(b) promulgated under the Securities Act.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 rendering the opinions set forth below, we have examined and relied upon (i) the Delaware Revised Uniform Partnership Act (the “Delaware LP Act”),</w:t>
      </w:r>
    </w:p>
    <w:p>
      <w:pPr>
        <w:spacing w:after="0" w:line="35" w:lineRule="exact"/>
        <w:rPr>
          <w:sz w:val="20"/>
          <w:szCs w:val="20"/>
          <w:color w:val="auto"/>
        </w:rPr>
      </w:pPr>
    </w:p>
    <w:p>
      <w:pPr>
        <w:ind w:right="80" w:firstLine="8"/>
        <w:spacing w:after="0" w:line="269" w:lineRule="auto"/>
        <w:tabs>
          <w:tab w:leader="none" w:pos="26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Registration Statement, the Prospectus Supplement and the Prospectus; (iii) the Fifth Amended and Restated Agreement of Limited Partnership of the Partnership, dated as of January 28, 2016, as amended (iv) the Certificate of Limited Partnership of the Partnership, (v) an Equity Distribution Agreement, dated August 22, 2014 relating to the offering and sale of the Units (the “Equity Distribution Agreement”), a copy of which was filed with the Commission as an exhibit to the Partnership’s Current Report on Form 8-K on August 22, 2014, (vi) certain resolutions adopted by the board of directors of Plains All American GP LLC, the general partner of Plains AAP, L.P., which is the sole member of PAA GP LLC, the general partner of the Partnership, approving and authorizing, among other things, the Registration Statement and other matters relating to the offering of the Units, and (vii) such other certificates, statutes and other instruments and documents as we consider appropriate for purposes of the opinions hereafter expressed.</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Based upon and subject to the foregoing and the assumptions, limitations and qualifications set forth herein, we are of the opinion that the Units are duly and validly authorized for issuance and, upon payment and delivery of the Units in accordance with the Equity Distribution Agreement, the Prospectus Supplement and the Prospectus, will be validly issued, fully paid and non-assessable.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herein are qualified in the following respects:</w:t>
      </w:r>
    </w:p>
    <w:p>
      <w:pPr>
        <w:spacing w:after="0" w:line="225" w:lineRule="exact"/>
        <w:rPr>
          <w:sz w:val="20"/>
          <w:szCs w:val="20"/>
          <w:color w:val="auto"/>
        </w:rPr>
      </w:pPr>
    </w:p>
    <w:p>
      <w:pPr>
        <w:ind w:left="1300" w:right="380" w:hanging="644"/>
        <w:spacing w:after="0" w:line="312" w:lineRule="auto"/>
        <w:tabs>
          <w:tab w:leader="none" w:pos="1313"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assumed that the Equity Distribution Agreement has been duly authorized and validly executed and delivered by the managers party thereto (the “Managers”) and constitutes a legal, valid and binding obligation of the Managers, and that the Managers have the requisite organizational and legal power and authority to perform their obligations under the Equity Distribution Agreement.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20" w:type="dxa"/>
            <w:vAlign w:val="bottom"/>
          </w:tcPr>
          <w:p>
            <w:pPr>
              <w:spacing w:after="0"/>
              <w:rPr>
                <w:sz w:val="20"/>
                <w:szCs w:val="20"/>
                <w:color w:val="auto"/>
              </w:rPr>
            </w:pPr>
            <w:r>
              <w:rPr>
                <w:rFonts w:ascii="Arial" w:cs="Arial" w:eastAsia="Arial" w:hAnsi="Arial"/>
                <w:sz w:val="18"/>
                <w:szCs w:val="18"/>
                <w:b w:val="1"/>
                <w:bCs w:val="1"/>
                <w:color w:val="auto"/>
              </w:rPr>
              <w:t>Vinson &amp; Elkins LLP Attorneys at Law</w:t>
            </w:r>
          </w:p>
        </w:tc>
        <w:tc>
          <w:tcPr>
            <w:tcW w:w="5640" w:type="dxa"/>
            <w:vAlign w:val="bottom"/>
          </w:tcPr>
          <w:p>
            <w:pPr>
              <w:ind w:left="180"/>
              <w:spacing w:after="0"/>
              <w:rPr>
                <w:sz w:val="20"/>
                <w:szCs w:val="20"/>
                <w:color w:val="auto"/>
              </w:rPr>
            </w:pPr>
            <w:r>
              <w:rPr>
                <w:rFonts w:ascii="Arial" w:cs="Arial" w:eastAsia="Arial" w:hAnsi="Arial"/>
                <w:sz w:val="18"/>
                <w:szCs w:val="18"/>
                <w:color w:val="auto"/>
              </w:rPr>
              <w:t>1001 Fannin Street, Suite 2500</w:t>
            </w:r>
          </w:p>
        </w:tc>
      </w:tr>
      <w:tr>
        <w:trPr>
          <w:trHeight w:val="212"/>
        </w:trPr>
        <w:tc>
          <w:tcPr>
            <w:tcW w:w="5820" w:type="dxa"/>
            <w:vAlign w:val="bottom"/>
          </w:tcPr>
          <w:p>
            <w:pPr>
              <w:spacing w:after="0"/>
              <w:rPr>
                <w:sz w:val="20"/>
                <w:szCs w:val="20"/>
                <w:color w:val="auto"/>
              </w:rPr>
            </w:pPr>
            <w:r>
              <w:rPr>
                <w:rFonts w:ascii="Arial" w:cs="Arial" w:eastAsia="Arial" w:hAnsi="Arial"/>
                <w:sz w:val="18"/>
                <w:szCs w:val="18"/>
                <w:color w:val="auto"/>
                <w:w w:val="96"/>
              </w:rPr>
              <w:t>Austin Beijing Dallas Dubai Hong Kong Houston London Moscow New York</w:t>
            </w:r>
          </w:p>
        </w:tc>
        <w:tc>
          <w:tcPr>
            <w:tcW w:w="5640" w:type="dxa"/>
            <w:vAlign w:val="bottom"/>
          </w:tcPr>
          <w:p>
            <w:pPr>
              <w:ind w:left="180"/>
              <w:spacing w:after="0"/>
              <w:rPr>
                <w:sz w:val="20"/>
                <w:szCs w:val="20"/>
                <w:color w:val="auto"/>
              </w:rPr>
            </w:pPr>
            <w:r>
              <w:rPr>
                <w:rFonts w:ascii="Arial" w:cs="Arial" w:eastAsia="Arial" w:hAnsi="Arial"/>
                <w:sz w:val="18"/>
                <w:szCs w:val="18"/>
                <w:color w:val="auto"/>
              </w:rPr>
              <w:t>Houston, TX 77002-6760</w:t>
            </w:r>
          </w:p>
        </w:tc>
      </w:tr>
      <w:tr>
        <w:trPr>
          <w:trHeight w:val="234"/>
        </w:trPr>
        <w:tc>
          <w:tcPr>
            <w:tcW w:w="5820" w:type="dxa"/>
            <w:vAlign w:val="bottom"/>
          </w:tcPr>
          <w:p>
            <w:pPr>
              <w:spacing w:after="0"/>
              <w:rPr>
                <w:sz w:val="20"/>
                <w:szCs w:val="20"/>
                <w:color w:val="auto"/>
              </w:rPr>
            </w:pPr>
            <w:r>
              <w:rPr>
                <w:rFonts w:ascii="Arial" w:cs="Arial" w:eastAsia="Arial" w:hAnsi="Arial"/>
                <w:sz w:val="18"/>
                <w:szCs w:val="18"/>
                <w:color w:val="auto"/>
              </w:rPr>
              <w:t>Palo Alto Richmond Riyadh San Francisco Taipei Tokyo Washington</w:t>
            </w:r>
          </w:p>
        </w:tc>
        <w:tc>
          <w:tcPr>
            <w:tcW w:w="5640" w:type="dxa"/>
            <w:vAlign w:val="bottom"/>
          </w:tcPr>
          <w:p>
            <w:pPr>
              <w:ind w:left="180"/>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+1.713.758.2222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+1.713.758.2346</w:t>
            </w:r>
            <w:r>
              <w:rPr>
                <w:rFonts w:ascii="Arial" w:cs="Arial" w:eastAsia="Arial" w:hAnsi="Arial"/>
                <w:sz w:val="18"/>
                <w:szCs w:val="18"/>
                <w:b w:val="1"/>
                <w:bCs w:val="1"/>
                <w:color w:val="auto"/>
              </w:rPr>
              <w:t xml:space="preserve"> www.velaw.com</w:t>
            </w:r>
          </w:p>
        </w:tc>
      </w:tr>
      <w:tr>
        <w:trPr>
          <w:trHeight w:val="348"/>
        </w:trPr>
        <w:tc>
          <w:tcPr>
            <w:tcW w:w="582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43751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7515" cy="17145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 xml:space="preserve">August 9, 2016 </w:t>
      </w:r>
      <w:r>
        <w:rPr>
          <w:rFonts w:ascii="Arial" w:cs="Arial" w:eastAsia="Arial" w:hAnsi="Arial"/>
          <w:sz w:val="18"/>
          <w:szCs w:val="18"/>
          <w:color w:val="auto"/>
        </w:rPr>
        <w:t>Page 2</w:t>
      </w:r>
    </w:p>
    <w:p>
      <w:pPr>
        <w:spacing w:after="0" w:line="243" w:lineRule="exact"/>
        <w:rPr>
          <w:sz w:val="20"/>
          <w:szCs w:val="20"/>
          <w:color w:val="auto"/>
        </w:rPr>
      </w:pPr>
    </w:p>
    <w:p>
      <w:pPr>
        <w:ind w:left="1300" w:right="60" w:hanging="644"/>
        <w:spacing w:after="0" w:line="277" w:lineRule="auto"/>
        <w:tabs>
          <w:tab w:leader="none" w:pos="13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assumed, without independent verification, that the certificates for the Units will conform to the specimens thereof examined by us and will have been duly countersigned by a transfer agent and duly registered by a registrar of the Units.</w:t>
      </w:r>
    </w:p>
    <w:p>
      <w:pPr>
        <w:spacing w:after="0" w:line="170" w:lineRule="exact"/>
        <w:rPr>
          <w:rFonts w:ascii="Arial" w:cs="Arial" w:eastAsia="Arial" w:hAnsi="Arial"/>
          <w:sz w:val="18"/>
          <w:szCs w:val="18"/>
          <w:color w:val="auto"/>
        </w:rPr>
      </w:pPr>
    </w:p>
    <w:p>
      <w:pPr>
        <w:ind w:left="1300" w:right="240" w:hanging="644"/>
        <w:spacing w:after="0" w:line="259" w:lineRule="auto"/>
        <w:tabs>
          <w:tab w:leader="none" w:pos="13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w:t>
      </w:r>
    </w:p>
    <w:p>
      <w:pPr>
        <w:spacing w:after="0" w:line="186" w:lineRule="exact"/>
        <w:rPr>
          <w:rFonts w:ascii="Arial" w:cs="Arial" w:eastAsia="Arial" w:hAnsi="Arial"/>
          <w:sz w:val="18"/>
          <w:szCs w:val="18"/>
          <w:color w:val="auto"/>
        </w:rPr>
      </w:pPr>
    </w:p>
    <w:p>
      <w:pPr>
        <w:ind w:left="1300" w:right="180" w:hanging="644"/>
        <w:spacing w:after="0" w:line="277" w:lineRule="auto"/>
        <w:tabs>
          <w:tab w:leader="none" w:pos="1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opinion is limited in all respects to federal laws, the Delaware LP Act and the Constitution of the State of Delaware, as interpreted by the courts of the State of Delaware and of the United States.</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072" w:gutter="0" w:footer="0" w:header="0"/>
        </w:sectPr>
      </w:pPr>
    </w:p>
    <w:bookmarkStart w:id="3" w:name="page4"/>
    <w:bookmarkEnd w:id="3"/>
    <w:p>
      <w:pPr>
        <w:jc w:val="right"/>
        <w:ind w:right="40"/>
        <w:spacing w:after="0"/>
        <w:rPr>
          <w:sz w:val="20"/>
          <w:szCs w:val="20"/>
          <w:color w:val="auto"/>
        </w:rPr>
      </w:pPr>
      <w:r>
        <w:rPr>
          <w:rFonts w:ascii="Arial" w:cs="Arial" w:eastAsia="Arial" w:hAnsi="Arial"/>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5796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579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August 9,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Plains All American Pipeline,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have acted as counsel to Plains All American Pipeline, L.P.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a Delaware limited partnership, with respect to certain legal matters in connection with the offer and sale by the Partnership of common units representing a limited partner interest in the Partnership. We have also participated in the preparation of a Prospectus Supplement dated on or about the date hereof (the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and Prospectus dated October 7, 2015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each forming part of the Registration Statement on Form S-3, (as amended,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w:t>
      </w:r>
    </w:p>
    <w:p>
      <w:pPr>
        <w:spacing w:after="0" w:line="154"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This opinion is based on various facts and assumptions, and is conditioned upon certain representations made by the Partnership as to factual matters through a certificate of an officer of the Partnership (the “</w:t>
      </w:r>
      <w:r>
        <w:rPr>
          <w:rFonts w:ascii="Arial" w:cs="Arial" w:eastAsia="Arial" w:hAnsi="Arial"/>
          <w:sz w:val="17"/>
          <w:szCs w:val="17"/>
          <w:b w:val="1"/>
          <w:bCs w:val="1"/>
          <w:i w:val="1"/>
          <w:iCs w:val="1"/>
          <w:color w:val="auto"/>
        </w:rPr>
        <w:t>Officer’s Certificate</w:t>
      </w:r>
      <w:r>
        <w:rPr>
          <w:rFonts w:ascii="Arial" w:cs="Arial" w:eastAsia="Arial" w:hAnsi="Arial"/>
          <w:sz w:val="17"/>
          <w:szCs w:val="17"/>
          <w:color w:val="auto"/>
        </w:rPr>
        <w:t>”). In addition, this opinion is based upon the factual representations of the Partnership concerning its business, properties and governing documents as set forth in the Registration Statement.</w:t>
      </w:r>
    </w:p>
    <w:p>
      <w:pPr>
        <w:spacing w:after="0" w:line="166"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78"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We hereby confirm that all statements of legal conclusions contained in the discussion in the Prospectus under the caption “Material U.S. Federal Income Tax Consequences,” as updated under the caption “Material U.S. Federal Income Tax Consequences” in the Prospectus Supplement,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960" w:type="dxa"/>
            <w:vAlign w:val="bottom"/>
          </w:tcPr>
          <w:p>
            <w:pPr>
              <w:spacing w:after="0"/>
              <w:rPr>
                <w:sz w:val="20"/>
                <w:szCs w:val="20"/>
                <w:color w:val="auto"/>
              </w:rPr>
            </w:pPr>
            <w:r>
              <w:rPr>
                <w:rFonts w:ascii="Arial" w:cs="Arial" w:eastAsia="Arial" w:hAnsi="Arial"/>
                <w:sz w:val="18"/>
                <w:szCs w:val="18"/>
                <w:b w:val="1"/>
                <w:bCs w:val="1"/>
                <w:color w:val="auto"/>
              </w:rPr>
              <w:t>Vinson &amp; Elkins LLP Attorneys at Law</w:t>
            </w:r>
          </w:p>
        </w:tc>
        <w:tc>
          <w:tcPr>
            <w:tcW w:w="5500" w:type="dxa"/>
            <w:vAlign w:val="bottom"/>
          </w:tcPr>
          <w:p>
            <w:pPr>
              <w:ind w:left="320"/>
              <w:spacing w:after="0"/>
              <w:rPr>
                <w:sz w:val="20"/>
                <w:szCs w:val="20"/>
                <w:color w:val="auto"/>
              </w:rPr>
            </w:pPr>
            <w:r>
              <w:rPr>
                <w:rFonts w:ascii="Arial" w:cs="Arial" w:eastAsia="Arial" w:hAnsi="Arial"/>
                <w:sz w:val="18"/>
                <w:szCs w:val="18"/>
                <w:color w:val="auto"/>
              </w:rPr>
              <w:t>1001 Fannin Street, Suite 2500</w:t>
            </w:r>
          </w:p>
        </w:tc>
      </w:tr>
      <w:tr>
        <w:trPr>
          <w:trHeight w:val="212"/>
        </w:trPr>
        <w:tc>
          <w:tcPr>
            <w:tcW w:w="5960" w:type="dxa"/>
            <w:vAlign w:val="bottom"/>
          </w:tcPr>
          <w:p>
            <w:pPr>
              <w:spacing w:after="0"/>
              <w:rPr>
                <w:sz w:val="20"/>
                <w:szCs w:val="20"/>
                <w:color w:val="auto"/>
              </w:rPr>
            </w:pPr>
            <w:r>
              <w:rPr>
                <w:rFonts w:ascii="Arial" w:cs="Arial" w:eastAsia="Arial" w:hAnsi="Arial"/>
                <w:sz w:val="18"/>
                <w:szCs w:val="18"/>
                <w:color w:val="auto"/>
                <w:w w:val="98"/>
              </w:rPr>
              <w:t>Austin Beijing Dallas Dubai Hong Kong Houston London Moscow New York</w:t>
            </w:r>
          </w:p>
        </w:tc>
        <w:tc>
          <w:tcPr>
            <w:tcW w:w="5500" w:type="dxa"/>
            <w:vAlign w:val="bottom"/>
          </w:tcPr>
          <w:p>
            <w:pPr>
              <w:ind w:left="320"/>
              <w:spacing w:after="0"/>
              <w:rPr>
                <w:sz w:val="20"/>
                <w:szCs w:val="20"/>
                <w:color w:val="auto"/>
              </w:rPr>
            </w:pPr>
            <w:r>
              <w:rPr>
                <w:rFonts w:ascii="Arial" w:cs="Arial" w:eastAsia="Arial" w:hAnsi="Arial"/>
                <w:sz w:val="18"/>
                <w:szCs w:val="18"/>
                <w:color w:val="auto"/>
              </w:rPr>
              <w:t>Houston, TX 77002-6760</w:t>
            </w:r>
          </w:p>
        </w:tc>
      </w:tr>
      <w:tr>
        <w:trPr>
          <w:trHeight w:val="234"/>
        </w:trPr>
        <w:tc>
          <w:tcPr>
            <w:tcW w:w="5960" w:type="dxa"/>
            <w:vAlign w:val="bottom"/>
          </w:tcPr>
          <w:p>
            <w:pPr>
              <w:spacing w:after="0"/>
              <w:rPr>
                <w:sz w:val="20"/>
                <w:szCs w:val="20"/>
                <w:color w:val="auto"/>
              </w:rPr>
            </w:pPr>
            <w:r>
              <w:rPr>
                <w:rFonts w:ascii="Arial" w:cs="Arial" w:eastAsia="Arial" w:hAnsi="Arial"/>
                <w:sz w:val="18"/>
                <w:szCs w:val="18"/>
                <w:color w:val="auto"/>
              </w:rPr>
              <w:t>Palo Alto Richmond Riyadh San Francisco Taipei Tokyo Washington</w:t>
            </w:r>
          </w:p>
        </w:tc>
        <w:tc>
          <w:tcPr>
            <w:tcW w:w="5500" w:type="dxa"/>
            <w:vAlign w:val="bottom"/>
          </w:tcPr>
          <w:p>
            <w:pPr>
              <w:ind w:left="320"/>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+1.713.758.2222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+1.713.758.2346</w:t>
            </w:r>
            <w:r>
              <w:rPr>
                <w:rFonts w:ascii="Arial" w:cs="Arial" w:eastAsia="Arial" w:hAnsi="Arial"/>
                <w:sz w:val="18"/>
                <w:szCs w:val="18"/>
                <w:b w:val="1"/>
                <w:bCs w:val="1"/>
                <w:color w:val="auto"/>
              </w:rPr>
              <w:t xml:space="preserve"> www.velaw.com</w:t>
            </w:r>
          </w:p>
        </w:tc>
      </w:tr>
      <w:tr>
        <w:trPr>
          <w:trHeight w:val="348"/>
        </w:trPr>
        <w:tc>
          <w:tcPr>
            <w:tcW w:w="5960" w:type="dxa"/>
            <w:vAlign w:val="bottom"/>
            <w:tcBorders>
              <w:bottom w:val="single" w:sz="8" w:color="808080"/>
            </w:tcBorders>
          </w:tcPr>
          <w:p>
            <w:pPr>
              <w:spacing w:after="0"/>
              <w:rPr>
                <w:sz w:val="24"/>
                <w:szCs w:val="24"/>
                <w:color w:val="auto"/>
              </w:rPr>
            </w:pPr>
          </w:p>
        </w:tc>
        <w:tc>
          <w:tcPr>
            <w:tcW w:w="5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Also, any variation or difference in the facts from those set forth in the representations described above, including in the Registration Statement and the Officer’s Certificate, may affect the conclusions stated herein.</w:t>
      </w:r>
    </w:p>
    <w:p>
      <w:pPr>
        <w:spacing w:after="0" w:line="170"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No opinion is expressed as to any matter not discussed in the Prospectus under the caption “Material U.S. Federal Income Tax Consequences” or in the Prospectus Supplement under the caption “Material U.S. Federal Income Tax Consequences.” We are opining herein only as to the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54"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This opinion is rendered to you as of the effective date of the Registration Statement, and we undertake no obligation to update this opinion subsequent to the date hereof. This opinion is for your use in connection with the transactions set forth in the Registration Statement. This opinion may not be relied upon by you for any other purpose or furnished to, assigned to, quoted to or relied upon by any other person, firm or other entity, for any purpose, without our prior written consent. However, this opinion may be relied upon by you and by persons entitled to rely on it pursuant to applicable provisions of federal securities law, including persons purchasing common units pursuant to the Registration Statement.</w:t>
      </w:r>
    </w:p>
    <w:p>
      <w:pPr>
        <w:spacing w:after="0" w:line="17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hereby consent to the filing of this opinion of counsel as Exhibit 8.1 to the Current Report on Form 8-K of the Partnership dated on or about the date hereof, to the incorporation by reference of this opinion of counsel into the Registration Statement and to the reference to our firm in the Prospectus Supplement. In giving such consent, we do not admit that we are within the category of persons whose consent is required under Section 7 of the Securities Act of 1933, as amended.</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21" w:right="199" w:bottom="112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upperLetter"/>
      <w:start w:val="1"/>
    </w:lvl>
  </w:abstractNum>
  <w:abstractNum w:abstractNumId="3">
    <w:nsid w:val="625558EC"/>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2020-01-21T00:18:15Z</dcterms:created>
  <dcterms:modified xsi:type="dcterms:W3CDTF">2020-01-21T00:18:15Z</dcterms:modified>
</cp:coreProperties>
</file>