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May 5, 2023</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6" w:lineRule="exact"/>
        <w:rPr>
          <w:sz w:val="24"/>
          <w:szCs w:val="24"/>
          <w:color w:val="auto"/>
        </w:rPr>
      </w:pPr>
    </w:p>
    <w:p>
      <w:pPr>
        <w:ind w:right="4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944880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210820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May 5, 2023, the Registrant issued a press release reporting its first-quarter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May 5, 2023</w:t>
            </w:r>
          </w:p>
        </w:tc>
        <w:tc>
          <w:tcPr>
            <w:tcW w:w="5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7800" w:type="dxa"/>
            <w:vAlign w:val="bottom"/>
            <w:gridSpan w:val="3"/>
          </w:tcPr>
          <w:p>
            <w:pPr>
              <w:ind w:left="16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Date: May 5, 2023</w:t>
            </w: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2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282575</wp:posOffset>
            </wp:positionV>
            <wp:extent cx="4733925" cy="746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First-Quarter 2023 Results; Reaffirms 2023 Guidance</w:t>
      </w:r>
    </w:p>
    <w:p>
      <w:pPr>
        <w:spacing w:after="0" w:line="200" w:lineRule="exact"/>
        <w:rPr>
          <w:sz w:val="20"/>
          <w:szCs w:val="20"/>
          <w:color w:val="auto"/>
        </w:rPr>
      </w:pPr>
    </w:p>
    <w:p>
      <w:pPr>
        <w:spacing w:after="0" w:line="262"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7"/>
          <w:szCs w:val="17"/>
          <w:color w:val="auto"/>
        </w:rPr>
        <w:t>Houston, TX – May 5, 2023 – Plains All American Pipeline, L.P. (Nasdaq: PAA) and Plains GP Holdings (Nasdaq: PAGP) today reported first-quarter 2023 results and reaffirmed 2023 guidance as highlighted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First-Quarter Results</w:t>
      </w:r>
    </w:p>
    <w:p>
      <w:pPr>
        <w:spacing w:after="0" w:line="248"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$422 million and Net cash provided by operating activities of $743 million</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strong Adjusted EBITDA attributable to PAA of $715 million</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Free Cash Flow of $823 million, including approximately $284 million of asset sales</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total debt by approximately $450 million</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annualized common distribution by $0.20 to $1.07 per unit (~23% increase, paid in February)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Reaffirmed 2023 Guidance</w:t>
      </w:r>
    </w:p>
    <w:p>
      <w:pPr>
        <w:spacing w:after="0" w:line="248" w:lineRule="exact"/>
        <w:rPr>
          <w:sz w:val="20"/>
          <w:szCs w:val="20"/>
          <w:color w:val="auto"/>
        </w:rPr>
      </w:pPr>
    </w:p>
    <w:p>
      <w:pPr>
        <w:ind w:left="620" w:right="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Reaffirming full-year 2023 Adjusted EBITDA guidance attributable to PAA of $2.45 - $2.55 billion, year-end 2023 leverage of +/- 3.5x and common unit distribution coverage of +/- 215%</w:t>
      </w:r>
    </w:p>
    <w:p>
      <w:pPr>
        <w:spacing w:after="0" w:line="176"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to generate approximately $1.6 billion of Free Cash Flow in 2023, underpinning our previously announced capital allocation framework that includes meaningfully increasing returns of capital to equity holders and further absolute debt reduction</w:t>
      </w:r>
    </w:p>
    <w:p>
      <w:pPr>
        <w:spacing w:after="0" w:line="176"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focused on disciplined capital investments, anticipate full-year 2023 Investment and Maintenance Capital of $325 million and $195 million, respectively, net to PAA</w:t>
      </w:r>
    </w:p>
    <w:p>
      <w:pPr>
        <w:spacing w:after="0" w:line="177"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“Plains remains focused on execution, and our company is off to a strong start to the year despite macro uncertainty. We remain confident in our ability to deliver on our 2023 plan with our contracting profile and significant hedging within our Crude Oil and NGL segments serving to mitigate risk. As such, today we are reaffirming our 2023 guidance,” stated Willie Chiang, Chairman &amp; CEO of Plains. “Our Free Cash Flow generation enables Plains to execute on our previously announced capital allocation framework focused on increasing returns to our equity holders while further enhancing our financial flexibility. Over the long-term, we remain well positioned as North America will continue playing a critical role in global energy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5"/>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581"/>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w:t>
            </w:r>
          </w:p>
        </w:tc>
        <w:tc>
          <w:tcPr>
            <w:tcW w:w="2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after Distributions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5" w:lineRule="exact"/>
        <w:rPr>
          <w:rFonts w:ascii="Times New Roman" w:cs="Times New Roman" w:eastAsia="Times New Roman" w:hAnsi="Times New Roman"/>
          <w:sz w:val="22"/>
          <w:szCs w:val="22"/>
          <w:color w:val="auto"/>
          <w:vertAlign w:val="superscript"/>
        </w:rPr>
      </w:pPr>
    </w:p>
    <w:p>
      <w:pPr>
        <w:ind w:left="320" w:right="120" w:hanging="317"/>
        <w:spacing w:after="0" w:line="23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560" w:type="dxa"/>
            <w:vAlign w:val="bottom"/>
            <w:tcBorders>
              <w:bottom w:val="single" w:sz="8" w:color="auto"/>
            </w:tcBorders>
          </w:tcPr>
          <w:p>
            <w:pPr>
              <w:spacing w:after="0"/>
              <w:rPr>
                <w:sz w:val="18"/>
                <w:szCs w:val="18"/>
                <w:color w:val="auto"/>
              </w:rPr>
            </w:pPr>
          </w:p>
        </w:tc>
      </w:tr>
      <w:tr>
        <w:trPr>
          <w:trHeight w:val="201"/>
        </w:trPr>
        <w:tc>
          <w:tcPr>
            <w:tcW w:w="78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NGL</w:t>
            </w:r>
          </w:p>
        </w:tc>
        <w:tc>
          <w:tcPr>
            <w:tcW w:w="560" w:type="dxa"/>
            <w:vAlign w:val="bottom"/>
            <w:tcBorders>
              <w:bottom w:val="single" w:sz="8" w:color="auto"/>
            </w:tcBorders>
          </w:tcPr>
          <w:p>
            <w:pPr>
              <w:spacing w:after="0"/>
              <w:rPr>
                <w:sz w:val="17"/>
                <w:szCs w:val="17"/>
                <w:color w:val="auto"/>
              </w:rPr>
            </w:pPr>
          </w:p>
        </w:tc>
      </w:tr>
      <w:tr>
        <w:trPr>
          <w:trHeight w:val="23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2023</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March 31, 2022</w:t>
            </w:r>
          </w:p>
        </w:tc>
        <w:tc>
          <w:tcPr>
            <w:tcW w:w="1160" w:type="dxa"/>
            <w:vAlign w:val="bottom"/>
            <w:tcBorders>
              <w:bottom w:val="single" w:sz="8" w:color="auto"/>
            </w:tcBorders>
          </w:tcPr>
          <w:p>
            <w:pPr>
              <w:jc w:val="right"/>
              <w:ind w:right="978"/>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453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9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161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2022 period</w:t>
            </w: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19 %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First-quarter 2023 Crude Oil Segment Adjusted EBITDA increased 14% versus comparable 2022 results primarily due to higher volumes across our pipeline systems, particularly our Permian and Capline assets, tariff escalations and Canadian market-based opportunities. These items were partially offset by the impact of increased operating expenses and minimum volume commitment deficiency payments received in the first quarter of 2022.</w:t>
      </w:r>
    </w:p>
    <w:p>
      <w:pPr>
        <w:spacing w:after="0" w:line="193"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First-quarter 2023 NGL Segment Adjusted EBITDA increased 19% versus comparable 2022 results primarily due to the favorable impact of higher sales volumes at higher realized margins. These items were partially offset by the impact of higher utility costs and asset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May 5, 2023 to discuss the following items:</w:t>
      </w:r>
    </w:p>
    <w:p>
      <w:pPr>
        <w:spacing w:after="0" w:line="115" w:lineRule="exact"/>
        <w:rPr>
          <w:sz w:val="20"/>
          <w:szCs w:val="20"/>
          <w:color w:val="auto"/>
        </w:rPr>
      </w:pPr>
    </w:p>
    <w:p>
      <w:pPr>
        <w:ind w:left="1080" w:hanging="301"/>
        <w:spacing w:after="0"/>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first-quarter 2023 performance;</w:t>
      </w:r>
    </w:p>
    <w:p>
      <w:pPr>
        <w:spacing w:after="0" w:line="62" w:lineRule="exact"/>
        <w:rPr>
          <w:rFonts w:ascii="Times New Roman" w:cs="Times New Roman" w:eastAsia="Times New Roman" w:hAnsi="Times New Roman"/>
          <w:sz w:val="17"/>
          <w:szCs w:val="17"/>
          <w:color w:val="auto"/>
        </w:rPr>
      </w:pPr>
    </w:p>
    <w:p>
      <w:pPr>
        <w:ind w:left="1080" w:hanging="301"/>
        <w:spacing w:after="0"/>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Capitalization and liquidity; and</w:t>
      </w:r>
    </w:p>
    <w:p>
      <w:pPr>
        <w:spacing w:after="0" w:line="62" w:lineRule="exact"/>
        <w:rPr>
          <w:rFonts w:ascii="Times New Roman" w:cs="Times New Roman" w:eastAsia="Times New Roman" w:hAnsi="Times New Roman"/>
          <w:sz w:val="17"/>
          <w:szCs w:val="17"/>
          <w:color w:val="auto"/>
        </w:rPr>
      </w:pPr>
    </w:p>
    <w:p>
      <w:pPr>
        <w:ind w:left="1080" w:hanging="301"/>
        <w:spacing w:after="0"/>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Financial guidance.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https://edge.media-server.com/mmc/p/fm5sgxph.</w:t>
      </w:r>
    </w:p>
    <w:p>
      <w:pPr>
        <w:spacing w:after="0" w:line="244"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7" w:lineRule="auto"/>
        <w:rPr>
          <w:sz w:val="20"/>
          <w:szCs w:val="20"/>
          <w:color w:val="auto"/>
        </w:rPr>
      </w:pPr>
      <w:r>
        <w:rPr>
          <w:rFonts w:ascii="Times New Roman" w:cs="Times New Roman" w:eastAsia="Times New Roman" w:hAnsi="Times New Roman"/>
          <w:sz w:val="17"/>
          <w:szCs w:val="17"/>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44"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8"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44" w:lineRule="exact"/>
        <w:rPr>
          <w:sz w:val="20"/>
          <w:szCs w:val="20"/>
          <w:color w:val="auto"/>
        </w:rPr>
      </w:pPr>
    </w:p>
    <w:p>
      <w:pPr>
        <w:ind w:right="140" w:firstLine="620"/>
        <w:spacing w:after="0" w:line="260" w:lineRule="auto"/>
        <w:rPr>
          <w:sz w:val="20"/>
          <w:szCs w:val="20"/>
          <w:color w:val="auto"/>
        </w:rPr>
      </w:pPr>
      <w:r>
        <w:rPr>
          <w:rFonts w:ascii="Times New Roman" w:cs="Times New Roman" w:eastAsia="Times New Roman" w:hAnsi="Times New Roman"/>
          <w:sz w:val="17"/>
          <w:szCs w:val="17"/>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Field operating costs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costs and expenses</w:t>
            </w: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income/(expense), net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center"/>
              <w:ind w:right="414"/>
              <w:spacing w:after="0"/>
              <w:rPr>
                <w:sz w:val="20"/>
                <w:szCs w:val="20"/>
                <w:color w:val="auto"/>
              </w:rPr>
            </w:pPr>
            <w:r>
              <w:rPr>
                <w:rFonts w:ascii="Times New Roman" w:cs="Times New Roman" w:eastAsia="Times New Roman" w:hAnsi="Times New Roman"/>
                <w:sz w:val="17"/>
                <w:szCs w:val="17"/>
                <w:color w:val="auto"/>
              </w:rPr>
              <w:t>- more -</w:t>
            </w:r>
          </w:p>
        </w:tc>
        <w:tc>
          <w:tcPr>
            <w:tcW w:w="1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180" w:type="dxa"/>
            <w:vAlign w:val="bottom"/>
          </w:tcPr>
          <w:p>
            <w:pPr>
              <w:jc w:val="center"/>
              <w:ind w:right="43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302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assets (including Cash and cash equivalents of $526 and $401, respectively)</w:t>
            </w:r>
          </w:p>
        </w:tc>
        <w:tc>
          <w:tcPr>
            <w:tcW w:w="19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18,239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960" w:type="dxa"/>
            <w:vAlign w:val="bottom"/>
            <w:gridSpan w:val="3"/>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20" w:type="dxa"/>
            <w:vAlign w:val="bottom"/>
          </w:tcPr>
          <w:p>
            <w:pPr>
              <w:spacing w:after="0"/>
              <w:rPr>
                <w:sz w:val="17"/>
                <w:szCs w:val="17"/>
                <w:color w:val="auto"/>
              </w:rPr>
            </w:pPr>
          </w:p>
        </w:tc>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20"/>
        </w:trPr>
        <w:tc>
          <w:tcPr>
            <w:tcW w:w="20" w:type="dxa"/>
            <w:vAlign w:val="bottom"/>
          </w:tcPr>
          <w:p>
            <w:pPr>
              <w:spacing w:after="0"/>
              <w:rPr>
                <w:sz w:val="19"/>
                <w:szCs w:val="19"/>
                <w:color w:val="auto"/>
              </w:rPr>
            </w:pPr>
          </w:p>
        </w:tc>
        <w:tc>
          <w:tcPr>
            <w:tcW w:w="8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20" w:type="dxa"/>
            <w:vAlign w:val="bottom"/>
          </w:tcPr>
          <w:p>
            <w:pPr>
              <w:spacing w:after="0"/>
              <w:rPr>
                <w:sz w:val="19"/>
                <w:szCs w:val="19"/>
                <w:color w:val="auto"/>
              </w:rPr>
            </w:pPr>
          </w:p>
        </w:tc>
        <w:tc>
          <w:tcPr>
            <w:tcW w:w="8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20" w:type="dxa"/>
            <w:vAlign w:val="bottom"/>
          </w:tcPr>
          <w:p>
            <w:pPr>
              <w:spacing w:after="0"/>
              <w:rPr>
                <w:sz w:val="19"/>
                <w:szCs w:val="19"/>
                <w:color w:val="auto"/>
              </w:rPr>
            </w:pPr>
          </w:p>
        </w:tc>
        <w:tc>
          <w:tcPr>
            <w:tcW w:w="8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20" w:type="dxa"/>
            <w:vAlign w:val="bottom"/>
          </w:tcPr>
          <w:p>
            <w:pPr>
              <w:spacing w:after="0"/>
              <w:rPr>
                <w:sz w:val="19"/>
                <w:szCs w:val="19"/>
                <w:color w:val="auto"/>
              </w:rPr>
            </w:pPr>
          </w:p>
        </w:tc>
        <w:tc>
          <w:tcPr>
            <w:tcW w:w="87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20" w:type="dxa"/>
            <w:vAlign w:val="bottom"/>
          </w:tcPr>
          <w:p>
            <w:pPr>
              <w:spacing w:after="0"/>
              <w:rPr>
                <w:sz w:val="20"/>
                <w:szCs w:val="20"/>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87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45"/>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5"/>
        </w:trPr>
        <w:tc>
          <w:tcPr>
            <w:tcW w:w="20" w:type="dxa"/>
            <w:vAlign w:val="bottom"/>
          </w:tcPr>
          <w:p>
            <w:pPr>
              <w:spacing w:after="0"/>
              <w:rPr>
                <w:sz w:val="20"/>
                <w:szCs w:val="20"/>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126" w:lineRule="exact"/>
        <w:rPr>
          <w:sz w:val="20"/>
          <w:szCs w:val="20"/>
          <w:color w:val="auto"/>
        </w:rPr>
      </w:pPr>
    </w:p>
    <w:p>
      <w:pPr>
        <w:ind w:left="320" w:right="10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10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the three months ended March 31, 2023 and 2022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right="20" w:hanging="317"/>
        <w:spacing w:after="0" w:line="244"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2023 and 2022, the effect of equity-indexed compensation plan awards did not change net income per common unit.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7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8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4"/>
        </w:trPr>
        <w:tc>
          <w:tcPr>
            <w:tcW w:w="8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4"/>
        </w:trPr>
        <w:tc>
          <w:tcPr>
            <w:tcW w:w="8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197"/>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8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0"/>
        </w:trPr>
        <w:tc>
          <w:tcPr>
            <w:tcW w:w="8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7"/>
        </w:trPr>
        <w:tc>
          <w:tcPr>
            <w:tcW w:w="8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8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0"/>
        </w:trPr>
        <w:tc>
          <w:tcPr>
            <w:tcW w:w="8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8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Effect of translation adjustment</w:t>
            </w:r>
          </w:p>
        </w:tc>
        <w:tc>
          <w:tcPr>
            <w:tcW w:w="7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8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78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0"/>
        </w:trPr>
        <w:tc>
          <w:tcPr>
            <w:tcW w:w="8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27"/>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40" w:type="dxa"/>
            <w:vAlign w:val="bottom"/>
          </w:tcPr>
          <w:p>
            <w:pPr>
              <w:spacing w:after="0"/>
              <w:rPr>
                <w:sz w:val="13"/>
                <w:szCs w:val="13"/>
                <w:color w:val="auto"/>
              </w:rPr>
            </w:pPr>
          </w:p>
        </w:tc>
        <w:tc>
          <w:tcPr>
            <w:tcW w:w="236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140" w:type="dxa"/>
            <w:vAlign w:val="bottom"/>
          </w:tcPr>
          <w:p>
            <w:pPr>
              <w:spacing w:after="0"/>
              <w:rPr>
                <w:sz w:val="16"/>
                <w:szCs w:val="16"/>
                <w:color w:val="auto"/>
              </w:rPr>
            </w:pPr>
          </w:p>
        </w:tc>
        <w:tc>
          <w:tcPr>
            <w:tcW w:w="236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86"/>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8"/>
                <w:szCs w:val="8"/>
                <w:b w:val="1"/>
                <w:bCs w:val="1"/>
                <w:color w:val="auto"/>
              </w:rPr>
              <w:t>(1)</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8"/>
                <w:szCs w:val="8"/>
                <w:b w:val="1"/>
                <w:bCs w:val="1"/>
                <w:color w:val="auto"/>
              </w:rPr>
              <w:t>(1)</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5"/>
        </w:trPr>
        <w:tc>
          <w:tcPr>
            <w:tcW w:w="6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0"/>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Excludes expenditures attributable to noncontrolling interests.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p>
    <w:p>
      <w:pPr>
        <w:spacing w:after="0" w:line="21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88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58"/>
        </w:trPr>
        <w:tc>
          <w:tcPr>
            <w:tcW w:w="388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5"/>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0" w:lineRule="exact"/>
        <w:rPr>
          <w:sz w:val="20"/>
          <w:szCs w:val="20"/>
          <w:color w:val="auto"/>
        </w:rPr>
      </w:pPr>
    </w:p>
    <w:p>
      <w:pPr>
        <w:ind w:left="320" w:right="80" w:hanging="317"/>
        <w:spacing w:after="0" w:line="246"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61" w:lineRule="exact"/>
        <w:rPr>
          <w:rFonts w:ascii="Times New Roman" w:cs="Times New Roman" w:eastAsia="Times New Roman" w:hAnsi="Times New Roman"/>
          <w:sz w:val="20"/>
          <w:szCs w:val="20"/>
          <w:color w:val="auto"/>
          <w:vertAlign w:val="superscript"/>
        </w:rPr>
      </w:pPr>
    </w:p>
    <w:p>
      <w:pPr>
        <w:ind w:left="320" w:right="180" w:hanging="317"/>
        <w:spacing w:after="0" w:line="211" w:lineRule="auto"/>
        <w:tabs>
          <w:tab w:leader="none" w:pos="30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months ended March 31, 2023 and 2022 as the effect was antidilutive.</w:t>
      </w:r>
    </w:p>
    <w:p>
      <w:pPr>
        <w:spacing w:after="0" w:line="33" w:lineRule="exact"/>
        <w:rPr>
          <w:rFonts w:ascii="Times New Roman" w:cs="Times New Roman" w:eastAsia="Times New Roman" w:hAnsi="Times New Roman"/>
          <w:sz w:val="20"/>
          <w:szCs w:val="20"/>
          <w:color w:val="auto"/>
          <w:vertAlign w:val="superscript"/>
        </w:rPr>
      </w:pPr>
    </w:p>
    <w:p>
      <w:pPr>
        <w:ind w:left="320" w:hanging="317"/>
        <w:spacing w:after="0" w:line="248" w:lineRule="auto"/>
        <w:tabs>
          <w:tab w:leader="none" w:pos="30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2023 and 2022, the effect of equity-indexed compensation plan awards did not change adjusted net income per common unit.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78"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7"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65"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13"/>
        </w:trPr>
        <w:tc>
          <w:tcPr>
            <w:tcW w:w="20" w:type="dxa"/>
            <w:vAlign w:val="bottom"/>
          </w:tcPr>
          <w:p>
            <w:pPr>
              <w:spacing w:after="0"/>
              <w:rPr>
                <w:sz w:val="18"/>
                <w:szCs w:val="18"/>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3"/>
        </w:trPr>
        <w:tc>
          <w:tcPr>
            <w:tcW w:w="20" w:type="dxa"/>
            <w:vAlign w:val="bottom"/>
          </w:tcPr>
          <w:p>
            <w:pPr>
              <w:spacing w:after="0"/>
              <w:rPr>
                <w:sz w:val="18"/>
                <w:szCs w:val="18"/>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items </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Maintenance capital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07"/>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(7)</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0.57</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(8)</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0.1800</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(6)</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2.37x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3.16x</w:t>
            </w:r>
          </w:p>
        </w:tc>
      </w:t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81"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line="190" w:lineRule="auto"/>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42" w:lineRule="exact"/>
        <w:rPr>
          <w:rFonts w:ascii="Times New Roman" w:cs="Times New Roman" w:eastAsia="Times New Roman" w:hAnsi="Times New Roman"/>
          <w:sz w:val="18"/>
          <w:szCs w:val="18"/>
          <w:color w:val="auto"/>
          <w:vertAlign w:val="superscript"/>
        </w:rPr>
      </w:pPr>
    </w:p>
    <w:p>
      <w:pPr>
        <w:ind w:left="300" w:hanging="297"/>
        <w:spacing w:after="0" w:line="190" w:lineRule="auto"/>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29" w:lineRule="exact"/>
        <w:rPr>
          <w:rFonts w:ascii="Times New Roman" w:cs="Times New Roman" w:eastAsia="Times New Roman" w:hAnsi="Times New Roman"/>
          <w:sz w:val="18"/>
          <w:szCs w:val="18"/>
          <w:color w:val="auto"/>
          <w:vertAlign w:val="superscript"/>
        </w:rPr>
      </w:pPr>
    </w:p>
    <w:p>
      <w:pPr>
        <w:ind w:left="300" w:hanging="297"/>
        <w:spacing w:after="0" w:line="190" w:lineRule="auto"/>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29" w:lineRule="exact"/>
        <w:rPr>
          <w:rFonts w:ascii="Times New Roman" w:cs="Times New Roman" w:eastAsia="Times New Roman" w:hAnsi="Times New Roman"/>
          <w:sz w:val="18"/>
          <w:szCs w:val="18"/>
          <w:color w:val="auto"/>
          <w:vertAlign w:val="superscript"/>
        </w:rPr>
      </w:pPr>
    </w:p>
    <w:p>
      <w:pPr>
        <w:ind w:left="320" w:right="40" w:hanging="317"/>
        <w:spacing w:after="0" w:line="255" w:lineRule="auto"/>
        <w:tabs>
          <w:tab w:leader="none" w:pos="308"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28" w:lineRule="exact"/>
        <w:rPr>
          <w:rFonts w:ascii="Times New Roman" w:cs="Times New Roman" w:eastAsia="Times New Roman" w:hAnsi="Times New Roman"/>
          <w:sz w:val="18"/>
          <w:szCs w:val="18"/>
          <w:color w:val="auto"/>
          <w:vertAlign w:val="superscript"/>
        </w:rPr>
      </w:pPr>
    </w:p>
    <w:p>
      <w:pPr>
        <w:ind w:left="300" w:hanging="297"/>
        <w:spacing w:after="0" w:line="190" w:lineRule="auto"/>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42" w:lineRule="exact"/>
        <w:rPr>
          <w:rFonts w:ascii="Times New Roman" w:cs="Times New Roman" w:eastAsia="Times New Roman" w:hAnsi="Times New Roman"/>
          <w:sz w:val="18"/>
          <w:szCs w:val="18"/>
          <w:color w:val="auto"/>
          <w:vertAlign w:val="superscript"/>
        </w:rPr>
      </w:pPr>
    </w:p>
    <w:p>
      <w:pPr>
        <w:ind w:left="320" w:right="80" w:hanging="317"/>
        <w:spacing w:after="0" w:line="221" w:lineRule="auto"/>
        <w:tabs>
          <w:tab w:leader="none" w:pos="30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6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0.37</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6" w:lineRule="exact"/>
        <w:rPr>
          <w:sz w:val="20"/>
          <w:szCs w:val="20"/>
          <w:color w:val="auto"/>
        </w:rPr>
      </w:pPr>
    </w:p>
    <w:p>
      <w:pPr>
        <w:ind w:left="320" w:right="40" w:hanging="317"/>
        <w:spacing w:after="0" w:line="23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698 million and 705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120" w:hanging="317"/>
        <w:spacing w:after="0" w:line="22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Free Cash Flow and Free Cash Flow after Distributions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after Distributions</w:t>
            </w: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13" w:lineRule="exact"/>
        <w:rPr>
          <w:sz w:val="20"/>
          <w:szCs w:val="20"/>
          <w:color w:val="auto"/>
        </w:rPr>
      </w:pPr>
    </w:p>
    <w:p>
      <w:pPr>
        <w:ind w:left="320" w:right="320" w:hanging="317"/>
        <w:spacing w:after="0" w:line="23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Cash distributions paid during the period presented.</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Cash distributions paid to preferred and common unitholders during the period.</w:t>
      </w:r>
    </w:p>
    <w:p>
      <w:pPr>
        <w:spacing w:after="0" w:line="165"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20" w:type="dxa"/>
            <w:vAlign w:val="bottom"/>
          </w:tcPr>
          <w:p>
            <w:pPr>
              <w:spacing w:after="0"/>
              <w:rPr>
                <w:sz w:val="17"/>
                <w:szCs w:val="17"/>
                <w:color w:val="auto"/>
              </w:rPr>
            </w:pPr>
          </w:p>
        </w:tc>
        <w:tc>
          <w:tcPr>
            <w:tcW w:w="87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(7)</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2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8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23"/>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7"/>
        </w:trPr>
        <w:tc>
          <w:tcPr>
            <w:tcW w:w="20" w:type="dxa"/>
            <w:vAlign w:val="bottom"/>
          </w:tcPr>
          <w:p>
            <w:pPr>
              <w:spacing w:after="0"/>
              <w:rPr>
                <w:sz w:val="18"/>
                <w:szCs w:val="18"/>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4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2" w:lineRule="exact"/>
        <w:rPr>
          <w:sz w:val="20"/>
          <w:szCs w:val="20"/>
          <w:color w:val="auto"/>
        </w:rPr>
      </w:pPr>
    </w:p>
    <w:p>
      <w:pPr>
        <w:ind w:left="320" w:right="40" w:hanging="317"/>
        <w:spacing w:after="0" w:line="233"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16" w:lineRule="exact"/>
        <w:rPr>
          <w:rFonts w:ascii="Times New Roman" w:cs="Times New Roman" w:eastAsia="Times New Roman" w:hAnsi="Times New Roman"/>
          <w:sz w:val="18"/>
          <w:szCs w:val="18"/>
          <w:color w:val="auto"/>
          <w:vertAlign w:val="superscript"/>
        </w:rPr>
      </w:pPr>
    </w:p>
    <w:p>
      <w:pPr>
        <w:ind w:left="320" w:right="200" w:hanging="317"/>
        <w:spacing w:after="0"/>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we exclude gains and losses from the mark-to-market of the embedded derivative associated with the Preferred Distribution Rate Reset Option of our Series A preferred units.</w:t>
      </w:r>
    </w:p>
    <w:p>
      <w:pPr>
        <w:spacing w:after="0" w:line="15" w:lineRule="exact"/>
        <w:rPr>
          <w:rFonts w:ascii="Times New Roman" w:cs="Times New Roman" w:eastAsia="Times New Roman" w:hAnsi="Times New Roman"/>
          <w:sz w:val="18"/>
          <w:szCs w:val="18"/>
          <w:color w:val="auto"/>
          <w:vertAlign w:val="superscript"/>
        </w:rPr>
      </w:pPr>
    </w:p>
    <w:p>
      <w:pPr>
        <w:ind w:left="320" w:right="40" w:hanging="317"/>
        <w:spacing w:after="0" w:line="258" w:lineRule="auto"/>
        <w:tabs>
          <w:tab w:leader="none" w:pos="308"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5" w:lineRule="exact"/>
        <w:rPr>
          <w:rFonts w:ascii="Times New Roman" w:cs="Times New Roman" w:eastAsia="Times New Roman" w:hAnsi="Times New Roman"/>
          <w:sz w:val="9"/>
          <w:szCs w:val="9"/>
          <w:color w:val="auto"/>
        </w:rPr>
      </w:pPr>
    </w:p>
    <w:p>
      <w:pPr>
        <w:ind w:left="320" w:hanging="317"/>
        <w:spacing w:after="0"/>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9" w:lineRule="exact"/>
        <w:rPr>
          <w:rFonts w:ascii="Times New Roman" w:cs="Times New Roman" w:eastAsia="Times New Roman" w:hAnsi="Times New Roman"/>
          <w:sz w:val="18"/>
          <w:szCs w:val="18"/>
          <w:color w:val="auto"/>
          <w:vertAlign w:val="superscript"/>
        </w:rPr>
      </w:pPr>
    </w:p>
    <w:p>
      <w:pPr>
        <w:ind w:left="320" w:right="20" w:hanging="317"/>
        <w:spacing w:after="0" w:line="232"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0" w:lineRule="exact"/>
        <w:rPr>
          <w:rFonts w:ascii="Times New Roman" w:cs="Times New Roman" w:eastAsia="Times New Roman" w:hAnsi="Times New Roman"/>
          <w:sz w:val="18"/>
          <w:szCs w:val="18"/>
          <w:color w:val="auto"/>
          <w:vertAlign w:val="superscript"/>
        </w:rPr>
      </w:pPr>
    </w:p>
    <w:p>
      <w:pPr>
        <w:ind w:left="320" w:right="40" w:hanging="317"/>
        <w:spacing w:after="0" w:line="227"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costs recognized during the period related to the Line 901 incident that occurred in May 2015, net of amounts we believe are probable of recovery from insurance.</w:t>
      </w:r>
    </w:p>
    <w:p>
      <w:pPr>
        <w:spacing w:after="0" w:line="160" w:lineRule="exact"/>
        <w:rPr>
          <w:rFonts w:ascii="Times New Roman" w:cs="Times New Roman" w:eastAsia="Times New Roman" w:hAnsi="Times New Roman"/>
          <w:sz w:val="18"/>
          <w:szCs w:val="18"/>
          <w:color w:val="auto"/>
          <w:vertAlign w:val="superscript"/>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40" w:type="dxa"/>
            <w:vAlign w:val="bottom"/>
            <w:tcBorders>
              <w:bottom w:val="single" w:sz="8" w:color="auto"/>
            </w:tcBorders>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6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20" w:type="dxa"/>
            <w:vAlign w:val="bottom"/>
          </w:tcPr>
          <w:p>
            <w:pPr>
              <w:spacing w:after="0"/>
              <w:rPr>
                <w:sz w:val="17"/>
                <w:szCs w:val="17"/>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volumes (by region)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5,214</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Gulf Coast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13"/>
        </w:trPr>
        <w:tc>
          <w:tcPr>
            <w:tcW w:w="20" w:type="dxa"/>
            <w:vAlign w:val="bottom"/>
          </w:tcPr>
          <w:p>
            <w:pPr>
              <w:spacing w:after="0"/>
              <w:rPr>
                <w:sz w:val="18"/>
                <w:szCs w:val="18"/>
                <w:color w:val="auto"/>
              </w:rPr>
            </w:pPr>
          </w:p>
        </w:tc>
        <w:tc>
          <w:tcPr>
            <w:tcW w:w="87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volumes </w:t>
            </w:r>
            <w:r>
              <w:rPr>
                <w:rFonts w:ascii="Times New Roman" w:cs="Times New Roman" w:eastAsia="Times New Roman" w:hAnsi="Times New Roman"/>
                <w:sz w:val="22"/>
                <w:szCs w:val="22"/>
                <w:color w:val="auto"/>
                <w:vertAlign w:val="superscript"/>
              </w:rPr>
              <w:t>(1) (2)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9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0"/>
        </w:trPr>
        <w:tc>
          <w:tcPr>
            <w:tcW w:w="2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NGL pipeline tariff volumes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60"/>
              <w:spacing w:after="0" w:line="220" w:lineRule="exact"/>
              <w:rPr>
                <w:sz w:val="20"/>
                <w:szCs w:val="20"/>
                <w:color w:val="auto"/>
              </w:rPr>
            </w:pPr>
            <w:r>
              <w:rPr>
                <w:rFonts w:ascii="Times New Roman" w:cs="Times New Roman" w:eastAsia="Times New Roman" w:hAnsi="Times New Roman"/>
                <w:sz w:val="17"/>
                <w:szCs w:val="17"/>
                <w:color w:val="auto"/>
              </w:rPr>
              <w:t xml:space="preserve">Propane and butane sales </w:t>
            </w:r>
            <w:r>
              <w:rPr>
                <w:rFonts w:ascii="Times New Roman" w:cs="Times New Roman" w:eastAsia="Times New Roman" w:hAnsi="Times New Roman"/>
                <w:sz w:val="22"/>
                <w:szCs w:val="22"/>
                <w:color w:val="auto"/>
                <w:vertAlign w:val="superscript"/>
              </w:rPr>
              <w:t>(4)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ectPr>
          <w:pgSz w:w="11900" w:h="16838" w:orient="portrait"/>
          <w:cols w:equalWidth="0" w:num="1">
            <w:col w:w="11240"/>
          </w:cols>
          <w:pgMar w:left="320" w:top="356"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monthly capacity in millions of barrels calculated as total volumes for the period divided by the number of months in the period.</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200" w:hanging="317"/>
        <w:spacing w:after="0" w:line="241"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 to Adjusted EBITDA attributable to PAA Reconciliation:</w:t>
      </w:r>
    </w:p>
    <w:p>
      <w:pPr>
        <w:spacing w:after="0" w:line="26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0"/>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Segment Adjusted EBITDA</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20"/>
        </w:trPr>
        <w:tc>
          <w:tcPr>
            <w:tcW w:w="86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income/(expense), net </w:t>
            </w:r>
            <w:r>
              <w:rPr>
                <w:rFonts w:ascii="Times New Roman" w:cs="Times New Roman" w:eastAsia="Times New Roman" w:hAnsi="Times New Roman"/>
                <w:sz w:val="22"/>
                <w:szCs w:val="22"/>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680" w:type="dxa"/>
            <w:vAlign w:val="bottom"/>
            <w:tcBorders>
              <w:bottom w:val="single" w:sz="8" w:color="CCEEFF"/>
            </w:tcBorders>
            <w:gridSpan w:val="2"/>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6" w:lineRule="exact"/>
        <w:rPr>
          <w:sz w:val="20"/>
          <w:szCs w:val="20"/>
          <w:color w:val="auto"/>
        </w:rPr>
      </w:pPr>
    </w:p>
    <w:p>
      <w:pPr>
        <w:jc w:val="both"/>
        <w:ind w:left="320" w:right="260" w:hanging="317"/>
        <w:spacing w:after="0" w:line="241"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income/(expense), net” as reported on our Condensed Consolidated Statements of Operations, excluding other income/(expense), net attributable to noncontrolling interests, adjusted for selected items impacting comparability of $(58) million and $37 million for the three months ended March 31, 2023 and 2022, respectively. See the “Selected Items Impacting Comparability” table for additional information. Other income/(expense), net attributable to noncontrolling interests was less than $1 million for each of the periods presented.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56"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168"/>
        </w:trPr>
        <w:tc>
          <w:tcPr>
            <w:tcW w:w="33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13,403</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4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7"/>
        </w:trPr>
        <w:tc>
          <w:tcPr>
            <w:tcW w:w="3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96"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15,253</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28,739</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14,569</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13,114</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14,638</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27,456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90"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84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5"/>
        </w:trPr>
        <w:tc>
          <w:tcPr>
            <w:tcW w:w="8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5"/>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84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2" w:lineRule="exact"/>
        <w:rPr>
          <w:sz w:val="20"/>
          <w:szCs w:val="20"/>
          <w:color w:val="auto"/>
        </w:rPr>
      </w:pPr>
    </w:p>
    <w:p>
      <w:pPr>
        <w:ind w:left="620" w:right="20" w:hanging="307"/>
        <w:spacing w:after="0" w:line="250"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20" w:right="140" w:hanging="307"/>
        <w:spacing w:after="0" w:line="248"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23" w:lineRule="exact"/>
        <w:rPr>
          <w:rFonts w:ascii="Arial" w:cs="Arial" w:eastAsia="Arial" w:hAnsi="Arial"/>
          <w:sz w:val="21"/>
          <w:szCs w:val="21"/>
          <w:color w:val="auto"/>
        </w:rPr>
      </w:pPr>
    </w:p>
    <w:p>
      <w:pPr>
        <w:ind w:left="620" w:right="48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hanging="307"/>
        <w:spacing w:after="0" w:line="242"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right="24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38" w:lineRule="exact"/>
        <w:rPr>
          <w:rFonts w:ascii="Arial" w:cs="Arial" w:eastAsia="Arial" w:hAnsi="Arial"/>
          <w:sz w:val="21"/>
          <w:szCs w:val="21"/>
          <w:color w:val="auto"/>
        </w:rPr>
      </w:pPr>
    </w:p>
    <w:p>
      <w:pPr>
        <w:ind w:left="620" w:right="36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w:t>
      </w:r>
    </w:p>
    <w:p>
      <w:pPr>
        <w:spacing w:after="0" w:line="125" w:lineRule="exact"/>
        <w:rPr>
          <w:rFonts w:ascii="Arial" w:cs="Arial" w:eastAsia="Arial" w:hAnsi="Arial"/>
          <w:sz w:val="21"/>
          <w:szCs w:val="21"/>
          <w:color w:val="auto"/>
        </w:rPr>
      </w:pPr>
    </w:p>
    <w:p>
      <w:pPr>
        <w:ind w:left="620" w:hanging="307"/>
        <w:spacing w:after="0" w:line="245"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38" w:lineRule="exact"/>
        <w:rPr>
          <w:rFonts w:ascii="Arial" w:cs="Arial" w:eastAsia="Arial" w:hAnsi="Arial"/>
          <w:sz w:val="21"/>
          <w:szCs w:val="21"/>
          <w:color w:val="auto"/>
        </w:rPr>
      </w:pPr>
    </w:p>
    <w:p>
      <w:pPr>
        <w:ind w:left="620" w:right="42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 and ability to receive open credit from our suppliers and trade counterparties;</w:t>
      </w:r>
    </w:p>
    <w:p>
      <w:pPr>
        <w:spacing w:after="0" w:line="125" w:lineRule="exact"/>
        <w:rPr>
          <w:rFonts w:ascii="Arial" w:cs="Arial" w:eastAsia="Arial" w:hAnsi="Arial"/>
          <w:sz w:val="21"/>
          <w:szCs w:val="21"/>
          <w:color w:val="auto"/>
        </w:rPr>
      </w:pPr>
    </w:p>
    <w:p>
      <w:pPr>
        <w:ind w:left="620" w:hanging="307"/>
        <w:spacing w:after="0" w:line="247"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divestitures, joint ventures, acquisitions or other strategic opportunities;</w:t>
      </w:r>
    </w:p>
    <w:p>
      <w:pPr>
        <w:spacing w:after="0" w:line="125" w:lineRule="exact"/>
        <w:rPr>
          <w:rFonts w:ascii="Arial" w:cs="Arial" w:eastAsia="Arial" w:hAnsi="Arial"/>
          <w:sz w:val="21"/>
          <w:szCs w:val="21"/>
          <w:color w:val="auto"/>
        </w:rPr>
      </w:pPr>
    </w:p>
    <w:p>
      <w:pPr>
        <w:ind w:left="620" w:right="20" w:hanging="307"/>
        <w:spacing w:after="0" w:line="245"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3" w:lineRule="exact"/>
        <w:rPr>
          <w:rFonts w:ascii="Arial" w:cs="Arial" w:eastAsia="Arial" w:hAnsi="Arial"/>
          <w:sz w:val="21"/>
          <w:szCs w:val="21"/>
          <w:color w:val="auto"/>
        </w:rPr>
      </w:pPr>
    </w:p>
    <w:p>
      <w:pPr>
        <w:jc w:val="both"/>
        <w:ind w:left="620" w:right="12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expenditures, third-party claims or other factors;</w:t>
      </w:r>
    </w:p>
    <w:p>
      <w:pPr>
        <w:spacing w:after="0" w:line="125" w:lineRule="exact"/>
        <w:rPr>
          <w:rFonts w:ascii="Arial" w:cs="Arial" w:eastAsia="Arial" w:hAnsi="Arial"/>
          <w:sz w:val="21"/>
          <w:szCs w:val="21"/>
          <w:color w:val="auto"/>
        </w:rPr>
      </w:pPr>
    </w:p>
    <w:p>
      <w:pPr>
        <w:ind w:left="620" w:right="10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25" w:lineRule="exact"/>
        <w:rPr>
          <w:rFonts w:ascii="Arial" w:cs="Arial" w:eastAsia="Arial" w:hAnsi="Arial"/>
          <w:sz w:val="21"/>
          <w:szCs w:val="21"/>
          <w:color w:val="auto"/>
        </w:rPr>
      </w:pPr>
    </w:p>
    <w:p>
      <w:pPr>
        <w:ind w:left="620" w:right="300" w:hanging="307"/>
        <w:spacing w:after="0" w:line="247"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25" w:lineRule="exact"/>
        <w:rPr>
          <w:rFonts w:ascii="Arial" w:cs="Arial" w:eastAsia="Arial" w:hAnsi="Arial"/>
          <w:sz w:val="21"/>
          <w:szCs w:val="21"/>
          <w:color w:val="auto"/>
        </w:rPr>
      </w:pPr>
    </w:p>
    <w:p>
      <w:pPr>
        <w:ind w:left="620" w:right="64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25" w:lineRule="exact"/>
        <w:rPr>
          <w:rFonts w:ascii="Arial" w:cs="Arial" w:eastAsia="Arial" w:hAnsi="Arial"/>
          <w:sz w:val="21"/>
          <w:szCs w:val="21"/>
          <w:color w:val="auto"/>
        </w:rPr>
      </w:pPr>
    </w:p>
    <w:p>
      <w:pPr>
        <w:ind w:left="620" w:right="60" w:hanging="307"/>
        <w:spacing w:after="0" w:line="236"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lvl w:ilvl="1">
      <w:lvlJc w:val="left"/>
      <w:lvlText w:val="-"/>
      <w:numFmt w:val="bullet"/>
      <w:start w:val="1"/>
    </w:lvl>
  </w:abstractNum>
  <w:abstractNum w:abstractNumId="12">
    <w:nsid w:val="519B500D"/>
    <w:multiLevelType w:val="hybridMultilevel"/>
    <w:lvl w:ilvl="0">
      <w:lvlJc w:val="left"/>
      <w:lvlText w:val="(%1)"/>
      <w:numFmt w:val="decimal"/>
      <w:start w:val="1"/>
    </w:lvl>
    <w:lvl w:ilvl="1">
      <w:lvlJc w:val="left"/>
      <w:lvlText w:val="-"/>
      <w:numFmt w:val="bullet"/>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4"/>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2023-05-05T07:14:35Z</dcterms:created>
  <dcterms:modified xsi:type="dcterms:W3CDTF">2023-05-05T07:14:35Z</dcterms:modified>
</cp:coreProperties>
</file>