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1"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7" w:lineRule="exact"/>
        <w:rPr>
          <w:sz w:val="24"/>
          <w:szCs w:val="24"/>
          <w:color w:val="auto"/>
        </w:rPr>
      </w:pPr>
    </w:p>
    <w:p>
      <w:pPr>
        <w:jc w:val="center"/>
        <w:ind w:right="-39"/>
        <w:spacing w:after="0"/>
        <w:tabs>
          <w:tab w:leader="none" w:pos="220" w:val="left"/>
        </w:tabs>
        <w:rPr>
          <w:sz w:val="20"/>
          <w:szCs w:val="20"/>
          <w:color w:val="auto"/>
        </w:rPr>
      </w:pPr>
      <w:r>
        <w:rPr>
          <w:rFonts w:ascii="Arial" w:cs="Arial" w:eastAsia="Arial" w:hAnsi="Arial"/>
          <w:sz w:val="17"/>
          <w:szCs w:val="17"/>
          <w:b w:val="1"/>
          <w:bCs w:val="1"/>
          <w:color w:val="auto"/>
        </w:rPr>
        <w:t>the Securities Exchange Act of 1934 (Amendment No.</w:t>
      </w:r>
      <w:r>
        <w:rPr>
          <w:sz w:val="20"/>
          <w:szCs w:val="20"/>
          <w:color w:val="auto"/>
        </w:rPr>
        <w:tab/>
      </w:r>
      <w:r>
        <w:rPr>
          <w:rFonts w:ascii="Arial" w:cs="Arial" w:eastAsia="Arial" w:hAnsi="Arial"/>
          <w:sz w:val="18"/>
          <w:szCs w:val="18"/>
          <w:b w:val="1"/>
          <w:bCs w:val="1"/>
          <w:color w:val="auto"/>
        </w:rPr>
        <w: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Filed by the Registrant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Filed by a Party other than the Registrant 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3" w:lineRule="exact"/>
        <w:rPr>
          <w:sz w:val="24"/>
          <w:szCs w:val="24"/>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Arial" w:cs="Arial" w:eastAsia="Arial" w:hAnsi="Arial"/>
          <w:sz w:val="18"/>
          <w:szCs w:val="18"/>
          <w:color w:val="auto"/>
        </w:rPr>
      </w:pPr>
    </w:p>
    <w:p>
      <w:pPr>
        <w:ind w:left="580" w:hanging="580"/>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580" w:hanging="580"/>
        <w:spacing w:after="0"/>
        <w:tabs>
          <w:tab w:leader="none" w:pos="5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580" w:hanging="580"/>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under §240.14a-12</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Plains All American Pipeline,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20955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(Name of Registrant as Specified In Its Charter)</w:t>
      </w:r>
    </w:p>
    <w:p>
      <w:pPr>
        <w:spacing w:after="0" w:line="200" w:lineRule="exact"/>
        <w:rPr>
          <w:sz w:val="24"/>
          <w:szCs w:val="24"/>
          <w:color w:val="auto"/>
        </w:rPr>
      </w:pPr>
    </w:p>
    <w:p>
      <w:pPr>
        <w:spacing w:after="0" w:line="245" w:lineRule="exact"/>
        <w:rPr>
          <w:sz w:val="24"/>
          <w:szCs w:val="24"/>
          <w:color w:val="auto"/>
        </w:rPr>
      </w:pPr>
    </w:p>
    <w:p>
      <w:pPr>
        <w:ind w:left="310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3" w:lineRule="exact"/>
        <w:rPr>
          <w:sz w:val="24"/>
          <w:szCs w:val="24"/>
          <w:color w:val="auto"/>
        </w:rPr>
      </w:pPr>
    </w:p>
    <w:p>
      <w:pPr>
        <w:ind w:left="580" w:hanging="580"/>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9" w:lineRule="exact"/>
        <w:rPr>
          <w:sz w:val="24"/>
          <w:szCs w:val="24"/>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9"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24"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38" w:lineRule="exact"/>
        <w:rPr>
          <w:rFonts w:ascii="Arial" w:cs="Arial" w:eastAsia="Arial" w:hAnsi="Arial"/>
          <w:sz w:val="18"/>
          <w:szCs w:val="18"/>
          <w:color w:val="auto"/>
        </w:rPr>
      </w:pPr>
    </w:p>
    <w:p>
      <w:pPr>
        <w:ind w:left="1100" w:hanging="519"/>
        <w:spacing w:after="0" w:line="277" w:lineRule="auto"/>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83"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38" w:lineRule="exact"/>
        <w:rPr>
          <w:rFonts w:ascii="Arial" w:cs="Arial" w:eastAsia="Arial" w:hAnsi="Arial"/>
          <w:sz w:val="18"/>
          <w:szCs w:val="18"/>
          <w:color w:val="auto"/>
        </w:rPr>
      </w:pPr>
    </w:p>
    <w:p>
      <w:pPr>
        <w:ind w:left="1100" w:hanging="519"/>
        <w:spacing w:after="0"/>
        <w:tabs>
          <w:tab w:leader="none" w:pos="11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25" w:lineRule="exact"/>
        <w:rPr>
          <w:rFonts w:ascii="Arial" w:cs="Arial" w:eastAsia="Arial" w:hAnsi="Arial"/>
          <w:sz w:val="18"/>
          <w:szCs w:val="18"/>
          <w:color w:val="auto"/>
        </w:rPr>
      </w:pPr>
    </w:p>
    <w:p>
      <w:pPr>
        <w:ind w:left="580" w:hanging="580"/>
        <w:spacing w:after="0"/>
        <w:tabs>
          <w:tab w:leader="none" w:pos="5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23" w:lineRule="exact"/>
        <w:rPr>
          <w:rFonts w:ascii="Arial" w:cs="Arial" w:eastAsia="Arial" w:hAnsi="Arial"/>
          <w:sz w:val="18"/>
          <w:szCs w:val="18"/>
          <w:color w:val="auto"/>
        </w:rPr>
      </w:pPr>
    </w:p>
    <w:p>
      <w:pPr>
        <w:ind w:left="580" w:right="260" w:hanging="580"/>
        <w:spacing w:after="0" w:line="265" w:lineRule="auto"/>
        <w:tabs>
          <w:tab w:leader="none" w:pos="58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24"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1080" w:hanging="499"/>
        <w:spacing w:after="0"/>
        <w:tabs>
          <w:tab w:leader="none" w:pos="108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678180</wp:posOffset>
            </wp:positionH>
            <wp:positionV relativeFrom="paragraph">
              <wp:posOffset>152400</wp:posOffset>
            </wp:positionV>
            <wp:extent cx="65601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-130175</wp:posOffset>
            </wp:positionV>
            <wp:extent cx="65601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-413385</wp:posOffset>
            </wp:positionV>
            <wp:extent cx="65601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678180</wp:posOffset>
            </wp:positionH>
            <wp:positionV relativeFrom="paragraph">
              <wp:posOffset>-695960</wp:posOffset>
            </wp:positionV>
            <wp:extent cx="6560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60185"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-1382395</wp:posOffset>
            </wp:positionV>
            <wp:extent cx="6543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-1665605</wp:posOffset>
            </wp:positionV>
            <wp:extent cx="65430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-1948180</wp:posOffset>
            </wp:positionV>
            <wp:extent cx="65430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-2368550</wp:posOffset>
            </wp:positionV>
            <wp:extent cx="65430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695325</wp:posOffset>
            </wp:positionH>
            <wp:positionV relativeFrom="paragraph">
              <wp:posOffset>-2651760</wp:posOffset>
            </wp:positionV>
            <wp:extent cx="65430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43040" cy="889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364490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60" w:top="441" w:right="279"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6066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606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46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6980555" cy="54457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98055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294640</wp:posOffset>
            </wp:positionH>
            <wp:positionV relativeFrom="page">
              <wp:posOffset>88900</wp:posOffset>
            </wp:positionV>
            <wp:extent cx="6980555" cy="54457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98055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260350</wp:posOffset>
            </wp:positionH>
            <wp:positionV relativeFrom="page">
              <wp:posOffset>88900</wp:posOffset>
            </wp:positionV>
            <wp:extent cx="7049135" cy="5445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049135" cy="544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This communication may be deemed to be solicitation material in respect of the special meeting of PAGP’s shareholders to vote on the approval of the previously-announced Simplification Agreement and the transactions contemplated thereby (the “Simplification Proposal”). PAGP filed a definitive proxy statement with the SEC on October 7, 2016, and has mailed the definitive proxy statement to its shareholders on or about October 7, 2016. The proxy statement contains important information about PAGP and the Simplification Proposal. INVESTORS AND SECURITY HOLDERS OF PAGP ARE URGED TO READ THE PROXY STATEMENT, THE ACCOMPANYING PROXY CARD AND ANY OTHER DOCUMENTS THAT HAVE BEEN FILED OR WILL BE FILED WITH THE SEC IN CONNECTION WITH THE SIMPLIFICATION PROPOSAL OR INCORPORATED BY REFERENCE INTO THE PROXY STATEMENT. Security holders may obtain free copies of the proxy statement and other documents containing important information about PAGP, once such documents are filed with the SEC, through the website maintained by the SEC at http://www.sec.gov. Copies of the documents filed with the SEC by PAGP will be available free of charge on PAGP’s website at ir.pagp.com or by contacting PAGP’s Investor Relations Department at (866)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199390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280"/>
      </w:cols>
      <w:pgMar w:left="24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o"/>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o"/>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2020-01-21T17:42:48Z</dcterms:created>
  <dcterms:modified xsi:type="dcterms:W3CDTF">2020-01-21T17:42:48Z</dcterms:modified>
</cp:coreProperties>
</file>