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295275</wp:posOffset>
            </wp:positionV>
            <wp:extent cx="7142480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327025</wp:posOffset>
            </wp:positionV>
            <wp:extent cx="714248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the Securities Exchange Act of 1934 (Amendment No.       )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10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20" w:hanging="320"/>
        <w:spacing w:after="0" w:line="237" w:lineRule="auto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PLAINS GP HOLDINGS, L.P.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30480</wp:posOffset>
            </wp:positionV>
            <wp:extent cx="714248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147955</wp:posOffset>
            </wp:positionV>
            <wp:extent cx="7142480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10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14a6(i)(1) and 0 -11.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128905</wp:posOffset>
            </wp:positionV>
            <wp:extent cx="714248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152400</wp:posOffset>
            </wp:positionV>
            <wp:extent cx="7142480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573405</wp:posOffset>
            </wp:positionV>
            <wp:extent cx="714248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3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393700</wp:posOffset>
            </wp:positionH>
            <wp:positionV relativeFrom="page">
              <wp:posOffset>422275</wp:posOffset>
            </wp:positionV>
            <wp:extent cx="6761480" cy="82772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1480" cy="827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385445</wp:posOffset>
            </wp:positionH>
            <wp:positionV relativeFrom="page">
              <wp:posOffset>88900</wp:posOffset>
            </wp:positionV>
            <wp:extent cx="6769735" cy="90709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735" cy="907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2026-04-10T05:19:14Z</dcterms:created>
  <dcterms:modified xsi:type="dcterms:W3CDTF">2026-04-10T05:19:14Z</dcterms:modified>
</cp:coreProperties>
</file>